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C72DAE">
      <w:pPr>
        <w:jc w:val="center"/>
        <w:rPr>
          <w:rFonts w:hint="eastAsia" w:ascii="黑体" w:hAnsi="黑体" w:eastAsia="黑体"/>
          <w:color w:val="auto"/>
          <w:spacing w:val="5760"/>
          <w:w w:val="100"/>
          <w:kern w:val="0"/>
          <w:sz w:val="36"/>
          <w:szCs w:val="36"/>
          <w:highlight w:val="none"/>
          <w:fitText w:val="6120" w:id="-1002138880"/>
          <w:lang w:val="en-US" w:eastAsia="zh-CN"/>
        </w:rPr>
      </w:pPr>
    </w:p>
    <w:p w14:paraId="116803AE">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黑体" w:hAnsi="黑体" w:eastAsia="黑体" w:cs="黑体"/>
          <w:color w:val="auto"/>
          <w:sz w:val="44"/>
          <w:szCs w:val="44"/>
          <w:highlight w:val="none"/>
          <w:lang w:val="en-US" w:eastAsia="zh-CN"/>
        </w:rPr>
      </w:pPr>
      <w:bookmarkStart w:id="0" w:name="_Hlk164181180"/>
      <w:r>
        <w:rPr>
          <w:rFonts w:hint="eastAsia" w:ascii="黑体" w:hAnsi="黑体" w:eastAsia="黑体" w:cs="黑体"/>
          <w:color w:val="auto"/>
          <w:sz w:val="44"/>
          <w:szCs w:val="44"/>
          <w:highlight w:val="none"/>
          <w:lang w:val="en-US" w:eastAsia="zh-CN"/>
        </w:rPr>
        <w:t>哈密市伊州区吐哈石油基地“市政、园林 、环卫一体化”（2026-2028年）</w:t>
      </w:r>
    </w:p>
    <w:p w14:paraId="223EAE32">
      <w:pPr>
        <w:keepNext w:val="0"/>
        <w:keepLines w:val="0"/>
        <w:pageBreakBefore w:val="0"/>
        <w:widowControl w:val="0"/>
        <w:kinsoku/>
        <w:wordWrap/>
        <w:overflowPunct/>
        <w:topLinePunct w:val="0"/>
        <w:autoSpaceDE/>
        <w:autoSpaceDN/>
        <w:bidi w:val="0"/>
        <w:adjustRightInd/>
        <w:snapToGrid/>
        <w:spacing w:after="157" w:afterLines="50"/>
        <w:jc w:val="center"/>
        <w:textAlignment w:val="auto"/>
        <w:rPr>
          <w:rFonts w:hint="eastAsia" w:ascii="黑体" w:hAnsi="黑体" w:eastAsia="黑体" w:cs="黑体"/>
          <w:b/>
          <w:bCs/>
          <w:i w:val="0"/>
          <w:iCs w:val="0"/>
          <w:color w:val="auto"/>
          <w:kern w:val="0"/>
          <w:sz w:val="60"/>
          <w:szCs w:val="60"/>
          <w:highlight w:val="none"/>
          <w:lang w:val="en-US" w:eastAsia="zh-CN"/>
        </w:rPr>
      </w:pPr>
      <w:r>
        <w:rPr>
          <w:rFonts w:hint="eastAsia" w:ascii="黑体" w:hAnsi="黑体" w:eastAsia="黑体" w:cs="黑体"/>
          <w:color w:val="auto"/>
          <w:sz w:val="44"/>
          <w:szCs w:val="44"/>
          <w:highlight w:val="none"/>
          <w:lang w:val="en-US" w:eastAsia="zh-CN"/>
        </w:rPr>
        <w:t>第三方采购项目</w:t>
      </w:r>
    </w:p>
    <w:p w14:paraId="572F5713">
      <w:pPr>
        <w:jc w:val="center"/>
        <w:rPr>
          <w:rFonts w:hint="eastAsia" w:ascii="宋体" w:hAnsi="宋体" w:eastAsia="宋体" w:cs="宋体"/>
          <w:b/>
          <w:bCs/>
          <w:i w:val="0"/>
          <w:iCs w:val="0"/>
          <w:color w:val="auto"/>
          <w:kern w:val="0"/>
          <w:sz w:val="60"/>
          <w:szCs w:val="60"/>
          <w:highlight w:val="none"/>
          <w:lang w:val="en-US" w:eastAsia="zh-CN"/>
        </w:rPr>
      </w:pPr>
    </w:p>
    <w:p w14:paraId="1C748A5A">
      <w:pPr>
        <w:jc w:val="center"/>
        <w:rPr>
          <w:rFonts w:hint="eastAsia" w:ascii="宋体" w:hAnsi="宋体" w:eastAsia="宋体" w:cs="宋体"/>
          <w:b/>
          <w:bCs/>
          <w:i w:val="0"/>
          <w:iCs w:val="0"/>
          <w:color w:val="auto"/>
          <w:kern w:val="0"/>
          <w:sz w:val="60"/>
          <w:szCs w:val="60"/>
          <w:highlight w:val="none"/>
          <w:lang w:val="en-US" w:eastAsia="zh-CN"/>
        </w:rPr>
      </w:pPr>
      <w:r>
        <w:rPr>
          <w:rFonts w:hint="eastAsia" w:ascii="宋体" w:hAnsi="宋体" w:cs="宋体"/>
          <w:b/>
          <w:color w:val="auto"/>
          <w:sz w:val="96"/>
          <w:highlight w:val="none"/>
        </w:rPr>
        <w:pict>
          <v:shape id="Object 2" o:spid="_x0000_s1026" o:spt="75" type="#_x0000_t75" style="position:absolute;left:0pt;margin-left:151.6pt;margin-top:33pt;height:114.75pt;width:127.3pt;z-index:251659264;mso-width-relative:page;mso-height-relative:page;" o:ole="t" filled="f" o:preferrelative="t" stroked="f" coordsize="21600,21600">
            <v:path/>
            <v:fill on="f" focussize="0,0"/>
            <v:stroke on="f"/>
            <v:imagedata r:id="rId13" o:title=""/>
            <o:lock v:ext="edit" aspectratio="t"/>
          </v:shape>
          <o:OLEObject Type="Embed" ProgID="" ShapeID="Object 2" DrawAspect="Content" ObjectID="_1468075725" r:id="rId12">
            <o:LockedField>false</o:LockedField>
          </o:OLEObject>
        </w:pict>
      </w:r>
    </w:p>
    <w:p w14:paraId="0C508735">
      <w:pPr>
        <w:jc w:val="center"/>
        <w:rPr>
          <w:rFonts w:hint="eastAsia" w:ascii="宋体" w:hAnsi="宋体" w:eastAsia="宋体" w:cs="宋体"/>
          <w:b/>
          <w:bCs/>
          <w:i w:val="0"/>
          <w:iCs w:val="0"/>
          <w:color w:val="auto"/>
          <w:kern w:val="0"/>
          <w:sz w:val="60"/>
          <w:szCs w:val="60"/>
          <w:highlight w:val="none"/>
          <w:lang w:val="en-US" w:eastAsia="zh-CN"/>
        </w:rPr>
      </w:pPr>
    </w:p>
    <w:p w14:paraId="57944CC8">
      <w:pPr>
        <w:jc w:val="center"/>
        <w:rPr>
          <w:rFonts w:hint="eastAsia" w:ascii="宋体" w:hAnsi="宋体" w:eastAsia="宋体" w:cs="宋体"/>
          <w:b/>
          <w:bCs/>
          <w:i w:val="0"/>
          <w:iCs w:val="0"/>
          <w:color w:val="auto"/>
          <w:kern w:val="0"/>
          <w:sz w:val="60"/>
          <w:szCs w:val="60"/>
          <w:highlight w:val="none"/>
          <w:lang w:val="en-US" w:eastAsia="zh-CN"/>
        </w:rPr>
      </w:pPr>
    </w:p>
    <w:p w14:paraId="7ED2EE4B">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rPr>
          <w:rFonts w:hint="eastAsia" w:ascii="宋体" w:hAnsi="宋体" w:eastAsia="宋体" w:cs="宋体"/>
          <w:b/>
          <w:bCs/>
          <w:i w:val="0"/>
          <w:iCs w:val="0"/>
          <w:color w:val="auto"/>
          <w:kern w:val="0"/>
          <w:sz w:val="60"/>
          <w:szCs w:val="60"/>
          <w:highlight w:val="none"/>
          <w:lang w:val="en-US" w:eastAsia="zh-CN"/>
        </w:rPr>
      </w:pPr>
      <w:r>
        <w:rPr>
          <w:rFonts w:hint="eastAsia" w:cs="宋体"/>
          <w:b/>
          <w:bCs/>
          <w:i w:val="0"/>
          <w:iCs w:val="0"/>
          <w:color w:val="auto"/>
          <w:kern w:val="0"/>
          <w:sz w:val="60"/>
          <w:szCs w:val="60"/>
          <w:highlight w:val="none"/>
          <w:lang w:val="en-US" w:eastAsia="zh-CN"/>
        </w:rPr>
        <w:t xml:space="preserve"> </w:t>
      </w:r>
      <w:r>
        <w:rPr>
          <w:rFonts w:hint="eastAsia" w:ascii="宋体" w:hAnsi="宋体" w:eastAsia="宋体" w:cs="宋体"/>
          <w:b/>
          <w:bCs/>
          <w:i w:val="0"/>
          <w:iCs w:val="0"/>
          <w:color w:val="auto"/>
          <w:kern w:val="0"/>
          <w:sz w:val="60"/>
          <w:szCs w:val="60"/>
          <w:highlight w:val="none"/>
          <w:lang w:val="en-US" w:eastAsia="zh-CN"/>
        </w:rPr>
        <w:t>公开招标文件</w:t>
      </w:r>
    </w:p>
    <w:bookmarkEnd w:id="0"/>
    <w:p w14:paraId="7757DFAA">
      <w:pPr>
        <w:spacing w:line="240" w:lineRule="auto"/>
        <w:jc w:val="center"/>
        <w:rPr>
          <w:rFonts w:ascii="黑体" w:hAnsi="黑体" w:eastAsia="黑体"/>
          <w:color w:val="auto"/>
          <w:sz w:val="52"/>
          <w:szCs w:val="52"/>
          <w:highlight w:val="none"/>
        </w:rPr>
      </w:pPr>
    </w:p>
    <w:p w14:paraId="6E97F6A4">
      <w:pPr>
        <w:spacing w:line="240" w:lineRule="auto"/>
        <w:jc w:val="center"/>
        <w:rPr>
          <w:rFonts w:ascii="黑体" w:hAnsi="黑体" w:eastAsia="黑体"/>
          <w:color w:val="auto"/>
          <w:sz w:val="52"/>
          <w:szCs w:val="52"/>
          <w:highlight w:val="none"/>
        </w:rPr>
      </w:pPr>
    </w:p>
    <w:p w14:paraId="10D93B87">
      <w:pPr>
        <w:rPr>
          <w:rFonts w:hint="eastAsia" w:ascii="宋体" w:hAnsi="宋体" w:eastAsia="宋体" w:cs="宋体"/>
          <w:color w:val="auto"/>
          <w:sz w:val="36"/>
          <w:szCs w:val="36"/>
          <w:highlight w:val="none"/>
        </w:rPr>
      </w:pPr>
    </w:p>
    <w:p w14:paraId="5B5CFFCE">
      <w:pPr>
        <w:spacing w:before="313" w:beforeLines="100"/>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项目编号：</w:t>
      </w:r>
      <w:r>
        <w:rPr>
          <w:rFonts w:hint="eastAsia" w:ascii="宋体" w:hAnsi="宋体" w:eastAsia="宋体" w:cs="宋体"/>
          <w:color w:val="auto"/>
          <w:sz w:val="32"/>
          <w:szCs w:val="32"/>
          <w:highlight w:val="none"/>
          <w:u w:val="single"/>
        </w:rPr>
        <w:t>HMSCZ[2026]1179号</w:t>
      </w:r>
    </w:p>
    <w:p w14:paraId="099C4CDE">
      <w:pPr>
        <w:ind w:left="1700" w:hanging="1600" w:hangingChars="500"/>
        <w:rPr>
          <w:rFonts w:hint="default" w:ascii="宋体" w:hAnsi="宋体" w:eastAsia="宋体" w:cs="宋体"/>
          <w:color w:val="auto"/>
          <w:sz w:val="32"/>
          <w:szCs w:val="32"/>
          <w:highlight w:val="none"/>
          <w:lang w:val="en-US"/>
        </w:rPr>
      </w:pPr>
      <w:r>
        <w:rPr>
          <w:rFonts w:hint="eastAsia" w:ascii="宋体" w:hAnsi="宋体" w:eastAsia="宋体" w:cs="宋体"/>
          <w:color w:val="auto"/>
          <w:sz w:val="32"/>
          <w:szCs w:val="32"/>
          <w:highlight w:val="none"/>
        </w:rPr>
        <w:t>项目名称</w:t>
      </w:r>
      <w:r>
        <w:rPr>
          <w:rFonts w:hint="eastAsia" w:cs="宋体"/>
          <w:color w:val="auto"/>
          <w:sz w:val="32"/>
          <w:szCs w:val="32"/>
          <w:highlight w:val="none"/>
          <w:lang w:eastAsia="zh-CN"/>
        </w:rPr>
        <w:t>：</w:t>
      </w:r>
      <w:r>
        <w:rPr>
          <w:rFonts w:hint="eastAsia" w:cs="宋体"/>
          <w:color w:val="auto"/>
          <w:sz w:val="32"/>
          <w:szCs w:val="32"/>
          <w:highlight w:val="none"/>
          <w:u w:val="single"/>
          <w:lang w:val="en-US" w:eastAsia="zh-CN"/>
        </w:rPr>
        <w:t>哈密市伊州区吐哈石油基地“市政、园林 、环卫一体化”（2026-2028年）第三方采购项目</w:t>
      </w:r>
    </w:p>
    <w:p w14:paraId="316ED0D4">
      <w:pPr>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采</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购</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rPr>
        <w:t>人：</w:t>
      </w:r>
      <w:r>
        <w:rPr>
          <w:rFonts w:hint="eastAsia" w:ascii="宋体" w:hAnsi="宋体" w:eastAsia="宋体" w:cs="宋体"/>
          <w:color w:val="auto"/>
          <w:sz w:val="32"/>
          <w:szCs w:val="32"/>
          <w:highlight w:val="none"/>
          <w:u w:val="single"/>
        </w:rPr>
        <w:t>哈密市住房和城乡建设局</w:t>
      </w:r>
    </w:p>
    <w:p w14:paraId="55B2AE18">
      <w:pPr>
        <w:rPr>
          <w:rFonts w:hint="eastAsia" w:ascii="宋体" w:hAnsi="宋体" w:eastAsia="宋体" w:cs="宋体"/>
          <w:color w:val="auto"/>
          <w:sz w:val="36"/>
          <w:szCs w:val="36"/>
          <w:highlight w:val="none"/>
        </w:rPr>
      </w:pPr>
      <w:r>
        <w:rPr>
          <w:rFonts w:hint="eastAsia" w:ascii="宋体" w:hAnsi="宋体" w:eastAsia="宋体" w:cs="宋体"/>
          <w:color w:val="auto"/>
          <w:sz w:val="32"/>
          <w:szCs w:val="32"/>
          <w:highlight w:val="none"/>
        </w:rPr>
        <w:t>采购代理机构：</w:t>
      </w:r>
      <w:r>
        <w:rPr>
          <w:rFonts w:hint="eastAsia" w:cs="宋体"/>
          <w:color w:val="auto"/>
          <w:sz w:val="32"/>
          <w:szCs w:val="32"/>
          <w:highlight w:val="none"/>
          <w:u w:val="single"/>
          <w:lang w:val="en-US" w:eastAsia="zh-CN"/>
        </w:rPr>
        <w:t>河南省机电设备国际招标有限公司</w:t>
      </w:r>
    </w:p>
    <w:p w14:paraId="2E6E0FD2">
      <w:pPr>
        <w:jc w:val="center"/>
        <w:rPr>
          <w:rFonts w:hint="eastAsia" w:ascii="宋体" w:hAnsi="宋体" w:eastAsia="宋体" w:cs="宋体"/>
          <w:b/>
          <w:bCs/>
          <w:color w:val="auto"/>
          <w:sz w:val="36"/>
          <w:szCs w:val="36"/>
          <w:highlight w:val="none"/>
        </w:rPr>
      </w:pPr>
      <w:r>
        <w:rPr>
          <w:rFonts w:hint="eastAsia" w:ascii="宋体" w:hAnsi="宋体" w:eastAsia="宋体" w:cs="宋体"/>
          <w:b/>
          <w:bCs/>
          <w:color w:val="auto"/>
          <w:sz w:val="36"/>
          <w:szCs w:val="36"/>
          <w:highlight w:val="none"/>
        </w:rPr>
        <w:t>目 录</w:t>
      </w:r>
    </w:p>
    <w:p w14:paraId="6AA9D7AC">
      <w:pPr>
        <w:pStyle w:val="21"/>
        <w:keepNext w:val="0"/>
        <w:keepLines w:val="0"/>
        <w:pageBreakBefore w:val="0"/>
        <w:widowControl w:val="0"/>
        <w:tabs>
          <w:tab w:val="right" w:leader="dot" w:pos="8306"/>
        </w:tabs>
        <w:kinsoku/>
        <w:wordWrap/>
        <w:overflowPunct/>
        <w:topLinePunct w:val="0"/>
        <w:autoSpaceDE/>
        <w:autoSpaceDN/>
        <w:bidi w:val="0"/>
        <w:adjustRightInd/>
        <w:snapToGrid/>
        <w:spacing w:line="360" w:lineRule="exact"/>
        <w:textAlignment w:val="auto"/>
        <w:rPr>
          <w:rFonts w:hint="eastAsia" w:ascii="宋体" w:eastAsia="宋体" w:cs="宋体"/>
          <w:color w:val="auto"/>
          <w:highlight w:val="none"/>
        </w:rPr>
      </w:pP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TOC \o "1-4" \h \z \u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_Toc14178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 xml:space="preserve">第一章 </w:t>
      </w:r>
      <w:r>
        <w:rPr>
          <w:rFonts w:hint="eastAsia" w:ascii="宋体" w:hAnsi="宋体" w:eastAsia="宋体" w:cs="宋体"/>
          <w:color w:val="auto"/>
          <w:szCs w:val="36"/>
          <w:highlight w:val="none"/>
          <w:lang w:val="en-US" w:eastAsia="zh-CN"/>
        </w:rPr>
        <w:t>招标公告</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_Toc14178 \h </w:instrText>
      </w:r>
      <w:r>
        <w:rPr>
          <w:rFonts w:hint="eastAsia" w:ascii="宋体" w:eastAsia="宋体" w:cs="宋体"/>
          <w:color w:val="auto"/>
          <w:highlight w:val="none"/>
        </w:rPr>
        <w:fldChar w:fldCharType="separate"/>
      </w:r>
      <w:r>
        <w:rPr>
          <w:rFonts w:hint="eastAsia" w:ascii="宋体" w:eastAsia="宋体" w:cs="宋体"/>
          <w:color w:val="auto"/>
          <w:highlight w:val="none"/>
        </w:rPr>
        <w:t>- 6 -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9B5F738">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_Toc28827 </w:instrText>
      </w:r>
      <w:r>
        <w:rPr>
          <w:rFonts w:hint="eastAsia" w:ascii="宋体" w:hAnsi="宋体" w:eastAsia="宋体" w:cs="宋体"/>
          <w:color w:val="auto"/>
          <w:szCs w:val="24"/>
          <w:highlight w:val="none"/>
        </w:rPr>
        <w:fldChar w:fldCharType="separate"/>
      </w:r>
      <w:r>
        <w:rPr>
          <w:rFonts w:hint="eastAsia" w:ascii="宋体" w:eastAsia="宋体" w:cs="宋体"/>
          <w:color w:val="auto"/>
          <w:szCs w:val="24"/>
          <w:highlight w:val="none"/>
          <w:lang w:val="en-US" w:eastAsia="zh-CN"/>
        </w:rPr>
        <w:t>项目概况：</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_Toc28827 \h </w:instrText>
      </w:r>
      <w:r>
        <w:rPr>
          <w:rFonts w:hint="eastAsia" w:ascii="宋体" w:eastAsia="宋体" w:cs="宋体"/>
          <w:color w:val="auto"/>
          <w:highlight w:val="none"/>
        </w:rPr>
        <w:fldChar w:fldCharType="separate"/>
      </w:r>
      <w:r>
        <w:rPr>
          <w:rFonts w:hint="eastAsia" w:ascii="宋体" w:eastAsia="宋体" w:cs="宋体"/>
          <w:color w:val="auto"/>
          <w:highlight w:val="none"/>
        </w:rPr>
        <w:t>- 6 -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0BAF232">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_Toc10886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hr-HR" w:eastAsia="zh-CN" w:bidi="ar-SA"/>
        </w:rPr>
        <w:t>一、项目基本情况</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_Toc10886 \h </w:instrText>
      </w:r>
      <w:r>
        <w:rPr>
          <w:rFonts w:hint="eastAsia" w:ascii="宋体" w:eastAsia="宋体" w:cs="宋体"/>
          <w:color w:val="auto"/>
          <w:highlight w:val="none"/>
        </w:rPr>
        <w:fldChar w:fldCharType="separate"/>
      </w:r>
      <w:r>
        <w:rPr>
          <w:rFonts w:hint="eastAsia" w:ascii="宋体" w:eastAsia="宋体" w:cs="宋体"/>
          <w:color w:val="auto"/>
          <w:highlight w:val="none"/>
        </w:rPr>
        <w:t>- 6 -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79CE1E2">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_Toc28652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二、申请</w:t>
      </w:r>
      <w:r>
        <w:rPr>
          <w:rFonts w:hint="eastAsia" w:ascii="宋体" w:hAnsi="宋体" w:eastAsia="宋体" w:cs="宋体"/>
          <w:bCs/>
          <w:color w:val="auto"/>
          <w:kern w:val="2"/>
          <w:szCs w:val="24"/>
          <w:highlight w:val="none"/>
          <w:lang w:val="hr-HR" w:eastAsia="zh-CN" w:bidi="ar-SA"/>
        </w:rPr>
        <w:t>人</w:t>
      </w:r>
      <w:r>
        <w:rPr>
          <w:rFonts w:hint="eastAsia" w:ascii="宋体" w:hAnsi="宋体" w:eastAsia="宋体" w:cs="宋体"/>
          <w:bCs/>
          <w:color w:val="auto"/>
          <w:kern w:val="2"/>
          <w:szCs w:val="24"/>
          <w:highlight w:val="none"/>
          <w:lang w:val="en-US" w:eastAsia="zh-CN" w:bidi="ar-SA"/>
        </w:rPr>
        <w:t>的</w:t>
      </w:r>
      <w:r>
        <w:rPr>
          <w:rFonts w:hint="eastAsia" w:ascii="宋体" w:hAnsi="宋体" w:eastAsia="宋体" w:cs="宋体"/>
          <w:bCs/>
          <w:color w:val="auto"/>
          <w:kern w:val="2"/>
          <w:szCs w:val="24"/>
          <w:highlight w:val="none"/>
          <w:lang w:val="hr-HR" w:eastAsia="zh-CN" w:bidi="ar-SA"/>
        </w:rPr>
        <w:t>资格要求</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_Toc28652 \h </w:instrText>
      </w:r>
      <w:r>
        <w:rPr>
          <w:rFonts w:hint="eastAsia" w:ascii="宋体" w:eastAsia="宋体" w:cs="宋体"/>
          <w:color w:val="auto"/>
          <w:highlight w:val="none"/>
        </w:rPr>
        <w:fldChar w:fldCharType="separate"/>
      </w:r>
      <w:r>
        <w:rPr>
          <w:rFonts w:hint="eastAsia" w:ascii="宋体" w:eastAsia="宋体" w:cs="宋体"/>
          <w:color w:val="auto"/>
          <w:highlight w:val="none"/>
        </w:rPr>
        <w:t>- 6 -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51F8996">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_Toc6773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三、</w:t>
      </w:r>
      <w:r>
        <w:rPr>
          <w:rFonts w:hint="eastAsia" w:ascii="宋体" w:hAnsi="宋体" w:eastAsia="宋体" w:cs="宋体"/>
          <w:bCs/>
          <w:color w:val="auto"/>
          <w:kern w:val="2"/>
          <w:szCs w:val="24"/>
          <w:highlight w:val="none"/>
          <w:lang w:val="hr-HR" w:eastAsia="zh-CN" w:bidi="ar-SA"/>
        </w:rPr>
        <w:t>获取招标文件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_Toc6773 \h </w:instrText>
      </w:r>
      <w:r>
        <w:rPr>
          <w:rFonts w:hint="eastAsia" w:ascii="宋体" w:eastAsia="宋体" w:cs="宋体"/>
          <w:color w:val="auto"/>
          <w:highlight w:val="none"/>
        </w:rPr>
        <w:fldChar w:fldCharType="separate"/>
      </w:r>
      <w:r>
        <w:rPr>
          <w:rFonts w:hint="eastAsia" w:ascii="宋体" w:eastAsia="宋体" w:cs="宋体"/>
          <w:color w:val="auto"/>
          <w:highlight w:val="none"/>
        </w:rPr>
        <w:t>- 7 -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99A17EE">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_Toc28189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四、提交投标文件截止时间、开标时间和地点</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_Toc28189 \h </w:instrText>
      </w:r>
      <w:r>
        <w:rPr>
          <w:rFonts w:hint="eastAsia" w:ascii="宋体" w:eastAsia="宋体" w:cs="宋体"/>
          <w:color w:val="auto"/>
          <w:highlight w:val="none"/>
        </w:rPr>
        <w:fldChar w:fldCharType="separate"/>
      </w:r>
      <w:r>
        <w:rPr>
          <w:rFonts w:hint="eastAsia" w:ascii="宋体" w:eastAsia="宋体" w:cs="宋体"/>
          <w:color w:val="auto"/>
          <w:highlight w:val="none"/>
        </w:rPr>
        <w:t>- 7 -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EBA2922">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_Toc28433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五、</w:t>
      </w:r>
      <w:r>
        <w:rPr>
          <w:rFonts w:hint="eastAsia" w:ascii="宋体" w:hAnsi="宋体" w:eastAsia="宋体" w:cs="宋体"/>
          <w:bCs/>
          <w:color w:val="auto"/>
          <w:kern w:val="2"/>
          <w:szCs w:val="24"/>
          <w:highlight w:val="none"/>
          <w:lang w:val="hr-HR" w:eastAsia="zh-CN" w:bidi="ar-SA"/>
        </w:rPr>
        <w:t>公告期限</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_Toc28433 \h </w:instrText>
      </w:r>
      <w:r>
        <w:rPr>
          <w:rFonts w:hint="eastAsia" w:ascii="宋体" w:eastAsia="宋体" w:cs="宋体"/>
          <w:color w:val="auto"/>
          <w:highlight w:val="none"/>
        </w:rPr>
        <w:fldChar w:fldCharType="separate"/>
      </w:r>
      <w:r>
        <w:rPr>
          <w:rFonts w:hint="eastAsia" w:ascii="宋体" w:eastAsia="宋体" w:cs="宋体"/>
          <w:color w:val="auto"/>
          <w:highlight w:val="none"/>
        </w:rPr>
        <w:t>- 8 -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0CA5345">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_Toc22371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六、</w:t>
      </w:r>
      <w:r>
        <w:rPr>
          <w:rFonts w:hint="eastAsia" w:ascii="宋体" w:hAnsi="宋体" w:eastAsia="宋体" w:cs="宋体"/>
          <w:bCs/>
          <w:color w:val="auto"/>
          <w:kern w:val="2"/>
          <w:szCs w:val="24"/>
          <w:highlight w:val="none"/>
          <w:lang w:val="hr-HR" w:eastAsia="zh-CN" w:bidi="ar-SA"/>
        </w:rPr>
        <w:t>其他补充事宜</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_Toc22371 \h </w:instrText>
      </w:r>
      <w:r>
        <w:rPr>
          <w:rFonts w:hint="eastAsia" w:ascii="宋体" w:eastAsia="宋体" w:cs="宋体"/>
          <w:color w:val="auto"/>
          <w:highlight w:val="none"/>
        </w:rPr>
        <w:fldChar w:fldCharType="separate"/>
      </w:r>
      <w:r>
        <w:rPr>
          <w:rFonts w:hint="eastAsia" w:ascii="宋体" w:eastAsia="宋体" w:cs="宋体"/>
          <w:color w:val="auto"/>
          <w:highlight w:val="none"/>
        </w:rPr>
        <w:t>- 8 -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31CD29B">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七、</w:t>
      </w:r>
      <w:r>
        <w:rPr>
          <w:rFonts w:hint="eastAsia" w:ascii="宋体" w:hAnsi="宋体" w:eastAsia="宋体" w:cs="宋体"/>
          <w:bCs/>
          <w:color w:val="auto"/>
          <w:kern w:val="2"/>
          <w:szCs w:val="24"/>
          <w:highlight w:val="none"/>
          <w:lang w:val="hr-HR" w:eastAsia="zh-CN" w:bidi="ar-SA"/>
        </w:rPr>
        <w:t>对本次</w:t>
      </w:r>
      <w:r>
        <w:rPr>
          <w:rFonts w:hint="eastAsia" w:ascii="宋体" w:hAnsi="宋体" w:eastAsia="宋体" w:cs="宋体"/>
          <w:bCs/>
          <w:color w:val="auto"/>
          <w:kern w:val="2"/>
          <w:szCs w:val="24"/>
          <w:highlight w:val="none"/>
          <w:lang w:val="en-US" w:eastAsia="zh-CN" w:bidi="ar-SA"/>
        </w:rPr>
        <w:t>招标</w:t>
      </w:r>
      <w:r>
        <w:rPr>
          <w:rFonts w:hint="eastAsia" w:ascii="宋体" w:hAnsi="宋体" w:eastAsia="宋体" w:cs="宋体"/>
          <w:bCs/>
          <w:color w:val="auto"/>
          <w:kern w:val="2"/>
          <w:szCs w:val="24"/>
          <w:highlight w:val="none"/>
          <w:lang w:val="hr-HR" w:eastAsia="zh-CN" w:bidi="ar-SA"/>
        </w:rPr>
        <w:t>提出询问，请按以下方式联系</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_Toc13 \h </w:instrText>
      </w:r>
      <w:r>
        <w:rPr>
          <w:rFonts w:hint="eastAsia" w:ascii="宋体" w:eastAsia="宋体" w:cs="宋体"/>
          <w:color w:val="auto"/>
          <w:highlight w:val="none"/>
        </w:rPr>
        <w:fldChar w:fldCharType="separate"/>
      </w:r>
      <w:r>
        <w:rPr>
          <w:rFonts w:hint="eastAsia" w:ascii="宋体" w:eastAsia="宋体" w:cs="宋体"/>
          <w:color w:val="auto"/>
          <w:highlight w:val="none"/>
        </w:rPr>
        <w:t>- 9 -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EECBCF9">
      <w:pPr>
        <w:pStyle w:val="21"/>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_Toc14231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第二章 投标人须知</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_Toc14231 \h </w:instrText>
      </w:r>
      <w:r>
        <w:rPr>
          <w:rFonts w:hint="eastAsia" w:ascii="宋体" w:eastAsia="宋体" w:cs="宋体"/>
          <w:color w:val="auto"/>
          <w:highlight w:val="none"/>
        </w:rPr>
        <w:fldChar w:fldCharType="separate"/>
      </w:r>
      <w:r>
        <w:rPr>
          <w:rFonts w:hint="eastAsia" w:ascii="宋体" w:eastAsia="宋体" w:cs="宋体"/>
          <w:color w:val="auto"/>
          <w:highlight w:val="none"/>
        </w:rPr>
        <w:t>- 10 -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980DEE5">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_Toc14612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8"/>
          <w:highlight w:val="none"/>
          <w:lang w:val="en-US" w:eastAsia="zh-CN" w:bidi="ar-SA"/>
        </w:rPr>
        <w:t>一、投标人须知前附表</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_Toc14612 \h </w:instrText>
      </w:r>
      <w:r>
        <w:rPr>
          <w:rFonts w:hint="eastAsia" w:ascii="宋体" w:eastAsia="宋体" w:cs="宋体"/>
          <w:color w:val="auto"/>
          <w:highlight w:val="none"/>
        </w:rPr>
        <w:fldChar w:fldCharType="separate"/>
      </w:r>
      <w:r>
        <w:rPr>
          <w:rFonts w:hint="eastAsia" w:ascii="宋体" w:eastAsia="宋体" w:cs="宋体"/>
          <w:color w:val="auto"/>
          <w:highlight w:val="none"/>
        </w:rPr>
        <w:t>- 10 -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D4B96CF">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_Toc17983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8"/>
          <w:highlight w:val="none"/>
          <w:lang w:val="en-US" w:eastAsia="zh-CN" w:bidi="ar-SA"/>
        </w:rPr>
        <w:t>二、投标人须知</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_Toc17983 \h </w:instrText>
      </w:r>
      <w:r>
        <w:rPr>
          <w:rFonts w:hint="eastAsia" w:ascii="宋体" w:eastAsia="宋体" w:cs="宋体"/>
          <w:color w:val="auto"/>
          <w:highlight w:val="none"/>
        </w:rPr>
        <w:fldChar w:fldCharType="separate"/>
      </w:r>
      <w:r>
        <w:rPr>
          <w:rFonts w:hint="eastAsia" w:ascii="宋体" w:eastAsia="宋体" w:cs="宋体"/>
          <w:color w:val="auto"/>
          <w:highlight w:val="none"/>
        </w:rPr>
        <w:t>- 16 -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AEFC713">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_Toc3080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（一）总则</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_Toc3080 \h </w:instrText>
      </w:r>
      <w:r>
        <w:rPr>
          <w:rFonts w:hint="eastAsia" w:ascii="宋体" w:eastAsia="宋体" w:cs="宋体"/>
          <w:color w:val="auto"/>
          <w:highlight w:val="none"/>
        </w:rPr>
        <w:fldChar w:fldCharType="separate"/>
      </w:r>
      <w:r>
        <w:rPr>
          <w:rFonts w:hint="eastAsia" w:ascii="宋体" w:eastAsia="宋体" w:cs="宋体"/>
          <w:color w:val="auto"/>
          <w:highlight w:val="none"/>
        </w:rPr>
        <w:t>- 16 -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726EE4F">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_Toc19525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1.适用范围</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_Toc19525 \h </w:instrText>
      </w:r>
      <w:r>
        <w:rPr>
          <w:rFonts w:hint="eastAsia" w:ascii="宋体" w:eastAsia="宋体" w:cs="宋体"/>
          <w:color w:val="auto"/>
          <w:highlight w:val="none"/>
        </w:rPr>
        <w:fldChar w:fldCharType="separate"/>
      </w:r>
      <w:r>
        <w:rPr>
          <w:rFonts w:hint="eastAsia" w:ascii="宋体" w:eastAsia="宋体" w:cs="宋体"/>
          <w:color w:val="auto"/>
          <w:highlight w:val="none"/>
        </w:rPr>
        <w:t>- 16 -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51135FF">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2.基本定义</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_Toc2674 \h </w:instrText>
      </w:r>
      <w:r>
        <w:rPr>
          <w:rFonts w:hint="eastAsia" w:ascii="宋体" w:eastAsia="宋体" w:cs="宋体"/>
          <w:color w:val="auto"/>
          <w:highlight w:val="none"/>
        </w:rPr>
        <w:fldChar w:fldCharType="separate"/>
      </w:r>
      <w:r>
        <w:rPr>
          <w:rFonts w:hint="eastAsia" w:ascii="宋体" w:eastAsia="宋体" w:cs="宋体"/>
          <w:color w:val="auto"/>
          <w:highlight w:val="none"/>
        </w:rPr>
        <w:t>- 16 -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A96E20C">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_Toc30765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3.资金来源</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_Toc30765 \h </w:instrText>
      </w:r>
      <w:r>
        <w:rPr>
          <w:rFonts w:hint="eastAsia" w:ascii="宋体" w:eastAsia="宋体" w:cs="宋体"/>
          <w:color w:val="auto"/>
          <w:highlight w:val="none"/>
        </w:rPr>
        <w:fldChar w:fldCharType="separate"/>
      </w:r>
      <w:r>
        <w:rPr>
          <w:rFonts w:hint="eastAsia" w:ascii="宋体" w:eastAsia="宋体" w:cs="宋体"/>
          <w:color w:val="auto"/>
          <w:highlight w:val="none"/>
        </w:rPr>
        <w:t>- 16 -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B9906E3">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4.投标人资格要求</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_Toc1893 \h </w:instrText>
      </w:r>
      <w:r>
        <w:rPr>
          <w:rFonts w:hint="eastAsia" w:ascii="宋体" w:eastAsia="宋体" w:cs="宋体"/>
          <w:color w:val="auto"/>
          <w:highlight w:val="none"/>
        </w:rPr>
        <w:fldChar w:fldCharType="separate"/>
      </w:r>
      <w:r>
        <w:rPr>
          <w:rFonts w:hint="eastAsia" w:ascii="宋体" w:eastAsia="宋体" w:cs="宋体"/>
          <w:color w:val="auto"/>
          <w:highlight w:val="none"/>
        </w:rPr>
        <w:t>- 16 -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478AE68">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_Toc7413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5.费用承担</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_Toc7413 \h </w:instrText>
      </w:r>
      <w:r>
        <w:rPr>
          <w:rFonts w:hint="eastAsia" w:ascii="宋体" w:eastAsia="宋体" w:cs="宋体"/>
          <w:color w:val="auto"/>
          <w:highlight w:val="none"/>
        </w:rPr>
        <w:fldChar w:fldCharType="separate"/>
      </w:r>
      <w:r>
        <w:rPr>
          <w:rFonts w:hint="eastAsia" w:ascii="宋体" w:eastAsia="宋体" w:cs="宋体"/>
          <w:color w:val="auto"/>
          <w:highlight w:val="none"/>
        </w:rPr>
        <w:t>- 17 -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EFD8493">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_Toc27984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6.保密</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_Toc27984 \h </w:instrText>
      </w:r>
      <w:r>
        <w:rPr>
          <w:rFonts w:hint="eastAsia" w:ascii="宋体" w:eastAsia="宋体" w:cs="宋体"/>
          <w:color w:val="auto"/>
          <w:highlight w:val="none"/>
        </w:rPr>
        <w:fldChar w:fldCharType="separate"/>
      </w:r>
      <w:r>
        <w:rPr>
          <w:rFonts w:hint="eastAsia" w:ascii="宋体" w:eastAsia="宋体" w:cs="宋体"/>
          <w:color w:val="auto"/>
          <w:highlight w:val="none"/>
        </w:rPr>
        <w:t>- 17 -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206F729">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_Toc30988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7.语言文字</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_Toc30988 \h </w:instrText>
      </w:r>
      <w:r>
        <w:rPr>
          <w:rFonts w:hint="eastAsia" w:ascii="宋体" w:eastAsia="宋体" w:cs="宋体"/>
          <w:color w:val="auto"/>
          <w:highlight w:val="none"/>
        </w:rPr>
        <w:fldChar w:fldCharType="separate"/>
      </w:r>
      <w:r>
        <w:rPr>
          <w:rFonts w:hint="eastAsia" w:ascii="宋体" w:eastAsia="宋体" w:cs="宋体"/>
          <w:color w:val="auto"/>
          <w:highlight w:val="none"/>
        </w:rPr>
        <w:t>- 18 -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C598049">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_Toc3997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8.计量单位</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_Toc3997 \h </w:instrText>
      </w:r>
      <w:r>
        <w:rPr>
          <w:rFonts w:hint="eastAsia" w:ascii="宋体" w:eastAsia="宋体" w:cs="宋体"/>
          <w:color w:val="auto"/>
          <w:highlight w:val="none"/>
        </w:rPr>
        <w:fldChar w:fldCharType="separate"/>
      </w:r>
      <w:r>
        <w:rPr>
          <w:rFonts w:hint="eastAsia" w:ascii="宋体" w:eastAsia="宋体" w:cs="宋体"/>
          <w:color w:val="auto"/>
          <w:highlight w:val="none"/>
        </w:rPr>
        <w:t>- 18 -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4F1220F">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_Toc19979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9.现场考察和答疑会</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_Toc19979 \h </w:instrText>
      </w:r>
      <w:r>
        <w:rPr>
          <w:rFonts w:hint="eastAsia" w:ascii="宋体" w:eastAsia="宋体" w:cs="宋体"/>
          <w:color w:val="auto"/>
          <w:highlight w:val="none"/>
        </w:rPr>
        <w:fldChar w:fldCharType="separate"/>
      </w:r>
      <w:r>
        <w:rPr>
          <w:rFonts w:hint="eastAsia" w:ascii="宋体" w:eastAsia="宋体" w:cs="宋体"/>
          <w:color w:val="auto"/>
          <w:highlight w:val="none"/>
        </w:rPr>
        <w:t>- 18 -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9D55405">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_Toc15887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10.电子投标说明</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_Toc15887 \h </w:instrText>
      </w:r>
      <w:r>
        <w:rPr>
          <w:rFonts w:hint="eastAsia" w:ascii="宋体" w:eastAsia="宋体" w:cs="宋体"/>
          <w:color w:val="auto"/>
          <w:highlight w:val="none"/>
        </w:rPr>
        <w:fldChar w:fldCharType="separate"/>
      </w:r>
      <w:r>
        <w:rPr>
          <w:rFonts w:hint="eastAsia" w:ascii="宋体" w:eastAsia="宋体" w:cs="宋体"/>
          <w:color w:val="auto"/>
          <w:highlight w:val="none"/>
        </w:rPr>
        <w:t>- 19 -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8CFE2EE">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_Toc5898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（二）招标文件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_Toc5898 \h </w:instrText>
      </w:r>
      <w:r>
        <w:rPr>
          <w:rFonts w:hint="eastAsia" w:ascii="宋体" w:eastAsia="宋体" w:cs="宋体"/>
          <w:color w:val="auto"/>
          <w:highlight w:val="none"/>
        </w:rPr>
        <w:fldChar w:fldCharType="separate"/>
      </w:r>
      <w:r>
        <w:rPr>
          <w:rFonts w:hint="eastAsia" w:ascii="宋体" w:eastAsia="宋体" w:cs="宋体"/>
          <w:color w:val="auto"/>
          <w:highlight w:val="none"/>
        </w:rPr>
        <w:t>- 20 -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0B69A76">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_Toc20534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11.招标文件的组成</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_Toc20534 \h </w:instrText>
      </w:r>
      <w:r>
        <w:rPr>
          <w:rFonts w:hint="eastAsia" w:ascii="宋体" w:eastAsia="宋体" w:cs="宋体"/>
          <w:color w:val="auto"/>
          <w:highlight w:val="none"/>
        </w:rPr>
        <w:fldChar w:fldCharType="separate"/>
      </w:r>
      <w:r>
        <w:rPr>
          <w:rFonts w:hint="eastAsia" w:ascii="宋体" w:eastAsia="宋体" w:cs="宋体"/>
          <w:color w:val="auto"/>
          <w:highlight w:val="none"/>
        </w:rPr>
        <w:t>- 20 -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477FBEC">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_Toc23241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12.招标文件的询问、澄清或者修改</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_Toc23241 \h </w:instrText>
      </w:r>
      <w:r>
        <w:rPr>
          <w:rFonts w:hint="eastAsia" w:ascii="宋体" w:eastAsia="宋体" w:cs="宋体"/>
          <w:color w:val="auto"/>
          <w:highlight w:val="none"/>
        </w:rPr>
        <w:fldChar w:fldCharType="separate"/>
      </w:r>
      <w:r>
        <w:rPr>
          <w:rFonts w:hint="eastAsia" w:ascii="宋体" w:eastAsia="宋体" w:cs="宋体"/>
          <w:color w:val="auto"/>
          <w:highlight w:val="none"/>
        </w:rPr>
        <w:t>- 20 -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ECAAE6D">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_Toc20861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（三）投标文件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_Toc20861 \h </w:instrText>
      </w:r>
      <w:r>
        <w:rPr>
          <w:rFonts w:hint="eastAsia" w:ascii="宋体" w:eastAsia="宋体" w:cs="宋体"/>
          <w:color w:val="auto"/>
          <w:highlight w:val="none"/>
        </w:rPr>
        <w:fldChar w:fldCharType="separate"/>
      </w:r>
      <w:r>
        <w:rPr>
          <w:rFonts w:hint="eastAsia" w:ascii="宋体" w:eastAsia="宋体" w:cs="宋体"/>
          <w:color w:val="auto"/>
          <w:highlight w:val="none"/>
        </w:rPr>
        <w:t>- 21 -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4DEF68E">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_Toc16394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13.投标文件的组成</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_Toc16394 \h </w:instrText>
      </w:r>
      <w:r>
        <w:rPr>
          <w:rFonts w:hint="eastAsia" w:ascii="宋体" w:eastAsia="宋体" w:cs="宋体"/>
          <w:color w:val="auto"/>
          <w:highlight w:val="none"/>
        </w:rPr>
        <w:fldChar w:fldCharType="separate"/>
      </w:r>
      <w:r>
        <w:rPr>
          <w:rFonts w:hint="eastAsia" w:ascii="宋体" w:eastAsia="宋体" w:cs="宋体"/>
          <w:color w:val="auto"/>
          <w:highlight w:val="none"/>
        </w:rPr>
        <w:t>- 21 -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2E55ADF">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_Toc31381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14.投标报价</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_Toc31381 \h </w:instrText>
      </w:r>
      <w:r>
        <w:rPr>
          <w:rFonts w:hint="eastAsia" w:ascii="宋体" w:eastAsia="宋体" w:cs="宋体"/>
          <w:color w:val="auto"/>
          <w:highlight w:val="none"/>
        </w:rPr>
        <w:fldChar w:fldCharType="separate"/>
      </w:r>
      <w:r>
        <w:rPr>
          <w:rFonts w:hint="eastAsia" w:ascii="宋体" w:eastAsia="宋体" w:cs="宋体"/>
          <w:color w:val="auto"/>
          <w:highlight w:val="none"/>
        </w:rPr>
        <w:t>- 21 -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6129C82">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_Toc32205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15.投标有效期</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_Toc32205 \h </w:instrText>
      </w:r>
      <w:r>
        <w:rPr>
          <w:rFonts w:hint="eastAsia" w:ascii="宋体" w:eastAsia="宋体" w:cs="宋体"/>
          <w:color w:val="auto"/>
          <w:highlight w:val="none"/>
        </w:rPr>
        <w:fldChar w:fldCharType="separate"/>
      </w:r>
      <w:r>
        <w:rPr>
          <w:rFonts w:hint="eastAsia" w:ascii="宋体" w:eastAsia="宋体" w:cs="宋体"/>
          <w:color w:val="auto"/>
          <w:highlight w:val="none"/>
        </w:rPr>
        <w:t>- 22 -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ED93508">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_Toc19276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16.投标文件的编制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_Toc19276 \h </w:instrText>
      </w:r>
      <w:r>
        <w:rPr>
          <w:rFonts w:hint="eastAsia" w:ascii="宋体" w:eastAsia="宋体" w:cs="宋体"/>
          <w:color w:val="auto"/>
          <w:highlight w:val="none"/>
        </w:rPr>
        <w:fldChar w:fldCharType="separate"/>
      </w:r>
      <w:r>
        <w:rPr>
          <w:rFonts w:hint="eastAsia" w:ascii="宋体" w:eastAsia="宋体" w:cs="宋体"/>
          <w:color w:val="auto"/>
          <w:highlight w:val="none"/>
        </w:rPr>
        <w:t>- 22 -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8139FE5">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_Toc20042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（四）投标</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_Toc20042 \h </w:instrText>
      </w:r>
      <w:r>
        <w:rPr>
          <w:rFonts w:hint="eastAsia" w:ascii="宋体" w:eastAsia="宋体" w:cs="宋体"/>
          <w:color w:val="auto"/>
          <w:highlight w:val="none"/>
        </w:rPr>
        <w:fldChar w:fldCharType="separate"/>
      </w:r>
      <w:r>
        <w:rPr>
          <w:rFonts w:hint="eastAsia" w:ascii="宋体" w:eastAsia="宋体" w:cs="宋体"/>
          <w:color w:val="auto"/>
          <w:highlight w:val="none"/>
        </w:rPr>
        <w:t>- 24 -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C371F29">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_Toc28692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17.投标保证金</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_Toc28692 \h </w:instrText>
      </w:r>
      <w:r>
        <w:rPr>
          <w:rFonts w:hint="eastAsia" w:ascii="宋体" w:eastAsia="宋体" w:cs="宋体"/>
          <w:color w:val="auto"/>
          <w:highlight w:val="none"/>
        </w:rPr>
        <w:fldChar w:fldCharType="separate"/>
      </w:r>
      <w:r>
        <w:rPr>
          <w:rFonts w:hint="eastAsia" w:ascii="宋体" w:eastAsia="宋体" w:cs="宋体"/>
          <w:color w:val="auto"/>
          <w:highlight w:val="none"/>
        </w:rPr>
        <w:t>- 24 -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918DDA6">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18.投标文件的加密</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_Toc731 \h </w:instrText>
      </w:r>
      <w:r>
        <w:rPr>
          <w:rFonts w:hint="eastAsia" w:ascii="宋体" w:eastAsia="宋体" w:cs="宋体"/>
          <w:color w:val="auto"/>
          <w:highlight w:val="none"/>
        </w:rPr>
        <w:fldChar w:fldCharType="separate"/>
      </w:r>
      <w:r>
        <w:rPr>
          <w:rFonts w:hint="eastAsia" w:ascii="宋体" w:eastAsia="宋体" w:cs="宋体"/>
          <w:color w:val="auto"/>
          <w:highlight w:val="none"/>
        </w:rPr>
        <w:t>- 25 -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8ADFEF8">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_Toc14531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19.投标文件的递交（上传）</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_Toc14531 \h </w:instrText>
      </w:r>
      <w:r>
        <w:rPr>
          <w:rFonts w:hint="eastAsia" w:ascii="宋体" w:eastAsia="宋体" w:cs="宋体"/>
          <w:color w:val="auto"/>
          <w:highlight w:val="none"/>
        </w:rPr>
        <w:fldChar w:fldCharType="separate"/>
      </w:r>
      <w:r>
        <w:rPr>
          <w:rFonts w:hint="eastAsia" w:ascii="宋体" w:eastAsia="宋体" w:cs="宋体"/>
          <w:color w:val="auto"/>
          <w:highlight w:val="none"/>
        </w:rPr>
        <w:t>- 26 -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2EE5007">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_Toc2114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20.拒收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_Toc2114 \h </w:instrText>
      </w:r>
      <w:r>
        <w:rPr>
          <w:rFonts w:hint="eastAsia" w:ascii="宋体" w:eastAsia="宋体" w:cs="宋体"/>
          <w:color w:val="auto"/>
          <w:highlight w:val="none"/>
        </w:rPr>
        <w:fldChar w:fldCharType="separate"/>
      </w:r>
      <w:r>
        <w:rPr>
          <w:rFonts w:hint="eastAsia" w:ascii="宋体" w:eastAsia="宋体" w:cs="宋体"/>
          <w:color w:val="auto"/>
          <w:highlight w:val="none"/>
        </w:rPr>
        <w:t>- 26 -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15F1F34">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_Toc21076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21.投标文件的修改与撤回</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_Toc21076 \h </w:instrText>
      </w:r>
      <w:r>
        <w:rPr>
          <w:rFonts w:hint="eastAsia" w:ascii="宋体" w:eastAsia="宋体" w:cs="宋体"/>
          <w:color w:val="auto"/>
          <w:highlight w:val="none"/>
        </w:rPr>
        <w:fldChar w:fldCharType="separate"/>
      </w:r>
      <w:r>
        <w:rPr>
          <w:rFonts w:hint="eastAsia" w:ascii="宋体" w:eastAsia="宋体" w:cs="宋体"/>
          <w:color w:val="auto"/>
          <w:highlight w:val="none"/>
        </w:rPr>
        <w:t>- 26 -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E7283B7">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_Toc26077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22.实物样品</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_Toc26077 \h </w:instrText>
      </w:r>
      <w:r>
        <w:rPr>
          <w:rFonts w:hint="eastAsia" w:ascii="宋体" w:eastAsia="宋体" w:cs="宋体"/>
          <w:color w:val="auto"/>
          <w:highlight w:val="none"/>
        </w:rPr>
        <w:fldChar w:fldCharType="separate"/>
      </w:r>
      <w:r>
        <w:rPr>
          <w:rFonts w:hint="eastAsia" w:ascii="宋体" w:eastAsia="宋体" w:cs="宋体"/>
          <w:color w:val="auto"/>
          <w:highlight w:val="none"/>
        </w:rPr>
        <w:t>- 26 -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C0041F1">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_Toc17331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23.演示</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_Toc17331 \h </w:instrText>
      </w:r>
      <w:r>
        <w:rPr>
          <w:rFonts w:hint="eastAsia" w:ascii="宋体" w:eastAsia="宋体" w:cs="宋体"/>
          <w:color w:val="auto"/>
          <w:highlight w:val="none"/>
        </w:rPr>
        <w:fldChar w:fldCharType="separate"/>
      </w:r>
      <w:r>
        <w:rPr>
          <w:rFonts w:hint="eastAsia" w:ascii="宋体" w:eastAsia="宋体" w:cs="宋体"/>
          <w:color w:val="auto"/>
          <w:highlight w:val="none"/>
        </w:rPr>
        <w:t>- 26 -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99CE4AE">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_Toc22479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（五）开标</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_Toc22479 \h </w:instrText>
      </w:r>
      <w:r>
        <w:rPr>
          <w:rFonts w:hint="eastAsia" w:ascii="宋体" w:eastAsia="宋体" w:cs="宋体"/>
          <w:color w:val="auto"/>
          <w:highlight w:val="none"/>
        </w:rPr>
        <w:fldChar w:fldCharType="separate"/>
      </w:r>
      <w:r>
        <w:rPr>
          <w:rFonts w:hint="eastAsia" w:ascii="宋体" w:eastAsia="宋体" w:cs="宋体"/>
          <w:color w:val="auto"/>
          <w:highlight w:val="none"/>
        </w:rPr>
        <w:t>- 26 -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AB0A2DA">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_Toc28117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24.开标会议</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_Toc28117 \h </w:instrText>
      </w:r>
      <w:r>
        <w:rPr>
          <w:rFonts w:hint="eastAsia" w:ascii="宋体" w:eastAsia="宋体" w:cs="宋体"/>
          <w:color w:val="auto"/>
          <w:highlight w:val="none"/>
        </w:rPr>
        <w:fldChar w:fldCharType="separate"/>
      </w:r>
      <w:r>
        <w:rPr>
          <w:rFonts w:hint="eastAsia" w:ascii="宋体" w:eastAsia="宋体" w:cs="宋体"/>
          <w:color w:val="auto"/>
          <w:highlight w:val="none"/>
        </w:rPr>
        <w:t>- 26 -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4B96F59">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_Toc25384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25.开标程序</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_Toc25384 \h </w:instrText>
      </w:r>
      <w:r>
        <w:rPr>
          <w:rFonts w:hint="eastAsia" w:ascii="宋体" w:eastAsia="宋体" w:cs="宋体"/>
          <w:color w:val="auto"/>
          <w:highlight w:val="none"/>
        </w:rPr>
        <w:fldChar w:fldCharType="separate"/>
      </w:r>
      <w:r>
        <w:rPr>
          <w:rFonts w:hint="eastAsia" w:ascii="宋体" w:eastAsia="宋体" w:cs="宋体"/>
          <w:color w:val="auto"/>
          <w:highlight w:val="none"/>
        </w:rPr>
        <w:t>- 27 -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F5AA102">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_Toc4525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26.开标疑义及回避情形</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_Toc4525 \h </w:instrText>
      </w:r>
      <w:r>
        <w:rPr>
          <w:rFonts w:hint="eastAsia" w:ascii="宋体" w:eastAsia="宋体" w:cs="宋体"/>
          <w:color w:val="auto"/>
          <w:highlight w:val="none"/>
        </w:rPr>
        <w:fldChar w:fldCharType="separate"/>
      </w:r>
      <w:r>
        <w:rPr>
          <w:rFonts w:hint="eastAsia" w:ascii="宋体" w:eastAsia="宋体" w:cs="宋体"/>
          <w:color w:val="auto"/>
          <w:highlight w:val="none"/>
        </w:rPr>
        <w:t>- 27 -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BB33E05">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_Toc31888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（六）资格审查</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_Toc31888 \h </w:instrText>
      </w:r>
      <w:r>
        <w:rPr>
          <w:rFonts w:hint="eastAsia" w:ascii="宋体" w:eastAsia="宋体" w:cs="宋体"/>
          <w:color w:val="auto"/>
          <w:highlight w:val="none"/>
        </w:rPr>
        <w:fldChar w:fldCharType="separate"/>
      </w:r>
      <w:r>
        <w:rPr>
          <w:rFonts w:hint="eastAsia" w:ascii="宋体" w:eastAsia="宋体" w:cs="宋体"/>
          <w:color w:val="auto"/>
          <w:highlight w:val="none"/>
        </w:rPr>
        <w:t>- 28 -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D500F30">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_Toc12995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27.资格审查及审查主体</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_Toc12995 \h </w:instrText>
      </w:r>
      <w:r>
        <w:rPr>
          <w:rFonts w:hint="eastAsia" w:ascii="宋体" w:eastAsia="宋体" w:cs="宋体"/>
          <w:color w:val="auto"/>
          <w:highlight w:val="none"/>
        </w:rPr>
        <w:fldChar w:fldCharType="separate"/>
      </w:r>
      <w:r>
        <w:rPr>
          <w:rFonts w:hint="eastAsia" w:ascii="宋体" w:eastAsia="宋体" w:cs="宋体"/>
          <w:color w:val="auto"/>
          <w:highlight w:val="none"/>
        </w:rPr>
        <w:t>- 28 -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CFB2B32">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_Toc23809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（七）评标</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_Toc23809 \h </w:instrText>
      </w:r>
      <w:r>
        <w:rPr>
          <w:rFonts w:hint="eastAsia" w:ascii="宋体" w:eastAsia="宋体" w:cs="宋体"/>
          <w:color w:val="auto"/>
          <w:highlight w:val="none"/>
        </w:rPr>
        <w:fldChar w:fldCharType="separate"/>
      </w:r>
      <w:r>
        <w:rPr>
          <w:rFonts w:hint="eastAsia" w:ascii="宋体" w:eastAsia="宋体" w:cs="宋体"/>
          <w:color w:val="auto"/>
          <w:highlight w:val="none"/>
        </w:rPr>
        <w:t>- 28 -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521E2F1">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_Toc9074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28.评标委员会</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_Toc9074 \h </w:instrText>
      </w:r>
      <w:r>
        <w:rPr>
          <w:rFonts w:hint="eastAsia" w:ascii="宋体" w:eastAsia="宋体" w:cs="宋体"/>
          <w:color w:val="auto"/>
          <w:highlight w:val="none"/>
        </w:rPr>
        <w:fldChar w:fldCharType="separate"/>
      </w:r>
      <w:r>
        <w:rPr>
          <w:rFonts w:hint="eastAsia" w:ascii="宋体" w:eastAsia="宋体" w:cs="宋体"/>
          <w:color w:val="auto"/>
          <w:highlight w:val="none"/>
        </w:rPr>
        <w:t>- 28 -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7280EBE">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_Toc15760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29.评标</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_Toc15760 \h </w:instrText>
      </w:r>
      <w:r>
        <w:rPr>
          <w:rFonts w:hint="eastAsia" w:ascii="宋体" w:eastAsia="宋体" w:cs="宋体"/>
          <w:color w:val="auto"/>
          <w:highlight w:val="none"/>
        </w:rPr>
        <w:fldChar w:fldCharType="separate"/>
      </w:r>
      <w:r>
        <w:rPr>
          <w:rFonts w:hint="eastAsia" w:ascii="宋体" w:eastAsia="宋体" w:cs="宋体"/>
          <w:color w:val="auto"/>
          <w:highlight w:val="none"/>
        </w:rPr>
        <w:t>- 29 -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55ACC79">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_Toc12307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（八）中标</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_Toc12307 \h </w:instrText>
      </w:r>
      <w:r>
        <w:rPr>
          <w:rFonts w:hint="eastAsia" w:ascii="宋体" w:eastAsia="宋体" w:cs="宋体"/>
          <w:color w:val="auto"/>
          <w:highlight w:val="none"/>
        </w:rPr>
        <w:fldChar w:fldCharType="separate"/>
      </w:r>
      <w:r>
        <w:rPr>
          <w:rFonts w:hint="eastAsia" w:ascii="宋体" w:eastAsia="宋体" w:cs="宋体"/>
          <w:color w:val="auto"/>
          <w:highlight w:val="none"/>
        </w:rPr>
        <w:t>- 30 -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5A4C7C2">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_Toc14944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30.确定中标人</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_Toc14944 \h </w:instrText>
      </w:r>
      <w:r>
        <w:rPr>
          <w:rFonts w:hint="eastAsia" w:ascii="宋体" w:eastAsia="宋体" w:cs="宋体"/>
          <w:color w:val="auto"/>
          <w:highlight w:val="none"/>
        </w:rPr>
        <w:fldChar w:fldCharType="separate"/>
      </w:r>
      <w:r>
        <w:rPr>
          <w:rFonts w:hint="eastAsia" w:ascii="宋体" w:eastAsia="宋体" w:cs="宋体"/>
          <w:color w:val="auto"/>
          <w:highlight w:val="none"/>
        </w:rPr>
        <w:t>- 30 -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A766CAD">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_Toc18603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31.中标结果公告</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_Toc18603 \h </w:instrText>
      </w:r>
      <w:r>
        <w:rPr>
          <w:rFonts w:hint="eastAsia" w:ascii="宋体" w:eastAsia="宋体" w:cs="宋体"/>
          <w:color w:val="auto"/>
          <w:highlight w:val="none"/>
        </w:rPr>
        <w:fldChar w:fldCharType="separate"/>
      </w:r>
      <w:r>
        <w:rPr>
          <w:rFonts w:hint="eastAsia" w:ascii="宋体" w:eastAsia="宋体" w:cs="宋体"/>
          <w:color w:val="auto"/>
          <w:highlight w:val="none"/>
        </w:rPr>
        <w:t>- 30 -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32310DE">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_Toc24102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32.中标通知</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_Toc24102 \h </w:instrText>
      </w:r>
      <w:r>
        <w:rPr>
          <w:rFonts w:hint="eastAsia" w:ascii="宋体" w:eastAsia="宋体" w:cs="宋体"/>
          <w:color w:val="auto"/>
          <w:highlight w:val="none"/>
        </w:rPr>
        <w:fldChar w:fldCharType="separate"/>
      </w:r>
      <w:r>
        <w:rPr>
          <w:rFonts w:hint="eastAsia" w:ascii="宋体" w:eastAsia="宋体" w:cs="宋体"/>
          <w:color w:val="auto"/>
          <w:highlight w:val="none"/>
        </w:rPr>
        <w:t>- 30 -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72538E1">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_Toc17615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（九）签订合同</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_Toc17615 \h </w:instrText>
      </w:r>
      <w:r>
        <w:rPr>
          <w:rFonts w:hint="eastAsia" w:ascii="宋体" w:eastAsia="宋体" w:cs="宋体"/>
          <w:color w:val="auto"/>
          <w:highlight w:val="none"/>
        </w:rPr>
        <w:fldChar w:fldCharType="separate"/>
      </w:r>
      <w:r>
        <w:rPr>
          <w:rFonts w:hint="eastAsia" w:ascii="宋体" w:eastAsia="宋体" w:cs="宋体"/>
          <w:color w:val="auto"/>
          <w:highlight w:val="none"/>
        </w:rPr>
        <w:t>- 31 -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8AAEB61">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_Toc8948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33.履约保证金</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_Toc8948 \h </w:instrText>
      </w:r>
      <w:r>
        <w:rPr>
          <w:rFonts w:hint="eastAsia" w:ascii="宋体" w:eastAsia="宋体" w:cs="宋体"/>
          <w:color w:val="auto"/>
          <w:highlight w:val="none"/>
        </w:rPr>
        <w:fldChar w:fldCharType="separate"/>
      </w:r>
      <w:r>
        <w:rPr>
          <w:rFonts w:hint="eastAsia" w:ascii="宋体" w:eastAsia="宋体" w:cs="宋体"/>
          <w:color w:val="auto"/>
          <w:highlight w:val="none"/>
        </w:rPr>
        <w:t>- 31 -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71F6E49">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_Toc31706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34.签订合同</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_Toc31706 \h </w:instrText>
      </w:r>
      <w:r>
        <w:rPr>
          <w:rFonts w:hint="eastAsia" w:ascii="宋体" w:eastAsia="宋体" w:cs="宋体"/>
          <w:color w:val="auto"/>
          <w:highlight w:val="none"/>
        </w:rPr>
        <w:fldChar w:fldCharType="separate"/>
      </w:r>
      <w:r>
        <w:rPr>
          <w:rFonts w:hint="eastAsia" w:ascii="宋体" w:eastAsia="宋体" w:cs="宋体"/>
          <w:color w:val="auto"/>
          <w:highlight w:val="none"/>
        </w:rPr>
        <w:t>- 31 -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F473872">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_Toc23066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（十）质疑和投诉</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_Toc23066 \h </w:instrText>
      </w:r>
      <w:r>
        <w:rPr>
          <w:rFonts w:hint="eastAsia" w:ascii="宋体" w:eastAsia="宋体" w:cs="宋体"/>
          <w:color w:val="auto"/>
          <w:highlight w:val="none"/>
        </w:rPr>
        <w:fldChar w:fldCharType="separate"/>
      </w:r>
      <w:r>
        <w:rPr>
          <w:rFonts w:hint="eastAsia" w:ascii="宋体" w:eastAsia="宋体" w:cs="宋体"/>
          <w:color w:val="auto"/>
          <w:highlight w:val="none"/>
        </w:rPr>
        <w:t>- 32 -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DB7BD43">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_Toc31662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35.质疑</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_Toc31662 \h </w:instrText>
      </w:r>
      <w:r>
        <w:rPr>
          <w:rFonts w:hint="eastAsia" w:ascii="宋体" w:eastAsia="宋体" w:cs="宋体"/>
          <w:color w:val="auto"/>
          <w:highlight w:val="none"/>
        </w:rPr>
        <w:fldChar w:fldCharType="separate"/>
      </w:r>
      <w:r>
        <w:rPr>
          <w:rFonts w:hint="eastAsia" w:ascii="宋体" w:eastAsia="宋体" w:cs="宋体"/>
          <w:color w:val="auto"/>
          <w:highlight w:val="none"/>
        </w:rPr>
        <w:t>- 32 -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8E08504">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_Toc15462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36.质疑答复</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_Toc15462 \h </w:instrText>
      </w:r>
      <w:r>
        <w:rPr>
          <w:rFonts w:hint="eastAsia" w:ascii="宋体" w:eastAsia="宋体" w:cs="宋体"/>
          <w:color w:val="auto"/>
          <w:highlight w:val="none"/>
        </w:rPr>
        <w:fldChar w:fldCharType="separate"/>
      </w:r>
      <w:r>
        <w:rPr>
          <w:rFonts w:hint="eastAsia" w:ascii="宋体" w:eastAsia="宋体" w:cs="宋体"/>
          <w:color w:val="auto"/>
          <w:highlight w:val="none"/>
        </w:rPr>
        <w:t>- 32 -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87D8548">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_Toc14993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37.投诉</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_Toc14993 \h </w:instrText>
      </w:r>
      <w:r>
        <w:rPr>
          <w:rFonts w:hint="eastAsia" w:ascii="宋体" w:eastAsia="宋体" w:cs="宋体"/>
          <w:color w:val="auto"/>
          <w:highlight w:val="none"/>
        </w:rPr>
        <w:fldChar w:fldCharType="separate"/>
      </w:r>
      <w:r>
        <w:rPr>
          <w:rFonts w:hint="eastAsia" w:ascii="宋体" w:eastAsia="宋体" w:cs="宋体"/>
          <w:color w:val="auto"/>
          <w:highlight w:val="none"/>
        </w:rPr>
        <w:t>- 33 -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33779DF">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_Toc11529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（十一）采购代理服务费</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_Toc11529 \h </w:instrText>
      </w:r>
      <w:r>
        <w:rPr>
          <w:rFonts w:hint="eastAsia" w:ascii="宋体" w:eastAsia="宋体" w:cs="宋体"/>
          <w:color w:val="auto"/>
          <w:highlight w:val="none"/>
        </w:rPr>
        <w:fldChar w:fldCharType="separate"/>
      </w:r>
      <w:r>
        <w:rPr>
          <w:rFonts w:hint="eastAsia" w:ascii="宋体" w:eastAsia="宋体" w:cs="宋体"/>
          <w:color w:val="auto"/>
          <w:highlight w:val="none"/>
        </w:rPr>
        <w:t>- 34 -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C1AA429">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_Toc17640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38.收取方式和标准</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_Toc17640 \h </w:instrText>
      </w:r>
      <w:r>
        <w:rPr>
          <w:rFonts w:hint="eastAsia" w:ascii="宋体" w:eastAsia="宋体" w:cs="宋体"/>
          <w:color w:val="auto"/>
          <w:highlight w:val="none"/>
        </w:rPr>
        <w:fldChar w:fldCharType="separate"/>
      </w:r>
      <w:r>
        <w:rPr>
          <w:rFonts w:hint="eastAsia" w:ascii="宋体" w:eastAsia="宋体" w:cs="宋体"/>
          <w:color w:val="auto"/>
          <w:highlight w:val="none"/>
        </w:rPr>
        <w:t>- 34 -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89D3853">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_Toc19682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（十二）无效投标和废标</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_Toc19682 \h </w:instrText>
      </w:r>
      <w:r>
        <w:rPr>
          <w:rFonts w:hint="eastAsia" w:ascii="宋体" w:eastAsia="宋体" w:cs="宋体"/>
          <w:color w:val="auto"/>
          <w:highlight w:val="none"/>
        </w:rPr>
        <w:fldChar w:fldCharType="separate"/>
      </w:r>
      <w:r>
        <w:rPr>
          <w:rFonts w:hint="eastAsia" w:ascii="宋体" w:eastAsia="宋体" w:cs="宋体"/>
          <w:color w:val="auto"/>
          <w:highlight w:val="none"/>
        </w:rPr>
        <w:t>- 34 -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9F6D8E7">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_Toc11746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39.无效投标</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_Toc11746 \h </w:instrText>
      </w:r>
      <w:r>
        <w:rPr>
          <w:rFonts w:hint="eastAsia" w:ascii="宋体" w:eastAsia="宋体" w:cs="宋体"/>
          <w:color w:val="auto"/>
          <w:highlight w:val="none"/>
        </w:rPr>
        <w:fldChar w:fldCharType="separate"/>
      </w:r>
      <w:r>
        <w:rPr>
          <w:rFonts w:hint="eastAsia" w:ascii="宋体" w:eastAsia="宋体" w:cs="宋体"/>
          <w:color w:val="auto"/>
          <w:highlight w:val="none"/>
        </w:rPr>
        <w:t>- 34 -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3AE8566">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_Toc10507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40.废标</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_Toc10507 \h </w:instrText>
      </w:r>
      <w:r>
        <w:rPr>
          <w:rFonts w:hint="eastAsia" w:ascii="宋体" w:eastAsia="宋体" w:cs="宋体"/>
          <w:color w:val="auto"/>
          <w:highlight w:val="none"/>
        </w:rPr>
        <w:fldChar w:fldCharType="separate"/>
      </w:r>
      <w:r>
        <w:rPr>
          <w:rFonts w:hint="eastAsia" w:ascii="宋体" w:eastAsia="宋体" w:cs="宋体"/>
          <w:color w:val="auto"/>
          <w:highlight w:val="none"/>
        </w:rPr>
        <w:t>- 34 -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E4C9D7E">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_Toc584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（十三）落实政府采购政策（包括但不限于下列具体政策要求）</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_Toc584 \h </w:instrText>
      </w:r>
      <w:r>
        <w:rPr>
          <w:rFonts w:hint="eastAsia" w:ascii="宋体" w:eastAsia="宋体" w:cs="宋体"/>
          <w:color w:val="auto"/>
          <w:highlight w:val="none"/>
        </w:rPr>
        <w:fldChar w:fldCharType="separate"/>
      </w:r>
      <w:r>
        <w:rPr>
          <w:rFonts w:hint="eastAsia" w:ascii="宋体" w:eastAsia="宋体" w:cs="宋体"/>
          <w:color w:val="auto"/>
          <w:highlight w:val="none"/>
        </w:rPr>
        <w:t>- 34 -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36AEC51">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_Toc26324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41.支持国产和进口产品审批</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_Toc26324 \h </w:instrText>
      </w:r>
      <w:r>
        <w:rPr>
          <w:rFonts w:hint="eastAsia" w:ascii="宋体" w:eastAsia="宋体" w:cs="宋体"/>
          <w:color w:val="auto"/>
          <w:highlight w:val="none"/>
        </w:rPr>
        <w:fldChar w:fldCharType="separate"/>
      </w:r>
      <w:r>
        <w:rPr>
          <w:rFonts w:hint="eastAsia" w:ascii="宋体" w:eastAsia="宋体" w:cs="宋体"/>
          <w:color w:val="auto"/>
          <w:highlight w:val="none"/>
        </w:rPr>
        <w:t>- 34 -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CF64722">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_Toc14102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42.中小企业、监狱企业及残疾人福利性单位</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_Toc14102 \h </w:instrText>
      </w:r>
      <w:r>
        <w:rPr>
          <w:rFonts w:hint="eastAsia" w:ascii="宋体" w:eastAsia="宋体" w:cs="宋体"/>
          <w:color w:val="auto"/>
          <w:highlight w:val="none"/>
        </w:rPr>
        <w:fldChar w:fldCharType="separate"/>
      </w:r>
      <w:r>
        <w:rPr>
          <w:rFonts w:hint="eastAsia" w:ascii="宋体" w:eastAsia="宋体" w:cs="宋体"/>
          <w:color w:val="auto"/>
          <w:highlight w:val="none"/>
        </w:rPr>
        <w:t>- 36 -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77129B3">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_Toc8338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43.政府采购节能产品、环境标志产品</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_Toc8338 \h </w:instrText>
      </w:r>
      <w:r>
        <w:rPr>
          <w:rFonts w:hint="eastAsia" w:ascii="宋体" w:eastAsia="宋体" w:cs="宋体"/>
          <w:color w:val="auto"/>
          <w:highlight w:val="none"/>
        </w:rPr>
        <w:fldChar w:fldCharType="separate"/>
      </w:r>
      <w:r>
        <w:rPr>
          <w:rFonts w:hint="eastAsia" w:ascii="宋体" w:eastAsia="宋体" w:cs="宋体"/>
          <w:color w:val="auto"/>
          <w:highlight w:val="none"/>
        </w:rPr>
        <w:t>- 38 -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138C54B">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_Toc6531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44.正版软件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_Toc6531 \h </w:instrText>
      </w:r>
      <w:r>
        <w:rPr>
          <w:rFonts w:hint="eastAsia" w:ascii="宋体" w:eastAsia="宋体" w:cs="宋体"/>
          <w:color w:val="auto"/>
          <w:highlight w:val="none"/>
        </w:rPr>
        <w:fldChar w:fldCharType="separate"/>
      </w:r>
      <w:r>
        <w:rPr>
          <w:rFonts w:hint="eastAsia" w:ascii="宋体" w:eastAsia="宋体" w:cs="宋体"/>
          <w:color w:val="auto"/>
          <w:highlight w:val="none"/>
        </w:rPr>
        <w:t>- 38 -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CBB53C6">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_Toc495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45.网络安全专用产品</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_Toc495 \h </w:instrText>
      </w:r>
      <w:r>
        <w:rPr>
          <w:rFonts w:hint="eastAsia" w:ascii="宋体" w:eastAsia="宋体" w:cs="宋体"/>
          <w:color w:val="auto"/>
          <w:highlight w:val="none"/>
        </w:rPr>
        <w:fldChar w:fldCharType="separate"/>
      </w:r>
      <w:r>
        <w:rPr>
          <w:rFonts w:hint="eastAsia" w:ascii="宋体" w:eastAsia="宋体" w:cs="宋体"/>
          <w:color w:val="auto"/>
          <w:highlight w:val="none"/>
        </w:rPr>
        <w:t>- 39 -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3357EF">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_Toc13473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46.采购需求标准</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_Toc13473 \h </w:instrText>
      </w:r>
      <w:r>
        <w:rPr>
          <w:rFonts w:hint="eastAsia" w:ascii="宋体" w:eastAsia="宋体" w:cs="宋体"/>
          <w:color w:val="auto"/>
          <w:highlight w:val="none"/>
        </w:rPr>
        <w:fldChar w:fldCharType="separate"/>
      </w:r>
      <w:r>
        <w:rPr>
          <w:rFonts w:hint="eastAsia" w:ascii="宋体" w:eastAsia="宋体" w:cs="宋体"/>
          <w:color w:val="auto"/>
          <w:highlight w:val="none"/>
        </w:rPr>
        <w:t>- 39 -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93753EC">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_Toc26518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（十四）政府采购合同融资政策</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_Toc26518 \h </w:instrText>
      </w:r>
      <w:r>
        <w:rPr>
          <w:rFonts w:hint="eastAsia" w:ascii="宋体" w:eastAsia="宋体" w:cs="宋体"/>
          <w:color w:val="auto"/>
          <w:highlight w:val="none"/>
        </w:rPr>
        <w:fldChar w:fldCharType="separate"/>
      </w:r>
      <w:r>
        <w:rPr>
          <w:rFonts w:hint="eastAsia" w:ascii="宋体" w:eastAsia="宋体" w:cs="宋体"/>
          <w:color w:val="auto"/>
          <w:highlight w:val="none"/>
        </w:rPr>
        <w:t>- 40 -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411E7BD">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47.政府采购合同融资政策</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_Toc200 \h </w:instrText>
      </w:r>
      <w:r>
        <w:rPr>
          <w:rFonts w:hint="eastAsia" w:ascii="宋体" w:eastAsia="宋体" w:cs="宋体"/>
          <w:color w:val="auto"/>
          <w:highlight w:val="none"/>
        </w:rPr>
        <w:fldChar w:fldCharType="separate"/>
      </w:r>
      <w:r>
        <w:rPr>
          <w:rFonts w:hint="eastAsia" w:ascii="宋体" w:eastAsia="宋体" w:cs="宋体"/>
          <w:color w:val="auto"/>
          <w:highlight w:val="none"/>
        </w:rPr>
        <w:t>- 40 -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A95F7EE">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_Toc9588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（十五）其他</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_Toc9588 \h </w:instrText>
      </w:r>
      <w:r>
        <w:rPr>
          <w:rFonts w:hint="eastAsia" w:ascii="宋体" w:eastAsia="宋体" w:cs="宋体"/>
          <w:color w:val="auto"/>
          <w:highlight w:val="none"/>
        </w:rPr>
        <w:fldChar w:fldCharType="separate"/>
      </w:r>
      <w:r>
        <w:rPr>
          <w:rFonts w:hint="eastAsia" w:ascii="宋体" w:eastAsia="宋体" w:cs="宋体"/>
          <w:color w:val="auto"/>
          <w:highlight w:val="none"/>
        </w:rPr>
        <w:t>- 40 -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6218A6D">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_Toc4950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48.需要补充的其他内容</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_Toc4950 \h </w:instrText>
      </w:r>
      <w:r>
        <w:rPr>
          <w:rFonts w:hint="eastAsia" w:ascii="宋体" w:eastAsia="宋体" w:cs="宋体"/>
          <w:color w:val="auto"/>
          <w:highlight w:val="none"/>
        </w:rPr>
        <w:fldChar w:fldCharType="separate"/>
      </w:r>
      <w:r>
        <w:rPr>
          <w:rFonts w:hint="eastAsia" w:ascii="宋体" w:eastAsia="宋体" w:cs="宋体"/>
          <w:color w:val="auto"/>
          <w:highlight w:val="none"/>
        </w:rPr>
        <w:t>- 40 -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3109E5B">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_Toc28655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49.适用法律</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_Toc28655 \h </w:instrText>
      </w:r>
      <w:r>
        <w:rPr>
          <w:rFonts w:hint="eastAsia" w:ascii="宋体" w:eastAsia="宋体" w:cs="宋体"/>
          <w:color w:val="auto"/>
          <w:highlight w:val="none"/>
        </w:rPr>
        <w:fldChar w:fldCharType="separate"/>
      </w:r>
      <w:r>
        <w:rPr>
          <w:rFonts w:hint="eastAsia" w:ascii="宋体" w:eastAsia="宋体" w:cs="宋体"/>
          <w:color w:val="auto"/>
          <w:highlight w:val="none"/>
        </w:rPr>
        <w:t>- 40 -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67DE495">
      <w:pPr>
        <w:pStyle w:val="22"/>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_Toc31128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en-US" w:eastAsia="zh-CN" w:bidi="ar-SA"/>
        </w:rPr>
        <w:t>50.解释权</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_Toc31128 \h </w:instrText>
      </w:r>
      <w:r>
        <w:rPr>
          <w:rFonts w:hint="eastAsia" w:ascii="宋体" w:eastAsia="宋体" w:cs="宋体"/>
          <w:color w:val="auto"/>
          <w:highlight w:val="none"/>
        </w:rPr>
        <w:fldChar w:fldCharType="separate"/>
      </w:r>
      <w:r>
        <w:rPr>
          <w:rFonts w:hint="eastAsia" w:ascii="宋体" w:eastAsia="宋体" w:cs="宋体"/>
          <w:color w:val="auto"/>
          <w:highlight w:val="none"/>
        </w:rPr>
        <w:t>- 40 -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38E11DC">
      <w:pPr>
        <w:pStyle w:val="21"/>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_Toc1969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第三章 采购需求</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_Toc1969 \h </w:instrText>
      </w:r>
      <w:r>
        <w:rPr>
          <w:rFonts w:hint="eastAsia" w:ascii="宋体" w:eastAsia="宋体" w:cs="宋体"/>
          <w:color w:val="auto"/>
          <w:highlight w:val="none"/>
        </w:rPr>
        <w:fldChar w:fldCharType="separate"/>
      </w:r>
      <w:r>
        <w:rPr>
          <w:rFonts w:hint="eastAsia" w:ascii="宋体" w:eastAsia="宋体" w:cs="宋体"/>
          <w:color w:val="auto"/>
          <w:highlight w:val="none"/>
        </w:rPr>
        <w:t>- 41 -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C93EE99">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_Toc32728 </w:instrText>
      </w:r>
      <w:r>
        <w:rPr>
          <w:rFonts w:hint="eastAsia" w:ascii="宋体" w:hAnsi="宋体" w:eastAsia="宋体" w:cs="宋体"/>
          <w:color w:val="auto"/>
          <w:szCs w:val="24"/>
          <w:highlight w:val="none"/>
        </w:rPr>
        <w:fldChar w:fldCharType="separate"/>
      </w:r>
      <w:r>
        <w:rPr>
          <w:rFonts w:hint="eastAsia" w:ascii="宋体" w:eastAsia="宋体" w:cs="宋体"/>
          <w:color w:val="auto"/>
          <w:szCs w:val="28"/>
          <w:highlight w:val="none"/>
          <w:lang w:val="en-US" w:eastAsia="zh-CN"/>
        </w:rPr>
        <w:t>一、采购标的</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_Toc32728 \h </w:instrText>
      </w:r>
      <w:r>
        <w:rPr>
          <w:rFonts w:hint="eastAsia" w:ascii="宋体" w:eastAsia="宋体" w:cs="宋体"/>
          <w:color w:val="auto"/>
          <w:highlight w:val="none"/>
        </w:rPr>
        <w:fldChar w:fldCharType="separate"/>
      </w:r>
      <w:r>
        <w:rPr>
          <w:rFonts w:hint="eastAsia" w:ascii="宋体" w:eastAsia="宋体" w:cs="宋体"/>
          <w:color w:val="auto"/>
          <w:highlight w:val="none"/>
        </w:rPr>
        <w:t>- 41 -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6A8ACA1">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_Toc1282 </w:instrText>
      </w:r>
      <w:r>
        <w:rPr>
          <w:rFonts w:hint="eastAsia" w:ascii="宋体" w:hAnsi="宋体" w:eastAsia="宋体" w:cs="宋体"/>
          <w:color w:val="auto"/>
          <w:szCs w:val="24"/>
          <w:highlight w:val="none"/>
        </w:rPr>
        <w:fldChar w:fldCharType="separate"/>
      </w:r>
      <w:r>
        <w:rPr>
          <w:rFonts w:hint="eastAsia" w:ascii="宋体" w:eastAsia="宋体" w:cs="宋体"/>
          <w:color w:val="auto"/>
          <w:szCs w:val="28"/>
          <w:highlight w:val="none"/>
          <w:lang w:val="en-US" w:eastAsia="zh-CN"/>
        </w:rPr>
        <w:t>二、商务要求</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_Toc1282 \h </w:instrText>
      </w:r>
      <w:r>
        <w:rPr>
          <w:rFonts w:hint="eastAsia" w:ascii="宋体" w:eastAsia="宋体" w:cs="宋体"/>
          <w:color w:val="auto"/>
          <w:highlight w:val="none"/>
        </w:rPr>
        <w:fldChar w:fldCharType="separate"/>
      </w:r>
      <w:r>
        <w:rPr>
          <w:rFonts w:hint="eastAsia" w:ascii="宋体" w:eastAsia="宋体" w:cs="宋体"/>
          <w:color w:val="auto"/>
          <w:highlight w:val="none"/>
        </w:rPr>
        <w:t>- 41 -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3B6F0D7">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_Toc28120 </w:instrText>
      </w:r>
      <w:r>
        <w:rPr>
          <w:rFonts w:hint="eastAsia" w:ascii="宋体" w:hAnsi="宋体" w:eastAsia="宋体" w:cs="宋体"/>
          <w:color w:val="auto"/>
          <w:szCs w:val="24"/>
          <w:highlight w:val="none"/>
        </w:rPr>
        <w:fldChar w:fldCharType="separate"/>
      </w:r>
      <w:r>
        <w:rPr>
          <w:rFonts w:hint="eastAsia" w:ascii="宋体" w:eastAsia="宋体" w:cs="宋体"/>
          <w:color w:val="auto"/>
          <w:szCs w:val="28"/>
          <w:highlight w:val="none"/>
          <w:lang w:val="en-US" w:eastAsia="zh-CN"/>
        </w:rPr>
        <w:t>三、技术要求</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_Toc28120 \h </w:instrText>
      </w:r>
      <w:r>
        <w:rPr>
          <w:rFonts w:hint="eastAsia" w:ascii="宋体" w:eastAsia="宋体" w:cs="宋体"/>
          <w:color w:val="auto"/>
          <w:highlight w:val="none"/>
        </w:rPr>
        <w:fldChar w:fldCharType="separate"/>
      </w:r>
      <w:r>
        <w:rPr>
          <w:rFonts w:hint="eastAsia" w:ascii="宋体" w:eastAsia="宋体" w:cs="宋体"/>
          <w:color w:val="auto"/>
          <w:highlight w:val="none"/>
        </w:rPr>
        <w:t>- 42 -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48E4233">
      <w:pPr>
        <w:pStyle w:val="21"/>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_Toc27295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第四章 资格审查</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_Toc27295 \h </w:instrText>
      </w:r>
      <w:r>
        <w:rPr>
          <w:rFonts w:hint="eastAsia" w:ascii="宋体" w:eastAsia="宋体" w:cs="宋体"/>
          <w:color w:val="auto"/>
          <w:highlight w:val="none"/>
        </w:rPr>
        <w:fldChar w:fldCharType="separate"/>
      </w:r>
      <w:r>
        <w:rPr>
          <w:rFonts w:hint="eastAsia" w:ascii="宋体" w:eastAsia="宋体" w:cs="宋体"/>
          <w:color w:val="auto"/>
          <w:highlight w:val="none"/>
        </w:rPr>
        <w:t>- 117 -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766B250">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_Toc8997 </w:instrText>
      </w:r>
      <w:r>
        <w:rPr>
          <w:rFonts w:hint="eastAsia" w:ascii="宋体" w:hAnsi="宋体" w:eastAsia="宋体" w:cs="宋体"/>
          <w:color w:val="auto"/>
          <w:szCs w:val="24"/>
          <w:highlight w:val="none"/>
        </w:rPr>
        <w:fldChar w:fldCharType="separate"/>
      </w:r>
      <w:r>
        <w:rPr>
          <w:rFonts w:hint="eastAsia" w:ascii="宋体" w:eastAsia="宋体" w:cs="宋体"/>
          <w:color w:val="auto"/>
          <w:szCs w:val="28"/>
          <w:highlight w:val="none"/>
          <w:lang w:val="en-US" w:eastAsia="zh-CN"/>
        </w:rPr>
        <w:t>一、资格审查程序</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_Toc8997 \h </w:instrText>
      </w:r>
      <w:r>
        <w:rPr>
          <w:rFonts w:hint="eastAsia" w:ascii="宋体" w:eastAsia="宋体" w:cs="宋体"/>
          <w:color w:val="auto"/>
          <w:highlight w:val="none"/>
        </w:rPr>
        <w:fldChar w:fldCharType="separate"/>
      </w:r>
      <w:r>
        <w:rPr>
          <w:rFonts w:hint="eastAsia" w:ascii="宋体" w:eastAsia="宋体" w:cs="宋体"/>
          <w:color w:val="auto"/>
          <w:highlight w:val="none"/>
        </w:rPr>
        <w:t>- 117 -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4D58353">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_Toc7857 </w:instrText>
      </w:r>
      <w:r>
        <w:rPr>
          <w:rFonts w:hint="eastAsia" w:ascii="宋体" w:hAnsi="宋体" w:eastAsia="宋体" w:cs="宋体"/>
          <w:color w:val="auto"/>
          <w:szCs w:val="24"/>
          <w:highlight w:val="none"/>
        </w:rPr>
        <w:fldChar w:fldCharType="separate"/>
      </w:r>
      <w:r>
        <w:rPr>
          <w:rFonts w:hint="eastAsia" w:ascii="宋体" w:eastAsia="宋体" w:cs="宋体"/>
          <w:color w:val="auto"/>
          <w:szCs w:val="28"/>
          <w:highlight w:val="none"/>
          <w:lang w:val="en-US" w:eastAsia="zh-CN"/>
        </w:rPr>
        <w:t>二、资格审查要求</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_Toc7857 \h </w:instrText>
      </w:r>
      <w:r>
        <w:rPr>
          <w:rFonts w:hint="eastAsia" w:ascii="宋体" w:eastAsia="宋体" w:cs="宋体"/>
          <w:color w:val="auto"/>
          <w:highlight w:val="none"/>
        </w:rPr>
        <w:fldChar w:fldCharType="separate"/>
      </w:r>
      <w:r>
        <w:rPr>
          <w:rFonts w:hint="eastAsia" w:ascii="宋体" w:eastAsia="宋体" w:cs="宋体"/>
          <w:color w:val="auto"/>
          <w:highlight w:val="none"/>
        </w:rPr>
        <w:t>- 117 -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10C2B30">
      <w:pPr>
        <w:pStyle w:val="21"/>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_Toc24166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第五章 评标方法及标准(综合评分法)</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_Toc24166 \h </w:instrText>
      </w:r>
      <w:r>
        <w:rPr>
          <w:rFonts w:hint="eastAsia" w:ascii="宋体" w:eastAsia="宋体" w:cs="宋体"/>
          <w:color w:val="auto"/>
          <w:highlight w:val="none"/>
        </w:rPr>
        <w:fldChar w:fldCharType="separate"/>
      </w:r>
      <w:r>
        <w:rPr>
          <w:rFonts w:hint="eastAsia" w:ascii="宋体" w:eastAsia="宋体" w:cs="宋体"/>
          <w:color w:val="auto"/>
          <w:highlight w:val="none"/>
        </w:rPr>
        <w:t>- 120 -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185E754">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_Toc25386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8"/>
          <w:highlight w:val="none"/>
          <w:lang w:val="zh-CN" w:eastAsia="zh-CN"/>
        </w:rPr>
        <w:t>一、评标</w:t>
      </w:r>
      <w:r>
        <w:rPr>
          <w:rFonts w:hint="eastAsia" w:ascii="宋体" w:hAnsi="宋体" w:eastAsia="宋体" w:cs="宋体"/>
          <w:color w:val="auto"/>
          <w:szCs w:val="28"/>
          <w:highlight w:val="none"/>
          <w:lang w:val="en-US" w:eastAsia="zh-CN"/>
        </w:rPr>
        <w:t>方</w:t>
      </w:r>
      <w:r>
        <w:rPr>
          <w:rFonts w:hint="eastAsia" w:ascii="宋体" w:hAnsi="宋体" w:eastAsia="宋体" w:cs="宋体"/>
          <w:color w:val="auto"/>
          <w:szCs w:val="28"/>
          <w:highlight w:val="none"/>
          <w:lang w:val="zh-CN" w:eastAsia="zh-CN"/>
        </w:rPr>
        <w:t>法</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_Toc25386 \h </w:instrText>
      </w:r>
      <w:r>
        <w:rPr>
          <w:rFonts w:hint="eastAsia" w:ascii="宋体" w:eastAsia="宋体" w:cs="宋体"/>
          <w:color w:val="auto"/>
          <w:highlight w:val="none"/>
        </w:rPr>
        <w:fldChar w:fldCharType="separate"/>
      </w:r>
      <w:r>
        <w:rPr>
          <w:rFonts w:hint="eastAsia" w:ascii="宋体" w:eastAsia="宋体" w:cs="宋体"/>
          <w:color w:val="auto"/>
          <w:highlight w:val="none"/>
        </w:rPr>
        <w:t>- 120 -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CD581AB">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_Toc14439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8"/>
          <w:highlight w:val="none"/>
          <w:lang w:val="en-US" w:eastAsia="zh-CN"/>
        </w:rPr>
        <w:t>二</w:t>
      </w:r>
      <w:r>
        <w:rPr>
          <w:rFonts w:hint="eastAsia" w:ascii="宋体" w:hAnsi="宋体" w:eastAsia="宋体" w:cs="宋体"/>
          <w:color w:val="auto"/>
          <w:szCs w:val="28"/>
          <w:highlight w:val="none"/>
          <w:lang w:val="zh-CN" w:eastAsia="zh-CN"/>
        </w:rPr>
        <w:t>、评标程序</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_Toc14439 \h </w:instrText>
      </w:r>
      <w:r>
        <w:rPr>
          <w:rFonts w:hint="eastAsia" w:ascii="宋体" w:eastAsia="宋体" w:cs="宋体"/>
          <w:color w:val="auto"/>
          <w:highlight w:val="none"/>
        </w:rPr>
        <w:fldChar w:fldCharType="separate"/>
      </w:r>
      <w:r>
        <w:rPr>
          <w:rFonts w:hint="eastAsia" w:ascii="宋体" w:eastAsia="宋体" w:cs="宋体"/>
          <w:color w:val="auto"/>
          <w:highlight w:val="none"/>
        </w:rPr>
        <w:t>- 120 -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1BF0D22">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_Toc16514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（一）符合性审查</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_Toc16514 \h </w:instrText>
      </w:r>
      <w:r>
        <w:rPr>
          <w:rFonts w:hint="eastAsia" w:ascii="宋体" w:eastAsia="宋体" w:cs="宋体"/>
          <w:color w:val="auto"/>
          <w:highlight w:val="none"/>
        </w:rPr>
        <w:fldChar w:fldCharType="separate"/>
      </w:r>
      <w:r>
        <w:rPr>
          <w:rFonts w:hint="eastAsia" w:ascii="宋体" w:eastAsia="宋体" w:cs="宋体"/>
          <w:color w:val="auto"/>
          <w:highlight w:val="none"/>
        </w:rPr>
        <w:t>- 120 -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D7CB2A4">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_Toc14698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二</w:t>
      </w:r>
      <w:r>
        <w:rPr>
          <w:rFonts w:hint="eastAsia" w:ascii="宋体" w:hAnsi="宋体" w:eastAsia="宋体" w:cs="宋体"/>
          <w:bCs/>
          <w:color w:val="auto"/>
          <w:kern w:val="2"/>
          <w:szCs w:val="24"/>
          <w:highlight w:val="none"/>
          <w:lang w:val="zh-CN" w:eastAsia="zh-CN" w:bidi="ar-SA"/>
        </w:rPr>
        <w:t>）投标文件澄清及修正</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_Toc14698 \h </w:instrText>
      </w:r>
      <w:r>
        <w:rPr>
          <w:rFonts w:hint="eastAsia" w:ascii="宋体" w:eastAsia="宋体" w:cs="宋体"/>
          <w:color w:val="auto"/>
          <w:highlight w:val="none"/>
        </w:rPr>
        <w:fldChar w:fldCharType="separate"/>
      </w:r>
      <w:r>
        <w:rPr>
          <w:rFonts w:hint="eastAsia" w:ascii="宋体" w:eastAsia="宋体" w:cs="宋体"/>
          <w:color w:val="auto"/>
          <w:highlight w:val="none"/>
        </w:rPr>
        <w:t>- 120 -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33F4B3C">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_Toc24825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三</w:t>
      </w:r>
      <w:r>
        <w:rPr>
          <w:rFonts w:hint="eastAsia" w:ascii="宋体" w:hAnsi="宋体" w:eastAsia="宋体" w:cs="宋体"/>
          <w:bCs/>
          <w:color w:val="auto"/>
          <w:kern w:val="2"/>
          <w:szCs w:val="24"/>
          <w:highlight w:val="none"/>
          <w:lang w:val="zh-CN" w:eastAsia="zh-CN" w:bidi="ar-SA"/>
        </w:rPr>
        <w:t>）比较与评价</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_Toc24825 \h </w:instrText>
      </w:r>
      <w:r>
        <w:rPr>
          <w:rFonts w:hint="eastAsia" w:ascii="宋体" w:eastAsia="宋体" w:cs="宋体"/>
          <w:color w:val="auto"/>
          <w:highlight w:val="none"/>
        </w:rPr>
        <w:fldChar w:fldCharType="separate"/>
      </w:r>
      <w:r>
        <w:rPr>
          <w:rFonts w:hint="eastAsia" w:ascii="宋体" w:eastAsia="宋体" w:cs="宋体"/>
          <w:color w:val="auto"/>
          <w:highlight w:val="none"/>
        </w:rPr>
        <w:t>- 121 -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7C55FC9">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_Toc8617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四</w:t>
      </w:r>
      <w:r>
        <w:rPr>
          <w:rFonts w:hint="eastAsia" w:ascii="宋体" w:hAnsi="宋体" w:eastAsia="宋体" w:cs="宋体"/>
          <w:bCs/>
          <w:color w:val="auto"/>
          <w:kern w:val="2"/>
          <w:szCs w:val="24"/>
          <w:highlight w:val="none"/>
          <w:lang w:val="zh-CN" w:eastAsia="zh-CN" w:bidi="ar-SA"/>
        </w:rPr>
        <w:t>）报价评审</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_Toc8617 \h </w:instrText>
      </w:r>
      <w:r>
        <w:rPr>
          <w:rFonts w:hint="eastAsia" w:ascii="宋体" w:eastAsia="宋体" w:cs="宋体"/>
          <w:color w:val="auto"/>
          <w:highlight w:val="none"/>
        </w:rPr>
        <w:fldChar w:fldCharType="separate"/>
      </w:r>
      <w:r>
        <w:rPr>
          <w:rFonts w:hint="eastAsia" w:ascii="宋体" w:eastAsia="宋体" w:cs="宋体"/>
          <w:color w:val="auto"/>
          <w:highlight w:val="none"/>
        </w:rPr>
        <w:t>- 121 -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823B259">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_Toc12014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五</w:t>
      </w:r>
      <w:r>
        <w:rPr>
          <w:rFonts w:hint="eastAsia" w:ascii="宋体" w:hAnsi="宋体" w:eastAsia="宋体" w:cs="宋体"/>
          <w:bCs/>
          <w:color w:val="auto"/>
          <w:kern w:val="2"/>
          <w:szCs w:val="24"/>
          <w:highlight w:val="none"/>
          <w:lang w:val="zh-CN" w:eastAsia="zh-CN" w:bidi="ar-SA"/>
        </w:rPr>
        <w:t>）评标得分及复核</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_Toc12014 \h </w:instrText>
      </w:r>
      <w:r>
        <w:rPr>
          <w:rFonts w:hint="eastAsia" w:ascii="宋体" w:eastAsia="宋体" w:cs="宋体"/>
          <w:color w:val="auto"/>
          <w:highlight w:val="none"/>
        </w:rPr>
        <w:fldChar w:fldCharType="separate"/>
      </w:r>
      <w:r>
        <w:rPr>
          <w:rFonts w:hint="eastAsia" w:ascii="宋体" w:eastAsia="宋体" w:cs="宋体"/>
          <w:color w:val="auto"/>
          <w:highlight w:val="none"/>
        </w:rPr>
        <w:t>- 124 -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277C113">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_Toc30929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六</w:t>
      </w:r>
      <w:r>
        <w:rPr>
          <w:rFonts w:hint="eastAsia" w:ascii="宋体" w:hAnsi="宋体" w:eastAsia="宋体" w:cs="宋体"/>
          <w:bCs/>
          <w:color w:val="auto"/>
          <w:kern w:val="2"/>
          <w:szCs w:val="24"/>
          <w:highlight w:val="none"/>
          <w:lang w:val="zh-CN" w:eastAsia="zh-CN" w:bidi="ar-SA"/>
        </w:rPr>
        <w:t>）排序与推荐</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_Toc30929 \h </w:instrText>
      </w:r>
      <w:r>
        <w:rPr>
          <w:rFonts w:hint="eastAsia" w:ascii="宋体" w:eastAsia="宋体" w:cs="宋体"/>
          <w:color w:val="auto"/>
          <w:highlight w:val="none"/>
        </w:rPr>
        <w:fldChar w:fldCharType="separate"/>
      </w:r>
      <w:r>
        <w:rPr>
          <w:rFonts w:hint="eastAsia" w:ascii="宋体" w:eastAsia="宋体" w:cs="宋体"/>
          <w:color w:val="auto"/>
          <w:highlight w:val="none"/>
        </w:rPr>
        <w:t>- 124 -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E4A425D">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_Toc26366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七</w:t>
      </w:r>
      <w:r>
        <w:rPr>
          <w:rFonts w:hint="eastAsia" w:ascii="宋体" w:hAnsi="宋体" w:eastAsia="宋体" w:cs="宋体"/>
          <w:bCs/>
          <w:color w:val="auto"/>
          <w:kern w:val="2"/>
          <w:szCs w:val="24"/>
          <w:highlight w:val="none"/>
          <w:lang w:val="zh-CN" w:eastAsia="zh-CN" w:bidi="ar-SA"/>
        </w:rPr>
        <w:t>）编写评标报告</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_Toc26366 \h </w:instrText>
      </w:r>
      <w:r>
        <w:rPr>
          <w:rFonts w:hint="eastAsia" w:ascii="宋体" w:eastAsia="宋体" w:cs="宋体"/>
          <w:color w:val="auto"/>
          <w:highlight w:val="none"/>
        </w:rPr>
        <w:fldChar w:fldCharType="separate"/>
      </w:r>
      <w:r>
        <w:rPr>
          <w:rFonts w:hint="eastAsia" w:ascii="宋体" w:eastAsia="宋体" w:cs="宋体"/>
          <w:color w:val="auto"/>
          <w:highlight w:val="none"/>
        </w:rPr>
        <w:t>- 125 -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88AEB54">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_Toc5672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八</w:t>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投标无效及</w:t>
      </w:r>
      <w:r>
        <w:rPr>
          <w:rFonts w:hint="eastAsia" w:ascii="宋体" w:hAnsi="宋体" w:eastAsia="宋体" w:cs="宋体"/>
          <w:bCs/>
          <w:color w:val="auto"/>
          <w:kern w:val="2"/>
          <w:szCs w:val="24"/>
          <w:highlight w:val="none"/>
          <w:lang w:val="zh-CN" w:eastAsia="zh-CN" w:bidi="ar-SA"/>
        </w:rPr>
        <w:t>应予废标的情形</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_Toc5672 \h </w:instrText>
      </w:r>
      <w:r>
        <w:rPr>
          <w:rFonts w:hint="eastAsia" w:ascii="宋体" w:eastAsia="宋体" w:cs="宋体"/>
          <w:color w:val="auto"/>
          <w:highlight w:val="none"/>
        </w:rPr>
        <w:fldChar w:fldCharType="separate"/>
      </w:r>
      <w:r>
        <w:rPr>
          <w:rFonts w:hint="eastAsia" w:ascii="宋体" w:eastAsia="宋体" w:cs="宋体"/>
          <w:color w:val="auto"/>
          <w:highlight w:val="none"/>
        </w:rPr>
        <w:t>- 125 -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529C15D">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_Toc17420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九</w:t>
      </w:r>
      <w:r>
        <w:rPr>
          <w:rFonts w:hint="eastAsia" w:ascii="宋体" w:hAnsi="宋体" w:eastAsia="宋体" w:cs="宋体"/>
          <w:bCs/>
          <w:color w:val="auto"/>
          <w:kern w:val="2"/>
          <w:szCs w:val="24"/>
          <w:highlight w:val="none"/>
          <w:lang w:val="zh-CN" w:eastAsia="zh-CN" w:bidi="ar-SA"/>
        </w:rPr>
        <w:t>）停止评标的情形</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_Toc17420 \h </w:instrText>
      </w:r>
      <w:r>
        <w:rPr>
          <w:rFonts w:hint="eastAsia" w:ascii="宋体" w:eastAsia="宋体" w:cs="宋体"/>
          <w:color w:val="auto"/>
          <w:highlight w:val="none"/>
        </w:rPr>
        <w:fldChar w:fldCharType="separate"/>
      </w:r>
      <w:r>
        <w:rPr>
          <w:rFonts w:hint="eastAsia" w:ascii="宋体" w:eastAsia="宋体" w:cs="宋体"/>
          <w:color w:val="auto"/>
          <w:highlight w:val="none"/>
        </w:rPr>
        <w:t>- 126 -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61DB37A">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_Toc20200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w:t>
      </w:r>
      <w:r>
        <w:rPr>
          <w:rFonts w:hint="eastAsia" w:ascii="宋体" w:hAnsi="宋体" w:eastAsia="宋体" w:cs="宋体"/>
          <w:bCs/>
          <w:color w:val="auto"/>
          <w:kern w:val="2"/>
          <w:szCs w:val="24"/>
          <w:highlight w:val="none"/>
          <w:lang w:val="en-US" w:eastAsia="zh-CN" w:bidi="ar-SA"/>
        </w:rPr>
        <w:t>十</w:t>
      </w:r>
      <w:r>
        <w:rPr>
          <w:rFonts w:hint="eastAsia" w:ascii="宋体" w:hAnsi="宋体" w:eastAsia="宋体" w:cs="宋体"/>
          <w:bCs/>
          <w:color w:val="auto"/>
          <w:kern w:val="2"/>
          <w:szCs w:val="24"/>
          <w:highlight w:val="none"/>
          <w:lang w:val="zh-CN" w:eastAsia="zh-CN" w:bidi="ar-SA"/>
        </w:rPr>
        <w:t>）重新开展采购</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_Toc20200 \h </w:instrText>
      </w:r>
      <w:r>
        <w:rPr>
          <w:rFonts w:hint="eastAsia" w:ascii="宋体" w:eastAsia="宋体" w:cs="宋体"/>
          <w:color w:val="auto"/>
          <w:highlight w:val="none"/>
        </w:rPr>
        <w:fldChar w:fldCharType="separate"/>
      </w:r>
      <w:r>
        <w:rPr>
          <w:rFonts w:hint="eastAsia" w:ascii="宋体" w:eastAsia="宋体" w:cs="宋体"/>
          <w:color w:val="auto"/>
          <w:highlight w:val="none"/>
        </w:rPr>
        <w:t>- 126 -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94245EC">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_Toc23718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8"/>
          <w:highlight w:val="none"/>
          <w:lang w:val="zh-CN" w:eastAsia="zh-CN"/>
        </w:rPr>
        <w:t>三、评标</w:t>
      </w:r>
      <w:r>
        <w:rPr>
          <w:rFonts w:hint="eastAsia" w:ascii="宋体" w:hAnsi="宋体" w:eastAsia="宋体" w:cs="宋体"/>
          <w:color w:val="auto"/>
          <w:szCs w:val="28"/>
          <w:highlight w:val="none"/>
          <w:lang w:val="en-US" w:eastAsia="zh-CN"/>
        </w:rPr>
        <w:t>其他要求</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_Toc23718 \h </w:instrText>
      </w:r>
      <w:r>
        <w:rPr>
          <w:rFonts w:hint="eastAsia" w:ascii="宋体" w:eastAsia="宋体" w:cs="宋体"/>
          <w:color w:val="auto"/>
          <w:highlight w:val="none"/>
        </w:rPr>
        <w:fldChar w:fldCharType="separate"/>
      </w:r>
      <w:r>
        <w:rPr>
          <w:rFonts w:hint="eastAsia" w:ascii="宋体" w:eastAsia="宋体" w:cs="宋体"/>
          <w:color w:val="auto"/>
          <w:highlight w:val="none"/>
        </w:rPr>
        <w:t>- 127 -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6B4113B">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_Toc9385 </w:instrText>
      </w:r>
      <w:r>
        <w:rPr>
          <w:rFonts w:hint="eastAsia" w:ascii="宋体" w:hAnsi="宋体" w:eastAsia="宋体" w:cs="宋体"/>
          <w:color w:val="auto"/>
          <w:szCs w:val="24"/>
          <w:highlight w:val="none"/>
        </w:rPr>
        <w:fldChar w:fldCharType="separate"/>
      </w:r>
      <w:r>
        <w:rPr>
          <w:rFonts w:hint="eastAsia" w:ascii="宋体" w:hAnsi="宋体" w:eastAsia="宋体" w:cs="宋体"/>
          <w:color w:val="auto"/>
          <w:szCs w:val="28"/>
          <w:highlight w:val="none"/>
          <w:lang w:val="en-US" w:eastAsia="zh-CN"/>
        </w:rPr>
        <w:t>四</w:t>
      </w:r>
      <w:r>
        <w:rPr>
          <w:rFonts w:hint="eastAsia" w:ascii="宋体" w:hAnsi="宋体" w:eastAsia="宋体" w:cs="宋体"/>
          <w:color w:val="auto"/>
          <w:szCs w:val="28"/>
          <w:highlight w:val="none"/>
          <w:lang w:val="zh-CN" w:eastAsia="zh-CN"/>
        </w:rPr>
        <w:t>、评标标准</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_Toc9385 \h </w:instrText>
      </w:r>
      <w:r>
        <w:rPr>
          <w:rFonts w:hint="eastAsia" w:ascii="宋体" w:eastAsia="宋体" w:cs="宋体"/>
          <w:color w:val="auto"/>
          <w:highlight w:val="none"/>
        </w:rPr>
        <w:fldChar w:fldCharType="separate"/>
      </w:r>
      <w:r>
        <w:rPr>
          <w:rFonts w:hint="eastAsia" w:ascii="宋体" w:eastAsia="宋体" w:cs="宋体"/>
          <w:color w:val="auto"/>
          <w:highlight w:val="none"/>
        </w:rPr>
        <w:t>- 127 -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926BFC1">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_Toc17498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（一）符合性审查表</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_Toc17498 \h </w:instrText>
      </w:r>
      <w:r>
        <w:rPr>
          <w:rFonts w:hint="eastAsia" w:ascii="宋体" w:eastAsia="宋体" w:cs="宋体"/>
          <w:color w:val="auto"/>
          <w:highlight w:val="none"/>
        </w:rPr>
        <w:fldChar w:fldCharType="separate"/>
      </w:r>
      <w:r>
        <w:rPr>
          <w:rFonts w:hint="eastAsia" w:ascii="宋体" w:eastAsia="宋体" w:cs="宋体"/>
          <w:color w:val="auto"/>
          <w:highlight w:val="none"/>
        </w:rPr>
        <w:t>- 127 -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5D1AF5E">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_Toc23492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8"/>
          <w:highlight w:val="none"/>
          <w:lang w:val="zh-CN" w:eastAsia="zh-CN" w:bidi="ar-SA"/>
        </w:rPr>
        <w:t>实质性响应一览表</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_Toc23492 \h </w:instrText>
      </w:r>
      <w:r>
        <w:rPr>
          <w:rFonts w:hint="eastAsia" w:ascii="宋体" w:eastAsia="宋体" w:cs="宋体"/>
          <w:color w:val="auto"/>
          <w:highlight w:val="none"/>
        </w:rPr>
        <w:fldChar w:fldCharType="separate"/>
      </w:r>
      <w:r>
        <w:rPr>
          <w:rFonts w:hint="eastAsia" w:ascii="宋体" w:eastAsia="宋体" w:cs="宋体"/>
          <w:color w:val="auto"/>
          <w:highlight w:val="none"/>
        </w:rPr>
        <w:t>- 128 -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65D94E1">
      <w:pPr>
        <w:pStyle w:val="1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_Toc22784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24"/>
          <w:highlight w:val="none"/>
          <w:lang w:val="zh-CN" w:eastAsia="zh-CN" w:bidi="ar-SA"/>
        </w:rPr>
        <w:t>（二）评分标准</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_Toc22784 \h </w:instrText>
      </w:r>
      <w:r>
        <w:rPr>
          <w:rFonts w:hint="eastAsia" w:ascii="宋体" w:eastAsia="宋体" w:cs="宋体"/>
          <w:color w:val="auto"/>
          <w:highlight w:val="none"/>
        </w:rPr>
        <w:fldChar w:fldCharType="separate"/>
      </w:r>
      <w:r>
        <w:rPr>
          <w:rFonts w:hint="eastAsia" w:ascii="宋体" w:eastAsia="宋体" w:cs="宋体"/>
          <w:color w:val="auto"/>
          <w:highlight w:val="none"/>
        </w:rPr>
        <w:t>- 129 -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97757D2">
      <w:pPr>
        <w:pStyle w:val="21"/>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_Toc25104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zh-CN" w:eastAsia="zh-CN" w:bidi="ar-SA"/>
        </w:rPr>
        <w:t>第六章 合同草案</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_Toc25104 \h </w:instrText>
      </w:r>
      <w:r>
        <w:rPr>
          <w:rFonts w:hint="eastAsia" w:ascii="宋体" w:eastAsia="宋体" w:cs="宋体"/>
          <w:color w:val="auto"/>
          <w:highlight w:val="none"/>
        </w:rPr>
        <w:fldChar w:fldCharType="separate"/>
      </w:r>
      <w:r>
        <w:rPr>
          <w:rFonts w:hint="eastAsia" w:ascii="宋体" w:eastAsia="宋体" w:cs="宋体"/>
          <w:color w:val="auto"/>
          <w:highlight w:val="none"/>
        </w:rPr>
        <w:t>- 135 -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00F9A80">
      <w:pPr>
        <w:pStyle w:val="21"/>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_Toc28792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44"/>
          <w:szCs w:val="36"/>
          <w:highlight w:val="none"/>
          <w:lang w:val="en-US" w:eastAsia="zh-CN" w:bidi="ar-SA"/>
        </w:rPr>
        <w:t>第七章 投标文件格式</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_Toc28792 \h </w:instrText>
      </w:r>
      <w:r>
        <w:rPr>
          <w:rFonts w:hint="eastAsia" w:ascii="宋体" w:eastAsia="宋体" w:cs="宋体"/>
          <w:color w:val="auto"/>
          <w:highlight w:val="none"/>
        </w:rPr>
        <w:fldChar w:fldCharType="separate"/>
      </w:r>
      <w:r>
        <w:rPr>
          <w:rFonts w:hint="eastAsia" w:ascii="宋体" w:eastAsia="宋体" w:cs="宋体"/>
          <w:color w:val="auto"/>
          <w:highlight w:val="none"/>
        </w:rPr>
        <w:t>- 154 -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B06371F">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_Toc26159 </w:instrText>
      </w:r>
      <w:r>
        <w:rPr>
          <w:rFonts w:hint="eastAsia" w:ascii="宋体" w:hAnsi="宋体" w:eastAsia="宋体" w:cs="宋体"/>
          <w:color w:val="auto"/>
          <w:szCs w:val="24"/>
          <w:highlight w:val="none"/>
        </w:rPr>
        <w:fldChar w:fldCharType="separate"/>
      </w:r>
      <w:r>
        <w:rPr>
          <w:rFonts w:hint="eastAsia" w:ascii="宋体" w:eastAsia="宋体" w:cs="宋体"/>
          <w:color w:val="auto"/>
          <w:szCs w:val="56"/>
          <w:highlight w:val="none"/>
        </w:rPr>
        <w:t>资格证明文件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_Toc26159 \h </w:instrText>
      </w:r>
      <w:r>
        <w:rPr>
          <w:rFonts w:hint="eastAsia" w:ascii="宋体" w:eastAsia="宋体" w:cs="宋体"/>
          <w:color w:val="auto"/>
          <w:highlight w:val="none"/>
        </w:rPr>
        <w:fldChar w:fldCharType="separate"/>
      </w:r>
      <w:r>
        <w:rPr>
          <w:rFonts w:hint="eastAsia" w:ascii="宋体" w:eastAsia="宋体" w:cs="宋体"/>
          <w:color w:val="auto"/>
          <w:highlight w:val="none"/>
        </w:rPr>
        <w:t>- 155 -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5C71CE7">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_Toc23388 </w:instrText>
      </w:r>
      <w:r>
        <w:rPr>
          <w:rFonts w:hint="eastAsia" w:ascii="宋体" w:hAnsi="宋体" w:eastAsia="宋体" w:cs="宋体"/>
          <w:color w:val="auto"/>
          <w:szCs w:val="24"/>
          <w:highlight w:val="none"/>
        </w:rPr>
        <w:fldChar w:fldCharType="separate"/>
      </w:r>
      <w:r>
        <w:rPr>
          <w:rFonts w:hint="eastAsia" w:ascii="宋体" w:eastAsia="宋体" w:cs="宋体"/>
          <w:color w:val="auto"/>
          <w:szCs w:val="28"/>
          <w:highlight w:val="none"/>
          <w:lang w:val="en-US" w:eastAsia="zh-CN"/>
        </w:rPr>
        <w:t>一、满足《中华人民共和国政府采购法》第二十二条规定</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_Toc23388 \h </w:instrText>
      </w:r>
      <w:r>
        <w:rPr>
          <w:rFonts w:hint="eastAsia" w:ascii="宋体" w:eastAsia="宋体" w:cs="宋体"/>
          <w:color w:val="auto"/>
          <w:highlight w:val="none"/>
        </w:rPr>
        <w:fldChar w:fldCharType="separate"/>
      </w:r>
      <w:r>
        <w:rPr>
          <w:rFonts w:hint="eastAsia" w:ascii="宋体" w:eastAsia="宋体" w:cs="宋体"/>
          <w:color w:val="auto"/>
          <w:highlight w:val="none"/>
        </w:rPr>
        <w:t>- 156 -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8AC4F40">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_Toc5577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28"/>
          <w:highlight w:val="none"/>
          <w:lang w:val="en-US" w:eastAsia="zh-CN" w:bidi="ar-SA"/>
        </w:rPr>
        <w:t>二</w:t>
      </w:r>
      <w:r>
        <w:rPr>
          <w:rFonts w:hint="eastAsia" w:ascii="宋体" w:hAnsi="宋体" w:eastAsia="宋体" w:cs="宋体"/>
          <w:bCs/>
          <w:color w:val="auto"/>
          <w:kern w:val="2"/>
          <w:szCs w:val="28"/>
          <w:highlight w:val="none"/>
          <w:lang w:val="en-US" w:eastAsia="zh-CN" w:bidi="ar-SA"/>
        </w:rPr>
        <w:t>、落实政府采购政策相关证明文件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_Toc5577 \h </w:instrText>
      </w:r>
      <w:r>
        <w:rPr>
          <w:rFonts w:hint="eastAsia" w:ascii="宋体" w:eastAsia="宋体" w:cs="宋体"/>
          <w:color w:val="auto"/>
          <w:highlight w:val="none"/>
        </w:rPr>
        <w:fldChar w:fldCharType="separate"/>
      </w:r>
      <w:r>
        <w:rPr>
          <w:rFonts w:hint="eastAsia" w:ascii="宋体" w:eastAsia="宋体" w:cs="宋体"/>
          <w:color w:val="auto"/>
          <w:highlight w:val="none"/>
        </w:rPr>
        <w:t>- 160 -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A347C99">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_Toc2780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28"/>
          <w:highlight w:val="none"/>
          <w:lang w:val="en-US" w:eastAsia="zh-CN" w:bidi="ar-SA"/>
        </w:rPr>
        <w:t>三、符合本项目特定资格要求相关证明文件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_Toc2780 \h </w:instrText>
      </w:r>
      <w:r>
        <w:rPr>
          <w:rFonts w:hint="eastAsia" w:ascii="宋体" w:eastAsia="宋体" w:cs="宋体"/>
          <w:color w:val="auto"/>
          <w:highlight w:val="none"/>
        </w:rPr>
        <w:fldChar w:fldCharType="separate"/>
      </w:r>
      <w:r>
        <w:rPr>
          <w:rFonts w:hint="eastAsia" w:ascii="宋体" w:eastAsia="宋体" w:cs="宋体"/>
          <w:color w:val="auto"/>
          <w:highlight w:val="none"/>
        </w:rPr>
        <w:t>- 161 -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C237E88">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_Toc947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28"/>
          <w:highlight w:val="none"/>
          <w:lang w:val="en-US" w:eastAsia="zh-CN" w:bidi="ar-SA"/>
        </w:rPr>
        <w:t>四、其他资格证明文件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_Toc947 \h </w:instrText>
      </w:r>
      <w:r>
        <w:rPr>
          <w:rFonts w:hint="eastAsia" w:ascii="宋体" w:eastAsia="宋体" w:cs="宋体"/>
          <w:color w:val="auto"/>
          <w:highlight w:val="none"/>
        </w:rPr>
        <w:fldChar w:fldCharType="separate"/>
      </w:r>
      <w:r>
        <w:rPr>
          <w:rFonts w:hint="eastAsia" w:ascii="宋体" w:eastAsia="宋体" w:cs="宋体"/>
          <w:color w:val="auto"/>
          <w:highlight w:val="none"/>
        </w:rPr>
        <w:t>- 162 -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3A8F3FF2">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_Toc32076 </w:instrText>
      </w:r>
      <w:r>
        <w:rPr>
          <w:rFonts w:hint="eastAsia" w:ascii="宋体" w:hAnsi="宋体" w:eastAsia="宋体" w:cs="宋体"/>
          <w:color w:val="auto"/>
          <w:szCs w:val="24"/>
          <w:highlight w:val="none"/>
        </w:rPr>
        <w:fldChar w:fldCharType="separate"/>
      </w:r>
      <w:r>
        <w:rPr>
          <w:rFonts w:hint="eastAsia" w:ascii="宋体" w:eastAsia="宋体" w:cs="宋体"/>
          <w:color w:val="auto"/>
          <w:szCs w:val="56"/>
          <w:highlight w:val="none"/>
          <w:lang w:val="en-US" w:eastAsia="zh-CN"/>
        </w:rPr>
        <w:t>报价文件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_Toc32076 \h </w:instrText>
      </w:r>
      <w:r>
        <w:rPr>
          <w:rFonts w:hint="eastAsia" w:ascii="宋体" w:eastAsia="宋体" w:cs="宋体"/>
          <w:color w:val="auto"/>
          <w:highlight w:val="none"/>
        </w:rPr>
        <w:fldChar w:fldCharType="separate"/>
      </w:r>
      <w:r>
        <w:rPr>
          <w:rFonts w:hint="eastAsia" w:ascii="宋体" w:eastAsia="宋体" w:cs="宋体"/>
          <w:color w:val="auto"/>
          <w:highlight w:val="none"/>
        </w:rPr>
        <w:t>- 171 -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D10877F">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_Toc20889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一、开标一览表</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_Toc20889 \h </w:instrText>
      </w:r>
      <w:r>
        <w:rPr>
          <w:rFonts w:hint="eastAsia" w:ascii="宋体" w:eastAsia="宋体" w:cs="宋体"/>
          <w:color w:val="auto"/>
          <w:highlight w:val="none"/>
        </w:rPr>
        <w:fldChar w:fldCharType="separate"/>
      </w:r>
      <w:r>
        <w:rPr>
          <w:rFonts w:hint="eastAsia" w:ascii="宋体" w:eastAsia="宋体" w:cs="宋体"/>
          <w:color w:val="auto"/>
          <w:highlight w:val="none"/>
        </w:rPr>
        <w:t>- 172 -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3BB6754">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_Toc3714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二、分项报价表</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_Toc3714 \h </w:instrText>
      </w:r>
      <w:r>
        <w:rPr>
          <w:rFonts w:hint="eastAsia" w:ascii="宋体" w:eastAsia="宋体" w:cs="宋体"/>
          <w:color w:val="auto"/>
          <w:highlight w:val="none"/>
        </w:rPr>
        <w:fldChar w:fldCharType="separate"/>
      </w:r>
      <w:r>
        <w:rPr>
          <w:rFonts w:hint="eastAsia" w:ascii="宋体" w:eastAsia="宋体" w:cs="宋体"/>
          <w:color w:val="auto"/>
          <w:highlight w:val="none"/>
        </w:rPr>
        <w:t>- 173 -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D77FAEC">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_Toc26020 </w:instrText>
      </w:r>
      <w:r>
        <w:rPr>
          <w:rFonts w:hint="eastAsia" w:ascii="宋体" w:hAnsi="宋体" w:eastAsia="宋体" w:cs="宋体"/>
          <w:color w:val="auto"/>
          <w:szCs w:val="24"/>
          <w:highlight w:val="none"/>
        </w:rPr>
        <w:fldChar w:fldCharType="separate"/>
      </w:r>
      <w:r>
        <w:rPr>
          <w:rFonts w:hint="eastAsia" w:ascii="宋体" w:eastAsia="宋体" w:cs="宋体"/>
          <w:color w:val="auto"/>
          <w:szCs w:val="56"/>
          <w:highlight w:val="none"/>
          <w:lang w:val="en-US" w:eastAsia="zh-CN"/>
        </w:rPr>
        <w:t>商务技术文件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_Toc26020 \h </w:instrText>
      </w:r>
      <w:r>
        <w:rPr>
          <w:rFonts w:hint="eastAsia" w:ascii="宋体" w:eastAsia="宋体" w:cs="宋体"/>
          <w:color w:val="auto"/>
          <w:highlight w:val="none"/>
        </w:rPr>
        <w:fldChar w:fldCharType="separate"/>
      </w:r>
      <w:r>
        <w:rPr>
          <w:rFonts w:hint="eastAsia" w:ascii="宋体" w:eastAsia="宋体" w:cs="宋体"/>
          <w:color w:val="auto"/>
          <w:highlight w:val="none"/>
        </w:rPr>
        <w:t>- 174 -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090B3405">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_Toc29296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32"/>
          <w:highlight w:val="none"/>
          <w:lang w:val="en-US" w:eastAsia="zh-CN" w:bidi="ar-SA"/>
        </w:rPr>
        <w:t>一、投标函</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_Toc29296 \h </w:instrText>
      </w:r>
      <w:r>
        <w:rPr>
          <w:rFonts w:hint="eastAsia" w:ascii="宋体" w:eastAsia="宋体" w:cs="宋体"/>
          <w:color w:val="auto"/>
          <w:highlight w:val="none"/>
        </w:rPr>
        <w:fldChar w:fldCharType="separate"/>
      </w:r>
      <w:r>
        <w:rPr>
          <w:rFonts w:hint="eastAsia" w:ascii="宋体" w:eastAsia="宋体" w:cs="宋体"/>
          <w:color w:val="auto"/>
          <w:highlight w:val="none"/>
        </w:rPr>
        <w:t>- 175 -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55DA0D4D">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_Toc3746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二</w:t>
      </w:r>
      <w:r>
        <w:rPr>
          <w:rFonts w:hint="eastAsia" w:ascii="宋体" w:hAnsi="宋体" w:eastAsia="宋体" w:cs="宋体"/>
          <w:bCs/>
          <w:color w:val="auto"/>
          <w:kern w:val="2"/>
          <w:szCs w:val="32"/>
          <w:highlight w:val="none"/>
          <w:lang w:val="en-US" w:eastAsia="zh-CN" w:bidi="ar-SA"/>
        </w:rPr>
        <w:t>、法定代表人（单位负责人）身份证明</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_Toc3746 \h </w:instrText>
      </w:r>
      <w:r>
        <w:rPr>
          <w:rFonts w:hint="eastAsia" w:ascii="宋体" w:eastAsia="宋体" w:cs="宋体"/>
          <w:color w:val="auto"/>
          <w:highlight w:val="none"/>
        </w:rPr>
        <w:fldChar w:fldCharType="separate"/>
      </w:r>
      <w:r>
        <w:rPr>
          <w:rFonts w:hint="eastAsia" w:ascii="宋体" w:eastAsia="宋体" w:cs="宋体"/>
          <w:color w:val="auto"/>
          <w:highlight w:val="none"/>
        </w:rPr>
        <w:t>- 176 -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EA94260">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_Toc6271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三</w:t>
      </w:r>
      <w:r>
        <w:rPr>
          <w:rFonts w:hint="eastAsia" w:ascii="宋体" w:hAnsi="宋体" w:eastAsia="宋体" w:cs="宋体"/>
          <w:bCs/>
          <w:color w:val="auto"/>
          <w:kern w:val="2"/>
          <w:szCs w:val="32"/>
          <w:highlight w:val="none"/>
          <w:lang w:val="en-US" w:eastAsia="zh-CN" w:bidi="ar-SA"/>
        </w:rPr>
        <w:t>、授权委托书</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_Toc6271 \h </w:instrText>
      </w:r>
      <w:r>
        <w:rPr>
          <w:rFonts w:hint="eastAsia" w:ascii="宋体" w:eastAsia="宋体" w:cs="宋体"/>
          <w:color w:val="auto"/>
          <w:highlight w:val="none"/>
        </w:rPr>
        <w:fldChar w:fldCharType="separate"/>
      </w:r>
      <w:r>
        <w:rPr>
          <w:rFonts w:hint="eastAsia" w:ascii="宋体" w:eastAsia="宋体" w:cs="宋体"/>
          <w:color w:val="auto"/>
          <w:highlight w:val="none"/>
        </w:rPr>
        <w:t>- 177 -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22BB6D7">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_Toc11514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四</w:t>
      </w:r>
      <w:r>
        <w:rPr>
          <w:rFonts w:hint="eastAsia" w:ascii="宋体" w:hAnsi="宋体" w:eastAsia="宋体" w:cs="宋体"/>
          <w:bCs/>
          <w:color w:val="auto"/>
          <w:kern w:val="2"/>
          <w:szCs w:val="32"/>
          <w:highlight w:val="none"/>
          <w:lang w:val="en-US" w:eastAsia="zh-CN" w:bidi="ar-SA"/>
        </w:rPr>
        <w:t>、</w:t>
      </w:r>
      <w:r>
        <w:rPr>
          <w:rFonts w:hint="eastAsia" w:ascii="宋体" w:hAnsi="宋体" w:eastAsia="宋体" w:cs="宋体"/>
          <w:bCs/>
          <w:color w:val="auto"/>
          <w:kern w:val="2"/>
          <w:szCs w:val="32"/>
          <w:highlight w:val="none"/>
          <w:lang w:val="zh-CN" w:eastAsia="zh-CN" w:bidi="ar-SA"/>
        </w:rPr>
        <w:t>政府采购</w:t>
      </w:r>
      <w:r>
        <w:rPr>
          <w:rFonts w:hint="eastAsia" w:ascii="宋体" w:eastAsia="宋体" w:cs="宋体"/>
          <w:bCs/>
          <w:color w:val="auto"/>
          <w:kern w:val="2"/>
          <w:szCs w:val="32"/>
          <w:highlight w:val="none"/>
          <w:lang w:val="en-US" w:eastAsia="zh-CN" w:bidi="ar-SA"/>
        </w:rPr>
        <w:t>投标人</w:t>
      </w:r>
      <w:r>
        <w:rPr>
          <w:rFonts w:hint="eastAsia" w:ascii="宋体" w:hAnsi="宋体" w:eastAsia="宋体" w:cs="宋体"/>
          <w:bCs/>
          <w:color w:val="auto"/>
          <w:kern w:val="2"/>
          <w:szCs w:val="32"/>
          <w:highlight w:val="none"/>
          <w:lang w:val="zh-CN" w:eastAsia="zh-CN" w:bidi="ar-SA"/>
        </w:rPr>
        <w:t>廉洁自律承诺书</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_Toc11514 \h </w:instrText>
      </w:r>
      <w:r>
        <w:rPr>
          <w:rFonts w:hint="eastAsia" w:ascii="宋体" w:eastAsia="宋体" w:cs="宋体"/>
          <w:color w:val="auto"/>
          <w:highlight w:val="none"/>
        </w:rPr>
        <w:fldChar w:fldCharType="separate"/>
      </w:r>
      <w:r>
        <w:rPr>
          <w:rFonts w:hint="eastAsia" w:ascii="宋体" w:eastAsia="宋体" w:cs="宋体"/>
          <w:color w:val="auto"/>
          <w:highlight w:val="none"/>
        </w:rPr>
        <w:t>- 178 -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19CDE7B1">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_Toc12547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五、不参与围标串标承诺书</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_Toc12547 \h </w:instrText>
      </w:r>
      <w:r>
        <w:rPr>
          <w:rFonts w:hint="eastAsia" w:ascii="宋体" w:eastAsia="宋体" w:cs="宋体"/>
          <w:color w:val="auto"/>
          <w:highlight w:val="none"/>
        </w:rPr>
        <w:fldChar w:fldCharType="separate"/>
      </w:r>
      <w:r>
        <w:rPr>
          <w:rFonts w:hint="eastAsia" w:ascii="宋体" w:eastAsia="宋体" w:cs="宋体"/>
          <w:color w:val="auto"/>
          <w:highlight w:val="none"/>
        </w:rPr>
        <w:t>- 179 -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7F768A0">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_Toc6507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六</w:t>
      </w:r>
      <w:r>
        <w:rPr>
          <w:rFonts w:hint="eastAsia" w:ascii="宋体" w:hAnsi="宋体" w:eastAsia="宋体" w:cs="宋体"/>
          <w:bCs/>
          <w:color w:val="auto"/>
          <w:kern w:val="2"/>
          <w:szCs w:val="32"/>
          <w:highlight w:val="none"/>
          <w:lang w:val="en-US" w:eastAsia="zh-CN" w:bidi="ar-SA"/>
        </w:rPr>
        <w:t>、商务响应偏离表</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_Toc6507 \h </w:instrText>
      </w:r>
      <w:r>
        <w:rPr>
          <w:rFonts w:hint="eastAsia" w:ascii="宋体" w:eastAsia="宋体" w:cs="宋体"/>
          <w:color w:val="auto"/>
          <w:highlight w:val="none"/>
        </w:rPr>
        <w:fldChar w:fldCharType="separate"/>
      </w:r>
      <w:r>
        <w:rPr>
          <w:rFonts w:hint="eastAsia" w:ascii="宋体" w:eastAsia="宋体" w:cs="宋体"/>
          <w:color w:val="auto"/>
          <w:highlight w:val="none"/>
        </w:rPr>
        <w:t>- 180 -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899CED5">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_Toc6105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七</w:t>
      </w:r>
      <w:r>
        <w:rPr>
          <w:rFonts w:hint="eastAsia" w:ascii="宋体" w:hAnsi="宋体" w:eastAsia="宋体" w:cs="宋体"/>
          <w:bCs/>
          <w:color w:val="auto"/>
          <w:kern w:val="2"/>
          <w:szCs w:val="32"/>
          <w:highlight w:val="none"/>
          <w:lang w:val="en-US" w:eastAsia="zh-CN" w:bidi="ar-SA"/>
        </w:rPr>
        <w:t>、业绩证明文件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_Toc6105 \h </w:instrText>
      </w:r>
      <w:r>
        <w:rPr>
          <w:rFonts w:hint="eastAsia" w:ascii="宋体" w:eastAsia="宋体" w:cs="宋体"/>
          <w:color w:val="auto"/>
          <w:highlight w:val="none"/>
        </w:rPr>
        <w:fldChar w:fldCharType="separate"/>
      </w:r>
      <w:r>
        <w:rPr>
          <w:rFonts w:hint="eastAsia" w:ascii="宋体" w:eastAsia="宋体" w:cs="宋体"/>
          <w:color w:val="auto"/>
          <w:highlight w:val="none"/>
        </w:rPr>
        <w:t>- 181 -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4A90CAA4">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_Toc30221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八</w:t>
      </w:r>
      <w:r>
        <w:rPr>
          <w:rFonts w:hint="eastAsia" w:ascii="宋体" w:hAnsi="宋体" w:eastAsia="宋体" w:cs="宋体"/>
          <w:bCs/>
          <w:color w:val="auto"/>
          <w:kern w:val="2"/>
          <w:szCs w:val="32"/>
          <w:highlight w:val="none"/>
          <w:lang w:val="en-US" w:eastAsia="zh-CN" w:bidi="ar-SA"/>
        </w:rPr>
        <w:t>、拟派项目团队</w:t>
      </w:r>
      <w:r>
        <w:rPr>
          <w:rFonts w:hint="eastAsia" w:ascii="宋体" w:eastAsia="宋体" w:cs="宋体"/>
          <w:bCs/>
          <w:color w:val="auto"/>
          <w:kern w:val="2"/>
          <w:szCs w:val="32"/>
          <w:highlight w:val="none"/>
          <w:lang w:val="en-US" w:eastAsia="zh-CN" w:bidi="ar-SA"/>
        </w:rPr>
        <w:t>主要人员</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_Toc30221 \h </w:instrText>
      </w:r>
      <w:r>
        <w:rPr>
          <w:rFonts w:hint="eastAsia" w:ascii="宋体" w:eastAsia="宋体" w:cs="宋体"/>
          <w:color w:val="auto"/>
          <w:highlight w:val="none"/>
        </w:rPr>
        <w:fldChar w:fldCharType="separate"/>
      </w:r>
      <w:r>
        <w:rPr>
          <w:rFonts w:hint="eastAsia" w:ascii="宋体" w:eastAsia="宋体" w:cs="宋体"/>
          <w:color w:val="auto"/>
          <w:highlight w:val="none"/>
        </w:rPr>
        <w:t>- 182 -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BFFCD69">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_Toc3490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九</w:t>
      </w:r>
      <w:r>
        <w:rPr>
          <w:rFonts w:hint="eastAsia" w:ascii="宋体" w:hAnsi="宋体" w:eastAsia="宋体" w:cs="宋体"/>
          <w:bCs/>
          <w:color w:val="auto"/>
          <w:kern w:val="2"/>
          <w:szCs w:val="32"/>
          <w:highlight w:val="none"/>
          <w:lang w:val="en-US" w:eastAsia="zh-CN" w:bidi="ar-SA"/>
        </w:rPr>
        <w:t>、拟</w:t>
      </w:r>
      <w:r>
        <w:rPr>
          <w:rFonts w:hint="eastAsia" w:ascii="宋体" w:eastAsia="宋体" w:cs="宋体"/>
          <w:bCs/>
          <w:color w:val="auto"/>
          <w:kern w:val="2"/>
          <w:szCs w:val="32"/>
          <w:highlight w:val="none"/>
          <w:lang w:val="en-US" w:eastAsia="zh-CN" w:bidi="ar-SA"/>
        </w:rPr>
        <w:t>投入主要设备表</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_Toc3490 \h </w:instrText>
      </w:r>
      <w:r>
        <w:rPr>
          <w:rFonts w:hint="eastAsia" w:ascii="宋体" w:eastAsia="宋体" w:cs="宋体"/>
          <w:color w:val="auto"/>
          <w:highlight w:val="none"/>
        </w:rPr>
        <w:fldChar w:fldCharType="separate"/>
      </w:r>
      <w:r>
        <w:rPr>
          <w:rFonts w:hint="eastAsia" w:ascii="宋体" w:eastAsia="宋体" w:cs="宋体"/>
          <w:color w:val="auto"/>
          <w:highlight w:val="none"/>
        </w:rPr>
        <w:t>- 183 -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AE8BAA1">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_Toc13380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十</w:t>
      </w:r>
      <w:r>
        <w:rPr>
          <w:rFonts w:hint="eastAsia" w:ascii="宋体" w:hAnsi="宋体" w:eastAsia="宋体" w:cs="宋体"/>
          <w:bCs/>
          <w:color w:val="auto"/>
          <w:kern w:val="2"/>
          <w:szCs w:val="32"/>
          <w:highlight w:val="none"/>
          <w:lang w:val="en-US" w:eastAsia="zh-CN" w:bidi="ar-SA"/>
        </w:rPr>
        <w:t>、技术响应偏离表</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_Toc13380 \h </w:instrText>
      </w:r>
      <w:r>
        <w:rPr>
          <w:rFonts w:hint="eastAsia" w:ascii="宋体" w:eastAsia="宋体" w:cs="宋体"/>
          <w:color w:val="auto"/>
          <w:highlight w:val="none"/>
        </w:rPr>
        <w:fldChar w:fldCharType="separate"/>
      </w:r>
      <w:r>
        <w:rPr>
          <w:rFonts w:hint="eastAsia" w:ascii="宋体" w:eastAsia="宋体" w:cs="宋体"/>
          <w:color w:val="auto"/>
          <w:highlight w:val="none"/>
        </w:rPr>
        <w:t>- 184 -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6F35E607">
      <w:pPr>
        <w:pStyle w:val="26"/>
        <w:tabs>
          <w:tab w:val="right" w:leader="dot" w:pos="8306"/>
        </w:tabs>
        <w:spacing w:line="360" w:lineRule="exact"/>
        <w:rPr>
          <w:rFonts w:hint="eastAsia" w:ascii="宋体" w:eastAsia="宋体" w:cs="宋体"/>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_Toc11375 </w:instrText>
      </w:r>
      <w:r>
        <w:rPr>
          <w:rFonts w:hint="eastAsia" w:ascii="宋体" w:hAnsi="宋体" w:eastAsia="宋体" w:cs="宋体"/>
          <w:color w:val="auto"/>
          <w:szCs w:val="24"/>
          <w:highlight w:val="none"/>
        </w:rPr>
        <w:fldChar w:fldCharType="separate"/>
      </w:r>
      <w:r>
        <w:rPr>
          <w:rFonts w:hint="eastAsia" w:ascii="宋体" w:eastAsia="宋体" w:cs="宋体"/>
          <w:bCs/>
          <w:color w:val="auto"/>
          <w:kern w:val="2"/>
          <w:szCs w:val="32"/>
          <w:highlight w:val="none"/>
          <w:lang w:val="en-US" w:eastAsia="zh-CN" w:bidi="ar-SA"/>
        </w:rPr>
        <w:t>十一</w:t>
      </w:r>
      <w:r>
        <w:rPr>
          <w:rFonts w:hint="eastAsia" w:ascii="宋体" w:hAnsi="宋体" w:eastAsia="宋体" w:cs="宋体"/>
          <w:bCs/>
          <w:color w:val="auto"/>
          <w:kern w:val="2"/>
          <w:szCs w:val="32"/>
          <w:highlight w:val="none"/>
          <w:lang w:val="en-US" w:eastAsia="zh-CN" w:bidi="ar-SA"/>
        </w:rPr>
        <w:t>、技术方案</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_Toc11375 \h </w:instrText>
      </w:r>
      <w:r>
        <w:rPr>
          <w:rFonts w:hint="eastAsia" w:ascii="宋体" w:eastAsia="宋体" w:cs="宋体"/>
          <w:color w:val="auto"/>
          <w:highlight w:val="none"/>
        </w:rPr>
        <w:fldChar w:fldCharType="separate"/>
      </w:r>
      <w:r>
        <w:rPr>
          <w:rFonts w:hint="eastAsia" w:ascii="宋体" w:eastAsia="宋体" w:cs="宋体"/>
          <w:color w:val="auto"/>
          <w:highlight w:val="none"/>
        </w:rPr>
        <w:t>- 185 -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71F12353">
      <w:pPr>
        <w:pStyle w:val="26"/>
        <w:tabs>
          <w:tab w:val="right" w:leader="dot" w:pos="8306"/>
        </w:tabs>
        <w:spacing w:line="360" w:lineRule="exact"/>
        <w:rPr>
          <w:color w:val="auto"/>
          <w:highlight w:val="none"/>
        </w:rPr>
      </w:pPr>
      <w:r>
        <w:rPr>
          <w:rFonts w:hint="eastAsia" w:ascii="宋体" w:hAnsi="宋体" w:eastAsia="宋体" w:cs="宋体"/>
          <w:color w:val="auto"/>
          <w:szCs w:val="24"/>
          <w:highlight w:val="none"/>
        </w:rPr>
        <w:fldChar w:fldCharType="begin"/>
      </w:r>
      <w:r>
        <w:rPr>
          <w:rFonts w:hint="eastAsia" w:ascii="宋体" w:hAnsi="宋体" w:eastAsia="宋体" w:cs="宋体"/>
          <w:color w:val="auto"/>
          <w:szCs w:val="24"/>
          <w:highlight w:val="none"/>
        </w:rPr>
        <w:instrText xml:space="preserve"> HYPERLINK \l _Toc8999 </w:instrText>
      </w:r>
      <w:r>
        <w:rPr>
          <w:rFonts w:hint="eastAsia" w:ascii="宋体" w:hAnsi="宋体" w:eastAsia="宋体" w:cs="宋体"/>
          <w:color w:val="auto"/>
          <w:szCs w:val="24"/>
          <w:highlight w:val="none"/>
        </w:rPr>
        <w:fldChar w:fldCharType="separate"/>
      </w:r>
      <w:r>
        <w:rPr>
          <w:rFonts w:hint="eastAsia" w:ascii="宋体" w:hAnsi="宋体" w:eastAsia="宋体" w:cs="宋体"/>
          <w:bCs/>
          <w:color w:val="auto"/>
          <w:kern w:val="2"/>
          <w:szCs w:val="32"/>
          <w:highlight w:val="none"/>
          <w:lang w:val="en-US" w:eastAsia="zh-CN" w:bidi="ar-SA"/>
        </w:rPr>
        <w:t>十</w:t>
      </w:r>
      <w:r>
        <w:rPr>
          <w:rFonts w:hint="eastAsia" w:ascii="宋体" w:eastAsia="宋体" w:cs="宋体"/>
          <w:bCs/>
          <w:color w:val="auto"/>
          <w:kern w:val="2"/>
          <w:szCs w:val="32"/>
          <w:highlight w:val="none"/>
          <w:lang w:val="en-US" w:eastAsia="zh-CN" w:bidi="ar-SA"/>
        </w:rPr>
        <w:t>二</w:t>
      </w:r>
      <w:r>
        <w:rPr>
          <w:rFonts w:hint="eastAsia" w:ascii="宋体" w:hAnsi="宋体" w:eastAsia="宋体" w:cs="宋体"/>
          <w:bCs/>
          <w:color w:val="auto"/>
          <w:kern w:val="2"/>
          <w:szCs w:val="32"/>
          <w:highlight w:val="none"/>
          <w:lang w:val="en-US" w:eastAsia="zh-CN" w:bidi="ar-SA"/>
        </w:rPr>
        <w:t>、其他文件</w:t>
      </w:r>
      <w:r>
        <w:rPr>
          <w:rFonts w:hint="eastAsia" w:ascii="宋体" w:eastAsia="宋体" w:cs="宋体"/>
          <w:color w:val="auto"/>
          <w:highlight w:val="none"/>
        </w:rPr>
        <w:tab/>
      </w:r>
      <w:r>
        <w:rPr>
          <w:rFonts w:hint="eastAsia" w:ascii="宋体" w:eastAsia="宋体" w:cs="宋体"/>
          <w:color w:val="auto"/>
          <w:highlight w:val="none"/>
        </w:rPr>
        <w:fldChar w:fldCharType="begin"/>
      </w:r>
      <w:r>
        <w:rPr>
          <w:rFonts w:hint="eastAsia" w:ascii="宋体" w:eastAsia="宋体" w:cs="宋体"/>
          <w:color w:val="auto"/>
          <w:highlight w:val="none"/>
        </w:rPr>
        <w:instrText xml:space="preserve"> PAGEREF _Toc8999 \h </w:instrText>
      </w:r>
      <w:r>
        <w:rPr>
          <w:rFonts w:hint="eastAsia" w:ascii="宋体" w:eastAsia="宋体" w:cs="宋体"/>
          <w:color w:val="auto"/>
          <w:highlight w:val="none"/>
        </w:rPr>
        <w:fldChar w:fldCharType="separate"/>
      </w:r>
      <w:r>
        <w:rPr>
          <w:rFonts w:hint="eastAsia" w:ascii="宋体" w:eastAsia="宋体" w:cs="宋体"/>
          <w:color w:val="auto"/>
          <w:highlight w:val="none"/>
        </w:rPr>
        <w:t>- 186 -</w:t>
      </w:r>
      <w:r>
        <w:rPr>
          <w:rFonts w:hint="eastAsia" w:ascii="宋体" w:eastAsia="宋体" w:cs="宋体"/>
          <w:color w:val="auto"/>
          <w:highlight w:val="none"/>
        </w:rPr>
        <w:fldChar w:fldCharType="end"/>
      </w:r>
      <w:r>
        <w:rPr>
          <w:rFonts w:hint="eastAsia" w:ascii="宋体" w:hAnsi="宋体" w:eastAsia="宋体" w:cs="宋体"/>
          <w:color w:val="auto"/>
          <w:szCs w:val="24"/>
          <w:highlight w:val="none"/>
        </w:rPr>
        <w:fldChar w:fldCharType="end"/>
      </w:r>
    </w:p>
    <w:p w14:paraId="23C29EAF">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Cs w:val="24"/>
          <w:highlight w:val="none"/>
        </w:rPr>
      </w:pPr>
      <w:r>
        <w:rPr>
          <w:rFonts w:hint="eastAsia" w:ascii="宋体" w:hAnsi="宋体" w:eastAsia="宋体" w:cs="宋体"/>
          <w:color w:val="auto"/>
          <w:szCs w:val="24"/>
          <w:highlight w:val="none"/>
        </w:rPr>
        <w:fldChar w:fldCharType="end"/>
      </w:r>
      <w:bookmarkStart w:id="1" w:name="_Toc155185859"/>
      <w:bookmarkStart w:id="2" w:name="_Hlk130458318"/>
    </w:p>
    <w:p w14:paraId="52BD1EB5">
      <w:pPr>
        <w:rPr>
          <w:rFonts w:hint="eastAsia" w:ascii="宋体" w:hAnsi="宋体" w:eastAsia="宋体" w:cs="宋体"/>
          <w:color w:val="auto"/>
          <w:szCs w:val="24"/>
          <w:highlight w:val="none"/>
        </w:rPr>
      </w:pPr>
      <w:r>
        <w:rPr>
          <w:rFonts w:hint="eastAsia" w:ascii="宋体" w:hAnsi="宋体" w:eastAsia="宋体" w:cs="宋体"/>
          <w:color w:val="auto"/>
          <w:szCs w:val="24"/>
          <w:highlight w:val="none"/>
        </w:rPr>
        <w:br w:type="page"/>
      </w:r>
    </w:p>
    <w:p w14:paraId="29DD1FCB">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color w:val="auto"/>
          <w:sz w:val="36"/>
          <w:szCs w:val="36"/>
          <w:highlight w:val="none"/>
          <w:lang w:val="en-US" w:eastAsia="zh-CN"/>
        </w:rPr>
      </w:pPr>
      <w:bookmarkStart w:id="3" w:name="_Toc14178"/>
      <w:r>
        <w:rPr>
          <w:rFonts w:hint="eastAsia" w:ascii="宋体" w:hAnsi="宋体" w:eastAsia="宋体" w:cs="宋体"/>
          <w:b/>
          <w:bCs/>
          <w:color w:val="auto"/>
          <w:kern w:val="44"/>
          <w:sz w:val="36"/>
          <w:szCs w:val="36"/>
          <w:highlight w:val="none"/>
          <w:lang w:val="en-US" w:eastAsia="zh-CN" w:bidi="ar-SA"/>
        </w:rPr>
        <w:t xml:space="preserve">第一章 </w:t>
      </w:r>
      <w:bookmarkEnd w:id="1"/>
      <w:r>
        <w:rPr>
          <w:rFonts w:hint="eastAsia" w:ascii="宋体" w:hAnsi="宋体" w:eastAsia="宋体" w:cs="宋体"/>
          <w:color w:val="auto"/>
          <w:sz w:val="36"/>
          <w:szCs w:val="36"/>
          <w:highlight w:val="none"/>
          <w:lang w:val="en-US" w:eastAsia="zh-CN"/>
        </w:rPr>
        <w:t>招标公告</w:t>
      </w:r>
      <w:bookmarkEnd w:id="3"/>
    </w:p>
    <w:tbl>
      <w:tblPr>
        <w:tblStyle w:val="3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612E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3D0F96B">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olor w:val="auto"/>
                <w:sz w:val="24"/>
                <w:szCs w:val="24"/>
                <w:highlight w:val="none"/>
                <w:lang w:val="en-US" w:eastAsia="zh-CN"/>
              </w:rPr>
            </w:pPr>
            <w:bookmarkStart w:id="4" w:name="_Toc26706"/>
            <w:bookmarkStart w:id="5" w:name="_Toc25035"/>
            <w:bookmarkStart w:id="6" w:name="_Toc14322"/>
            <w:bookmarkStart w:id="7" w:name="_Toc32473"/>
            <w:bookmarkStart w:id="8" w:name="_Toc28827"/>
            <w:bookmarkStart w:id="9" w:name="_Toc17487"/>
            <w:bookmarkStart w:id="10" w:name="_Toc576"/>
            <w:bookmarkStart w:id="11" w:name="_Toc109900248"/>
            <w:bookmarkStart w:id="12" w:name="_Toc44583628"/>
            <w:bookmarkStart w:id="13" w:name="_Toc28359089"/>
            <w:bookmarkStart w:id="14" w:name="_Toc109899410"/>
            <w:bookmarkStart w:id="15" w:name="_Toc28359012"/>
            <w:bookmarkStart w:id="16" w:name="_Toc155185860"/>
            <w:bookmarkStart w:id="17" w:name="_Toc109899829"/>
            <w:bookmarkStart w:id="18" w:name="_Toc140132745"/>
            <w:bookmarkStart w:id="19" w:name="_Toc35393629"/>
            <w:bookmarkStart w:id="20" w:name="_Toc35393798"/>
            <w:r>
              <w:rPr>
                <w:rFonts w:hint="eastAsia"/>
                <w:color w:val="auto"/>
                <w:sz w:val="24"/>
                <w:szCs w:val="24"/>
                <w:highlight w:val="none"/>
                <w:lang w:val="en-US" w:eastAsia="zh-CN"/>
              </w:rPr>
              <w:t>项目概况：</w:t>
            </w:r>
            <w:bookmarkEnd w:id="4"/>
            <w:bookmarkEnd w:id="5"/>
            <w:bookmarkEnd w:id="6"/>
            <w:bookmarkEnd w:id="7"/>
            <w:bookmarkEnd w:id="8"/>
            <w:bookmarkEnd w:id="9"/>
            <w:bookmarkEnd w:id="10"/>
          </w:p>
          <w:p w14:paraId="42E3A809">
            <w:pPr>
              <w:spacing w:line="360" w:lineRule="auto"/>
              <w:ind w:firstLine="480" w:firstLineChars="200"/>
              <w:rPr>
                <w:rFonts w:hint="default"/>
                <w:color w:val="auto"/>
                <w:highlight w:val="none"/>
                <w:lang w:val="en-US" w:eastAsia="zh-CN"/>
              </w:rPr>
            </w:pPr>
            <w:r>
              <w:rPr>
                <w:rFonts w:hint="eastAsia" w:cstheme="minorBidi"/>
                <w:iCs/>
                <w:color w:val="auto"/>
                <w:kern w:val="2"/>
                <w:sz w:val="24"/>
                <w:szCs w:val="24"/>
                <w:highlight w:val="none"/>
                <w:u w:val="single"/>
                <w:shd w:val="clear" w:color="auto" w:fill="FFFFFF" w:themeFill="background1"/>
                <w:lang w:val="hr-HR" w:eastAsia="zh-CN" w:bidi="ar-SA"/>
              </w:rPr>
              <w:t>哈密市伊州区吐哈石油基地“市政、园林 、环卫一体化”（2026-2028年）第三方采购项目</w:t>
            </w:r>
            <w:r>
              <w:rPr>
                <w:rFonts w:hint="eastAsia" w:ascii="宋体" w:hAnsi="宋体" w:eastAsia="宋体" w:cstheme="minorBidi"/>
                <w:iCs/>
                <w:color w:val="auto"/>
                <w:kern w:val="2"/>
                <w:sz w:val="24"/>
                <w:szCs w:val="24"/>
                <w:highlight w:val="none"/>
                <w:shd w:val="clear" w:color="auto" w:fill="FFFFFF" w:themeFill="background1"/>
                <w:lang w:val="hr-HR" w:eastAsia="zh-CN" w:bidi="ar-SA"/>
              </w:rPr>
              <w:t>招标项目的潜在投标人应在</w:t>
            </w:r>
            <w:r>
              <w:rPr>
                <w:rFonts w:hint="eastAsia" w:ascii="宋体" w:hAnsi="宋体"/>
                <w:color w:val="auto"/>
                <w:sz w:val="24"/>
                <w:highlight w:val="none"/>
              </w:rPr>
              <w:t>政采云</w:t>
            </w:r>
            <w:r>
              <w:rPr>
                <w:rFonts w:hint="eastAsia" w:ascii="宋体" w:hAnsi="宋体"/>
                <w:color w:val="auto"/>
                <w:sz w:val="24"/>
                <w:highlight w:val="none"/>
                <w:lang w:val="en-US" w:eastAsia="zh-CN"/>
              </w:rPr>
              <w:t>平台</w:t>
            </w:r>
            <w:r>
              <w:rPr>
                <w:rFonts w:hint="eastAsia" w:ascii="宋体" w:hAnsi="宋体" w:eastAsia="宋体" w:cstheme="minorBidi"/>
                <w:iCs/>
                <w:color w:val="auto"/>
                <w:kern w:val="2"/>
                <w:sz w:val="24"/>
                <w:szCs w:val="24"/>
                <w:highlight w:val="none"/>
                <w:shd w:val="clear" w:color="auto" w:fill="FFFFFF" w:themeFill="background1"/>
                <w:lang w:val="hr-HR" w:eastAsia="zh-CN" w:bidi="ar-SA"/>
              </w:rPr>
              <w:t>获取招标文件，并于</w:t>
            </w:r>
            <w:r>
              <w:rPr>
                <w:rFonts w:hint="eastAsia" w:cstheme="minorBidi"/>
                <w:iCs/>
                <w:color w:val="auto"/>
                <w:kern w:val="2"/>
                <w:sz w:val="24"/>
                <w:szCs w:val="24"/>
                <w:highlight w:val="none"/>
                <w:u w:val="single"/>
                <w:shd w:val="clear" w:color="auto" w:fill="FFFFFF" w:themeFill="background1"/>
                <w:lang w:val="en-US" w:eastAsia="zh-CN" w:bidi="ar-SA"/>
              </w:rPr>
              <w:t>2026</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年</w:t>
            </w:r>
            <w:r>
              <w:rPr>
                <w:rFonts w:hint="eastAsia" w:cstheme="minorBidi"/>
                <w:iCs/>
                <w:color w:val="auto"/>
                <w:kern w:val="2"/>
                <w:sz w:val="24"/>
                <w:szCs w:val="24"/>
                <w:highlight w:val="none"/>
                <w:u w:val="single"/>
                <w:shd w:val="clear" w:color="auto" w:fill="FFFFFF" w:themeFill="background1"/>
                <w:lang w:val="en-US" w:eastAsia="zh-CN" w:bidi="ar-SA"/>
              </w:rPr>
              <w:t>6</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月</w:t>
            </w:r>
            <w:r>
              <w:rPr>
                <w:rFonts w:hint="eastAsia" w:cstheme="minorBidi"/>
                <w:iCs/>
                <w:color w:val="auto"/>
                <w:kern w:val="2"/>
                <w:sz w:val="24"/>
                <w:szCs w:val="24"/>
                <w:highlight w:val="none"/>
                <w:u w:val="single"/>
                <w:shd w:val="clear" w:color="auto" w:fill="FFFFFF" w:themeFill="background1"/>
                <w:lang w:val="en-US" w:eastAsia="zh-CN" w:bidi="ar-SA"/>
              </w:rPr>
              <w:t>12</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日</w:t>
            </w:r>
            <w:r>
              <w:rPr>
                <w:rFonts w:hint="eastAsia" w:cstheme="minorBidi"/>
                <w:iCs/>
                <w:color w:val="auto"/>
                <w:kern w:val="2"/>
                <w:sz w:val="24"/>
                <w:szCs w:val="24"/>
                <w:highlight w:val="none"/>
                <w:u w:val="single"/>
                <w:shd w:val="clear" w:color="auto" w:fill="FFFFFF" w:themeFill="background1"/>
                <w:lang w:val="en-US" w:eastAsia="zh-CN" w:bidi="ar-SA"/>
              </w:rPr>
              <w:t>10时00</w:t>
            </w:r>
            <w:r>
              <w:rPr>
                <w:rFonts w:hint="eastAsia" w:ascii="宋体" w:hAnsi="宋体" w:eastAsia="宋体" w:cstheme="minorBidi"/>
                <w:iCs/>
                <w:color w:val="auto"/>
                <w:kern w:val="2"/>
                <w:sz w:val="24"/>
                <w:szCs w:val="24"/>
                <w:highlight w:val="none"/>
                <w:u w:val="single"/>
                <w:shd w:val="clear" w:color="auto" w:fill="FFFFFF" w:themeFill="background1"/>
                <w:lang w:val="hr-HR" w:eastAsia="zh-CN" w:bidi="ar-SA"/>
              </w:rPr>
              <w:t>分</w:t>
            </w:r>
            <w:r>
              <w:rPr>
                <w:rFonts w:hint="eastAsia" w:ascii="宋体" w:hAnsi="宋体" w:eastAsia="宋体" w:cstheme="minorBidi"/>
                <w:iCs/>
                <w:color w:val="auto"/>
                <w:kern w:val="2"/>
                <w:sz w:val="24"/>
                <w:szCs w:val="24"/>
                <w:highlight w:val="none"/>
                <w:shd w:val="clear" w:color="auto" w:fill="FFFFFF" w:themeFill="background1"/>
                <w:lang w:val="hr-HR" w:eastAsia="zh-CN" w:bidi="ar-SA"/>
              </w:rPr>
              <w:t>（北京时间）前递交投标文件。</w:t>
            </w:r>
          </w:p>
        </w:tc>
      </w:tr>
    </w:tbl>
    <w:p w14:paraId="4072DEF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1" w:name="_Toc10886"/>
      <w:r>
        <w:rPr>
          <w:rFonts w:hint="eastAsia" w:ascii="宋体" w:hAnsi="宋体" w:eastAsia="宋体" w:cs="宋体"/>
          <w:b/>
          <w:bCs/>
          <w:color w:val="auto"/>
          <w:kern w:val="2"/>
          <w:sz w:val="24"/>
          <w:szCs w:val="24"/>
          <w:highlight w:val="none"/>
          <w:lang w:val="hr-HR" w:eastAsia="zh-CN" w:bidi="ar-SA"/>
        </w:rPr>
        <w:t>一、项目基本情况</w:t>
      </w:r>
      <w:bookmarkEnd w:id="11"/>
      <w:bookmarkEnd w:id="12"/>
      <w:bookmarkEnd w:id="13"/>
      <w:bookmarkEnd w:id="14"/>
      <w:bookmarkEnd w:id="15"/>
      <w:bookmarkEnd w:id="16"/>
      <w:bookmarkEnd w:id="17"/>
      <w:bookmarkEnd w:id="18"/>
      <w:bookmarkEnd w:id="19"/>
      <w:bookmarkEnd w:id="20"/>
      <w:bookmarkEnd w:id="21"/>
    </w:p>
    <w:p w14:paraId="590E39A6">
      <w:pPr>
        <w:pStyle w:val="39"/>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hr-HR"/>
        </w:rPr>
        <w:t>1.项目编号：</w:t>
      </w:r>
      <w:r>
        <w:rPr>
          <w:rFonts w:hint="eastAsia" w:ascii="宋体" w:hAnsi="宋体" w:eastAsia="宋体" w:cstheme="minorBidi"/>
          <w:i w:val="0"/>
          <w:iCs/>
          <w:caps w:val="0"/>
          <w:color w:val="auto"/>
          <w:spacing w:val="0"/>
          <w:kern w:val="2"/>
          <w:sz w:val="24"/>
          <w:szCs w:val="24"/>
          <w:highlight w:val="none"/>
          <w:u w:val="single"/>
          <w:lang w:val="hr-HR" w:eastAsia="zh-CN" w:bidi="ar-SA"/>
        </w:rPr>
        <w:t>HMSCZ[2026]1179号</w:t>
      </w:r>
    </w:p>
    <w:p w14:paraId="544AA4B7">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hr-HR"/>
        </w:rPr>
        <w:t>.项目名称：</w:t>
      </w:r>
      <w:r>
        <w:rPr>
          <w:rFonts w:hint="eastAsia" w:ascii="宋体" w:hAnsi="宋体" w:eastAsia="宋体" w:cs="宋体"/>
          <w:color w:val="auto"/>
          <w:sz w:val="24"/>
          <w:szCs w:val="24"/>
          <w:highlight w:val="none"/>
          <w:u w:val="single"/>
        </w:rPr>
        <w:t xml:space="preserve"> </w:t>
      </w:r>
      <w:r>
        <w:rPr>
          <w:rFonts w:hint="eastAsia" w:cstheme="minorBidi"/>
          <w:iCs/>
          <w:color w:val="auto"/>
          <w:kern w:val="2"/>
          <w:sz w:val="24"/>
          <w:szCs w:val="24"/>
          <w:highlight w:val="none"/>
          <w:u w:val="single"/>
          <w:shd w:val="clear" w:color="auto" w:fill="FFFFFF" w:themeFill="background1"/>
          <w:lang w:val="hr-HR" w:eastAsia="zh-CN" w:bidi="ar-SA"/>
        </w:rPr>
        <w:t>哈密市伊州区吐哈石油基地“市政、园林 、环卫一体化”（2026-2028年）第三方采购项目</w:t>
      </w:r>
    </w:p>
    <w:p w14:paraId="3CE35A7E">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.采购方式：公开招标</w:t>
      </w:r>
    </w:p>
    <w:p w14:paraId="78A90596">
      <w:pPr>
        <w:pStyle w:val="39"/>
        <w:spacing w:line="360" w:lineRule="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hr-HR"/>
        </w:rPr>
        <w:t>.预算金额</w:t>
      </w:r>
      <w:r>
        <w:rPr>
          <w:rFonts w:hint="eastAsia" w:cs="宋体"/>
          <w:color w:val="auto"/>
          <w:sz w:val="24"/>
          <w:szCs w:val="24"/>
          <w:highlight w:val="none"/>
          <w:lang w:val="hr-HR" w:eastAsia="zh-CN"/>
        </w:rPr>
        <w:t>（</w:t>
      </w:r>
      <w:r>
        <w:rPr>
          <w:rFonts w:hint="eastAsia" w:cs="宋体"/>
          <w:color w:val="auto"/>
          <w:sz w:val="24"/>
          <w:szCs w:val="24"/>
          <w:highlight w:val="none"/>
          <w:lang w:val="en-US" w:eastAsia="zh-CN"/>
        </w:rPr>
        <w:t>元</w:t>
      </w:r>
      <w:r>
        <w:rPr>
          <w:rFonts w:hint="eastAsia" w:cs="宋体"/>
          <w:color w:val="auto"/>
          <w:sz w:val="24"/>
          <w:szCs w:val="24"/>
          <w:highlight w:val="none"/>
          <w:lang w:val="hr-HR" w:eastAsia="zh-CN"/>
        </w:rPr>
        <w:t>）</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single"/>
        </w:rPr>
        <w:t>272020</w:t>
      </w:r>
      <w:r>
        <w:rPr>
          <w:rFonts w:hint="eastAsia" w:cs="宋体"/>
          <w:color w:val="auto"/>
          <w:sz w:val="24"/>
          <w:szCs w:val="24"/>
          <w:highlight w:val="none"/>
          <w:u w:val="single"/>
          <w:lang w:val="en-US" w:eastAsia="zh-CN"/>
        </w:rPr>
        <w:t>00</w:t>
      </w:r>
    </w:p>
    <w:p w14:paraId="7851BE2C">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rPr>
        <w:t>最高限价</w:t>
      </w:r>
      <w:r>
        <w:rPr>
          <w:rFonts w:hint="eastAsia" w:cs="宋体"/>
          <w:color w:val="auto"/>
          <w:sz w:val="24"/>
          <w:szCs w:val="24"/>
          <w:highlight w:val="none"/>
          <w:lang w:val="hr-HR" w:eastAsia="zh-CN"/>
        </w:rPr>
        <w:t>（</w:t>
      </w:r>
      <w:r>
        <w:rPr>
          <w:rFonts w:hint="eastAsia" w:cs="宋体"/>
          <w:color w:val="auto"/>
          <w:sz w:val="24"/>
          <w:szCs w:val="24"/>
          <w:highlight w:val="none"/>
          <w:lang w:val="en-US" w:eastAsia="zh-CN"/>
        </w:rPr>
        <w:t>元</w:t>
      </w:r>
      <w:r>
        <w:rPr>
          <w:rFonts w:hint="eastAsia" w:cs="宋体"/>
          <w:color w:val="auto"/>
          <w:sz w:val="24"/>
          <w:szCs w:val="24"/>
          <w:highlight w:val="none"/>
          <w:lang w:val="hr-HR" w:eastAsia="zh-CN"/>
        </w:rPr>
        <w:t>）</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single"/>
        </w:rPr>
        <w:t>272020</w:t>
      </w:r>
      <w:r>
        <w:rPr>
          <w:rFonts w:hint="eastAsia" w:cs="宋体"/>
          <w:color w:val="auto"/>
          <w:sz w:val="24"/>
          <w:szCs w:val="24"/>
          <w:highlight w:val="none"/>
          <w:u w:val="single"/>
          <w:lang w:val="en-US" w:eastAsia="zh-CN"/>
        </w:rPr>
        <w:t>00</w:t>
      </w:r>
    </w:p>
    <w:p w14:paraId="7487C0A2">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hr-HR"/>
        </w:rPr>
        <w:t>.采购需求：</w:t>
      </w:r>
      <w:bookmarkStart w:id="22" w:name="_Hlk155086750"/>
    </w:p>
    <w:bookmarkEnd w:id="22"/>
    <w:p w14:paraId="520AEBB8">
      <w:pPr>
        <w:pStyle w:val="39"/>
        <w:spacing w:line="360" w:lineRule="auto"/>
        <w:ind w:left="240" w:leftChars="100" w:firstLine="480" w:firstLineChars="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标项名称</w:t>
      </w:r>
      <w:r>
        <w:rPr>
          <w:rFonts w:hint="eastAsia" w:ascii="宋体" w:hAnsi="宋体" w:eastAsia="宋体" w:cs="宋体"/>
          <w:color w:val="auto"/>
          <w:sz w:val="24"/>
          <w:szCs w:val="24"/>
          <w:highlight w:val="none"/>
          <w:u w:val="single"/>
        </w:rPr>
        <w:t>:</w:t>
      </w:r>
      <w:r>
        <w:rPr>
          <w:rFonts w:hint="eastAsia" w:cstheme="minorBidi"/>
          <w:iCs/>
          <w:color w:val="auto"/>
          <w:kern w:val="2"/>
          <w:sz w:val="24"/>
          <w:szCs w:val="24"/>
          <w:highlight w:val="none"/>
          <w:u w:val="single"/>
          <w:shd w:val="clear" w:color="auto" w:fill="FFFFFF" w:themeFill="background1"/>
          <w:lang w:val="hr-HR" w:eastAsia="zh-CN" w:bidi="ar-SA"/>
        </w:rPr>
        <w:t>哈密市伊州区吐哈石油基地“市政、园林 、环卫一体化”（2026-2028年）第三方采购项目</w:t>
      </w:r>
    </w:p>
    <w:p w14:paraId="3E605A7F">
      <w:pPr>
        <w:pStyle w:val="39"/>
        <w:spacing w:line="360" w:lineRule="auto"/>
        <w:ind w:left="240" w:leftChars="100" w:firstLine="480" w:firstLineChars="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数量:</w:t>
      </w:r>
      <w:r>
        <w:rPr>
          <w:rFonts w:hint="eastAsia" w:cs="宋体"/>
          <w:color w:val="auto"/>
          <w:sz w:val="24"/>
          <w:szCs w:val="24"/>
          <w:highlight w:val="none"/>
          <w:u w:val="none"/>
          <w:lang w:val="en-US" w:eastAsia="zh-CN"/>
        </w:rPr>
        <w:t xml:space="preserve"> </w:t>
      </w:r>
      <w:r>
        <w:rPr>
          <w:rFonts w:hint="eastAsia" w:cs="宋体"/>
          <w:color w:val="auto"/>
          <w:sz w:val="24"/>
          <w:szCs w:val="24"/>
          <w:highlight w:val="none"/>
          <w:u w:val="single"/>
          <w:lang w:val="en-US" w:eastAsia="zh-CN"/>
        </w:rPr>
        <w:t xml:space="preserve"> 1  </w:t>
      </w:r>
    </w:p>
    <w:p w14:paraId="6F3CE124">
      <w:pPr>
        <w:pStyle w:val="39"/>
        <w:spacing w:line="360" w:lineRule="auto"/>
        <w:ind w:left="240" w:leftChars="100" w:firstLine="480" w:firstLineChars="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预算金额（元）:</w:t>
      </w:r>
      <w:r>
        <w:rPr>
          <w:rFonts w:hint="eastAsia" w:ascii="宋体" w:hAnsi="宋体" w:eastAsia="宋体" w:cs="宋体"/>
          <w:color w:val="auto"/>
          <w:sz w:val="24"/>
          <w:szCs w:val="24"/>
          <w:highlight w:val="none"/>
          <w:u w:val="single"/>
        </w:rPr>
        <w:t>272020</w:t>
      </w:r>
      <w:r>
        <w:rPr>
          <w:rFonts w:hint="eastAsia" w:ascii="宋体" w:hAnsi="宋体" w:eastAsia="宋体" w:cs="宋体"/>
          <w:color w:val="auto"/>
          <w:sz w:val="24"/>
          <w:szCs w:val="24"/>
          <w:highlight w:val="none"/>
          <w:u w:val="single"/>
          <w:lang w:val="en-US" w:eastAsia="zh-CN"/>
        </w:rPr>
        <w:t>00</w:t>
      </w:r>
    </w:p>
    <w:p w14:paraId="072BEF6A">
      <w:pPr>
        <w:pStyle w:val="39"/>
        <w:spacing w:line="360" w:lineRule="auto"/>
        <w:ind w:left="240" w:leftChars="100" w:firstLine="480" w:firstLineChars="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单位：</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 xml:space="preserve">批 </w:t>
      </w:r>
    </w:p>
    <w:p w14:paraId="556C6336">
      <w:pPr>
        <w:pStyle w:val="39"/>
        <w:spacing w:line="360" w:lineRule="auto"/>
        <w:ind w:left="240" w:leftChars="100" w:firstLine="480" w:firstLineChars="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简要规格描述或项目基本概况介绍、用途：</w:t>
      </w:r>
      <w:r>
        <w:rPr>
          <w:rFonts w:hint="eastAsia" w:cs="宋体"/>
          <w:color w:val="auto"/>
          <w:sz w:val="24"/>
          <w:szCs w:val="24"/>
          <w:highlight w:val="none"/>
          <w:u w:val="single"/>
          <w:lang w:val="en-US" w:eastAsia="zh-CN"/>
        </w:rPr>
        <w:t xml:space="preserve">哈密市伊州区吐哈石油基地“市政、园林 、环卫一体化”（2026-2028年）第三方采购项目包含哈密伊州区石油基地由采购人管理并面向社会开放、提供公共服务的全部市政公用设施、环卫保洁、园林绿化及公园管理。 </w:t>
      </w:r>
    </w:p>
    <w:p w14:paraId="242750DC">
      <w:pPr>
        <w:pStyle w:val="39"/>
        <w:spacing w:line="360" w:lineRule="auto"/>
        <w:ind w:left="240" w:leftChars="100" w:firstLine="480" w:firstLineChars="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u w:val="none"/>
        </w:rPr>
        <w:t>备注：</w:t>
      </w:r>
      <w:r>
        <w:rPr>
          <w:rFonts w:hint="eastAsia" w:cs="宋体"/>
          <w:color w:val="auto"/>
          <w:sz w:val="24"/>
          <w:szCs w:val="24"/>
          <w:highlight w:val="none"/>
          <w:u w:val="single"/>
          <w:lang w:val="en-US" w:eastAsia="zh-CN"/>
        </w:rPr>
        <w:t xml:space="preserve">预算金额为年度费用 </w:t>
      </w:r>
    </w:p>
    <w:p w14:paraId="56FBF6DA">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.合同</w:t>
      </w:r>
      <w:r>
        <w:rPr>
          <w:rFonts w:hint="eastAsia" w:ascii="宋体" w:hAnsi="宋体" w:eastAsia="宋体" w:cs="宋体"/>
          <w:color w:val="auto"/>
          <w:sz w:val="24"/>
          <w:szCs w:val="24"/>
          <w:highlight w:val="none"/>
          <w:lang w:val="en-US" w:eastAsia="zh-CN"/>
        </w:rPr>
        <w:t>服务</w:t>
      </w:r>
      <w:r>
        <w:rPr>
          <w:rFonts w:hint="eastAsia" w:ascii="宋体" w:hAnsi="宋体" w:eastAsia="宋体" w:cs="宋体"/>
          <w:color w:val="auto"/>
          <w:sz w:val="24"/>
          <w:szCs w:val="24"/>
          <w:highlight w:val="none"/>
        </w:rPr>
        <w:t>履行期限：</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服务期</w:t>
      </w:r>
      <w:r>
        <w:rPr>
          <w:rFonts w:hint="eastAsia"/>
          <w:color w:val="auto"/>
          <w:sz w:val="24"/>
          <w:highlight w:val="none"/>
          <w:u w:val="single"/>
          <w:lang w:val="en-US" w:eastAsia="zh-CN"/>
        </w:rPr>
        <w:t>3年</w:t>
      </w:r>
      <w:r>
        <w:rPr>
          <w:rFonts w:hint="eastAsia" w:ascii="宋体" w:hAnsi="宋体" w:eastAsia="宋体" w:cs="宋体"/>
          <w:color w:val="auto"/>
          <w:sz w:val="24"/>
          <w:szCs w:val="24"/>
          <w:highlight w:val="none"/>
          <w:u w:val="single"/>
          <w:lang w:val="hr-HR"/>
        </w:rPr>
        <w:t xml:space="preserve"> </w:t>
      </w:r>
    </w:p>
    <w:p w14:paraId="4B098642">
      <w:pPr>
        <w:pStyle w:val="39"/>
        <w:spacing w:line="360" w:lineRule="auto"/>
        <w:rPr>
          <w:rFonts w:hint="eastAsia" w:ascii="宋体" w:hAnsi="宋体" w:eastAsia="宋体" w:cs="宋体"/>
          <w:color w:val="auto"/>
          <w:sz w:val="24"/>
          <w:szCs w:val="24"/>
          <w:highlight w:val="none"/>
          <w:lang w:val="en-US" w:eastAsia="zh-CN"/>
        </w:rPr>
      </w:pPr>
      <w:bookmarkStart w:id="23" w:name="_Toc28359090"/>
      <w:bookmarkStart w:id="24" w:name="_Toc35393799"/>
      <w:bookmarkStart w:id="25" w:name="_Toc44583629"/>
      <w:bookmarkStart w:id="26" w:name="_Toc35393630"/>
      <w:bookmarkStart w:id="27" w:name="_Toc28359013"/>
      <w:r>
        <w:rPr>
          <w:rFonts w:hint="eastAsia" w:ascii="宋体" w:hAnsi="宋体" w:eastAsia="宋体" w:cs="宋体"/>
          <w:color w:val="auto"/>
          <w:sz w:val="24"/>
          <w:szCs w:val="24"/>
          <w:highlight w:val="none"/>
          <w:lang w:val="en-US" w:eastAsia="zh-CN"/>
        </w:rPr>
        <w:t>8.</w:t>
      </w:r>
      <w:bookmarkStart w:id="28" w:name="_Hlk162011358"/>
      <w:r>
        <w:rPr>
          <w:rFonts w:hint="eastAsia" w:ascii="宋体" w:hAnsi="宋体" w:eastAsia="宋体" w:cs="宋体"/>
          <w:color w:val="auto"/>
          <w:sz w:val="24"/>
          <w:szCs w:val="24"/>
          <w:highlight w:val="none"/>
          <w:lang w:val="en-US" w:eastAsia="zh-CN"/>
        </w:rPr>
        <w:t>本项目是否接受联合体投标：</w:t>
      </w:r>
      <w:bookmarkEnd w:id="28"/>
      <w:r>
        <w:rPr>
          <w:rFonts w:hint="eastAsia" w:ascii="宋体" w:hAnsi="宋体" w:eastAsia="宋体" w:cs="宋体"/>
          <w:color w:val="auto"/>
          <w:sz w:val="24"/>
          <w:szCs w:val="24"/>
          <w:highlight w:val="none"/>
          <w:lang w:val="en-US" w:eastAsia="zh-CN"/>
        </w:rPr>
        <w:t>否</w:t>
      </w:r>
    </w:p>
    <w:p w14:paraId="1EEB1622">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29" w:name="_Toc140132746"/>
      <w:bookmarkStart w:id="30" w:name="_Toc109899830"/>
      <w:bookmarkStart w:id="31" w:name="_Toc28652"/>
      <w:bookmarkStart w:id="32" w:name="_Toc109900249"/>
      <w:bookmarkStart w:id="33" w:name="_Toc109899411"/>
      <w:bookmarkStart w:id="34" w:name="_Toc155185861"/>
      <w:r>
        <w:rPr>
          <w:rFonts w:hint="eastAsia" w:ascii="宋体" w:hAnsi="宋体" w:eastAsia="宋体" w:cs="宋体"/>
          <w:b/>
          <w:bCs/>
          <w:color w:val="auto"/>
          <w:kern w:val="2"/>
          <w:sz w:val="24"/>
          <w:szCs w:val="24"/>
          <w:highlight w:val="none"/>
          <w:lang w:val="en-US" w:eastAsia="zh-CN" w:bidi="ar-SA"/>
        </w:rPr>
        <w:t>二、申请</w:t>
      </w:r>
      <w:r>
        <w:rPr>
          <w:rFonts w:hint="eastAsia" w:ascii="宋体" w:hAnsi="宋体" w:eastAsia="宋体" w:cs="宋体"/>
          <w:b/>
          <w:bCs/>
          <w:color w:val="auto"/>
          <w:kern w:val="2"/>
          <w:sz w:val="24"/>
          <w:szCs w:val="24"/>
          <w:highlight w:val="none"/>
          <w:lang w:val="hr-HR" w:eastAsia="zh-CN" w:bidi="ar-SA"/>
        </w:rPr>
        <w:t>人</w:t>
      </w:r>
      <w:r>
        <w:rPr>
          <w:rFonts w:hint="eastAsia" w:ascii="宋体" w:hAnsi="宋体" w:eastAsia="宋体" w:cs="宋体"/>
          <w:b/>
          <w:bCs/>
          <w:color w:val="auto"/>
          <w:kern w:val="2"/>
          <w:sz w:val="24"/>
          <w:szCs w:val="24"/>
          <w:highlight w:val="none"/>
          <w:lang w:val="en-US" w:eastAsia="zh-CN" w:bidi="ar-SA"/>
        </w:rPr>
        <w:t>的</w:t>
      </w:r>
      <w:r>
        <w:rPr>
          <w:rFonts w:hint="eastAsia" w:ascii="宋体" w:hAnsi="宋体" w:eastAsia="宋体" w:cs="宋体"/>
          <w:b/>
          <w:bCs/>
          <w:color w:val="auto"/>
          <w:kern w:val="2"/>
          <w:sz w:val="24"/>
          <w:szCs w:val="24"/>
          <w:highlight w:val="none"/>
          <w:lang w:val="hr-HR" w:eastAsia="zh-CN" w:bidi="ar-SA"/>
        </w:rPr>
        <w:t>资格要求</w:t>
      </w:r>
      <w:bookmarkEnd w:id="23"/>
      <w:bookmarkEnd w:id="24"/>
      <w:bookmarkEnd w:id="25"/>
      <w:bookmarkEnd w:id="26"/>
      <w:bookmarkEnd w:id="27"/>
      <w:bookmarkEnd w:id="29"/>
      <w:bookmarkEnd w:id="30"/>
      <w:bookmarkEnd w:id="31"/>
      <w:bookmarkEnd w:id="32"/>
      <w:bookmarkEnd w:id="33"/>
      <w:bookmarkEnd w:id="34"/>
    </w:p>
    <w:p w14:paraId="099AA4F0">
      <w:pPr>
        <w:spacing w:line="360" w:lineRule="auto"/>
        <w:ind w:firstLine="480" w:firstLineChars="200"/>
        <w:rPr>
          <w:rFonts w:hint="default" w:ascii="宋体" w:hAnsi="宋体" w:eastAsia="宋体" w:cs="宋体"/>
          <w:color w:val="auto"/>
          <w:sz w:val="24"/>
          <w:szCs w:val="24"/>
          <w:highlight w:val="none"/>
          <w:lang w:val="en-US" w:eastAsia="zh-CN"/>
        </w:rPr>
      </w:pPr>
      <w:bookmarkStart w:id="35" w:name="_Hlk89807755"/>
      <w:bookmarkStart w:id="36" w:name="_Toc28359091"/>
      <w:bookmarkStart w:id="37" w:name="_Toc28359014"/>
      <w:bookmarkStart w:id="38" w:name="_Toc44583630"/>
      <w:bookmarkStart w:id="39" w:name="_Toc35393631"/>
      <w:bookmarkStart w:id="40" w:name="_Toc35393800"/>
      <w:r>
        <w:rPr>
          <w:rFonts w:hint="eastAsia" w:ascii="宋体" w:hAnsi="宋体" w:eastAsia="宋体" w:cs="宋体"/>
          <w:color w:val="auto"/>
          <w:sz w:val="24"/>
          <w:szCs w:val="24"/>
          <w:highlight w:val="none"/>
          <w:lang w:val="en-US" w:eastAsia="zh-CN"/>
        </w:rPr>
        <w:t>1.满足《中华人民共和国政府采购法》第二十二条规定；</w:t>
      </w:r>
    </w:p>
    <w:p w14:paraId="3632724A">
      <w:pPr>
        <w:spacing w:line="360" w:lineRule="auto"/>
        <w:ind w:firstLine="480" w:firstLineChars="200"/>
        <w:rPr>
          <w:rFonts w:hint="default"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2.落实政府采购政策需满足的资格要求：</w:t>
      </w:r>
      <w:r>
        <w:rPr>
          <w:rFonts w:hint="eastAsia" w:ascii="宋体" w:hAnsi="宋体" w:eastAsia="宋体" w:cs="宋体"/>
          <w:color w:val="auto"/>
          <w:sz w:val="24"/>
          <w:szCs w:val="24"/>
          <w:highlight w:val="none"/>
          <w:u w:val="single"/>
          <w:lang w:val="en-US" w:eastAsia="zh-CN"/>
        </w:rPr>
        <w:t>本项目不专门面向中小企业，对符合规定的小微企业报价给予一定比例的价格评审扣除</w:t>
      </w:r>
      <w:r>
        <w:rPr>
          <w:rFonts w:hint="eastAsia" w:cs="宋体"/>
          <w:color w:val="auto"/>
          <w:sz w:val="24"/>
          <w:szCs w:val="24"/>
          <w:highlight w:val="none"/>
          <w:u w:val="none"/>
          <w:lang w:val="en-US" w:eastAsia="zh-CN"/>
        </w:rPr>
        <w:t>；</w:t>
      </w:r>
    </w:p>
    <w:p w14:paraId="69D2AB04">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3.本项目的特定资格要求：</w:t>
      </w:r>
    </w:p>
    <w:p w14:paraId="6D73EDEC">
      <w:pPr>
        <w:pStyle w:val="39"/>
        <w:spacing w:line="360" w:lineRule="auto"/>
        <w:rPr>
          <w:rFonts w:hint="default" w:ascii="宋体" w:hAnsi="宋体" w:eastAsia="宋体" w:cs="宋体"/>
          <w:iCs w:val="0"/>
          <w:color w:val="auto"/>
          <w:kern w:val="2"/>
          <w:sz w:val="24"/>
          <w:szCs w:val="24"/>
          <w:highlight w:val="none"/>
          <w:shd w:val="clear"/>
          <w:lang w:val="en-US" w:eastAsia="zh-CN" w:bidi="ar-SA"/>
        </w:rPr>
      </w:pPr>
      <w:r>
        <w:rPr>
          <w:rFonts w:hint="eastAsia" w:ascii="宋体" w:hAnsi="宋体" w:eastAsia="宋体" w:cs="宋体"/>
          <w:iCs w:val="0"/>
          <w:color w:val="auto"/>
          <w:kern w:val="2"/>
          <w:sz w:val="24"/>
          <w:szCs w:val="24"/>
          <w:highlight w:val="none"/>
          <w:shd w:val="clear"/>
          <w:lang w:val="en-US" w:eastAsia="zh-CN" w:bidi="ar-SA"/>
        </w:rPr>
        <w:t>（1）本项目属于政府购买服务，投标人应不属于公益一类事业单位、使用事业编制且由财政拨款保障的群团组织；</w:t>
      </w:r>
      <w:r>
        <w:rPr>
          <w:rFonts w:hint="eastAsia" w:cs="宋体"/>
          <w:iCs w:val="0"/>
          <w:color w:val="auto"/>
          <w:kern w:val="2"/>
          <w:sz w:val="24"/>
          <w:szCs w:val="24"/>
          <w:highlight w:val="none"/>
          <w:shd w:val="clear"/>
          <w:lang w:val="en-US" w:eastAsia="zh-CN" w:bidi="ar-SA"/>
        </w:rPr>
        <w:t xml:space="preserve">   </w:t>
      </w:r>
    </w:p>
    <w:p w14:paraId="040E7358">
      <w:pPr>
        <w:pStyle w:val="39"/>
        <w:spacing w:line="360" w:lineRule="auto"/>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hr-HR"/>
        </w:rPr>
        <w:t>法定代表人或</w:t>
      </w:r>
      <w:r>
        <w:rPr>
          <w:rFonts w:hint="eastAsia" w:ascii="宋体" w:hAnsi="宋体" w:eastAsia="宋体" w:cs="宋体"/>
          <w:color w:val="auto"/>
          <w:sz w:val="24"/>
          <w:szCs w:val="24"/>
          <w:highlight w:val="none"/>
          <w:lang w:val="en-US" w:eastAsia="zh-CN"/>
        </w:rPr>
        <w:t>单位</w:t>
      </w:r>
      <w:r>
        <w:rPr>
          <w:rFonts w:hint="eastAsia" w:ascii="宋体" w:hAnsi="宋体" w:eastAsia="宋体" w:cs="宋体"/>
          <w:color w:val="auto"/>
          <w:sz w:val="24"/>
          <w:szCs w:val="24"/>
          <w:highlight w:val="none"/>
          <w:lang w:val="hr-HR"/>
        </w:rPr>
        <w:t>负责人为同一人或者存在</w:t>
      </w:r>
      <w:r>
        <w:rPr>
          <w:rFonts w:hint="eastAsia" w:ascii="宋体" w:hAnsi="宋体" w:eastAsia="宋体" w:cs="宋体"/>
          <w:color w:val="auto"/>
          <w:sz w:val="24"/>
          <w:szCs w:val="24"/>
          <w:highlight w:val="none"/>
          <w:lang w:val="en-US" w:eastAsia="zh-CN"/>
        </w:rPr>
        <w:t>直接</w:t>
      </w:r>
      <w:r>
        <w:rPr>
          <w:rFonts w:hint="eastAsia" w:ascii="宋体" w:hAnsi="宋体" w:eastAsia="宋体" w:cs="宋体"/>
          <w:color w:val="auto"/>
          <w:sz w:val="24"/>
          <w:szCs w:val="24"/>
          <w:highlight w:val="none"/>
          <w:lang w:val="hr-HR"/>
        </w:rPr>
        <w:t>控股、管理关系的</w:t>
      </w:r>
      <w:r>
        <w:rPr>
          <w:rFonts w:hint="eastAsia" w:ascii="宋体" w:hAnsi="宋体" w:eastAsia="宋体" w:cs="宋体"/>
          <w:color w:val="auto"/>
          <w:sz w:val="24"/>
          <w:szCs w:val="24"/>
          <w:highlight w:val="none"/>
          <w:lang w:val="en-US" w:eastAsia="zh-CN"/>
        </w:rPr>
        <w:t>不同供应商</w:t>
      </w:r>
      <w:r>
        <w:rPr>
          <w:rFonts w:hint="eastAsia" w:ascii="宋体" w:hAnsi="宋体" w:eastAsia="宋体" w:cs="宋体"/>
          <w:color w:val="auto"/>
          <w:sz w:val="24"/>
          <w:szCs w:val="24"/>
          <w:highlight w:val="none"/>
          <w:lang w:val="hr-HR"/>
        </w:rPr>
        <w:t>，不得参加同一合同项下的政府采购活动。</w:t>
      </w:r>
    </w:p>
    <w:p w14:paraId="68099EEC">
      <w:pPr>
        <w:pStyle w:val="39"/>
        <w:spacing w:line="360" w:lineRule="auto"/>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hr-HR"/>
        </w:rPr>
        <w:t>为采购项目提供整体设计、规范编制或者项目管理、监理、检测等服务的供应商，不得再参加该采购项目的其他采购活动。</w:t>
      </w:r>
    </w:p>
    <w:p w14:paraId="1F555688">
      <w:pPr>
        <w:spacing w:line="360" w:lineRule="auto"/>
        <w:ind w:firstLine="480" w:firstLineChars="20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lang w:val="hr-HR" w:eastAsia="zh-CN"/>
        </w:rPr>
        <w:t>（</w:t>
      </w: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hr-HR"/>
        </w:rPr>
        <w:t>在</w:t>
      </w:r>
      <w:r>
        <w:rPr>
          <w:rFonts w:hint="eastAsia" w:ascii="宋体" w:hAnsi="宋体" w:eastAsia="宋体" w:cs="宋体"/>
          <w:color w:val="auto"/>
          <w:sz w:val="24"/>
          <w:szCs w:val="24"/>
          <w:highlight w:val="none"/>
          <w:lang w:val="en-US" w:eastAsia="zh-CN"/>
        </w:rPr>
        <w:t>资格审查阶段经查询，未被列入“失信被执行人”、“重大税收违法失信主体”、“政府采购严重违法失信行为记录名单”其中之一</w:t>
      </w:r>
      <w:r>
        <w:rPr>
          <w:rFonts w:hint="eastAsia" w:ascii="宋体" w:hAnsi="宋体" w:eastAsia="宋体" w:cs="宋体"/>
          <w:color w:val="auto"/>
          <w:sz w:val="24"/>
          <w:szCs w:val="24"/>
          <w:highlight w:val="none"/>
          <w:lang w:val="hr-HR"/>
        </w:rPr>
        <w:t>。如有以上不良信用记录</w:t>
      </w:r>
      <w:r>
        <w:rPr>
          <w:rFonts w:hint="eastAsia" w:ascii="宋体" w:hAnsi="宋体" w:eastAsia="宋体" w:cs="宋体"/>
          <w:color w:val="auto"/>
          <w:sz w:val="24"/>
          <w:szCs w:val="24"/>
          <w:highlight w:val="none"/>
          <w:lang w:val="en-US" w:eastAsia="zh-CN"/>
        </w:rPr>
        <w:t>之一的，</w:t>
      </w:r>
      <w:r>
        <w:rPr>
          <w:rFonts w:hint="eastAsia" w:ascii="宋体" w:hAnsi="宋体" w:eastAsia="宋体" w:cs="宋体"/>
          <w:color w:val="auto"/>
          <w:sz w:val="24"/>
          <w:szCs w:val="24"/>
          <w:highlight w:val="none"/>
          <w:lang w:val="hr-HR"/>
        </w:rPr>
        <w:t>其</w:t>
      </w:r>
      <w:r>
        <w:rPr>
          <w:rFonts w:hint="eastAsia" w:ascii="宋体" w:hAnsi="宋体" w:eastAsia="宋体" w:cs="宋体"/>
          <w:b/>
          <w:bCs/>
          <w:color w:val="auto"/>
          <w:sz w:val="24"/>
          <w:szCs w:val="24"/>
          <w:highlight w:val="none"/>
          <w:lang w:val="hr-HR"/>
        </w:rPr>
        <w:t>投标</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szCs w:val="24"/>
          <w:highlight w:val="none"/>
          <w:u w:val="none"/>
          <w:lang w:val="en-US" w:eastAsia="zh-CN"/>
        </w:rPr>
        <w:t xml:space="preserve">             </w:t>
      </w:r>
    </w:p>
    <w:bookmarkEnd w:id="35"/>
    <w:p w14:paraId="17F1ED43">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41" w:name="_Toc155185862"/>
      <w:bookmarkStart w:id="42" w:name="_Toc109899831"/>
      <w:bookmarkStart w:id="43" w:name="_Toc6773"/>
      <w:bookmarkStart w:id="44" w:name="_Toc109900250"/>
      <w:bookmarkStart w:id="45" w:name="_Toc109899412"/>
      <w:bookmarkStart w:id="46" w:name="_Toc140132747"/>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hr-HR" w:eastAsia="zh-CN" w:bidi="ar-SA"/>
        </w:rPr>
        <w:t>获取招标文件</w:t>
      </w:r>
      <w:bookmarkEnd w:id="36"/>
      <w:bookmarkEnd w:id="37"/>
      <w:bookmarkEnd w:id="38"/>
      <w:bookmarkEnd w:id="39"/>
      <w:bookmarkEnd w:id="40"/>
      <w:bookmarkEnd w:id="41"/>
      <w:bookmarkEnd w:id="42"/>
      <w:bookmarkEnd w:id="43"/>
      <w:bookmarkEnd w:id="44"/>
      <w:bookmarkEnd w:id="45"/>
      <w:bookmarkEnd w:id="46"/>
      <w:r>
        <w:rPr>
          <w:rFonts w:hint="eastAsia" w:ascii="宋体" w:hAnsi="宋体" w:eastAsia="宋体" w:cs="宋体"/>
          <w:b/>
          <w:bCs/>
          <w:color w:val="auto"/>
          <w:kern w:val="2"/>
          <w:sz w:val="24"/>
          <w:szCs w:val="24"/>
          <w:highlight w:val="none"/>
          <w:lang w:val="hr-HR" w:eastAsia="zh-CN" w:bidi="ar-SA"/>
        </w:rPr>
        <w:t xml:space="preserve"> </w:t>
      </w:r>
    </w:p>
    <w:p w14:paraId="7F0135DE">
      <w:pPr>
        <w:pStyle w:val="39"/>
        <w:spacing w:line="360" w:lineRule="auto"/>
        <w:rPr>
          <w:rFonts w:hint="eastAsia" w:ascii="宋体" w:hAnsi="宋体" w:eastAsia="宋体" w:cs="宋体"/>
          <w:color w:val="auto"/>
          <w:sz w:val="24"/>
          <w:szCs w:val="24"/>
          <w:highlight w:val="none"/>
          <w:lang w:val="hr-HR"/>
        </w:rPr>
      </w:pPr>
      <w:bookmarkStart w:id="47" w:name="_Hlk130457234"/>
      <w:bookmarkStart w:id="48" w:name="_Hlk130457327"/>
      <w:bookmarkStart w:id="49" w:name="_Toc28359092"/>
      <w:bookmarkStart w:id="50" w:name="_Hlk130457261"/>
      <w:bookmarkStart w:id="51" w:name="_Toc35393632"/>
      <w:bookmarkStart w:id="52" w:name="_Toc28359015"/>
      <w:bookmarkStart w:id="53" w:name="_Toc35393801"/>
      <w:r>
        <w:rPr>
          <w:rFonts w:hint="eastAsia" w:ascii="宋体" w:hAnsi="宋体" w:eastAsia="宋体" w:cs="宋体"/>
          <w:color w:val="auto"/>
          <w:sz w:val="24"/>
          <w:szCs w:val="24"/>
          <w:highlight w:val="none"/>
          <w:lang w:val="hr-HR"/>
        </w:rPr>
        <w:t>1.时间：</w:t>
      </w:r>
      <w:r>
        <w:rPr>
          <w:rFonts w:hint="eastAsia" w:ascii="宋体" w:hAnsi="宋体" w:eastAsia="宋体" w:cs="宋体"/>
          <w:color w:val="auto"/>
          <w:sz w:val="24"/>
          <w:highlight w:val="none"/>
          <w:u w:val="single"/>
        </w:rPr>
        <w:t>202</w:t>
      </w:r>
      <w:r>
        <w:rPr>
          <w:rFonts w:hint="eastAsia" w:cs="宋体"/>
          <w:color w:val="auto"/>
          <w:sz w:val="24"/>
          <w:highlight w:val="none"/>
          <w:u w:val="single"/>
          <w:lang w:val="en-US" w:eastAsia="zh-CN"/>
        </w:rPr>
        <w:t>6</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5</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22</w:t>
      </w:r>
      <w:r>
        <w:rPr>
          <w:rFonts w:hint="eastAsia" w:ascii="宋体" w:hAnsi="宋体" w:eastAsia="宋体" w:cs="宋体"/>
          <w:color w:val="auto"/>
          <w:sz w:val="24"/>
          <w:highlight w:val="none"/>
          <w:u w:val="single"/>
        </w:rPr>
        <w:t>日至202</w:t>
      </w:r>
      <w:r>
        <w:rPr>
          <w:rFonts w:hint="eastAsia" w:cs="宋体"/>
          <w:color w:val="auto"/>
          <w:sz w:val="24"/>
          <w:highlight w:val="none"/>
          <w:u w:val="single"/>
          <w:lang w:val="en-US" w:eastAsia="zh-CN"/>
        </w:rPr>
        <w:t>6</w:t>
      </w:r>
      <w:r>
        <w:rPr>
          <w:rFonts w:hint="eastAsia" w:ascii="宋体" w:hAnsi="宋体" w:eastAsia="宋体" w:cs="宋体"/>
          <w:color w:val="auto"/>
          <w:sz w:val="24"/>
          <w:highlight w:val="none"/>
          <w:u w:val="single"/>
        </w:rPr>
        <w:t>年</w:t>
      </w:r>
      <w:r>
        <w:rPr>
          <w:rFonts w:hint="eastAsia" w:cs="宋体"/>
          <w:color w:val="auto"/>
          <w:sz w:val="24"/>
          <w:highlight w:val="none"/>
          <w:u w:val="single"/>
          <w:lang w:val="en-US" w:eastAsia="zh-CN"/>
        </w:rPr>
        <w:t>6</w:t>
      </w:r>
      <w:r>
        <w:rPr>
          <w:rFonts w:hint="eastAsia" w:ascii="宋体" w:hAnsi="宋体" w:eastAsia="宋体" w:cs="宋体"/>
          <w:color w:val="auto"/>
          <w:sz w:val="24"/>
          <w:highlight w:val="none"/>
          <w:u w:val="single"/>
        </w:rPr>
        <w:t>月</w:t>
      </w:r>
      <w:r>
        <w:rPr>
          <w:rFonts w:hint="eastAsia" w:cs="宋体"/>
          <w:color w:val="auto"/>
          <w:sz w:val="24"/>
          <w:highlight w:val="none"/>
          <w:u w:val="single"/>
          <w:lang w:val="en-US" w:eastAsia="zh-CN"/>
        </w:rPr>
        <w:t>3</w:t>
      </w:r>
      <w:r>
        <w:rPr>
          <w:rFonts w:hint="eastAsia" w:ascii="宋体" w:hAnsi="宋体" w:eastAsia="宋体" w:cs="宋体"/>
          <w:color w:val="auto"/>
          <w:sz w:val="24"/>
          <w:highlight w:val="none"/>
          <w:u w:val="single"/>
        </w:rPr>
        <w:t>日，每天上午00:00至12:00，下午12:00至23:59（北京时间，法定节假日除外）</w:t>
      </w:r>
      <w:r>
        <w:rPr>
          <w:rFonts w:hint="eastAsia" w:ascii="宋体" w:hAnsi="宋体" w:eastAsia="宋体" w:cs="宋体"/>
          <w:color w:val="auto"/>
          <w:sz w:val="24"/>
          <w:szCs w:val="24"/>
          <w:highlight w:val="none"/>
          <w:lang w:val="hr-HR"/>
        </w:rPr>
        <w:t>。</w:t>
      </w:r>
    </w:p>
    <w:bookmarkEnd w:id="47"/>
    <w:p w14:paraId="34FD69CE">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hr-HR"/>
        </w:rPr>
        <w:t>2.</w:t>
      </w:r>
      <w:r>
        <w:rPr>
          <w:rFonts w:hint="eastAsia" w:ascii="宋体" w:hAnsi="宋体" w:eastAsia="宋体" w:cs="宋体"/>
          <w:color w:val="auto"/>
          <w:sz w:val="24"/>
          <w:szCs w:val="24"/>
          <w:highlight w:val="none"/>
        </w:rPr>
        <w:t>地点</w:t>
      </w:r>
      <w:r>
        <w:rPr>
          <w:rFonts w:hint="eastAsia" w:ascii="宋体" w:hAnsi="宋体" w:eastAsia="宋体" w:cs="宋体"/>
          <w:color w:val="auto"/>
          <w:sz w:val="24"/>
          <w:szCs w:val="24"/>
          <w:highlight w:val="none"/>
          <w:lang w:val="hr-HR"/>
        </w:rPr>
        <w:t>：</w:t>
      </w:r>
      <w:bookmarkStart w:id="54" w:name="_Hlk89807779"/>
      <w:r>
        <w:rPr>
          <w:rFonts w:hint="eastAsia" w:ascii="宋体" w:hAnsi="宋体" w:eastAsia="宋体" w:cs="宋体"/>
          <w:color w:val="auto"/>
          <w:sz w:val="24"/>
          <w:highlight w:val="none"/>
          <w:u w:val="single"/>
        </w:rPr>
        <w:t>政采云平台线上</w:t>
      </w:r>
      <w:r>
        <w:rPr>
          <w:rFonts w:hint="eastAsia" w:ascii="宋体" w:hAnsi="宋体" w:eastAsia="宋体" w:cs="宋体"/>
          <w:color w:val="auto"/>
          <w:sz w:val="24"/>
          <w:szCs w:val="24"/>
          <w:highlight w:val="none"/>
        </w:rPr>
        <w:t>。</w:t>
      </w:r>
      <w:bookmarkEnd w:id="54"/>
    </w:p>
    <w:p w14:paraId="5DDD414F">
      <w:pPr>
        <w:pStyle w:val="39"/>
        <w:spacing w:line="360" w:lineRule="auto"/>
        <w:rPr>
          <w:rFonts w:hint="eastAsia"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lang w:val="hr-HR"/>
        </w:rPr>
        <w:t>3.</w:t>
      </w:r>
      <w:r>
        <w:rPr>
          <w:rFonts w:hint="eastAsia" w:ascii="宋体" w:hAnsi="宋体" w:eastAsia="宋体" w:cs="宋体"/>
          <w:color w:val="auto"/>
          <w:sz w:val="24"/>
          <w:szCs w:val="24"/>
          <w:highlight w:val="none"/>
        </w:rPr>
        <w:t>方式</w:t>
      </w:r>
      <w:r>
        <w:rPr>
          <w:rFonts w:hint="eastAsia" w:ascii="宋体" w:hAnsi="宋体" w:eastAsia="宋体" w:cs="宋体"/>
          <w:color w:val="auto"/>
          <w:sz w:val="24"/>
          <w:szCs w:val="24"/>
          <w:highlight w:val="none"/>
          <w:lang w:val="hr-HR"/>
        </w:rPr>
        <w:t>：</w:t>
      </w:r>
      <w:r>
        <w:rPr>
          <w:rFonts w:hint="eastAsia" w:ascii="宋体" w:hAnsi="宋体" w:eastAsia="宋体" w:cs="宋体"/>
          <w:color w:val="auto"/>
          <w:sz w:val="24"/>
          <w:highlight w:val="none"/>
          <w:u w:val="single"/>
        </w:rPr>
        <w:t>供应商登录政采云平台https://www.zcygov.cn/在线申请获取采购文件（进入“项目采购”应用，在获取采购文件菜单中选择项目，申请获取采购文件），或者点击采购公告底部潜在供应商“获取采购文件”，页面跳转后登陆，直接获取采购文件</w:t>
      </w:r>
      <w:r>
        <w:rPr>
          <w:rFonts w:hint="eastAsia" w:ascii="宋体" w:hAnsi="宋体" w:eastAsia="宋体" w:cs="宋体"/>
          <w:color w:val="auto"/>
          <w:sz w:val="24"/>
          <w:szCs w:val="24"/>
          <w:highlight w:val="none"/>
          <w:lang w:val="en-US"/>
        </w:rPr>
        <w:t>。</w:t>
      </w:r>
    </w:p>
    <w:p w14:paraId="42A40251">
      <w:pPr>
        <w:pStyle w:val="39"/>
        <w:spacing w:line="360" w:lineRule="auto"/>
        <w:rPr>
          <w:rFonts w:hint="eastAsia" w:ascii="宋体" w:hAnsi="宋体" w:eastAsia="宋体" w:cs="宋体"/>
          <w:color w:val="auto"/>
          <w:sz w:val="24"/>
          <w:szCs w:val="24"/>
          <w:highlight w:val="none"/>
          <w:lang w:val="hr-HR"/>
        </w:rPr>
      </w:pPr>
      <w:r>
        <w:rPr>
          <w:rFonts w:hint="eastAsia" w:ascii="宋体" w:hAnsi="宋体" w:eastAsia="宋体" w:cs="宋体"/>
          <w:color w:val="auto"/>
          <w:sz w:val="24"/>
          <w:szCs w:val="24"/>
          <w:highlight w:val="none"/>
          <w:lang w:val="en-US" w:eastAsia="zh-CN"/>
        </w:rPr>
        <w:t>4.售价：0元。</w:t>
      </w:r>
      <w:r>
        <w:rPr>
          <w:rFonts w:hint="eastAsia" w:ascii="宋体" w:hAnsi="宋体" w:eastAsia="宋体" w:cs="宋体"/>
          <w:color w:val="auto"/>
          <w:sz w:val="24"/>
          <w:szCs w:val="24"/>
          <w:highlight w:val="none"/>
          <w:lang w:val="hr-HR"/>
        </w:rPr>
        <w:t xml:space="preserve"> </w:t>
      </w:r>
    </w:p>
    <w:bookmarkEnd w:id="48"/>
    <w:bookmarkEnd w:id="49"/>
    <w:bookmarkEnd w:id="50"/>
    <w:bookmarkEnd w:id="51"/>
    <w:bookmarkEnd w:id="52"/>
    <w:bookmarkEnd w:id="53"/>
    <w:p w14:paraId="62F53623">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55" w:name="_Toc140132748"/>
      <w:bookmarkStart w:id="56" w:name="_Toc155185863"/>
      <w:bookmarkStart w:id="57" w:name="_Toc109899832"/>
      <w:bookmarkStart w:id="58" w:name="_Toc109900251"/>
      <w:bookmarkStart w:id="59" w:name="_Toc109899413"/>
      <w:bookmarkStart w:id="60" w:name="_Toc28189"/>
      <w:bookmarkStart w:id="61" w:name="_Hlk130457395"/>
      <w:bookmarkStart w:id="62" w:name="_Toc35393634"/>
      <w:bookmarkStart w:id="63" w:name="_Toc35393803"/>
      <w:bookmarkStart w:id="64" w:name="_Toc44583633"/>
      <w:bookmarkStart w:id="65" w:name="_Toc28359017"/>
      <w:bookmarkStart w:id="66" w:name="_Toc28359094"/>
      <w:r>
        <w:rPr>
          <w:rFonts w:hint="eastAsia" w:ascii="宋体" w:hAnsi="宋体" w:eastAsia="宋体" w:cs="宋体"/>
          <w:b/>
          <w:bCs/>
          <w:color w:val="auto"/>
          <w:kern w:val="2"/>
          <w:sz w:val="24"/>
          <w:szCs w:val="24"/>
          <w:highlight w:val="none"/>
          <w:lang w:val="en-US" w:eastAsia="zh-CN" w:bidi="ar-SA"/>
        </w:rPr>
        <w:t>四、</w:t>
      </w:r>
      <w:bookmarkEnd w:id="55"/>
      <w:bookmarkEnd w:id="56"/>
      <w:bookmarkEnd w:id="57"/>
      <w:bookmarkEnd w:id="58"/>
      <w:bookmarkEnd w:id="59"/>
      <w:r>
        <w:rPr>
          <w:rFonts w:hint="eastAsia" w:ascii="宋体" w:hAnsi="宋体" w:eastAsia="宋体" w:cs="宋体"/>
          <w:b/>
          <w:bCs/>
          <w:color w:val="auto"/>
          <w:kern w:val="2"/>
          <w:sz w:val="24"/>
          <w:szCs w:val="24"/>
          <w:highlight w:val="none"/>
          <w:lang w:val="en-US" w:eastAsia="zh-CN" w:bidi="ar-SA"/>
        </w:rPr>
        <w:t>提交投标文件截止时间、开标时间和地点</w:t>
      </w:r>
      <w:bookmarkEnd w:id="60"/>
    </w:p>
    <w:p w14:paraId="2D110B47">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1.提交投标文件截止时间：</w:t>
      </w:r>
      <w:r>
        <w:rPr>
          <w:rFonts w:hint="eastAsia" w:cs="宋体"/>
          <w:color w:val="auto"/>
          <w:sz w:val="24"/>
          <w:szCs w:val="24"/>
          <w:highlight w:val="none"/>
          <w:u w:val="single"/>
          <w:lang w:val="en-US" w:eastAsia="zh-CN"/>
        </w:rPr>
        <w:t>2026</w:t>
      </w:r>
      <w:r>
        <w:rPr>
          <w:rFonts w:hint="eastAsia" w:ascii="宋体" w:hAnsi="宋体" w:eastAsia="宋体" w:cs="宋体"/>
          <w:i w:val="0"/>
          <w:iCs w:val="0"/>
          <w:color w:val="auto"/>
          <w:sz w:val="24"/>
          <w:szCs w:val="24"/>
          <w:highlight w:val="none"/>
          <w:u w:val="single"/>
          <w:lang w:eastAsia="zh-CN"/>
        </w:rPr>
        <w:t>年</w:t>
      </w:r>
      <w:r>
        <w:rPr>
          <w:rFonts w:hint="eastAsia" w:cs="宋体"/>
          <w:i w:val="0"/>
          <w:iCs w:val="0"/>
          <w:color w:val="auto"/>
          <w:sz w:val="24"/>
          <w:szCs w:val="24"/>
          <w:highlight w:val="none"/>
          <w:u w:val="single"/>
          <w:lang w:val="en-US" w:eastAsia="zh-CN"/>
        </w:rPr>
        <w:t>6</w:t>
      </w:r>
      <w:r>
        <w:rPr>
          <w:rFonts w:hint="eastAsia" w:ascii="宋体" w:hAnsi="宋体" w:eastAsia="宋体" w:cs="宋体"/>
          <w:i w:val="0"/>
          <w:iCs w:val="0"/>
          <w:color w:val="auto"/>
          <w:sz w:val="24"/>
          <w:szCs w:val="24"/>
          <w:highlight w:val="none"/>
          <w:u w:val="single"/>
          <w:lang w:eastAsia="zh-CN"/>
        </w:rPr>
        <w:t>月</w:t>
      </w:r>
      <w:r>
        <w:rPr>
          <w:rFonts w:hint="eastAsia" w:cs="宋体"/>
          <w:i w:val="0"/>
          <w:iCs w:val="0"/>
          <w:color w:val="auto"/>
          <w:sz w:val="24"/>
          <w:szCs w:val="24"/>
          <w:highlight w:val="none"/>
          <w:u w:val="single"/>
          <w:lang w:val="en-US" w:eastAsia="zh-CN"/>
        </w:rPr>
        <w:t>12</w:t>
      </w:r>
      <w:r>
        <w:rPr>
          <w:rFonts w:hint="eastAsia" w:ascii="宋体" w:hAnsi="宋体" w:eastAsia="宋体" w:cs="宋体"/>
          <w:i w:val="0"/>
          <w:iCs w:val="0"/>
          <w:color w:val="auto"/>
          <w:sz w:val="24"/>
          <w:szCs w:val="24"/>
          <w:highlight w:val="none"/>
          <w:u w:val="single"/>
          <w:lang w:eastAsia="zh-CN"/>
        </w:rPr>
        <w:t>日 10:</w:t>
      </w:r>
      <w:r>
        <w:rPr>
          <w:rFonts w:hint="eastAsia" w:cs="宋体"/>
          <w:i w:val="0"/>
          <w:iCs w:val="0"/>
          <w:color w:val="auto"/>
          <w:sz w:val="24"/>
          <w:szCs w:val="24"/>
          <w:highlight w:val="none"/>
          <w:u w:val="single"/>
          <w:lang w:val="en-US" w:eastAsia="zh-CN"/>
        </w:rPr>
        <w:t>0</w:t>
      </w:r>
      <w:r>
        <w:rPr>
          <w:rFonts w:hint="eastAsia" w:ascii="宋体" w:hAnsi="宋体" w:eastAsia="宋体" w:cs="宋体"/>
          <w:i w:val="0"/>
          <w:iCs w:val="0"/>
          <w:color w:val="auto"/>
          <w:sz w:val="24"/>
          <w:szCs w:val="24"/>
          <w:highlight w:val="none"/>
          <w:u w:val="single"/>
          <w:lang w:eastAsia="zh-CN"/>
        </w:rPr>
        <w:t>0（北京时间）</w:t>
      </w:r>
      <w:r>
        <w:rPr>
          <w:rFonts w:hint="eastAsia" w:ascii="宋体" w:hAnsi="宋体" w:eastAsia="宋体" w:cs="宋体"/>
          <w:color w:val="auto"/>
          <w:sz w:val="24"/>
          <w:szCs w:val="24"/>
          <w:highlight w:val="none"/>
        </w:rPr>
        <w:t>。</w:t>
      </w:r>
    </w:p>
    <w:p w14:paraId="51B173F3">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cs="宋体"/>
          <w:color w:val="auto"/>
          <w:sz w:val="24"/>
          <w:szCs w:val="24"/>
          <w:highlight w:val="none"/>
          <w:lang w:val="en-US" w:eastAsia="zh-CN"/>
        </w:rPr>
        <w:t>投标地点</w:t>
      </w:r>
      <w:r>
        <w:rPr>
          <w:rFonts w:hint="eastAsia" w:ascii="宋体" w:hAnsi="宋体" w:eastAsia="宋体" w:cs="宋体"/>
          <w:color w:val="auto"/>
          <w:sz w:val="24"/>
          <w:szCs w:val="24"/>
          <w:highlight w:val="none"/>
        </w:rPr>
        <w:t>：</w:t>
      </w:r>
      <w:bookmarkStart w:id="67" w:name="_Hlk89807823"/>
      <w:r>
        <w:rPr>
          <w:rFonts w:hint="eastAsia" w:ascii="宋体" w:hAnsi="宋体" w:eastAsia="宋体" w:cs="宋体"/>
          <w:color w:val="auto"/>
          <w:sz w:val="24"/>
          <w:szCs w:val="24"/>
          <w:highlight w:val="none"/>
        </w:rPr>
        <w:t>请登录政采云投标客户端投标。</w:t>
      </w:r>
      <w:bookmarkEnd w:id="67"/>
    </w:p>
    <w:p w14:paraId="100EB7C1">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3.开标时间：</w:t>
      </w:r>
      <w:r>
        <w:rPr>
          <w:rFonts w:hint="eastAsia" w:cs="宋体"/>
          <w:color w:val="auto"/>
          <w:sz w:val="24"/>
          <w:szCs w:val="24"/>
          <w:highlight w:val="none"/>
          <w:u w:val="single"/>
          <w:lang w:val="en-US" w:eastAsia="zh-CN"/>
        </w:rPr>
        <w:t>2026</w:t>
      </w:r>
      <w:r>
        <w:rPr>
          <w:rFonts w:hint="eastAsia" w:ascii="宋体" w:hAnsi="宋体" w:eastAsia="宋体" w:cs="宋体"/>
          <w:i w:val="0"/>
          <w:iCs w:val="0"/>
          <w:color w:val="auto"/>
          <w:sz w:val="24"/>
          <w:szCs w:val="24"/>
          <w:highlight w:val="none"/>
          <w:u w:val="single"/>
          <w:lang w:eastAsia="zh-CN"/>
        </w:rPr>
        <w:t>年</w:t>
      </w:r>
      <w:r>
        <w:rPr>
          <w:rFonts w:hint="eastAsia" w:cs="宋体"/>
          <w:i w:val="0"/>
          <w:iCs w:val="0"/>
          <w:color w:val="auto"/>
          <w:sz w:val="24"/>
          <w:szCs w:val="24"/>
          <w:highlight w:val="none"/>
          <w:u w:val="single"/>
          <w:lang w:val="en-US" w:eastAsia="zh-CN"/>
        </w:rPr>
        <w:t>6</w:t>
      </w:r>
      <w:r>
        <w:rPr>
          <w:rFonts w:hint="eastAsia" w:ascii="宋体" w:hAnsi="宋体" w:eastAsia="宋体" w:cs="宋体"/>
          <w:i w:val="0"/>
          <w:iCs w:val="0"/>
          <w:color w:val="auto"/>
          <w:sz w:val="24"/>
          <w:szCs w:val="24"/>
          <w:highlight w:val="none"/>
          <w:u w:val="single"/>
          <w:lang w:eastAsia="zh-CN"/>
        </w:rPr>
        <w:t>月</w:t>
      </w:r>
      <w:r>
        <w:rPr>
          <w:rFonts w:hint="eastAsia" w:cs="宋体"/>
          <w:i w:val="0"/>
          <w:iCs w:val="0"/>
          <w:color w:val="auto"/>
          <w:sz w:val="24"/>
          <w:szCs w:val="24"/>
          <w:highlight w:val="none"/>
          <w:u w:val="single"/>
          <w:lang w:val="en-US" w:eastAsia="zh-CN"/>
        </w:rPr>
        <w:t>12</w:t>
      </w:r>
      <w:r>
        <w:rPr>
          <w:rFonts w:hint="eastAsia" w:ascii="宋体" w:hAnsi="宋体" w:eastAsia="宋体" w:cs="宋体"/>
          <w:i w:val="0"/>
          <w:iCs w:val="0"/>
          <w:color w:val="auto"/>
          <w:sz w:val="24"/>
          <w:szCs w:val="24"/>
          <w:highlight w:val="none"/>
          <w:u w:val="single"/>
          <w:lang w:eastAsia="zh-CN"/>
        </w:rPr>
        <w:t>日 10:</w:t>
      </w:r>
      <w:r>
        <w:rPr>
          <w:rFonts w:hint="eastAsia" w:cs="宋体"/>
          <w:i w:val="0"/>
          <w:iCs w:val="0"/>
          <w:color w:val="auto"/>
          <w:sz w:val="24"/>
          <w:szCs w:val="24"/>
          <w:highlight w:val="none"/>
          <w:u w:val="single"/>
          <w:lang w:val="en-US" w:eastAsia="zh-CN"/>
        </w:rPr>
        <w:t>0</w:t>
      </w:r>
      <w:r>
        <w:rPr>
          <w:rFonts w:hint="eastAsia" w:ascii="宋体" w:hAnsi="宋体" w:eastAsia="宋体" w:cs="宋体"/>
          <w:i w:val="0"/>
          <w:iCs w:val="0"/>
          <w:color w:val="auto"/>
          <w:sz w:val="24"/>
          <w:szCs w:val="24"/>
          <w:highlight w:val="none"/>
          <w:u w:val="single"/>
          <w:lang w:eastAsia="zh-CN"/>
        </w:rPr>
        <w:t>0（北京时间）。</w:t>
      </w:r>
    </w:p>
    <w:p w14:paraId="276D3E17">
      <w:pPr>
        <w:pStyle w:val="39"/>
        <w:spacing w:line="360" w:lineRule="auto"/>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4</w:t>
      </w:r>
      <w:r>
        <w:rPr>
          <w:rFonts w:hint="eastAsia" w:ascii="宋体" w:hAnsi="宋体" w:eastAsia="宋体" w:cs="宋体"/>
          <w:color w:val="auto"/>
          <w:sz w:val="24"/>
          <w:szCs w:val="24"/>
          <w:highlight w:val="none"/>
        </w:rPr>
        <w:t>.开标</w:t>
      </w:r>
      <w:r>
        <w:rPr>
          <w:rFonts w:hint="eastAsia" w:ascii="宋体" w:hAnsi="宋体" w:eastAsia="宋体" w:cs="宋体"/>
          <w:color w:val="auto"/>
          <w:sz w:val="24"/>
          <w:szCs w:val="24"/>
          <w:highlight w:val="none"/>
          <w:lang w:val="en-US"/>
        </w:rPr>
        <w:t>地点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投标</w:t>
      </w:r>
      <w:r>
        <w:rPr>
          <w:rFonts w:hint="eastAsia" w:ascii="宋体" w:hAnsi="宋体" w:eastAsia="宋体" w:cs="宋体"/>
          <w:color w:val="auto"/>
          <w:sz w:val="24"/>
          <w:szCs w:val="24"/>
          <w:highlight w:val="none"/>
          <w:lang w:val="en-US" w:eastAsia="zh-CN"/>
        </w:rPr>
        <w:t>人</w:t>
      </w:r>
      <w:r>
        <w:rPr>
          <w:rFonts w:hint="eastAsia" w:ascii="宋体" w:hAnsi="宋体" w:eastAsia="宋体" w:cs="宋体"/>
          <w:color w:val="auto"/>
          <w:sz w:val="24"/>
          <w:szCs w:val="24"/>
          <w:highlight w:val="none"/>
          <w:lang w:val="en-US"/>
        </w:rPr>
        <w:t>登录政采云平台https</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rPr>
        <w:t>//www.zcygov.cn/，进入项目采购</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开</w:t>
      </w:r>
      <w:r>
        <w:rPr>
          <w:rFonts w:hint="eastAsia" w:ascii="宋体" w:hAnsi="宋体" w:eastAsia="宋体" w:cs="宋体"/>
          <w:color w:val="auto"/>
          <w:sz w:val="24"/>
          <w:szCs w:val="24"/>
          <w:highlight w:val="none"/>
          <w:lang w:val="en-US" w:eastAsia="zh-CN"/>
        </w:rPr>
        <w:t>标</w:t>
      </w:r>
      <w:r>
        <w:rPr>
          <w:rFonts w:hint="eastAsia" w:ascii="宋体" w:hAnsi="宋体" w:eastAsia="宋体" w:cs="宋体"/>
          <w:color w:val="auto"/>
          <w:sz w:val="24"/>
          <w:szCs w:val="24"/>
          <w:highlight w:val="none"/>
          <w:lang w:val="en-US"/>
        </w:rPr>
        <w:t>评标</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val="en-US"/>
        </w:rPr>
        <w:t>右边选择对应项目点击“进入项目”进入开标大厅</w:t>
      </w:r>
      <w:r>
        <w:rPr>
          <w:rFonts w:hint="eastAsia" w:ascii="宋体" w:hAnsi="宋体" w:eastAsia="宋体" w:cs="宋体"/>
          <w:color w:val="auto"/>
          <w:sz w:val="24"/>
          <w:szCs w:val="24"/>
          <w:highlight w:val="none"/>
        </w:rPr>
        <w:t>。</w:t>
      </w:r>
    </w:p>
    <w:bookmarkEnd w:id="61"/>
    <w:p w14:paraId="679A69E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68" w:name="_Toc155185864"/>
      <w:bookmarkStart w:id="69" w:name="_Toc140132749"/>
      <w:bookmarkStart w:id="70" w:name="_Toc109900252"/>
      <w:bookmarkStart w:id="71" w:name="_Toc109899833"/>
      <w:bookmarkStart w:id="72" w:name="_Toc109899414"/>
      <w:bookmarkStart w:id="73" w:name="_Toc28433"/>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hr-HR" w:eastAsia="zh-CN" w:bidi="ar-SA"/>
        </w:rPr>
        <w:t>公告期限</w:t>
      </w:r>
      <w:bookmarkEnd w:id="62"/>
      <w:bookmarkEnd w:id="63"/>
      <w:bookmarkEnd w:id="64"/>
      <w:bookmarkEnd w:id="65"/>
      <w:bookmarkEnd w:id="66"/>
      <w:bookmarkEnd w:id="68"/>
      <w:bookmarkEnd w:id="69"/>
      <w:bookmarkEnd w:id="70"/>
      <w:bookmarkEnd w:id="71"/>
      <w:bookmarkEnd w:id="72"/>
      <w:bookmarkEnd w:id="73"/>
    </w:p>
    <w:p w14:paraId="32028F42">
      <w:pPr>
        <w:pStyle w:val="39"/>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自招标公告发布之日起5个工作日。</w:t>
      </w:r>
    </w:p>
    <w:p w14:paraId="20DD1AA0">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74" w:name="_Toc109899415"/>
      <w:bookmarkStart w:id="75" w:name="_Toc22371"/>
      <w:bookmarkStart w:id="76" w:name="_Toc35393635"/>
      <w:bookmarkStart w:id="77" w:name="_Toc109899834"/>
      <w:bookmarkStart w:id="78" w:name="_Toc109900253"/>
      <w:bookmarkStart w:id="79" w:name="_Toc155185865"/>
      <w:bookmarkStart w:id="80" w:name="_Toc35393804"/>
      <w:bookmarkStart w:id="81" w:name="_Toc44583634"/>
      <w:bookmarkStart w:id="82" w:name="_Toc140132750"/>
      <w:bookmarkStart w:id="83" w:name="_Toc35393637"/>
      <w:bookmarkStart w:id="84" w:name="_Toc28359096"/>
      <w:bookmarkStart w:id="85" w:name="_Toc35393806"/>
      <w:bookmarkStart w:id="86" w:name="_Toc28359019"/>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hr-HR" w:eastAsia="zh-CN" w:bidi="ar-SA"/>
        </w:rPr>
        <w:t>其他补充事宜</w:t>
      </w:r>
      <w:bookmarkEnd w:id="74"/>
      <w:bookmarkEnd w:id="75"/>
      <w:bookmarkEnd w:id="76"/>
      <w:bookmarkEnd w:id="77"/>
      <w:bookmarkEnd w:id="78"/>
      <w:bookmarkEnd w:id="79"/>
      <w:bookmarkEnd w:id="80"/>
      <w:bookmarkEnd w:id="81"/>
      <w:bookmarkEnd w:id="82"/>
    </w:p>
    <w:p w14:paraId="743BCBD0">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1、本项目实行网上投标，采用电子投标文件；</w:t>
      </w:r>
    </w:p>
    <w:p w14:paraId="1175B44A">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w:t>
      </w:r>
      <w:r>
        <w:rPr>
          <w:rFonts w:hint="eastAsia" w:ascii="宋体" w:hAnsi="宋体" w:eastAsia="宋体" w:cs="宋体"/>
          <w:bCs/>
          <w:i w:val="0"/>
          <w:iCs w:val="0"/>
          <w:color w:val="auto"/>
          <w:sz w:val="24"/>
          <w:szCs w:val="24"/>
          <w:highlight w:val="none"/>
        </w:rPr>
        <w:t>各供应商应在开标前应确保成为政采云平台供应商，并完成CA数字证书（符合国密标准）申领。因未注册入库、未办理CA数字证书等原因造成无法投标或投标失败等后果由供应商自行承担。</w:t>
      </w:r>
      <w:r>
        <w:rPr>
          <w:rFonts w:hint="eastAsia" w:cs="宋体"/>
          <w:bCs/>
          <w:i w:val="0"/>
          <w:iCs w:val="0"/>
          <w:color w:val="auto"/>
          <w:sz w:val="24"/>
          <w:szCs w:val="24"/>
          <w:highlight w:val="none"/>
          <w:lang w:val="en-US" w:eastAsia="zh-CN"/>
        </w:rPr>
        <w:t>相关事宜</w:t>
      </w:r>
      <w:r>
        <w:rPr>
          <w:rFonts w:hint="eastAsia" w:ascii="宋体" w:hAnsi="宋体" w:eastAsia="宋体" w:cs="宋体"/>
          <w:bCs/>
          <w:i w:val="0"/>
          <w:iCs w:val="0"/>
          <w:color w:val="auto"/>
          <w:sz w:val="24"/>
          <w:szCs w:val="24"/>
          <w:highlight w:val="none"/>
        </w:rPr>
        <w:t>可</w:t>
      </w:r>
      <w:r>
        <w:rPr>
          <w:rFonts w:hint="eastAsia" w:cs="宋体"/>
          <w:bCs/>
          <w:i w:val="0"/>
          <w:iCs w:val="0"/>
          <w:color w:val="auto"/>
          <w:sz w:val="24"/>
          <w:szCs w:val="24"/>
          <w:highlight w:val="none"/>
          <w:lang w:val="en-US" w:eastAsia="zh-CN"/>
        </w:rPr>
        <w:t>访问新疆</w:t>
      </w:r>
      <w:r>
        <w:rPr>
          <w:rFonts w:hint="eastAsia" w:ascii="宋体" w:hAnsi="宋体" w:eastAsia="宋体" w:cs="宋体"/>
          <w:bCs/>
          <w:i w:val="0"/>
          <w:iCs w:val="0"/>
          <w:color w:val="auto"/>
          <w:sz w:val="24"/>
          <w:szCs w:val="24"/>
          <w:highlight w:val="none"/>
        </w:rPr>
        <w:t>政府采购网</w:t>
      </w:r>
      <w:r>
        <w:rPr>
          <w:rFonts w:hint="eastAsia" w:cs="宋体"/>
          <w:bCs/>
          <w:i w:val="0"/>
          <w:iCs w:val="0"/>
          <w:color w:val="auto"/>
          <w:sz w:val="24"/>
          <w:szCs w:val="24"/>
          <w:highlight w:val="none"/>
          <w:lang w:eastAsia="zh-CN"/>
        </w:rPr>
        <w:t>（http://www.ccgp-xinjiang.gov.cn/）</w:t>
      </w:r>
      <w:r>
        <w:rPr>
          <w:rFonts w:hint="eastAsia" w:cs="宋体"/>
          <w:bCs/>
          <w:i w:val="0"/>
          <w:iCs w:val="0"/>
          <w:color w:val="auto"/>
          <w:sz w:val="24"/>
          <w:szCs w:val="24"/>
          <w:highlight w:val="none"/>
          <w:lang w:val="en-US" w:eastAsia="zh-CN"/>
        </w:rPr>
        <w:t>主页</w:t>
      </w:r>
      <w:r>
        <w:rPr>
          <w:rFonts w:hint="eastAsia" w:ascii="宋体" w:hAnsi="宋体" w:eastAsia="宋体" w:cs="宋体"/>
          <w:bCs/>
          <w:i w:val="0"/>
          <w:iCs w:val="0"/>
          <w:color w:val="auto"/>
          <w:sz w:val="24"/>
          <w:szCs w:val="24"/>
          <w:highlight w:val="none"/>
        </w:rPr>
        <w:t>-办事指南-</w:t>
      </w:r>
      <w:r>
        <w:rPr>
          <w:rFonts w:hint="eastAsia" w:cs="宋体"/>
          <w:bCs/>
          <w:i w:val="0"/>
          <w:iCs w:val="0"/>
          <w:color w:val="auto"/>
          <w:sz w:val="24"/>
          <w:szCs w:val="24"/>
          <w:highlight w:val="none"/>
          <w:lang w:val="en-US" w:eastAsia="zh-CN"/>
        </w:rPr>
        <w:t>供应商</w:t>
      </w:r>
      <w:r>
        <w:rPr>
          <w:rFonts w:hint="eastAsia" w:ascii="宋体" w:hAnsi="宋体" w:eastAsia="宋体" w:cs="宋体"/>
          <w:bCs/>
          <w:i w:val="0"/>
          <w:iCs w:val="0"/>
          <w:color w:val="auto"/>
          <w:sz w:val="24"/>
          <w:szCs w:val="24"/>
          <w:highlight w:val="none"/>
        </w:rPr>
        <w:t>-CA证书办理操作指南。</w:t>
      </w:r>
    </w:p>
    <w:p w14:paraId="4A0DF2D4">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3、供应商将政采云电子交易客户端下载、安装完成后，可通过账号密码或CA登录客户端进行</w:t>
      </w:r>
      <w:r>
        <w:rPr>
          <w:rFonts w:hint="eastAsia" w:cs="宋体"/>
          <w:color w:val="auto"/>
          <w:sz w:val="24"/>
          <w:szCs w:val="24"/>
          <w:highlight w:val="none"/>
          <w:lang w:val="en-US" w:eastAsia="zh-CN"/>
        </w:rPr>
        <w:t>投标文件</w:t>
      </w:r>
      <w:r>
        <w:rPr>
          <w:rFonts w:hint="eastAsia" w:ascii="宋体" w:hAnsi="宋体" w:eastAsia="宋体" w:cs="宋体"/>
          <w:color w:val="auto"/>
          <w:sz w:val="24"/>
          <w:szCs w:val="24"/>
          <w:highlight w:val="none"/>
          <w:lang w:val="en-US" w:eastAsia="zh-CN"/>
        </w:rPr>
        <w:t>的制作。在使用政采云投标客户端时，建议使用WIN7（64位）及以上操作系统。相关事宜可访问（http://www.ccgp-xinjiang.gov.cn/）主页-下载专区查看，如有问题可拨打政采云客户服务热线95763进行咨询。</w:t>
      </w:r>
    </w:p>
    <w:p w14:paraId="1E1B9BAC">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cs="宋体"/>
          <w:color w:val="auto"/>
          <w:sz w:val="24"/>
          <w:szCs w:val="24"/>
          <w:highlight w:val="none"/>
          <w:lang w:val="en-US" w:eastAsia="zh-CN"/>
        </w:rPr>
        <w:t>开标</w:t>
      </w:r>
      <w:r>
        <w:rPr>
          <w:rFonts w:hint="eastAsia" w:ascii="宋体" w:hAnsi="宋体" w:eastAsia="宋体" w:cs="宋体"/>
          <w:color w:val="auto"/>
          <w:sz w:val="24"/>
          <w:szCs w:val="24"/>
          <w:highlight w:val="none"/>
          <w:lang w:val="en-US" w:eastAsia="zh-CN"/>
        </w:rPr>
        <w:t>当日，供应商无需到达开标现场，仅需通过政采云平台“不见面”开标大厅完成远程解密、询标澄清、在线报价等交互环节。供应商必须使用能正确解密</w:t>
      </w:r>
      <w:r>
        <w:rPr>
          <w:rFonts w:hint="eastAsia" w:cs="宋体"/>
          <w:color w:val="auto"/>
          <w:sz w:val="24"/>
          <w:szCs w:val="24"/>
          <w:highlight w:val="none"/>
          <w:lang w:val="en-US" w:eastAsia="zh-CN"/>
        </w:rPr>
        <w:t>投标文件</w:t>
      </w:r>
      <w:r>
        <w:rPr>
          <w:rFonts w:hint="eastAsia" w:ascii="宋体" w:hAnsi="宋体" w:eastAsia="宋体" w:cs="宋体"/>
          <w:color w:val="auto"/>
          <w:sz w:val="24"/>
          <w:szCs w:val="24"/>
          <w:highlight w:val="none"/>
          <w:lang w:val="en-US" w:eastAsia="zh-CN"/>
        </w:rPr>
        <w:t>的“CA锁”在规定的时间内完成远程解密，如因供应商自身原因导致在规定时间内无法正常解密的（如：浏览器故障、未安装相关驱动、网络故障、加密CA与解密CA不一致等），采购人/代理机构不予异常处理，视为供应商自动弃标</w:t>
      </w:r>
      <w:r>
        <w:rPr>
          <w:rFonts w:hint="eastAsia" w:cs="宋体"/>
          <w:color w:val="auto"/>
          <w:sz w:val="24"/>
          <w:szCs w:val="24"/>
          <w:highlight w:val="none"/>
          <w:lang w:val="en-US" w:eastAsia="zh-CN"/>
        </w:rPr>
        <w:t>。</w:t>
      </w:r>
    </w:p>
    <w:p w14:paraId="548B7FB7">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5、本项目执行国家及项目所在地政府采购政策，包括但不限于：促进中小企业、残疾人福利、不发达地区企业发展扶持政策、节能、环保产品的强制采购及优先采购政策等。</w:t>
      </w:r>
    </w:p>
    <w:p w14:paraId="098D3839">
      <w:pPr>
        <w:keepNext w:val="0"/>
        <w:keepLines w:val="0"/>
        <w:pageBreakBefore w:val="0"/>
        <w:widowControl w:val="0"/>
        <w:kinsoku/>
        <w:wordWrap/>
        <w:overflowPunct/>
        <w:topLinePunct w:val="0"/>
        <w:autoSpaceDE/>
        <w:autoSpaceDN/>
        <w:bidi w:val="0"/>
        <w:adjustRightInd/>
        <w:snapToGrid/>
        <w:spacing w:line="440" w:lineRule="exact"/>
        <w:jc w:val="left"/>
        <w:textAlignment w:val="auto"/>
        <w:rPr>
          <w:rFonts w:hint="eastAsia" w:ascii="宋体" w:hAnsi="宋体" w:cs="宋体"/>
          <w:b/>
          <w:bCs/>
          <w:color w:val="auto"/>
          <w:kern w:val="0"/>
          <w:sz w:val="24"/>
          <w:highlight w:val="none"/>
          <w:lang w:eastAsia="zh-Hans"/>
        </w:rPr>
      </w:pPr>
      <w:r>
        <w:rPr>
          <w:rFonts w:hint="eastAsia" w:ascii="宋体" w:hAnsi="宋体" w:cs="宋体"/>
          <w:b/>
          <w:bCs/>
          <w:color w:val="auto"/>
          <w:kern w:val="0"/>
          <w:sz w:val="24"/>
          <w:highlight w:val="none"/>
          <w:lang w:eastAsia="zh-Hans"/>
        </w:rPr>
        <w:t>特别提示：</w:t>
      </w:r>
    </w:p>
    <w:p w14:paraId="47BF09F8">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宋体"/>
          <w:b/>
          <w:bCs/>
          <w:color w:val="auto"/>
          <w:kern w:val="0"/>
          <w:sz w:val="24"/>
          <w:highlight w:val="none"/>
          <w:lang w:eastAsia="zh-Hans"/>
        </w:rPr>
      </w:pPr>
      <w:r>
        <w:rPr>
          <w:rFonts w:hint="eastAsia" w:ascii="宋体" w:hAnsi="宋体" w:eastAsia="宋体" w:cs="宋体"/>
          <w:b/>
          <w:bCs/>
          <w:color w:val="auto"/>
          <w:kern w:val="0"/>
          <w:sz w:val="24"/>
          <w:highlight w:val="none"/>
          <w:lang w:eastAsia="zh-Hans"/>
        </w:rPr>
        <w:t>1、采购限额标准以上，200万元以下的货物和服务采购项目、400万元以下的工程采购项目，适宜由中小企业提供的，采购人应当专门面向中小企业采购。</w:t>
      </w:r>
    </w:p>
    <w:p w14:paraId="60503B59">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宋体"/>
          <w:b/>
          <w:bCs/>
          <w:color w:val="auto"/>
          <w:kern w:val="0"/>
          <w:sz w:val="24"/>
          <w:highlight w:val="none"/>
          <w:lang w:eastAsia="zh-Hans"/>
        </w:rPr>
      </w:pPr>
      <w:r>
        <w:rPr>
          <w:rFonts w:hint="eastAsia" w:ascii="宋体" w:hAnsi="宋体" w:eastAsia="宋体" w:cs="宋体"/>
          <w:b/>
          <w:bCs/>
          <w:color w:val="auto"/>
          <w:kern w:val="0"/>
          <w:sz w:val="24"/>
          <w:highlight w:val="none"/>
          <w:lang w:eastAsia="zh-Hans"/>
        </w:rPr>
        <w:t>2、超过200万元的货物和服务采购项目，预留该部分采购项目预算总额的30%以上专门面向中小企业采购，其中预留给小微企业的比例不低于60%。</w:t>
      </w:r>
    </w:p>
    <w:p w14:paraId="7DBCA4B4">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宋体"/>
          <w:b/>
          <w:bCs/>
          <w:color w:val="auto"/>
          <w:kern w:val="0"/>
          <w:sz w:val="24"/>
          <w:highlight w:val="none"/>
          <w:lang w:eastAsia="zh-Hans"/>
        </w:rPr>
      </w:pPr>
      <w:r>
        <w:rPr>
          <w:rFonts w:hint="eastAsia" w:ascii="宋体" w:hAnsi="宋体" w:eastAsia="宋体" w:cs="宋体"/>
          <w:b/>
          <w:bCs/>
          <w:color w:val="auto"/>
          <w:kern w:val="0"/>
          <w:sz w:val="24"/>
          <w:highlight w:val="none"/>
          <w:lang w:eastAsia="zh-Hans"/>
        </w:rPr>
        <w:t>3、超过400万元的工程采购项目中适宜由中小企业提供的，预留该部分采购项目预算总额的40%以上专门面向中小企业采购，其中预留给小微企业的比例不低于60%。</w:t>
      </w:r>
    </w:p>
    <w:p w14:paraId="1F046405">
      <w:pPr>
        <w:keepNext w:val="0"/>
        <w:keepLines w:val="0"/>
        <w:pageBreakBefore w:val="0"/>
        <w:widowControl w:val="0"/>
        <w:kinsoku/>
        <w:wordWrap/>
        <w:overflowPunct/>
        <w:topLinePunct w:val="0"/>
        <w:autoSpaceDE/>
        <w:autoSpaceDN/>
        <w:bidi w:val="0"/>
        <w:adjustRightInd/>
        <w:snapToGrid/>
        <w:spacing w:line="440" w:lineRule="exact"/>
        <w:ind w:firstLine="482" w:firstLineChars="200"/>
        <w:jc w:val="left"/>
        <w:textAlignment w:val="auto"/>
        <w:rPr>
          <w:rFonts w:hint="eastAsia" w:ascii="宋体" w:hAnsi="宋体" w:eastAsia="宋体" w:cs="宋体"/>
          <w:b/>
          <w:bCs/>
          <w:color w:val="auto"/>
          <w:kern w:val="0"/>
          <w:sz w:val="24"/>
          <w:highlight w:val="none"/>
          <w:lang w:eastAsia="zh-Hans"/>
        </w:rPr>
      </w:pPr>
      <w:r>
        <w:rPr>
          <w:rFonts w:hint="eastAsia" w:ascii="宋体" w:hAnsi="宋体" w:eastAsia="宋体" w:cs="宋体"/>
          <w:b/>
          <w:bCs/>
          <w:color w:val="auto"/>
          <w:kern w:val="0"/>
          <w:sz w:val="24"/>
          <w:highlight w:val="none"/>
          <w:lang w:eastAsia="zh-Hans"/>
        </w:rPr>
        <w:t>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估法但未采用低价优先法计算价格分的，评标时应当在采用原报价进行评分的基础上增加其价格得分的3%~5%作为其价格分。</w:t>
      </w:r>
    </w:p>
    <w:p w14:paraId="673C085A">
      <w:pPr>
        <w:pStyle w:val="39"/>
        <w:spacing w:line="360" w:lineRule="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0"/>
          <w:sz w:val="24"/>
          <w:highlight w:val="none"/>
          <w:lang w:eastAsia="zh-Hans"/>
        </w:rPr>
        <w:t>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估法但未采用低价优先法计算价格分的，评标时应当在采用原报价进行评分的基础上增加其价格得分的1%~2%作为其价格分。</w:t>
      </w:r>
    </w:p>
    <w:bookmarkEnd w:id="2"/>
    <w:bookmarkEnd w:id="83"/>
    <w:bookmarkEnd w:id="84"/>
    <w:bookmarkEnd w:id="85"/>
    <w:bookmarkEnd w:id="86"/>
    <w:p w14:paraId="723251BD">
      <w:pPr>
        <w:pStyle w:val="3"/>
        <w:keepNext/>
        <w:keepLines/>
        <w:pageBreakBefore w:val="0"/>
        <w:widowControl w:val="0"/>
        <w:numPr>
          <w:ilvl w:val="0"/>
          <w:numId w:val="0"/>
        </w:numPr>
        <w:kinsoku/>
        <w:wordWrap/>
        <w:overflowPunct/>
        <w:topLinePunct w:val="0"/>
        <w:autoSpaceDE/>
        <w:autoSpaceDN/>
        <w:bidi w:val="0"/>
        <w:adjustRightInd/>
        <w:snapToGrid/>
        <w:spacing w:before="157" w:beforeLines="50" w:after="157" w:afterLines="50" w:line="360" w:lineRule="auto"/>
        <w:ind w:left="420" w:leftChars="0" w:hanging="420" w:firstLineChars="0"/>
        <w:textAlignment w:val="auto"/>
        <w:rPr>
          <w:rFonts w:hint="eastAsia" w:ascii="宋体" w:hAnsi="宋体" w:eastAsia="宋体" w:cs="宋体"/>
          <w:b/>
          <w:bCs/>
          <w:color w:val="auto"/>
          <w:kern w:val="2"/>
          <w:sz w:val="24"/>
          <w:szCs w:val="24"/>
          <w:highlight w:val="none"/>
          <w:lang w:val="hr-HR" w:eastAsia="zh-CN" w:bidi="ar-SA"/>
        </w:rPr>
      </w:pPr>
      <w:bookmarkStart w:id="87" w:name="_Toc140132751"/>
      <w:bookmarkStart w:id="88" w:name="_Toc109899835"/>
      <w:bookmarkStart w:id="89" w:name="_Toc35393636"/>
      <w:bookmarkStart w:id="90" w:name="_Toc155185866"/>
      <w:bookmarkStart w:id="91" w:name="_Toc109899416"/>
      <w:bookmarkStart w:id="92" w:name="_Toc35393805"/>
      <w:bookmarkStart w:id="93" w:name="_Toc28359018"/>
      <w:bookmarkStart w:id="94" w:name="_Toc44583635"/>
      <w:bookmarkStart w:id="95" w:name="_Toc109900254"/>
      <w:bookmarkStart w:id="96" w:name="_Toc28359095"/>
      <w:bookmarkStart w:id="97" w:name="_Toc13"/>
      <w:r>
        <w:rPr>
          <w:rFonts w:hint="eastAsia" w:ascii="宋体" w:hAnsi="宋体" w:eastAsia="宋体" w:cs="宋体"/>
          <w:b/>
          <w:bCs/>
          <w:color w:val="auto"/>
          <w:kern w:val="2"/>
          <w:sz w:val="24"/>
          <w:szCs w:val="24"/>
          <w:highlight w:val="none"/>
          <w:lang w:val="en-US" w:eastAsia="zh-CN" w:bidi="ar-SA"/>
        </w:rPr>
        <w:t>七、</w:t>
      </w:r>
      <w:bookmarkEnd w:id="87"/>
      <w:bookmarkEnd w:id="88"/>
      <w:bookmarkEnd w:id="89"/>
      <w:bookmarkEnd w:id="90"/>
      <w:bookmarkEnd w:id="91"/>
      <w:bookmarkEnd w:id="92"/>
      <w:bookmarkEnd w:id="93"/>
      <w:bookmarkEnd w:id="94"/>
      <w:bookmarkEnd w:id="95"/>
      <w:bookmarkEnd w:id="96"/>
      <w:r>
        <w:rPr>
          <w:rFonts w:hint="eastAsia" w:ascii="宋体" w:hAnsi="宋体" w:eastAsia="宋体" w:cs="宋体"/>
          <w:b/>
          <w:bCs/>
          <w:color w:val="auto"/>
          <w:kern w:val="2"/>
          <w:sz w:val="24"/>
          <w:szCs w:val="24"/>
          <w:highlight w:val="none"/>
          <w:lang w:val="hr-HR" w:eastAsia="zh-CN" w:bidi="ar-SA"/>
        </w:rPr>
        <w:t>对本次</w:t>
      </w:r>
      <w:r>
        <w:rPr>
          <w:rFonts w:hint="eastAsia" w:ascii="宋体" w:hAnsi="宋体" w:eastAsia="宋体" w:cs="宋体"/>
          <w:b/>
          <w:bCs/>
          <w:color w:val="auto"/>
          <w:kern w:val="2"/>
          <w:sz w:val="24"/>
          <w:szCs w:val="24"/>
          <w:highlight w:val="none"/>
          <w:lang w:val="en-US" w:eastAsia="zh-CN" w:bidi="ar-SA"/>
        </w:rPr>
        <w:t>招标</w:t>
      </w:r>
      <w:r>
        <w:rPr>
          <w:rFonts w:hint="eastAsia" w:ascii="宋体" w:hAnsi="宋体" w:eastAsia="宋体" w:cs="宋体"/>
          <w:b/>
          <w:bCs/>
          <w:color w:val="auto"/>
          <w:kern w:val="2"/>
          <w:sz w:val="24"/>
          <w:szCs w:val="24"/>
          <w:highlight w:val="none"/>
          <w:lang w:val="hr-HR" w:eastAsia="zh-CN" w:bidi="ar-SA"/>
        </w:rPr>
        <w:t>提出询问，请按以下方式联系</w:t>
      </w:r>
      <w:bookmarkEnd w:id="97"/>
    </w:p>
    <w:p w14:paraId="7B213880">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1.采购人信息</w:t>
      </w:r>
    </w:p>
    <w:p w14:paraId="20D86049">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名称：哈密市住房和城乡建设局</w:t>
      </w:r>
    </w:p>
    <w:p w14:paraId="7666CBE9">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 xml:space="preserve">地址：哈密市伊州区园林路2号 </w:t>
      </w:r>
    </w:p>
    <w:p w14:paraId="465793B6">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u w:val="none"/>
        </w:rPr>
      </w:pPr>
      <w:r>
        <w:rPr>
          <w:rFonts w:hint="eastAsia" w:ascii="宋体" w:hAnsi="宋体" w:eastAsia="宋体" w:cs="宋体"/>
          <w:color w:val="auto"/>
          <w:sz w:val="24"/>
          <w:highlight w:val="none"/>
          <w:u w:val="none"/>
        </w:rPr>
        <w:t>联系方式：</w:t>
      </w:r>
      <w:bookmarkStart w:id="98" w:name="_Hlk46775675"/>
      <w:r>
        <w:rPr>
          <w:rFonts w:hint="eastAsia" w:ascii="宋体" w:hAnsi="宋体" w:eastAsia="宋体" w:cs="宋体"/>
          <w:color w:val="auto"/>
          <w:sz w:val="24"/>
          <w:highlight w:val="none"/>
          <w:u w:val="none"/>
        </w:rPr>
        <w:t xml:space="preserve">15999347899 </w:t>
      </w:r>
    </w:p>
    <w:bookmarkEnd w:id="98"/>
    <w:p w14:paraId="5DDC5322">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highlight w:val="none"/>
        </w:rPr>
      </w:pPr>
      <w:bookmarkStart w:id="99" w:name="_Toc35393807"/>
      <w:bookmarkStart w:id="100" w:name="_Toc35393638"/>
      <w:bookmarkStart w:id="101" w:name="_Toc28359097"/>
      <w:bookmarkStart w:id="102" w:name="_Toc28359020"/>
      <w:r>
        <w:rPr>
          <w:rFonts w:hint="eastAsia" w:ascii="宋体" w:hAnsi="宋体" w:eastAsia="宋体" w:cs="宋体"/>
          <w:color w:val="auto"/>
          <w:sz w:val="24"/>
          <w:highlight w:val="none"/>
        </w:rPr>
        <w:t>2.采购代理机构信息</w:t>
      </w:r>
      <w:bookmarkEnd w:id="99"/>
      <w:bookmarkEnd w:id="100"/>
      <w:bookmarkEnd w:id="101"/>
      <w:bookmarkEnd w:id="102"/>
    </w:p>
    <w:p w14:paraId="3BF7C1B1">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highlight w:val="none"/>
        </w:rPr>
      </w:pPr>
      <w:bookmarkStart w:id="103" w:name="_Toc35393808"/>
      <w:bookmarkStart w:id="104" w:name="_Toc28359021"/>
      <w:bookmarkStart w:id="105" w:name="_Toc28359098"/>
      <w:bookmarkStart w:id="106" w:name="_Toc35393639"/>
      <w:r>
        <w:rPr>
          <w:rFonts w:hint="eastAsia" w:ascii="宋体" w:hAnsi="宋体" w:cs="宋体"/>
          <w:color w:val="auto"/>
          <w:sz w:val="24"/>
          <w:highlight w:val="none"/>
        </w:rPr>
        <w:t xml:space="preserve">名称：河南省机电设备国际招标有限公司 </w:t>
      </w:r>
    </w:p>
    <w:p w14:paraId="3F153D4A">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地址：河南省郑州市商都路27号财信大厦14-15层 </w:t>
      </w:r>
    </w:p>
    <w:p w14:paraId="179D371D">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联系方式：0371-65954154 </w:t>
      </w:r>
    </w:p>
    <w:p w14:paraId="2E495C00">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项目联系方式</w:t>
      </w:r>
    </w:p>
    <w:bookmarkEnd w:id="103"/>
    <w:bookmarkEnd w:id="104"/>
    <w:bookmarkEnd w:id="105"/>
    <w:bookmarkEnd w:id="106"/>
    <w:p w14:paraId="56E386A5">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sz w:val="24"/>
          <w:highlight w:val="none"/>
          <w:lang w:val="en-US" w:eastAsia="zh-CN"/>
        </w:rPr>
      </w:pPr>
      <w:r>
        <w:rPr>
          <w:rFonts w:hint="eastAsia" w:ascii="宋体" w:hAnsi="宋体" w:cs="宋体"/>
          <w:color w:val="auto"/>
          <w:sz w:val="24"/>
          <w:highlight w:val="none"/>
        </w:rPr>
        <w:t>项目联系人：</w:t>
      </w:r>
      <w:r>
        <w:rPr>
          <w:rFonts w:hint="eastAsia" w:cs="宋体"/>
          <w:color w:val="auto"/>
          <w:sz w:val="24"/>
          <w:highlight w:val="none"/>
          <w:lang w:val="en-US" w:eastAsia="zh-CN"/>
        </w:rPr>
        <w:t>王艳、李长江、</w:t>
      </w:r>
      <w:r>
        <w:rPr>
          <w:rFonts w:hint="eastAsia" w:ascii="宋体" w:hAnsi="宋体" w:cs="宋体"/>
          <w:color w:val="auto"/>
          <w:sz w:val="24"/>
          <w:highlight w:val="none"/>
          <w:lang w:val="en-US" w:eastAsia="zh-CN"/>
        </w:rPr>
        <w:t>牛英宇、</w:t>
      </w:r>
      <w:r>
        <w:rPr>
          <w:rFonts w:hint="eastAsia" w:ascii="宋体" w:hAnsi="宋体" w:cs="宋体"/>
          <w:color w:val="auto"/>
          <w:sz w:val="24"/>
          <w:highlight w:val="none"/>
        </w:rPr>
        <w:t>李炎</w:t>
      </w:r>
    </w:p>
    <w:p w14:paraId="39B5BEAD">
      <w:pPr>
        <w:keepNext w:val="0"/>
        <w:keepLines w:val="0"/>
        <w:pageBreakBefore w:val="0"/>
        <w:widowControl w:val="0"/>
        <w:kinsoku/>
        <w:overflowPunct/>
        <w:topLinePunct w:val="0"/>
        <w:autoSpaceDE/>
        <w:autoSpaceDN/>
        <w:bidi w:val="0"/>
        <w:adjustRightInd/>
        <w:snapToGrid/>
        <w:spacing w:line="360" w:lineRule="auto"/>
        <w:ind w:firstLine="480" w:firstLineChars="200"/>
        <w:jc w:val="left"/>
        <w:textAlignment w:val="auto"/>
        <w:rPr>
          <w:rFonts w:hint="default" w:ascii="宋体" w:hAnsi="宋体" w:cs="宋体"/>
          <w:color w:val="auto"/>
          <w:sz w:val="24"/>
          <w:highlight w:val="none"/>
        </w:rPr>
      </w:pPr>
      <w:r>
        <w:rPr>
          <w:rFonts w:hint="eastAsia" w:ascii="宋体" w:hAnsi="宋体" w:cs="宋体"/>
          <w:color w:val="auto"/>
          <w:sz w:val="24"/>
          <w:highlight w:val="none"/>
        </w:rPr>
        <w:t>联系方式：0371-65954154</w:t>
      </w:r>
    </w:p>
    <w:p w14:paraId="3D18E5E8">
      <w:pPr>
        <w:pStyle w:val="39"/>
        <w:keepNext w:val="0"/>
        <w:keepLines w:val="0"/>
        <w:pageBreakBefore w:val="0"/>
        <w:widowControl w:val="0"/>
        <w:kinsoku/>
        <w:wordWrap w:val="0"/>
        <w:overflowPunct/>
        <w:topLinePunct w:val="0"/>
        <w:autoSpaceDE/>
        <w:autoSpaceDN/>
        <w:bidi w:val="0"/>
        <w:adjustRightInd/>
        <w:snapToGrid/>
        <w:spacing w:line="360" w:lineRule="auto"/>
        <w:ind w:firstLine="482"/>
        <w:textAlignment w:val="auto"/>
        <w:rPr>
          <w:rFonts w:hint="eastAsia" w:ascii="宋体" w:hAnsi="宋体" w:eastAsia="宋体" w:cs="宋体"/>
          <w:color w:val="auto"/>
          <w:sz w:val="24"/>
          <w:szCs w:val="24"/>
          <w:highlight w:val="none"/>
          <w:u w:val="single"/>
          <w:lang w:val="en-US" w:eastAsia="zh-CN"/>
        </w:rPr>
      </w:pPr>
    </w:p>
    <w:p w14:paraId="353479CE">
      <w:pPr>
        <w:pageBreakBefore w:val="0"/>
        <w:widowControl w:val="0"/>
        <w:kinsoku/>
        <w:overflowPunct/>
        <w:topLinePunct w:val="0"/>
        <w:autoSpaceDE/>
        <w:autoSpaceDN/>
        <w:bidi w:val="0"/>
        <w:adjustRightInd/>
        <w:snapToGrid/>
        <w:spacing w:line="360" w:lineRule="auto"/>
        <w:textAlignment w:val="auto"/>
        <w:rPr>
          <w:rFonts w:hint="eastAsia" w:ascii="宋体" w:hAnsi="宋体" w:eastAsia="宋体" w:cs="宋体"/>
          <w:color w:val="auto"/>
          <w:sz w:val="24"/>
          <w:highlight w:val="none"/>
        </w:rPr>
        <w:sectPr>
          <w:headerReference r:id="rId5" w:type="default"/>
          <w:footerReference r:id="rId6"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titlePg/>
          <w:docGrid w:type="lines" w:linePitch="312" w:charSpace="0"/>
        </w:sectPr>
      </w:pPr>
    </w:p>
    <w:p w14:paraId="6A56ADB8">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107" w:name="_Toc155185867"/>
      <w:bookmarkStart w:id="108" w:name="_Toc14231"/>
      <w:r>
        <w:rPr>
          <w:rFonts w:hint="eastAsia" w:ascii="宋体" w:hAnsi="宋体" w:eastAsia="宋体" w:cs="宋体"/>
          <w:b/>
          <w:bCs/>
          <w:color w:val="auto"/>
          <w:kern w:val="44"/>
          <w:sz w:val="36"/>
          <w:szCs w:val="36"/>
          <w:highlight w:val="none"/>
          <w:lang w:val="en-US" w:eastAsia="zh-CN" w:bidi="ar-SA"/>
        </w:rPr>
        <w:t>第二章 投标人须知</w:t>
      </w:r>
      <w:bookmarkEnd w:id="107"/>
      <w:bookmarkEnd w:id="108"/>
    </w:p>
    <w:p w14:paraId="75B79534">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09" w:name="_Toc14612"/>
      <w:bookmarkStart w:id="110" w:name="_Toc155185868"/>
      <w:r>
        <w:rPr>
          <w:rFonts w:hint="eastAsia" w:eastAsia="宋体" w:asciiTheme="majorHAnsi" w:hAnsiTheme="majorHAnsi" w:cstheme="majorBidi"/>
          <w:b/>
          <w:bCs/>
          <w:color w:val="auto"/>
          <w:kern w:val="2"/>
          <w:sz w:val="28"/>
          <w:szCs w:val="28"/>
          <w:highlight w:val="none"/>
          <w:lang w:val="en-US" w:eastAsia="zh-CN" w:bidi="ar-SA"/>
        </w:rPr>
        <w:t>一、投标人须知前附表</w:t>
      </w:r>
      <w:bookmarkEnd w:id="109"/>
      <w:bookmarkEnd w:id="110"/>
    </w:p>
    <w:p w14:paraId="7F3ACB7A">
      <w:pPr>
        <w:pStyle w:val="39"/>
        <w:keepNext w:val="0"/>
        <w:keepLines w:val="0"/>
        <w:pageBreakBefore w:val="0"/>
        <w:widowControl w:val="0"/>
        <w:kinsoku/>
        <w:overflowPunct/>
        <w:topLinePunct w:val="0"/>
        <w:autoSpaceDE/>
        <w:autoSpaceDN/>
        <w:bidi w:val="0"/>
        <w:adjustRightInd/>
        <w:snapToGrid/>
        <w:textAlignment w:val="auto"/>
        <w:rPr>
          <w:rFonts w:hint="default" w:eastAsia="宋体"/>
          <w:color w:val="auto"/>
          <w:highlight w:val="none"/>
          <w:lang w:val="en-US" w:eastAsia="zh-CN"/>
        </w:rPr>
      </w:pPr>
      <w:r>
        <w:rPr>
          <w:rFonts w:hint="eastAsia"/>
          <w:color w:val="auto"/>
          <w:sz w:val="24"/>
          <w:szCs w:val="24"/>
          <w:highlight w:val="none"/>
        </w:rPr>
        <w:t>投标人应仔细阅读本招标文件的第二章“投标人须知”，下面所列资料是对“投标人须知”的具体补充和说明</w:t>
      </w:r>
      <w:r>
        <w:rPr>
          <w:rFonts w:hint="eastAsia"/>
          <w:color w:val="auto"/>
          <w:sz w:val="24"/>
          <w:szCs w:val="24"/>
          <w:highlight w:val="none"/>
          <w:lang w:eastAsia="zh-CN"/>
        </w:rPr>
        <w:t>，</w:t>
      </w:r>
      <w:r>
        <w:rPr>
          <w:rFonts w:hint="eastAsia"/>
          <w:color w:val="auto"/>
          <w:sz w:val="24"/>
          <w:szCs w:val="24"/>
          <w:highlight w:val="none"/>
        </w:rPr>
        <w:t>如有矛盾，应以本表为准。</w:t>
      </w:r>
    </w:p>
    <w:tbl>
      <w:tblPr>
        <w:tblStyle w:val="31"/>
        <w:tblW w:w="9470" w:type="dxa"/>
        <w:tblInd w:w="-352"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2137"/>
        <w:gridCol w:w="6363"/>
      </w:tblGrid>
      <w:tr w14:paraId="1B64B25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4C4440DB">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条款号</w:t>
            </w:r>
          </w:p>
        </w:tc>
        <w:tc>
          <w:tcPr>
            <w:tcW w:w="2137"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0B9EABEB">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条款名称</w:t>
            </w:r>
          </w:p>
        </w:tc>
        <w:tc>
          <w:tcPr>
            <w:tcW w:w="6363" w:type="dxa"/>
            <w:tcBorders>
              <w:top w:val="single" w:color="auto" w:sz="4" w:space="0"/>
              <w:left w:val="single" w:color="auto" w:sz="4" w:space="0"/>
              <w:bottom w:val="single" w:color="auto" w:sz="4" w:space="0"/>
              <w:right w:val="single" w:color="auto" w:sz="4" w:space="0"/>
            </w:tcBorders>
            <w:shd w:val="clear" w:color="auto" w:fill="D8D8D8" w:themeFill="background1" w:themeFillShade="D9"/>
            <w:vAlign w:val="center"/>
          </w:tcPr>
          <w:p w14:paraId="5C7B3B70">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内  容</w:t>
            </w:r>
          </w:p>
        </w:tc>
      </w:tr>
      <w:tr w14:paraId="46137A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157" w:hRule="atLeast"/>
        </w:trPr>
        <w:tc>
          <w:tcPr>
            <w:tcW w:w="970" w:type="dxa"/>
            <w:vAlign w:val="center"/>
          </w:tcPr>
          <w:p w14:paraId="60441C76">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w:t>
            </w:r>
          </w:p>
        </w:tc>
        <w:tc>
          <w:tcPr>
            <w:tcW w:w="2137" w:type="dxa"/>
            <w:shd w:val="clear" w:color="auto" w:fill="auto"/>
            <w:vAlign w:val="center"/>
          </w:tcPr>
          <w:p w14:paraId="3D9DB5F0">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服务包含的内容</w:t>
            </w:r>
          </w:p>
        </w:tc>
        <w:tc>
          <w:tcPr>
            <w:tcW w:w="6363" w:type="dxa"/>
            <w:shd w:val="clear" w:color="auto" w:fill="auto"/>
            <w:vAlign w:val="center"/>
          </w:tcPr>
          <w:p w14:paraId="6A9B68BA">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主要内容：</w:t>
            </w:r>
            <w:r>
              <w:rPr>
                <w:rFonts w:hint="eastAsia" w:cs="宋体"/>
                <w:color w:val="auto"/>
                <w:sz w:val="24"/>
                <w:szCs w:val="24"/>
                <w:highlight w:val="none"/>
                <w:u w:val="single"/>
                <w:lang w:val="en-US" w:eastAsia="zh-CN"/>
              </w:rPr>
              <w:t>哈密伊州区石油基地由采购人管理并面向社会开放、提供公共服务的全部市政公用设施、环卫保洁、园林绿化及公园管理</w:t>
            </w:r>
            <w:r>
              <w:rPr>
                <w:rFonts w:hint="eastAsia" w:ascii="宋体" w:hAnsi="宋体" w:eastAsia="宋体" w:cs="宋体"/>
                <w:color w:val="auto"/>
                <w:sz w:val="24"/>
                <w:szCs w:val="24"/>
                <w:highlight w:val="none"/>
                <w:lang w:val="en-US" w:eastAsia="zh-CN"/>
              </w:rPr>
              <w:t xml:space="preserve">。 </w:t>
            </w:r>
          </w:p>
          <w:p w14:paraId="15D5290A">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其他内容：</w:t>
            </w:r>
            <w:r>
              <w:rPr>
                <w:rFonts w:hint="eastAsia" w:ascii="宋体" w:hAnsi="宋体" w:eastAsia="宋体" w:cs="宋体"/>
                <w:color w:val="auto"/>
                <w:sz w:val="24"/>
                <w:szCs w:val="24"/>
                <w:highlight w:val="none"/>
                <w:u w:val="single"/>
                <w:lang w:val="en-US" w:eastAsia="zh-CN"/>
              </w:rPr>
              <w:t xml:space="preserve"> 详见“第三章 项目采购需求 </w:t>
            </w:r>
            <w:r>
              <w:rPr>
                <w:rFonts w:hint="eastAsia" w:ascii="宋体" w:hAnsi="宋体" w:eastAsia="宋体" w:cs="宋体"/>
                <w:color w:val="auto"/>
                <w:sz w:val="24"/>
                <w:szCs w:val="24"/>
                <w:highlight w:val="none"/>
                <w:lang w:val="en-US" w:eastAsia="zh-CN"/>
              </w:rPr>
              <w:t>。</w:t>
            </w:r>
          </w:p>
        </w:tc>
      </w:tr>
      <w:tr w14:paraId="25C4682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1" w:hRule="atLeast"/>
        </w:trPr>
        <w:tc>
          <w:tcPr>
            <w:tcW w:w="970" w:type="dxa"/>
            <w:vAlign w:val="center"/>
          </w:tcPr>
          <w:p w14:paraId="3A136892">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9.1</w:t>
            </w:r>
          </w:p>
        </w:tc>
        <w:tc>
          <w:tcPr>
            <w:tcW w:w="2137" w:type="dxa"/>
            <w:vAlign w:val="center"/>
          </w:tcPr>
          <w:p w14:paraId="117C18AE">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bookmarkStart w:id="111" w:name="_Hlk143529175"/>
            <w:r>
              <w:rPr>
                <w:rFonts w:hint="eastAsia" w:ascii="宋体" w:hAnsi="宋体" w:eastAsia="宋体" w:cs="宋体"/>
                <w:color w:val="auto"/>
                <w:sz w:val="24"/>
                <w:szCs w:val="24"/>
                <w:highlight w:val="none"/>
              </w:rPr>
              <w:t>现场考察</w:t>
            </w:r>
            <w:bookmarkEnd w:id="111"/>
          </w:p>
        </w:tc>
        <w:tc>
          <w:tcPr>
            <w:tcW w:w="6363" w:type="dxa"/>
            <w:vAlign w:val="center"/>
          </w:tcPr>
          <w:p w14:paraId="6FE8AF39">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不组织，投标人自行前往</w:t>
            </w:r>
            <w:r>
              <w:rPr>
                <w:rFonts w:hint="eastAsia" w:ascii="宋体" w:hAnsi="宋体" w:eastAsia="宋体" w:cs="宋体"/>
                <w:color w:val="auto"/>
                <w:sz w:val="24"/>
                <w:szCs w:val="24"/>
                <w:highlight w:val="none"/>
                <w:lang w:eastAsia="zh-CN"/>
              </w:rPr>
              <w:t>。</w:t>
            </w:r>
          </w:p>
        </w:tc>
      </w:tr>
      <w:tr w14:paraId="1938D8F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87" w:hRule="atLeast"/>
        </w:trPr>
        <w:tc>
          <w:tcPr>
            <w:tcW w:w="970" w:type="dxa"/>
            <w:shd w:val="clear" w:color="auto" w:fill="auto"/>
            <w:vAlign w:val="center"/>
          </w:tcPr>
          <w:p w14:paraId="72B7B10E">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9.5</w:t>
            </w:r>
          </w:p>
        </w:tc>
        <w:tc>
          <w:tcPr>
            <w:tcW w:w="2137" w:type="dxa"/>
            <w:shd w:val="clear" w:color="auto" w:fill="auto"/>
            <w:vAlign w:val="center"/>
          </w:tcPr>
          <w:p w14:paraId="52021959">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答疑会</w:t>
            </w:r>
          </w:p>
        </w:tc>
        <w:tc>
          <w:tcPr>
            <w:tcW w:w="6363" w:type="dxa"/>
            <w:shd w:val="clear" w:color="auto" w:fill="auto"/>
            <w:vAlign w:val="center"/>
          </w:tcPr>
          <w:p w14:paraId="28CC81D0">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不组织</w:t>
            </w:r>
          </w:p>
        </w:tc>
      </w:tr>
      <w:tr w14:paraId="58EAFC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9017C90">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w:t>
            </w:r>
          </w:p>
        </w:tc>
        <w:tc>
          <w:tcPr>
            <w:tcW w:w="2137" w:type="dxa"/>
            <w:vAlign w:val="center"/>
          </w:tcPr>
          <w:p w14:paraId="14B3667D">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询问</w:t>
            </w:r>
          </w:p>
        </w:tc>
        <w:tc>
          <w:tcPr>
            <w:tcW w:w="6363" w:type="dxa"/>
            <w:vAlign w:val="center"/>
          </w:tcPr>
          <w:p w14:paraId="3BF2847A">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u w:val="single"/>
              </w:rPr>
              <w:t>以书面形式向采购人、采购代理机构提出</w:t>
            </w:r>
            <w:r>
              <w:rPr>
                <w:rFonts w:hint="eastAsia" w:cs="宋体"/>
                <w:i w:val="0"/>
                <w:iCs w:val="0"/>
                <w:color w:val="auto"/>
                <w:sz w:val="24"/>
                <w:szCs w:val="24"/>
                <w:highlight w:val="none"/>
                <w:u w:val="single"/>
                <w:lang w:eastAsia="zh-CN"/>
              </w:rPr>
              <w:t>，</w:t>
            </w:r>
            <w:r>
              <w:rPr>
                <w:rFonts w:hint="eastAsia" w:cs="宋体"/>
                <w:i w:val="0"/>
                <w:iCs w:val="0"/>
                <w:color w:val="auto"/>
                <w:sz w:val="24"/>
                <w:szCs w:val="24"/>
                <w:highlight w:val="none"/>
                <w:u w:val="single"/>
                <w:lang w:val="en-US" w:eastAsia="zh-CN"/>
              </w:rPr>
              <w:t>并将加盖公章的询问函发送至邮箱zhaobiao3bu@126.com</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473FF2AD">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cs="宋体"/>
                <w:i w:val="0"/>
                <w:iCs w:val="0"/>
                <w:color w:val="auto"/>
                <w:sz w:val="24"/>
                <w:szCs w:val="24"/>
                <w:highlight w:val="none"/>
                <w:u w:val="single"/>
                <w:lang w:val="en-US" w:eastAsia="zh-CN"/>
              </w:rPr>
              <w:t>2026年6月4日10:00前</w:t>
            </w:r>
            <w:r>
              <w:rPr>
                <w:rFonts w:hint="eastAsia" w:ascii="宋体" w:hAnsi="宋体" w:eastAsia="宋体" w:cs="宋体"/>
                <w:i w:val="0"/>
                <w:iCs w:val="0"/>
                <w:color w:val="auto"/>
                <w:sz w:val="24"/>
                <w:szCs w:val="24"/>
                <w:highlight w:val="none"/>
              </w:rPr>
              <w:t>。</w:t>
            </w:r>
          </w:p>
        </w:tc>
      </w:tr>
      <w:tr w14:paraId="67C3BC2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1A104107">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w:t>
            </w:r>
          </w:p>
        </w:tc>
        <w:tc>
          <w:tcPr>
            <w:tcW w:w="2137" w:type="dxa"/>
            <w:vAlign w:val="center"/>
          </w:tcPr>
          <w:p w14:paraId="79A1D807">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投标有效期</w:t>
            </w:r>
          </w:p>
        </w:tc>
        <w:tc>
          <w:tcPr>
            <w:tcW w:w="6363" w:type="dxa"/>
            <w:vAlign w:val="center"/>
          </w:tcPr>
          <w:p w14:paraId="41DD7733">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投标截止</w:t>
            </w:r>
            <w:r>
              <w:rPr>
                <w:rFonts w:hint="eastAsia" w:ascii="宋体" w:hAnsi="宋体" w:eastAsia="宋体" w:cs="宋体"/>
                <w:color w:val="auto"/>
                <w:sz w:val="24"/>
                <w:szCs w:val="24"/>
                <w:highlight w:val="none"/>
                <w:lang w:val="en-US" w:eastAsia="zh-CN"/>
              </w:rPr>
              <w:t>时间</w:t>
            </w:r>
            <w:r>
              <w:rPr>
                <w:rFonts w:hint="eastAsia" w:ascii="宋体" w:hAnsi="宋体" w:eastAsia="宋体" w:cs="宋体"/>
                <w:color w:val="auto"/>
                <w:sz w:val="24"/>
                <w:szCs w:val="24"/>
                <w:highlight w:val="none"/>
              </w:rPr>
              <w:t>后</w:t>
            </w:r>
            <w:r>
              <w:rPr>
                <w:rFonts w:hint="eastAsia" w:ascii="宋体" w:hAnsi="宋体" w:eastAsia="宋体" w:cs="宋体"/>
                <w:color w:val="auto"/>
                <w:sz w:val="24"/>
                <w:szCs w:val="24"/>
                <w:highlight w:val="none"/>
                <w:u w:val="single"/>
              </w:rPr>
              <w:t>90</w:t>
            </w:r>
            <w:r>
              <w:rPr>
                <w:rFonts w:hint="eastAsia" w:ascii="宋体" w:hAnsi="宋体" w:eastAsia="宋体" w:cs="宋体"/>
                <w:color w:val="auto"/>
                <w:sz w:val="24"/>
                <w:szCs w:val="24"/>
                <w:highlight w:val="none"/>
              </w:rPr>
              <w:t>日历日。</w:t>
            </w:r>
          </w:p>
        </w:tc>
      </w:tr>
      <w:tr w14:paraId="05426B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3DB59B05">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17.1</w:t>
            </w:r>
          </w:p>
        </w:tc>
        <w:tc>
          <w:tcPr>
            <w:tcW w:w="2137" w:type="dxa"/>
            <w:vAlign w:val="center"/>
          </w:tcPr>
          <w:p w14:paraId="02D54664">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投标保证金</w:t>
            </w:r>
          </w:p>
        </w:tc>
        <w:tc>
          <w:tcPr>
            <w:tcW w:w="6363" w:type="dxa"/>
            <w:vAlign w:val="center"/>
          </w:tcPr>
          <w:p w14:paraId="566280B0">
            <w:pPr>
              <w:pStyle w:val="55"/>
              <w:keepNext w:val="0"/>
              <w:keepLines w:val="0"/>
              <w:pageBreakBefore w:val="0"/>
              <w:widowControl w:val="0"/>
              <w:shd w:val="clear" w:color="auto" w:fill="auto"/>
              <w:kinsoku/>
              <w:wordWrap/>
              <w:overflowPunct/>
              <w:topLinePunct w:val="0"/>
              <w:autoSpaceDE/>
              <w:autoSpaceDN/>
              <w:bidi w:val="0"/>
              <w:adjustRightInd/>
              <w:snapToGrid/>
              <w:spacing w:line="440" w:lineRule="exact"/>
              <w:textAlignment w:val="auto"/>
              <w:rPr>
                <w:rFonts w:hint="default" w:ascii="宋体" w:hAnsi="宋体" w:eastAsia="宋体" w:cs="宋体"/>
                <w:color w:val="auto"/>
                <w:sz w:val="24"/>
                <w:szCs w:val="24"/>
                <w:highlight w:val="none"/>
                <w:lang w:val="en-US"/>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r>
              <w:rPr>
                <w:rFonts w:hint="eastAsia" w:ascii="宋体" w:hAnsi="宋体" w:cs="宋体"/>
                <w:color w:val="auto"/>
                <w:sz w:val="24"/>
                <w:szCs w:val="24"/>
                <w:highlight w:val="none"/>
                <w:lang w:val="en-US" w:eastAsia="zh-CN"/>
              </w:rPr>
              <w:t>人民币500000元</w:t>
            </w:r>
          </w:p>
          <w:p w14:paraId="4A8F5A6C">
            <w:pPr>
              <w:pStyle w:val="55"/>
              <w:keepNext w:val="0"/>
              <w:keepLines w:val="0"/>
              <w:pageBreakBefore w:val="0"/>
              <w:widowControl w:val="0"/>
              <w:shd w:val="clear" w:color="auto" w:fill="auto"/>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7383EA2B">
            <w:pPr>
              <w:pStyle w:val="55"/>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r>
              <w:rPr>
                <w:rFonts w:hint="eastAsia" w:ascii="宋体" w:hAnsi="宋体" w:eastAsia="宋体" w:cs="宋体"/>
                <w:b/>
                <w:bCs/>
                <w:i w:val="0"/>
                <w:iCs w:val="0"/>
                <w:color w:val="auto"/>
                <w:sz w:val="24"/>
                <w:szCs w:val="24"/>
                <w:highlight w:val="none"/>
                <w:lang w:val="en-US" w:eastAsia="zh-CN"/>
              </w:rPr>
              <w:t>推荐使用电子保函，采用电子保函形式应通过“政采云”平台申请办理</w:t>
            </w:r>
            <w:r>
              <w:rPr>
                <w:rFonts w:hint="eastAsia" w:ascii="宋体" w:hAnsi="宋体" w:cs="宋体"/>
                <w:b/>
                <w:bCs/>
                <w:i w:val="0"/>
                <w:iCs w:val="0"/>
                <w:color w:val="auto"/>
                <w:sz w:val="24"/>
                <w:szCs w:val="24"/>
                <w:highlight w:val="none"/>
                <w:lang w:val="en-US" w:eastAsia="zh-CN"/>
              </w:rPr>
              <w:t>和取消</w:t>
            </w:r>
            <w:r>
              <w:rPr>
                <w:rFonts w:hint="eastAsia" w:ascii="宋体" w:hAnsi="宋体" w:eastAsia="宋体" w:cs="宋体"/>
                <w:b/>
                <w:bCs/>
                <w:i w:val="0"/>
                <w:iCs w:val="0"/>
                <w:color w:val="auto"/>
                <w:sz w:val="24"/>
                <w:szCs w:val="24"/>
                <w:highlight w:val="none"/>
                <w:lang w:val="en-US" w:eastAsia="zh-CN"/>
              </w:rPr>
              <w:t>。</w:t>
            </w:r>
          </w:p>
          <w:p w14:paraId="617772C0">
            <w:pPr>
              <w:pStyle w:val="55"/>
              <w:keepNext w:val="0"/>
              <w:keepLines w:val="0"/>
              <w:pageBreakBefore w:val="0"/>
              <w:widowControl w:val="0"/>
              <w:shd w:val="clear" w:color="auto" w:fill="auto"/>
              <w:kinsoku/>
              <w:wordWrap/>
              <w:overflowPunct/>
              <w:topLinePunct w:val="0"/>
              <w:autoSpaceDE/>
              <w:autoSpaceDN/>
              <w:bidi w:val="0"/>
              <w:adjustRightInd/>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收取单位</w:t>
            </w:r>
            <w:r>
              <w:rPr>
                <w:rFonts w:hint="eastAsia" w:ascii="宋体" w:hAnsi="宋体" w:cs="宋体"/>
                <w:i w:val="0"/>
                <w:iCs w:val="0"/>
                <w:color w:val="auto"/>
                <w:sz w:val="24"/>
                <w:szCs w:val="24"/>
                <w:highlight w:val="none"/>
                <w:lang w:eastAsia="zh-CN"/>
              </w:rPr>
              <w:t>（</w:t>
            </w:r>
            <w:r>
              <w:rPr>
                <w:rFonts w:hint="eastAsia" w:ascii="宋体" w:hAnsi="宋体" w:cs="宋体"/>
                <w:i w:val="0"/>
                <w:iCs w:val="0"/>
                <w:color w:val="auto"/>
                <w:sz w:val="24"/>
                <w:szCs w:val="24"/>
                <w:highlight w:val="none"/>
                <w:lang w:val="en-US" w:eastAsia="zh-CN"/>
              </w:rPr>
              <w:t>非</w:t>
            </w:r>
            <w:r>
              <w:rPr>
                <w:rFonts w:hint="eastAsia" w:ascii="宋体" w:hAnsi="宋体" w:eastAsia="宋体" w:cs="宋体"/>
                <w:i w:val="0"/>
                <w:iCs w:val="0"/>
                <w:color w:val="auto"/>
                <w:sz w:val="24"/>
                <w:szCs w:val="24"/>
                <w:highlight w:val="none"/>
              </w:rPr>
              <w:t>保函</w:t>
            </w:r>
            <w:r>
              <w:rPr>
                <w:rFonts w:hint="eastAsia" w:ascii="宋体" w:hAnsi="宋体" w:cs="宋体"/>
                <w:i w:val="0"/>
                <w:iCs w:val="0"/>
                <w:color w:val="auto"/>
                <w:sz w:val="24"/>
                <w:szCs w:val="24"/>
                <w:highlight w:val="none"/>
                <w:lang w:val="en-US" w:eastAsia="zh-CN"/>
              </w:rPr>
              <w:t>形式</w:t>
            </w:r>
            <w:r>
              <w:rPr>
                <w:rFonts w:hint="eastAsia" w:ascii="宋体" w:hAnsi="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u w:val="single"/>
              </w:rPr>
              <w:t>哈密市公共资源交易服务中心</w:t>
            </w:r>
          </w:p>
          <w:p w14:paraId="722CCF50">
            <w:pPr>
              <w:pStyle w:val="55"/>
              <w:keepNext w:val="0"/>
              <w:keepLines w:val="0"/>
              <w:pageBreakBefore w:val="0"/>
              <w:widowControl w:val="0"/>
              <w:shd w:val="clear" w:color="auto" w:fill="auto"/>
              <w:kinsoku/>
              <w:wordWrap/>
              <w:overflowPunct/>
              <w:topLinePunct w:val="0"/>
              <w:autoSpaceDE/>
              <w:autoSpaceDN/>
              <w:bidi w:val="0"/>
              <w:adjustRightInd/>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4.收取账号</w:t>
            </w:r>
            <w:r>
              <w:rPr>
                <w:rFonts w:hint="eastAsia" w:ascii="宋体" w:hAnsi="宋体" w:cs="宋体"/>
                <w:i w:val="0"/>
                <w:iCs w:val="0"/>
                <w:color w:val="auto"/>
                <w:sz w:val="24"/>
                <w:szCs w:val="24"/>
                <w:highlight w:val="none"/>
                <w:lang w:eastAsia="zh-CN"/>
              </w:rPr>
              <w:t>（</w:t>
            </w:r>
            <w:r>
              <w:rPr>
                <w:rFonts w:hint="eastAsia" w:ascii="宋体" w:hAnsi="宋体" w:cs="宋体"/>
                <w:i w:val="0"/>
                <w:iCs w:val="0"/>
                <w:color w:val="auto"/>
                <w:sz w:val="24"/>
                <w:szCs w:val="24"/>
                <w:highlight w:val="none"/>
                <w:lang w:val="en-US" w:eastAsia="zh-CN"/>
              </w:rPr>
              <w:t>非</w:t>
            </w:r>
            <w:r>
              <w:rPr>
                <w:rFonts w:hint="eastAsia" w:ascii="宋体" w:hAnsi="宋体" w:eastAsia="宋体" w:cs="宋体"/>
                <w:i w:val="0"/>
                <w:iCs w:val="0"/>
                <w:color w:val="auto"/>
                <w:sz w:val="24"/>
                <w:szCs w:val="24"/>
                <w:highlight w:val="none"/>
              </w:rPr>
              <w:t>保函</w:t>
            </w:r>
            <w:r>
              <w:rPr>
                <w:rFonts w:hint="eastAsia" w:ascii="宋体" w:hAnsi="宋体" w:cs="宋体"/>
                <w:i w:val="0"/>
                <w:iCs w:val="0"/>
                <w:color w:val="auto"/>
                <w:sz w:val="24"/>
                <w:szCs w:val="24"/>
                <w:highlight w:val="none"/>
                <w:lang w:val="en-US" w:eastAsia="zh-CN"/>
              </w:rPr>
              <w:t>形式</w:t>
            </w:r>
            <w:r>
              <w:rPr>
                <w:rFonts w:hint="eastAsia" w:ascii="宋体" w:hAnsi="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u w:val="single"/>
                <w:lang w:val="en-US" w:eastAsia="zh-CN"/>
              </w:rPr>
              <w:t>工行新疆哈密解放路支行9558833011000072072</w:t>
            </w:r>
            <w:r>
              <w:rPr>
                <w:rFonts w:hint="eastAsia" w:ascii="宋体" w:hAnsi="宋体" w:eastAsia="宋体" w:cs="宋体"/>
                <w:i w:val="0"/>
                <w:iCs w:val="0"/>
                <w:color w:val="auto"/>
                <w:sz w:val="24"/>
                <w:szCs w:val="24"/>
                <w:highlight w:val="none"/>
              </w:rPr>
              <w:t xml:space="preserve"> </w:t>
            </w:r>
          </w:p>
          <w:p w14:paraId="2D202F60">
            <w:pPr>
              <w:pStyle w:val="55"/>
              <w:keepNext w:val="0"/>
              <w:keepLines w:val="0"/>
              <w:pageBreakBefore w:val="0"/>
              <w:kinsoku/>
              <w:wordWrap/>
              <w:overflowPunct/>
              <w:topLinePunct w:val="0"/>
              <w:bidi w:val="0"/>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退还时间：</w:t>
            </w:r>
            <w:r>
              <w:rPr>
                <w:rFonts w:hint="eastAsia" w:ascii="宋体" w:hAnsi="宋体" w:cs="宋体"/>
                <w:i w:val="0"/>
                <w:iCs w:val="0"/>
                <w:color w:val="auto"/>
                <w:sz w:val="24"/>
                <w:szCs w:val="24"/>
                <w:highlight w:val="none"/>
                <w:u w:val="single"/>
                <w:lang w:val="en-US" w:eastAsia="zh-CN"/>
              </w:rPr>
              <w:t>非保函形式</w:t>
            </w:r>
            <w:r>
              <w:rPr>
                <w:rFonts w:hint="eastAsia" w:ascii="宋体" w:hAnsi="宋体" w:eastAsia="宋体" w:cs="宋体"/>
                <w:i w:val="0"/>
                <w:iCs w:val="0"/>
                <w:color w:val="auto"/>
                <w:sz w:val="24"/>
                <w:szCs w:val="24"/>
                <w:highlight w:val="none"/>
                <w:u w:val="single"/>
              </w:rPr>
              <w:t>自成交通知书发出之日起5个工作日内，退还未成交供应商的保证金；自政府采购合同签订之日起5个工作日内，退还成交供应商的保证金</w:t>
            </w:r>
            <w:r>
              <w:rPr>
                <w:rFonts w:hint="eastAsia" w:ascii="宋体" w:hAnsi="宋体" w:cs="宋体"/>
                <w:i w:val="0"/>
                <w:iCs w:val="0"/>
                <w:color w:val="auto"/>
                <w:sz w:val="24"/>
                <w:szCs w:val="24"/>
                <w:highlight w:val="none"/>
                <w:u w:val="single"/>
                <w:lang w:eastAsia="zh-CN"/>
              </w:rPr>
              <w:t>。</w:t>
            </w:r>
            <w:r>
              <w:rPr>
                <w:rFonts w:hint="eastAsia" w:ascii="宋体" w:hAnsi="宋体" w:eastAsia="宋体" w:cs="宋体"/>
                <w:i w:val="0"/>
                <w:iCs w:val="0"/>
                <w:color w:val="auto"/>
                <w:sz w:val="24"/>
                <w:szCs w:val="24"/>
                <w:highlight w:val="none"/>
              </w:rPr>
              <w:t xml:space="preserve">             </w:t>
            </w:r>
          </w:p>
          <w:p w14:paraId="6CAD1BA4">
            <w:pPr>
              <w:pStyle w:val="55"/>
              <w:keepNext w:val="0"/>
              <w:keepLines w:val="0"/>
              <w:pageBreakBefore w:val="0"/>
              <w:kinsoku/>
              <w:wordWrap/>
              <w:overflowPunct/>
              <w:topLinePunct w:val="0"/>
              <w:bidi w:val="0"/>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182F2AE6">
            <w:pPr>
              <w:pStyle w:val="55"/>
              <w:keepNext w:val="0"/>
              <w:keepLines w:val="0"/>
              <w:pageBreakBefore w:val="0"/>
              <w:kinsoku/>
              <w:wordWrap/>
              <w:overflowPunct/>
              <w:topLinePunct w:val="0"/>
              <w:bidi w:val="0"/>
              <w:snapToGrid/>
              <w:spacing w:line="4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1.以上各类机构出具的以担保函、保证保险承担责任的方式均须满足无条件见索即付条件。</w:t>
            </w:r>
          </w:p>
          <w:p w14:paraId="65A06DD1">
            <w:pPr>
              <w:pStyle w:val="55"/>
              <w:keepNext w:val="0"/>
              <w:keepLines w:val="0"/>
              <w:pageBreakBefore w:val="0"/>
              <w:widowControl w:val="0"/>
              <w:shd w:val="clear" w:color="auto" w:fill="auto"/>
              <w:kinsoku/>
              <w:wordWrap/>
              <w:overflowPunct/>
              <w:topLinePunct w:val="0"/>
              <w:autoSpaceDE/>
              <w:autoSpaceDN/>
              <w:bidi w:val="0"/>
              <w:adjustRightInd/>
              <w:snapToGrid/>
              <w:spacing w:line="440" w:lineRule="exact"/>
              <w:ind w:firstLine="240" w:firstLineChars="100"/>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b/>
                <w:bCs/>
                <w:i w:val="0"/>
                <w:iCs w:val="0"/>
                <w:color w:val="auto"/>
                <w:sz w:val="24"/>
                <w:szCs w:val="24"/>
                <w:highlight w:val="none"/>
              </w:rPr>
              <w:t>以担保函、保证保险形式缴纳</w:t>
            </w:r>
            <w:r>
              <w:rPr>
                <w:rFonts w:hint="eastAsia" w:ascii="宋体" w:hAnsi="宋体" w:cs="宋体"/>
                <w:b/>
                <w:bCs/>
                <w:i w:val="0"/>
                <w:iCs w:val="0"/>
                <w:color w:val="auto"/>
                <w:sz w:val="24"/>
                <w:szCs w:val="24"/>
                <w:highlight w:val="none"/>
                <w:lang w:val="en-US" w:eastAsia="zh-CN"/>
              </w:rPr>
              <w:t>投标</w:t>
            </w:r>
            <w:r>
              <w:rPr>
                <w:rFonts w:hint="eastAsia" w:ascii="宋体" w:hAnsi="宋体" w:eastAsia="宋体" w:cs="宋体"/>
                <w:b/>
                <w:bCs/>
                <w:i w:val="0"/>
                <w:iCs w:val="0"/>
                <w:color w:val="auto"/>
                <w:sz w:val="24"/>
                <w:szCs w:val="24"/>
                <w:highlight w:val="none"/>
              </w:rPr>
              <w:t>保证金的，受益人和收取单位须为采购人</w:t>
            </w:r>
            <w:r>
              <w:rPr>
                <w:rFonts w:hint="eastAsia" w:ascii="宋体" w:hAnsi="宋体" w:eastAsia="宋体" w:cs="宋体"/>
                <w:i w:val="0"/>
                <w:iCs w:val="0"/>
                <w:color w:val="auto"/>
                <w:sz w:val="24"/>
                <w:szCs w:val="24"/>
                <w:highlight w:val="none"/>
              </w:rPr>
              <w:t>。</w:t>
            </w:r>
          </w:p>
        </w:tc>
      </w:tr>
      <w:tr w14:paraId="4501EC8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10" w:hRule="atLeast"/>
        </w:trPr>
        <w:tc>
          <w:tcPr>
            <w:tcW w:w="970" w:type="dxa"/>
            <w:vAlign w:val="center"/>
          </w:tcPr>
          <w:p w14:paraId="0FAEE6C9">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p>
        </w:tc>
        <w:tc>
          <w:tcPr>
            <w:tcW w:w="2137" w:type="dxa"/>
            <w:vAlign w:val="center"/>
          </w:tcPr>
          <w:p w14:paraId="1A5D11C5">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实物样品</w:t>
            </w:r>
          </w:p>
        </w:tc>
        <w:tc>
          <w:tcPr>
            <w:tcW w:w="6363" w:type="dxa"/>
            <w:vAlign w:val="center"/>
          </w:tcPr>
          <w:p w14:paraId="5F60BBB0">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投标样品递交：</w:t>
            </w:r>
            <w:r>
              <w:rPr>
                <w:rFonts w:hint="eastAsia" w:ascii="宋体" w:hAnsi="宋体" w:eastAsia="宋体" w:cs="宋体"/>
                <w:i w:val="0"/>
                <w:iCs w:val="0"/>
                <w:color w:val="auto"/>
                <w:sz w:val="24"/>
                <w:szCs w:val="24"/>
                <w:highlight w:val="none"/>
                <w:lang w:val="en-US" w:eastAsia="zh-CN"/>
              </w:rPr>
              <w:t>不需要</w:t>
            </w:r>
            <w:r>
              <w:rPr>
                <w:rFonts w:hint="eastAsia" w:ascii="宋体" w:hAnsi="宋体" w:eastAsia="宋体" w:cs="宋体"/>
                <w:color w:val="auto"/>
                <w:sz w:val="24"/>
                <w:szCs w:val="24"/>
                <w:highlight w:val="none"/>
                <w:lang w:val="en-US" w:eastAsia="zh-CN"/>
              </w:rPr>
              <w:t xml:space="preserve"> </w:t>
            </w:r>
          </w:p>
        </w:tc>
      </w:tr>
      <w:tr w14:paraId="1C643F0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03DA43E2">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2137" w:type="dxa"/>
            <w:vAlign w:val="center"/>
          </w:tcPr>
          <w:p w14:paraId="22504622">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演示</w:t>
            </w:r>
          </w:p>
        </w:tc>
        <w:tc>
          <w:tcPr>
            <w:tcW w:w="6363" w:type="dxa"/>
            <w:vAlign w:val="center"/>
          </w:tcPr>
          <w:p w14:paraId="34ED7966">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不进行</w:t>
            </w:r>
          </w:p>
        </w:tc>
      </w:tr>
      <w:tr w14:paraId="0976428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0" w:hRule="atLeast"/>
        </w:trPr>
        <w:tc>
          <w:tcPr>
            <w:tcW w:w="970" w:type="dxa"/>
            <w:vAlign w:val="center"/>
          </w:tcPr>
          <w:p w14:paraId="4CE72DC4">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w:t>
            </w:r>
          </w:p>
        </w:tc>
        <w:tc>
          <w:tcPr>
            <w:tcW w:w="2137" w:type="dxa"/>
            <w:vAlign w:val="center"/>
          </w:tcPr>
          <w:p w14:paraId="35FB661A">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解密投标文件的时限</w:t>
            </w:r>
          </w:p>
        </w:tc>
        <w:tc>
          <w:tcPr>
            <w:tcW w:w="6363" w:type="dxa"/>
            <w:vAlign w:val="center"/>
          </w:tcPr>
          <w:p w14:paraId="44601FEC">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不见面开标默认解密时长：</w:t>
            </w:r>
            <w:r>
              <w:rPr>
                <w:rFonts w:hint="eastAsia" w:cs="宋体"/>
                <w:color w:val="auto"/>
                <w:sz w:val="24"/>
                <w:szCs w:val="24"/>
                <w:highlight w:val="none"/>
                <w:u w:val="single"/>
                <w:lang w:val="en-US" w:eastAsia="zh-CN"/>
              </w:rPr>
              <w:t>30</w:t>
            </w:r>
            <w:r>
              <w:rPr>
                <w:rFonts w:hint="eastAsia" w:ascii="宋体" w:hAnsi="宋体" w:eastAsia="宋体" w:cs="宋体"/>
                <w:color w:val="auto"/>
                <w:sz w:val="24"/>
                <w:szCs w:val="24"/>
                <w:highlight w:val="none"/>
                <w:lang w:val="en-US" w:eastAsia="zh-CN"/>
              </w:rPr>
              <w:t>分钟。</w:t>
            </w:r>
            <w:r>
              <w:rPr>
                <w:rFonts w:hint="eastAsia" w:ascii="宋体" w:hAnsi="宋体" w:eastAsia="宋体" w:cs="宋体"/>
                <w:color w:val="auto"/>
                <w:sz w:val="24"/>
                <w:szCs w:val="24"/>
                <w:highlight w:val="none"/>
              </w:rPr>
              <w:t xml:space="preserve"> </w:t>
            </w:r>
          </w:p>
          <w:p w14:paraId="4C7DC32D">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除因交易平台发生故障导致投标文件无法按时解密外，投标文件未按时解密的，视为未按规定提交投标文件</w:t>
            </w:r>
            <w:r>
              <w:rPr>
                <w:rFonts w:hint="eastAsia" w:ascii="宋体" w:hAnsi="宋体" w:eastAsia="宋体" w:cs="宋体"/>
                <w:color w:val="auto"/>
                <w:sz w:val="24"/>
                <w:szCs w:val="24"/>
                <w:highlight w:val="none"/>
              </w:rPr>
              <w:t>。</w:t>
            </w:r>
          </w:p>
        </w:tc>
      </w:tr>
      <w:tr w14:paraId="79EC87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6" w:hRule="atLeast"/>
        </w:trPr>
        <w:tc>
          <w:tcPr>
            <w:tcW w:w="970" w:type="dxa"/>
            <w:vAlign w:val="center"/>
          </w:tcPr>
          <w:p w14:paraId="23FC94CD">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w:t>
            </w:r>
          </w:p>
        </w:tc>
        <w:tc>
          <w:tcPr>
            <w:tcW w:w="2137" w:type="dxa"/>
            <w:vAlign w:val="center"/>
          </w:tcPr>
          <w:p w14:paraId="5A1E858C">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评标方法</w:t>
            </w:r>
          </w:p>
        </w:tc>
        <w:tc>
          <w:tcPr>
            <w:tcW w:w="6363" w:type="dxa"/>
            <w:vAlign w:val="center"/>
          </w:tcPr>
          <w:p w14:paraId="63A64BEE">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综合评分法</w:t>
            </w:r>
          </w:p>
        </w:tc>
      </w:tr>
      <w:tr w14:paraId="5A08727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13" w:hRule="atLeast"/>
        </w:trPr>
        <w:tc>
          <w:tcPr>
            <w:tcW w:w="970" w:type="dxa"/>
            <w:vAlign w:val="center"/>
          </w:tcPr>
          <w:p w14:paraId="42D57B39">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p>
        </w:tc>
        <w:tc>
          <w:tcPr>
            <w:tcW w:w="2137" w:type="dxa"/>
            <w:vAlign w:val="center"/>
          </w:tcPr>
          <w:p w14:paraId="109515DE">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推荐中标候选人</w:t>
            </w:r>
          </w:p>
        </w:tc>
        <w:tc>
          <w:tcPr>
            <w:tcW w:w="6363" w:type="dxa"/>
            <w:vAlign w:val="center"/>
          </w:tcPr>
          <w:p w14:paraId="0DB0E73E">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中标候选人数量</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u w:val="single"/>
              </w:rPr>
              <w:t xml:space="preserve"> </w:t>
            </w:r>
            <w:r>
              <w:rPr>
                <w:rFonts w:hint="eastAsia" w:cs="宋体"/>
                <w:color w:val="auto"/>
                <w:sz w:val="24"/>
                <w:szCs w:val="24"/>
                <w:highlight w:val="none"/>
                <w:u w:val="single"/>
                <w:lang w:val="en-US" w:eastAsia="zh-CN"/>
              </w:rPr>
              <w:t>不多于3</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家</w:t>
            </w:r>
            <w:r>
              <w:rPr>
                <w:rFonts w:hint="eastAsia" w:cs="宋体"/>
                <w:color w:val="auto"/>
                <w:sz w:val="24"/>
                <w:szCs w:val="24"/>
                <w:highlight w:val="none"/>
                <w:lang w:eastAsia="zh-CN"/>
              </w:rPr>
              <w:t>。</w:t>
            </w:r>
          </w:p>
        </w:tc>
      </w:tr>
      <w:tr w14:paraId="176C1C0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4EEEE9B4">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w:t>
            </w:r>
          </w:p>
        </w:tc>
        <w:tc>
          <w:tcPr>
            <w:tcW w:w="2137" w:type="dxa"/>
            <w:vAlign w:val="center"/>
          </w:tcPr>
          <w:p w14:paraId="266C355B">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确定中标人</w:t>
            </w:r>
          </w:p>
        </w:tc>
        <w:tc>
          <w:tcPr>
            <w:tcW w:w="6363" w:type="dxa"/>
            <w:vAlign w:val="center"/>
          </w:tcPr>
          <w:p w14:paraId="0911185A">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t>采购人</w:t>
            </w:r>
            <w:r>
              <w:rPr>
                <w:rFonts w:hint="eastAsia" w:ascii="宋体" w:hAnsi="宋体" w:eastAsia="宋体" w:cs="宋体"/>
                <w:i w:val="0"/>
                <w:iCs w:val="0"/>
                <w:color w:val="auto"/>
                <w:sz w:val="24"/>
                <w:szCs w:val="24"/>
                <w:highlight w:val="none"/>
                <w:lang w:eastAsia="zh-CN"/>
              </w:rPr>
              <w:t>在</w:t>
            </w:r>
            <w:r>
              <w:rPr>
                <w:rFonts w:hint="eastAsia" w:ascii="宋体" w:hAnsi="宋体" w:eastAsia="宋体" w:cs="宋体"/>
                <w:i w:val="0"/>
                <w:iCs w:val="0"/>
                <w:color w:val="auto"/>
                <w:sz w:val="24"/>
                <w:szCs w:val="24"/>
                <w:highlight w:val="none"/>
              </w:rPr>
              <w:t>收到</w:t>
            </w:r>
            <w:r>
              <w:rPr>
                <w:rFonts w:hint="eastAsia" w:ascii="宋体" w:hAnsi="宋体" w:eastAsia="宋体" w:cs="宋体"/>
                <w:i w:val="0"/>
                <w:iCs w:val="0"/>
                <w:color w:val="auto"/>
                <w:sz w:val="24"/>
                <w:szCs w:val="24"/>
                <w:highlight w:val="none"/>
                <w:lang w:val="en-US" w:eastAsia="zh-CN"/>
              </w:rPr>
              <w:t>评标</w:t>
            </w:r>
            <w:r>
              <w:rPr>
                <w:rFonts w:hint="eastAsia" w:ascii="宋体" w:hAnsi="宋体" w:eastAsia="宋体" w:cs="宋体"/>
                <w:i w:val="0"/>
                <w:iCs w:val="0"/>
                <w:color w:val="auto"/>
                <w:sz w:val="24"/>
                <w:szCs w:val="24"/>
                <w:highlight w:val="none"/>
              </w:rPr>
              <w:t>报告后5个工作日内，按</w:t>
            </w:r>
            <w:r>
              <w:rPr>
                <w:rFonts w:hint="eastAsia" w:ascii="宋体" w:hAnsi="宋体" w:eastAsia="宋体" w:cs="宋体"/>
                <w:i w:val="0"/>
                <w:iCs w:val="0"/>
                <w:color w:val="auto"/>
                <w:sz w:val="24"/>
                <w:szCs w:val="24"/>
                <w:highlight w:val="none"/>
                <w:lang w:val="en-US" w:eastAsia="zh-CN"/>
              </w:rPr>
              <w:t>评标</w:t>
            </w:r>
            <w:r>
              <w:rPr>
                <w:rFonts w:hint="eastAsia" w:ascii="宋体" w:hAnsi="宋体" w:eastAsia="宋体" w:cs="宋体"/>
                <w:i w:val="0"/>
                <w:iCs w:val="0"/>
                <w:color w:val="auto"/>
                <w:sz w:val="24"/>
                <w:szCs w:val="24"/>
                <w:highlight w:val="none"/>
              </w:rPr>
              <w:t>报告中推荐的</w:t>
            </w:r>
            <w:r>
              <w:rPr>
                <w:rFonts w:hint="eastAsia" w:ascii="宋体" w:hAnsi="宋体" w:eastAsia="宋体" w:cs="宋体"/>
                <w:i w:val="0"/>
                <w:iCs w:val="0"/>
                <w:color w:val="auto"/>
                <w:sz w:val="24"/>
                <w:szCs w:val="24"/>
                <w:highlight w:val="none"/>
                <w:lang w:val="en-US" w:eastAsia="zh-CN"/>
              </w:rPr>
              <w:t>中标</w:t>
            </w:r>
            <w:r>
              <w:rPr>
                <w:rFonts w:hint="eastAsia" w:ascii="宋体" w:hAnsi="宋体" w:eastAsia="宋体" w:cs="宋体"/>
                <w:i w:val="0"/>
                <w:iCs w:val="0"/>
                <w:color w:val="auto"/>
                <w:sz w:val="24"/>
                <w:szCs w:val="24"/>
                <w:highlight w:val="none"/>
              </w:rPr>
              <w:t>候选人排序确定</w:t>
            </w:r>
            <w:r>
              <w:rPr>
                <w:rFonts w:hint="eastAsia" w:ascii="宋体" w:hAnsi="宋体" w:eastAsia="宋体" w:cs="宋体"/>
                <w:i w:val="0"/>
                <w:iCs w:val="0"/>
                <w:color w:val="auto"/>
                <w:sz w:val="24"/>
                <w:szCs w:val="24"/>
                <w:highlight w:val="none"/>
                <w:lang w:val="en-US" w:eastAsia="zh-CN"/>
              </w:rPr>
              <w:t>中标</w:t>
            </w:r>
            <w:r>
              <w:rPr>
                <w:rFonts w:hint="eastAsia" w:ascii="宋体" w:hAnsi="宋体" w:eastAsia="宋体" w:cs="宋体"/>
                <w:i w:val="0"/>
                <w:iCs w:val="0"/>
                <w:color w:val="auto"/>
                <w:sz w:val="24"/>
                <w:szCs w:val="24"/>
                <w:highlight w:val="none"/>
              </w:rPr>
              <w:t>供应商。</w:t>
            </w:r>
          </w:p>
        </w:tc>
      </w:tr>
      <w:tr w14:paraId="16D85F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shd w:val="clear" w:color="auto" w:fill="auto"/>
            <w:vAlign w:val="center"/>
          </w:tcPr>
          <w:p w14:paraId="1B46F00E">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p>
        </w:tc>
        <w:tc>
          <w:tcPr>
            <w:tcW w:w="2137" w:type="dxa"/>
            <w:shd w:val="clear" w:color="auto" w:fill="auto"/>
            <w:vAlign w:val="center"/>
          </w:tcPr>
          <w:p w14:paraId="2789643E">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履约保证金</w:t>
            </w:r>
          </w:p>
        </w:tc>
        <w:tc>
          <w:tcPr>
            <w:tcW w:w="6363" w:type="dxa"/>
            <w:shd w:val="clear" w:color="auto" w:fill="auto"/>
            <w:vAlign w:val="center"/>
          </w:tcPr>
          <w:p w14:paraId="2795CC0D">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金额：</w:t>
            </w:r>
            <w:r>
              <w:rPr>
                <w:rFonts w:hint="eastAsia" w:ascii="宋体" w:hAnsi="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p>
          <w:p w14:paraId="172638B8">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支付方式：</w:t>
            </w:r>
          </w:p>
          <w:p w14:paraId="6FD0344D">
            <w:pPr>
              <w:pStyle w:val="55"/>
              <w:keepNext w:val="0"/>
              <w:keepLines w:val="0"/>
              <w:pageBreakBefore w:val="0"/>
              <w:widowControl w:val="0"/>
              <w:shd w:val="clear" w:color="auto" w:fill="auto"/>
              <w:kinsoku/>
              <w:wordWrap/>
              <w:overflowPunct/>
              <w:topLinePunct w:val="0"/>
              <w:autoSpaceDE/>
              <w:autoSpaceDN/>
              <w:bidi w:val="0"/>
              <w:adjustRightInd/>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777767AC">
            <w:pPr>
              <w:pStyle w:val="51"/>
              <w:keepNext w:val="0"/>
              <w:keepLines w:val="0"/>
              <w:pageBreakBefore w:val="0"/>
              <w:kinsoku/>
              <w:overflowPunct/>
              <w:topLinePunct w:val="0"/>
              <w:bidi w:val="0"/>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收取单位：</w:t>
            </w:r>
            <w:r>
              <w:rPr>
                <w:rFonts w:hint="eastAsia" w:ascii="宋体" w:hAnsi="宋体" w:eastAsia="宋体" w:cs="宋体"/>
                <w:i w:val="0"/>
                <w:iCs w:val="0"/>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w:t>
            </w:r>
          </w:p>
          <w:p w14:paraId="664B21CA">
            <w:pPr>
              <w:pStyle w:val="51"/>
              <w:keepNext w:val="0"/>
              <w:keepLines w:val="0"/>
              <w:pageBreakBefore w:val="0"/>
              <w:kinsoku/>
              <w:overflowPunct/>
              <w:topLinePunct w:val="0"/>
              <w:bidi w:val="0"/>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4.收取账号：</w:t>
            </w:r>
            <w:r>
              <w:rPr>
                <w:rFonts w:hint="eastAsia" w:ascii="宋体" w:hAnsi="宋体" w:eastAsia="宋体" w:cs="宋体"/>
                <w:i w:val="0"/>
                <w:iCs w:val="0"/>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 xml:space="preserve">              </w:t>
            </w:r>
          </w:p>
          <w:p w14:paraId="41B3BE7D">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退还时间：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cs="宋体"/>
                <w:i w:val="0"/>
                <w:iCs w:val="0"/>
                <w:color w:val="auto"/>
                <w:sz w:val="24"/>
                <w:szCs w:val="24"/>
                <w:highlight w:val="none"/>
                <w:u w:val="single"/>
                <w:lang w:val="en-US" w:eastAsia="zh-CN"/>
              </w:rPr>
              <w:t>/</w:t>
            </w:r>
            <w:r>
              <w:rPr>
                <w:rFonts w:hint="eastAsia" w:cs="宋体"/>
                <w:i w:val="0"/>
                <w:iCs w:val="0"/>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32E52EF0">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注意事项：</w:t>
            </w:r>
          </w:p>
          <w:p w14:paraId="1033F0D6">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以上各类机构出具的以担保函、保证保险承担责任的方式均须满足无条件见索即付条件。</w:t>
            </w:r>
          </w:p>
          <w:p w14:paraId="257AE723">
            <w:pPr>
              <w:pStyle w:val="51"/>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rPr>
              <w:t>以担保函、保证保险形式缴纳履约保证金的，受益人和收取单位须为采购人。</w:t>
            </w:r>
          </w:p>
        </w:tc>
      </w:tr>
      <w:tr w14:paraId="6B1F02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66" w:hRule="atLeast"/>
        </w:trPr>
        <w:tc>
          <w:tcPr>
            <w:tcW w:w="970" w:type="dxa"/>
            <w:vAlign w:val="center"/>
          </w:tcPr>
          <w:p w14:paraId="600814BC">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w:t>
            </w:r>
          </w:p>
        </w:tc>
        <w:tc>
          <w:tcPr>
            <w:tcW w:w="2137" w:type="dxa"/>
            <w:vAlign w:val="center"/>
          </w:tcPr>
          <w:p w14:paraId="74D19386">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rPr>
              <w:t>中标后分包</w:t>
            </w:r>
          </w:p>
        </w:tc>
        <w:tc>
          <w:tcPr>
            <w:tcW w:w="6363" w:type="dxa"/>
            <w:vAlign w:val="center"/>
          </w:tcPr>
          <w:p w14:paraId="2F04DF99">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cs="宋体"/>
                <w:color w:val="auto"/>
                <w:kern w:val="2"/>
                <w:sz w:val="24"/>
                <w:szCs w:val="24"/>
                <w:highlight w:val="none"/>
                <w:lang w:val="en-US" w:eastAsia="zh-CN" w:bidi="ar-SA"/>
              </w:rPr>
              <w:t>不</w:t>
            </w:r>
            <w:r>
              <w:rPr>
                <w:rFonts w:hint="eastAsia" w:ascii="宋体" w:hAnsi="宋体" w:eastAsia="宋体" w:cs="宋体"/>
                <w:color w:val="auto"/>
                <w:kern w:val="2"/>
                <w:sz w:val="24"/>
                <w:szCs w:val="24"/>
                <w:highlight w:val="none"/>
                <w:lang w:val="en-US" w:eastAsia="zh-CN" w:bidi="ar-SA"/>
              </w:rPr>
              <w:t>允许</w:t>
            </w:r>
            <w:r>
              <w:rPr>
                <w:rFonts w:hint="eastAsia" w:cs="宋体"/>
                <w:color w:val="auto"/>
                <w:kern w:val="2"/>
                <w:sz w:val="24"/>
                <w:szCs w:val="24"/>
                <w:highlight w:val="none"/>
                <w:lang w:val="en-US" w:eastAsia="zh-CN" w:bidi="ar-SA"/>
              </w:rPr>
              <w:t>。</w:t>
            </w:r>
          </w:p>
        </w:tc>
      </w:tr>
      <w:tr w14:paraId="19B129A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vAlign w:val="center"/>
          </w:tcPr>
          <w:p w14:paraId="5BFFADC2">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35.1</w:t>
            </w:r>
          </w:p>
        </w:tc>
        <w:tc>
          <w:tcPr>
            <w:tcW w:w="2137" w:type="dxa"/>
            <w:vAlign w:val="center"/>
          </w:tcPr>
          <w:p w14:paraId="6B25F509">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质疑</w:t>
            </w:r>
          </w:p>
        </w:tc>
        <w:tc>
          <w:tcPr>
            <w:tcW w:w="6363" w:type="dxa"/>
            <w:vAlign w:val="center"/>
          </w:tcPr>
          <w:p w14:paraId="19F26822">
            <w:pPr>
              <w:pStyle w:val="59"/>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递交方式：</w:t>
            </w:r>
            <w:r>
              <w:rPr>
                <w:rFonts w:hint="eastAsia" w:ascii="宋体" w:hAnsi="宋体" w:eastAsia="宋体" w:cs="宋体"/>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符合采购文件及政府采购相关文件规定</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zh-CN" w:eastAsia="zh-CN" w:bidi="ar-SA"/>
              </w:rPr>
              <w:t xml:space="preserve">              </w:t>
            </w:r>
          </w:p>
          <w:p w14:paraId="33CC548F">
            <w:pPr>
              <w:pStyle w:val="59"/>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接收部门：</w:t>
            </w:r>
            <w:r>
              <w:rPr>
                <w:rFonts w:hint="eastAsia" w:ascii="宋体" w:hAnsi="宋体" w:eastAsia="宋体" w:cs="宋体"/>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河南省机电设备国际招标有限公司</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zh-CN" w:eastAsia="zh-CN" w:bidi="ar-SA"/>
              </w:rPr>
              <w:t xml:space="preserve">              </w:t>
            </w:r>
          </w:p>
          <w:p w14:paraId="4E9BBFA0">
            <w:pPr>
              <w:pStyle w:val="59"/>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联系电话：</w:t>
            </w:r>
            <w:r>
              <w:rPr>
                <w:rFonts w:hint="eastAsia" w:ascii="宋体" w:hAnsi="宋体" w:eastAsia="宋体" w:cs="宋体"/>
                <w:color w:val="auto"/>
                <w:sz w:val="24"/>
                <w:szCs w:val="24"/>
                <w:highlight w:val="none"/>
                <w:u w:val="single"/>
              </w:rPr>
              <w:t xml:space="preserve"> </w:t>
            </w:r>
            <w:r>
              <w:rPr>
                <w:rFonts w:hint="eastAsia" w:ascii="宋体" w:hAnsi="宋体" w:cs="宋体"/>
                <w:i w:val="0"/>
                <w:iCs w:val="0"/>
                <w:color w:val="auto"/>
                <w:sz w:val="24"/>
                <w:szCs w:val="24"/>
                <w:highlight w:val="none"/>
                <w:u w:val="single"/>
                <w:lang w:val="en-US" w:eastAsia="zh-CN"/>
              </w:rPr>
              <w:t>0371-65954154</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zh-CN" w:eastAsia="zh-CN" w:bidi="ar-SA"/>
              </w:rPr>
              <w:t xml:space="preserve">              </w:t>
            </w:r>
          </w:p>
          <w:p w14:paraId="30211831">
            <w:pPr>
              <w:pStyle w:val="59"/>
              <w:keepNext w:val="0"/>
              <w:keepLines w:val="0"/>
              <w:pageBreakBefore w:val="0"/>
              <w:widowControl w:val="0"/>
              <w:kinsoku/>
              <w:wordWrap/>
              <w:overflowPunct/>
              <w:topLinePunct w:val="0"/>
              <w:autoSpaceDE w:val="0"/>
              <w:autoSpaceDN w:val="0"/>
              <w:bidi w:val="0"/>
              <w:adjustRightInd w:val="0"/>
              <w:snapToGrid/>
              <w:spacing w:line="440" w:lineRule="exac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2"/>
                <w:sz w:val="24"/>
                <w:szCs w:val="24"/>
                <w:highlight w:val="none"/>
                <w:lang w:val="zh-CN" w:eastAsia="zh-CN" w:bidi="ar-SA"/>
              </w:rPr>
              <w:t>通讯地址：</w:t>
            </w:r>
            <w:r>
              <w:rPr>
                <w:rFonts w:hint="eastAsia" w:ascii="宋体" w:hAnsi="宋体" w:eastAsia="宋体" w:cs="宋体"/>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rPr>
              <w:t>河南省郑州市商都路27号财信大厦14</w:t>
            </w:r>
            <w:r>
              <w:rPr>
                <w:rFonts w:hint="eastAsia" w:ascii="宋体" w:hAnsi="宋体" w:cs="宋体"/>
                <w:i w:val="0"/>
                <w:iCs w:val="0"/>
                <w:color w:val="auto"/>
                <w:sz w:val="24"/>
                <w:szCs w:val="24"/>
                <w:highlight w:val="none"/>
                <w:u w:val="single"/>
                <w:lang w:val="en-US" w:eastAsia="zh-CN"/>
              </w:rPr>
              <w:t>层1411室</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kern w:val="2"/>
                <w:sz w:val="24"/>
                <w:szCs w:val="24"/>
                <w:highlight w:val="none"/>
                <w:lang w:val="zh-CN" w:eastAsia="zh-CN" w:bidi="ar-SA"/>
              </w:rPr>
              <w:t xml:space="preserve">              </w:t>
            </w:r>
          </w:p>
        </w:tc>
      </w:tr>
      <w:tr w14:paraId="3C8ED12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380" w:hRule="atLeast"/>
        </w:trPr>
        <w:tc>
          <w:tcPr>
            <w:tcW w:w="970" w:type="dxa"/>
            <w:vAlign w:val="center"/>
          </w:tcPr>
          <w:p w14:paraId="422A3CDD">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2137" w:type="dxa"/>
            <w:vAlign w:val="center"/>
          </w:tcPr>
          <w:p w14:paraId="1782DE51">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采购代理服务费</w:t>
            </w:r>
          </w:p>
        </w:tc>
        <w:tc>
          <w:tcPr>
            <w:tcW w:w="6363" w:type="dxa"/>
            <w:vAlign w:val="center"/>
          </w:tcPr>
          <w:p w14:paraId="572A09AD">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收</w:t>
            </w:r>
            <w:r>
              <w:rPr>
                <w:rFonts w:hint="eastAsia" w:ascii="宋体" w:hAnsi="宋体" w:eastAsia="宋体" w:cs="宋体"/>
                <w:color w:val="auto"/>
                <w:sz w:val="24"/>
                <w:szCs w:val="24"/>
                <w:highlight w:val="none"/>
              </w:rPr>
              <w:t>费</w:t>
            </w:r>
            <w:r>
              <w:rPr>
                <w:rFonts w:hint="eastAsia" w:ascii="宋体" w:hAnsi="宋体" w:eastAsia="宋体" w:cs="宋体"/>
                <w:color w:val="auto"/>
                <w:sz w:val="24"/>
                <w:szCs w:val="24"/>
                <w:highlight w:val="none"/>
                <w:lang w:val="en-US" w:eastAsia="zh-CN"/>
              </w:rPr>
              <w:t>对象</w:t>
            </w:r>
            <w:r>
              <w:rPr>
                <w:rFonts w:hint="eastAsia" w:ascii="宋体" w:hAnsi="宋体" w:eastAsia="宋体" w:cs="宋体"/>
                <w:color w:val="auto"/>
                <w:sz w:val="24"/>
                <w:szCs w:val="24"/>
                <w:highlight w:val="none"/>
              </w:rPr>
              <w:t xml:space="preserve">：中标人支付 </w:t>
            </w:r>
          </w:p>
          <w:p w14:paraId="75684927">
            <w:pPr>
              <w:pStyle w:val="51"/>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收费</w:t>
            </w:r>
            <w:r>
              <w:rPr>
                <w:rFonts w:hint="eastAsia" w:ascii="宋体" w:hAnsi="宋体" w:eastAsia="宋体" w:cs="宋体"/>
                <w:color w:val="auto"/>
                <w:sz w:val="24"/>
                <w:szCs w:val="24"/>
                <w:highlight w:val="none"/>
              </w:rPr>
              <w:t>标准：</w:t>
            </w:r>
            <w:r>
              <w:rPr>
                <w:rFonts w:hint="eastAsia" w:ascii="宋体" w:hAnsi="宋体" w:cs="宋体"/>
                <w:color w:val="auto"/>
                <w:sz w:val="24"/>
                <w:highlight w:val="none"/>
                <w:u w:val="single"/>
              </w:rPr>
              <w:t>采购代理机构依照</w:t>
            </w:r>
            <w:r>
              <w:rPr>
                <w:rFonts w:hint="eastAsia" w:cs="宋体"/>
                <w:color w:val="auto"/>
                <w:sz w:val="24"/>
                <w:highlight w:val="none"/>
                <w:u w:val="single"/>
                <w:lang w:val="en-US" w:eastAsia="zh-CN"/>
              </w:rPr>
              <w:t>中标</w:t>
            </w:r>
            <w:r>
              <w:rPr>
                <w:rFonts w:hint="eastAsia" w:ascii="宋体" w:hAnsi="宋体" w:cs="宋体"/>
                <w:color w:val="auto"/>
                <w:sz w:val="24"/>
                <w:highlight w:val="none"/>
                <w:u w:val="single"/>
              </w:rPr>
              <w:t>金额</w:t>
            </w:r>
            <w:r>
              <w:rPr>
                <w:rFonts w:hint="eastAsia" w:cs="宋体"/>
                <w:color w:val="auto"/>
                <w:sz w:val="24"/>
                <w:highlight w:val="none"/>
                <w:u w:val="single"/>
                <w:lang w:val="en-US" w:eastAsia="zh-CN"/>
              </w:rPr>
              <w:t>参照</w:t>
            </w:r>
            <w:r>
              <w:rPr>
                <w:rFonts w:hint="eastAsia" w:ascii="宋体" w:hAnsi="宋体" w:cs="宋体"/>
                <w:color w:val="auto"/>
                <w:sz w:val="24"/>
                <w:highlight w:val="none"/>
                <w:u w:val="single"/>
              </w:rPr>
              <w:t>原计价格[2002]1980号文件</w:t>
            </w:r>
            <w:bookmarkStart w:id="734" w:name="_GoBack"/>
            <w:r>
              <w:rPr>
                <w:rFonts w:hint="eastAsia" w:cs="宋体"/>
                <w:color w:val="auto"/>
                <w:sz w:val="24"/>
                <w:highlight w:val="none"/>
                <w:u w:val="single"/>
                <w:lang w:val="en-US" w:eastAsia="zh-CN"/>
              </w:rPr>
              <w:t>和《国家发展改革委办公厅关于代理服务收费有关问题的通知》(发改办价格[2003]857号)的</w:t>
            </w:r>
            <w:r>
              <w:rPr>
                <w:rFonts w:hint="eastAsia" w:ascii="宋体" w:hAnsi="宋体" w:cs="宋体"/>
                <w:color w:val="auto"/>
                <w:sz w:val="24"/>
                <w:highlight w:val="none"/>
                <w:u w:val="single"/>
              </w:rPr>
              <w:t>规定</w:t>
            </w:r>
            <w:bookmarkEnd w:id="734"/>
            <w:r>
              <w:rPr>
                <w:rFonts w:hint="eastAsia" w:cs="宋体"/>
                <w:color w:val="auto"/>
                <w:sz w:val="24"/>
                <w:highlight w:val="none"/>
                <w:u w:val="single"/>
                <w:lang w:val="en-US" w:eastAsia="zh-CN"/>
              </w:rPr>
              <w:t>标准</w:t>
            </w:r>
            <w:r>
              <w:rPr>
                <w:rFonts w:hint="eastAsia" w:ascii="宋体" w:hAnsi="宋体" w:cs="宋体"/>
                <w:color w:val="auto"/>
                <w:sz w:val="24"/>
                <w:highlight w:val="none"/>
                <w:u w:val="single"/>
              </w:rPr>
              <w:t>向</w:t>
            </w:r>
            <w:r>
              <w:rPr>
                <w:rFonts w:hint="eastAsia" w:cs="宋体"/>
                <w:color w:val="auto"/>
                <w:sz w:val="24"/>
                <w:highlight w:val="none"/>
                <w:u w:val="single"/>
                <w:lang w:val="en-US" w:eastAsia="zh-CN"/>
              </w:rPr>
              <w:t>中标人</w:t>
            </w:r>
            <w:r>
              <w:rPr>
                <w:rFonts w:hint="eastAsia" w:ascii="宋体" w:hAnsi="宋体" w:cs="宋体"/>
                <w:color w:val="auto"/>
                <w:sz w:val="24"/>
                <w:highlight w:val="none"/>
                <w:u w:val="single"/>
              </w:rPr>
              <w:t>收取代理服务费</w:t>
            </w:r>
            <w:r>
              <w:rPr>
                <w:rFonts w:hint="eastAsia" w:ascii="宋体" w:hAnsi="宋体" w:cs="宋体"/>
                <w:color w:val="auto"/>
                <w:sz w:val="24"/>
                <w:highlight w:val="none"/>
              </w:rPr>
              <w:t xml:space="preserve"> </w:t>
            </w:r>
          </w:p>
          <w:p w14:paraId="1368AF2C">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时间：</w:t>
            </w:r>
            <w:r>
              <w:rPr>
                <w:rFonts w:hint="eastAsia" w:ascii="宋体" w:hAnsi="宋体" w:eastAsia="宋体" w:cs="宋体"/>
                <w:i w:val="0"/>
                <w:iCs w:val="0"/>
                <w:color w:val="auto"/>
                <w:sz w:val="24"/>
                <w:szCs w:val="24"/>
                <w:highlight w:val="none"/>
                <w:u w:val="single"/>
                <w:lang w:val="en-US" w:eastAsia="zh-CN"/>
              </w:rPr>
              <w:t>中标人</w:t>
            </w:r>
            <w:r>
              <w:rPr>
                <w:rFonts w:hint="eastAsia" w:ascii="宋体" w:hAnsi="宋体" w:eastAsia="宋体" w:cs="宋体"/>
                <w:i w:val="0"/>
                <w:iCs w:val="0"/>
                <w:color w:val="auto"/>
                <w:sz w:val="24"/>
                <w:szCs w:val="24"/>
                <w:highlight w:val="none"/>
                <w:u w:val="single"/>
              </w:rPr>
              <w:t>领取</w:t>
            </w:r>
            <w:r>
              <w:rPr>
                <w:rFonts w:hint="eastAsia" w:ascii="宋体" w:hAnsi="宋体" w:eastAsia="宋体" w:cs="宋体"/>
                <w:i w:val="0"/>
                <w:iCs w:val="0"/>
                <w:color w:val="auto"/>
                <w:sz w:val="24"/>
                <w:szCs w:val="24"/>
                <w:highlight w:val="none"/>
                <w:u w:val="single"/>
                <w:lang w:val="en-US" w:eastAsia="zh-CN"/>
              </w:rPr>
              <w:t>中标</w:t>
            </w:r>
            <w:r>
              <w:rPr>
                <w:rFonts w:hint="eastAsia" w:ascii="宋体" w:hAnsi="宋体" w:eastAsia="宋体" w:cs="宋体"/>
                <w:i w:val="0"/>
                <w:iCs w:val="0"/>
                <w:color w:val="auto"/>
                <w:sz w:val="24"/>
                <w:szCs w:val="24"/>
                <w:highlight w:val="none"/>
                <w:u w:val="single"/>
              </w:rPr>
              <w:t>通知书时</w:t>
            </w:r>
            <w:r>
              <w:rPr>
                <w:rFonts w:hint="eastAsia" w:ascii="宋体" w:hAnsi="宋体" w:eastAsia="宋体" w:cs="宋体"/>
                <w:color w:val="auto"/>
                <w:sz w:val="24"/>
                <w:szCs w:val="24"/>
                <w:highlight w:val="none"/>
                <w:u w:val="single"/>
              </w:rPr>
              <w:t xml:space="preserve"> </w:t>
            </w:r>
          </w:p>
          <w:p w14:paraId="51E4E09C">
            <w:pPr>
              <w:pStyle w:val="51"/>
              <w:keepNext w:val="0"/>
              <w:keepLines w:val="0"/>
              <w:pageBreakBefore w:val="0"/>
              <w:kinsoku/>
              <w:overflowPunct/>
              <w:topLinePunct w:val="0"/>
              <w:bidi w:val="0"/>
              <w:snapToGrid/>
              <w:spacing w:line="440" w:lineRule="exact"/>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收取</w:t>
            </w:r>
            <w:r>
              <w:rPr>
                <w:rFonts w:hint="eastAsia" w:ascii="宋体" w:hAnsi="宋体" w:eastAsia="宋体" w:cs="宋体"/>
                <w:color w:val="auto"/>
                <w:sz w:val="24"/>
                <w:szCs w:val="24"/>
                <w:highlight w:val="none"/>
              </w:rPr>
              <w:t>方式：</w:t>
            </w:r>
            <w:r>
              <w:rPr>
                <w:rFonts w:hint="eastAsia" w:ascii="宋体" w:hAnsi="宋体" w:eastAsia="宋体" w:cs="宋体"/>
                <w:i w:val="0"/>
                <w:iCs w:val="0"/>
                <w:color w:val="auto"/>
                <w:sz w:val="24"/>
                <w:szCs w:val="24"/>
                <w:highlight w:val="none"/>
                <w:u w:val="single"/>
                <w:lang w:val="en-US" w:eastAsia="zh-CN"/>
              </w:rPr>
              <w:t>中标人</w:t>
            </w:r>
            <w:r>
              <w:rPr>
                <w:rFonts w:hint="eastAsia" w:ascii="宋体" w:hAnsi="宋体" w:eastAsia="宋体" w:cs="宋体"/>
                <w:i w:val="0"/>
                <w:iCs w:val="0"/>
                <w:color w:val="auto"/>
                <w:sz w:val="24"/>
                <w:szCs w:val="24"/>
                <w:highlight w:val="none"/>
                <w:u w:val="single"/>
              </w:rPr>
              <w:t>在领取成交通知书前将</w:t>
            </w:r>
            <w:r>
              <w:rPr>
                <w:rFonts w:hint="eastAsia" w:cs="宋体"/>
                <w:i w:val="0"/>
                <w:iCs w:val="0"/>
                <w:color w:val="auto"/>
                <w:sz w:val="24"/>
                <w:szCs w:val="24"/>
                <w:highlight w:val="none"/>
                <w:u w:val="single"/>
                <w:lang w:val="en-US" w:eastAsia="zh-CN"/>
              </w:rPr>
              <w:t>采购</w:t>
            </w:r>
            <w:r>
              <w:rPr>
                <w:rFonts w:hint="eastAsia" w:ascii="宋体" w:hAnsi="宋体" w:eastAsia="宋体" w:cs="宋体"/>
                <w:i w:val="0"/>
                <w:iCs w:val="0"/>
                <w:color w:val="auto"/>
                <w:sz w:val="24"/>
                <w:szCs w:val="24"/>
                <w:highlight w:val="none"/>
                <w:u w:val="single"/>
              </w:rPr>
              <w:t>代理服务费交至下面账号：</w:t>
            </w:r>
          </w:p>
          <w:p w14:paraId="075BD669">
            <w:pPr>
              <w:pStyle w:val="51"/>
              <w:keepNext w:val="0"/>
              <w:keepLines w:val="0"/>
              <w:pageBreakBefore w:val="0"/>
              <w:kinsoku/>
              <w:overflowPunct/>
              <w:topLinePunct w:val="0"/>
              <w:bidi w:val="0"/>
              <w:snapToGrid/>
              <w:spacing w:line="440" w:lineRule="exact"/>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u w:val="single"/>
              </w:rPr>
              <w:t>开户名称：河南省机电设备国际招标有限公司</w:t>
            </w:r>
          </w:p>
          <w:p w14:paraId="49FD8D13">
            <w:pPr>
              <w:pStyle w:val="51"/>
              <w:keepNext w:val="0"/>
              <w:keepLines w:val="0"/>
              <w:pageBreakBefore w:val="0"/>
              <w:kinsoku/>
              <w:overflowPunct/>
              <w:topLinePunct w:val="0"/>
              <w:bidi w:val="0"/>
              <w:snapToGrid/>
              <w:spacing w:line="440" w:lineRule="exact"/>
              <w:textAlignment w:val="auto"/>
              <w:rPr>
                <w:rFonts w:hint="eastAsia"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u w:val="single"/>
              </w:rPr>
              <w:t>开户账户：</w:t>
            </w:r>
            <w:r>
              <w:rPr>
                <w:rFonts w:hint="eastAsia" w:cs="宋体"/>
                <w:i w:val="0"/>
                <w:iCs w:val="0"/>
                <w:color w:val="auto"/>
                <w:sz w:val="24"/>
                <w:szCs w:val="24"/>
                <w:highlight w:val="none"/>
                <w:u w:val="single"/>
                <w:lang w:val="en-US" w:eastAsia="zh-CN"/>
              </w:rPr>
              <w:t>中原银行郑州花园路支行</w:t>
            </w:r>
          </w:p>
          <w:p w14:paraId="2D728032">
            <w:pPr>
              <w:pStyle w:val="51"/>
              <w:keepNext w:val="0"/>
              <w:keepLines w:val="0"/>
              <w:pageBreakBefore w:val="0"/>
              <w:kinsoku/>
              <w:overflowPunct/>
              <w:topLinePunct w:val="0"/>
              <w:bidi w:val="0"/>
              <w:snapToGrid/>
              <w:spacing w:line="440" w:lineRule="exact"/>
              <w:textAlignment w:val="auto"/>
              <w:rPr>
                <w:rFonts w:hint="default"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u w:val="single"/>
              </w:rPr>
              <w:t>开户账号：</w:t>
            </w:r>
            <w:r>
              <w:rPr>
                <w:rFonts w:hint="eastAsia" w:cs="宋体"/>
                <w:i w:val="0"/>
                <w:iCs w:val="0"/>
                <w:color w:val="auto"/>
                <w:sz w:val="24"/>
                <w:szCs w:val="24"/>
                <w:highlight w:val="none"/>
                <w:u w:val="single"/>
                <w:lang w:val="en-US" w:eastAsia="zh-CN"/>
              </w:rPr>
              <w:t>410126010100072801</w:t>
            </w:r>
          </w:p>
          <w:p w14:paraId="76384588">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u w:val="single"/>
              </w:rPr>
              <w:t xml:space="preserve">电汇备注：“项目编号-******** </w:t>
            </w:r>
            <w:r>
              <w:rPr>
                <w:rFonts w:hint="eastAsia" w:cs="宋体"/>
                <w:i w:val="0"/>
                <w:iCs w:val="0"/>
                <w:color w:val="auto"/>
                <w:sz w:val="24"/>
                <w:szCs w:val="24"/>
                <w:highlight w:val="none"/>
                <w:u w:val="single"/>
                <w:lang w:val="en-US" w:eastAsia="zh-CN"/>
              </w:rPr>
              <w:t>采购</w:t>
            </w:r>
            <w:r>
              <w:rPr>
                <w:rFonts w:hint="eastAsia" w:ascii="宋体" w:hAnsi="宋体" w:eastAsia="宋体" w:cs="宋体"/>
                <w:i w:val="0"/>
                <w:iCs w:val="0"/>
                <w:color w:val="auto"/>
                <w:sz w:val="24"/>
                <w:szCs w:val="24"/>
                <w:highlight w:val="none"/>
                <w:u w:val="single"/>
              </w:rPr>
              <w:t xml:space="preserve">代理服务费” </w:t>
            </w:r>
            <w:r>
              <w:rPr>
                <w:rFonts w:hint="eastAsia" w:ascii="宋体" w:hAnsi="宋体" w:eastAsia="宋体" w:cs="宋体"/>
                <w:color w:val="auto"/>
                <w:sz w:val="24"/>
                <w:szCs w:val="24"/>
                <w:highlight w:val="none"/>
                <w:u w:val="single"/>
              </w:rPr>
              <w:t xml:space="preserve"> </w:t>
            </w:r>
          </w:p>
        </w:tc>
      </w:tr>
      <w:tr w14:paraId="30DE5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1" w:hRule="atLeast"/>
        </w:trPr>
        <w:tc>
          <w:tcPr>
            <w:tcW w:w="970" w:type="dxa"/>
            <w:vAlign w:val="center"/>
          </w:tcPr>
          <w:p w14:paraId="6F1BF374">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p>
        </w:tc>
        <w:tc>
          <w:tcPr>
            <w:tcW w:w="2137" w:type="dxa"/>
            <w:vAlign w:val="center"/>
          </w:tcPr>
          <w:p w14:paraId="5D860FC6">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cs="宋体"/>
                <w:color w:val="auto"/>
                <w:sz w:val="24"/>
                <w:szCs w:val="24"/>
                <w:highlight w:val="none"/>
                <w:lang w:eastAsia="zh-CN"/>
              </w:rPr>
              <w:t>支持本国产品政策</w:t>
            </w:r>
          </w:p>
        </w:tc>
        <w:tc>
          <w:tcPr>
            <w:tcW w:w="6363" w:type="dxa"/>
            <w:vAlign w:val="center"/>
          </w:tcPr>
          <w:p w14:paraId="1481386A">
            <w:pPr>
              <w:pStyle w:val="51"/>
              <w:keepNext w:val="0"/>
              <w:keepLines w:val="0"/>
              <w:pageBreakBefore w:val="0"/>
              <w:kinsoku/>
              <w:wordWrap/>
              <w:overflowPunct/>
              <w:topLinePunct w:val="0"/>
              <w:bidi w:val="0"/>
              <w:snapToGrid/>
              <w:spacing w:line="440" w:lineRule="exact"/>
              <w:textAlignment w:val="auto"/>
              <w:rPr>
                <w:rFonts w:hint="eastAsia" w:cs="宋体"/>
                <w:color w:val="auto"/>
                <w:sz w:val="24"/>
                <w:szCs w:val="24"/>
                <w:highlight w:val="none"/>
                <w:lang w:val="en-US" w:eastAsia="zh-CN"/>
              </w:rPr>
            </w:pPr>
            <w:r>
              <w:rPr>
                <w:rFonts w:hint="eastAsia" w:cs="宋体"/>
                <w:b w:val="0"/>
                <w:bCs/>
                <w:color w:val="auto"/>
                <w:kern w:val="0"/>
                <w:sz w:val="24"/>
                <w:szCs w:val="24"/>
                <w:highlight w:val="none"/>
                <w:lang w:val="en-US" w:eastAsia="zh-CN" w:bidi="ar-SA"/>
              </w:rPr>
              <w:t>对符合本国产品标准的，依法对本国产品给予价格评审优惠，用扣除后的价格参与评审。</w:t>
            </w:r>
          </w:p>
          <w:p w14:paraId="0521FBD2">
            <w:pPr>
              <w:pStyle w:val="51"/>
              <w:keepNext w:val="0"/>
              <w:keepLines w:val="0"/>
              <w:pageBreakBefore w:val="0"/>
              <w:kinsoku/>
              <w:wordWrap/>
              <w:overflowPunct/>
              <w:topLinePunct w:val="0"/>
              <w:bidi w:val="0"/>
              <w:snapToGrid/>
              <w:spacing w:line="440" w:lineRule="exact"/>
              <w:textAlignment w:val="auto"/>
              <w:rPr>
                <w:rFonts w:hint="default" w:cs="宋体"/>
                <w:color w:val="auto"/>
                <w:sz w:val="24"/>
                <w:szCs w:val="24"/>
                <w:highlight w:val="none"/>
                <w:lang w:val="en-US" w:eastAsia="zh-CN"/>
              </w:rPr>
            </w:pPr>
            <w:r>
              <w:rPr>
                <w:rFonts w:ascii="宋体" w:hAnsi="宋体" w:eastAsia="宋体" w:cs="宋体"/>
                <w:color w:val="auto"/>
                <w:sz w:val="24"/>
                <w:szCs w:val="24"/>
                <w:highlight w:val="none"/>
              </w:rPr>
              <w:t>注：本项目不涉及上述内容。</w:t>
            </w:r>
          </w:p>
        </w:tc>
      </w:tr>
      <w:tr w14:paraId="4A5F4B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51" w:hRule="atLeast"/>
        </w:trPr>
        <w:tc>
          <w:tcPr>
            <w:tcW w:w="970" w:type="dxa"/>
            <w:vAlign w:val="center"/>
          </w:tcPr>
          <w:p w14:paraId="2D67EE47">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w:t>
            </w:r>
            <w:r>
              <w:rPr>
                <w:rFonts w:hint="eastAsia" w:cs="宋体"/>
                <w:color w:val="auto"/>
                <w:sz w:val="24"/>
                <w:szCs w:val="24"/>
                <w:highlight w:val="none"/>
                <w:lang w:val="en-US" w:eastAsia="zh-CN"/>
              </w:rPr>
              <w:t>2</w:t>
            </w:r>
          </w:p>
        </w:tc>
        <w:tc>
          <w:tcPr>
            <w:tcW w:w="2137" w:type="dxa"/>
            <w:vAlign w:val="center"/>
          </w:tcPr>
          <w:p w14:paraId="01628D17">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是否接受进口产品</w:t>
            </w:r>
          </w:p>
        </w:tc>
        <w:tc>
          <w:tcPr>
            <w:tcW w:w="6363" w:type="dxa"/>
            <w:vAlign w:val="center"/>
          </w:tcPr>
          <w:p w14:paraId="2B5F8549">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不接受</w:t>
            </w:r>
          </w:p>
        </w:tc>
      </w:tr>
      <w:tr w14:paraId="2539FC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924" w:hRule="atLeast"/>
        </w:trPr>
        <w:tc>
          <w:tcPr>
            <w:tcW w:w="970" w:type="dxa"/>
            <w:vAlign w:val="center"/>
          </w:tcPr>
          <w:p w14:paraId="06648806">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2</w:t>
            </w:r>
          </w:p>
        </w:tc>
        <w:tc>
          <w:tcPr>
            <w:tcW w:w="2137" w:type="dxa"/>
            <w:vAlign w:val="center"/>
          </w:tcPr>
          <w:p w14:paraId="34AA4482">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支持中小企业政策</w:t>
            </w:r>
            <w:r>
              <w:rPr>
                <w:rStyle w:val="34"/>
                <w:rFonts w:hint="eastAsia" w:ascii="宋体" w:hAnsi="宋体" w:eastAsia="宋体" w:cs="宋体"/>
                <w:b w:val="0"/>
                <w:color w:val="auto"/>
                <w:sz w:val="24"/>
                <w:szCs w:val="24"/>
                <w:highlight w:val="none"/>
                <w:lang w:val="en-US" w:eastAsia="zh-CN"/>
              </w:rPr>
              <w:t>（非专门面向中小企业采购项目适用）</w:t>
            </w:r>
          </w:p>
        </w:tc>
        <w:tc>
          <w:tcPr>
            <w:tcW w:w="6363" w:type="dxa"/>
            <w:vAlign w:val="center"/>
          </w:tcPr>
          <w:p w14:paraId="736B9D94">
            <w:pPr>
              <w:pStyle w:val="72"/>
              <w:keepNext w:val="0"/>
              <w:keepLines w:val="0"/>
              <w:pageBreakBefore w:val="0"/>
              <w:widowControl w:val="0"/>
              <w:kinsoku/>
              <w:wordWrap/>
              <w:overflowPunct/>
              <w:topLinePunct w:val="0"/>
              <w:bidi w:val="0"/>
              <w:snapToGrid/>
              <w:spacing w:before="0" w:beforeAutospacing="0" w:after="0" w:afterAutospacing="0" w:line="440" w:lineRule="exact"/>
              <w:jc w:val="both"/>
              <w:textAlignment w:val="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1</w:t>
            </w:r>
            <w:r>
              <w:rPr>
                <w:rFonts w:hint="eastAsia" w:ascii="宋体" w:hAnsi="宋体" w:eastAsia="宋体" w:cs="宋体"/>
                <w:b/>
                <w:bCs w:val="0"/>
                <w:color w:val="auto"/>
                <w:sz w:val="24"/>
                <w:szCs w:val="24"/>
                <w:highlight w:val="none"/>
                <w:lang w:val="en-US" w:eastAsia="zh-CN"/>
              </w:rPr>
              <w:t>.</w:t>
            </w:r>
            <w:r>
              <w:rPr>
                <w:rFonts w:hint="eastAsia" w:ascii="宋体" w:hAnsi="宋体" w:eastAsia="宋体" w:cs="宋体"/>
                <w:b/>
                <w:bCs w:val="0"/>
                <w:color w:val="auto"/>
                <w:sz w:val="24"/>
                <w:szCs w:val="24"/>
                <w:highlight w:val="none"/>
              </w:rPr>
              <w:t>小型和微型企业价格扣除：</w:t>
            </w:r>
            <w:r>
              <w:rPr>
                <w:rFonts w:hint="eastAsia" w:ascii="宋体" w:hAnsi="宋体" w:eastAsia="宋体" w:cs="宋体"/>
                <w:b/>
                <w:bCs w:val="0"/>
                <w:color w:val="auto"/>
                <w:sz w:val="24"/>
                <w:szCs w:val="24"/>
                <w:highlight w:val="none"/>
                <w:u w:val="single"/>
                <w:lang w:val="en-US" w:eastAsia="zh-CN"/>
              </w:rPr>
              <w:t xml:space="preserve"> </w:t>
            </w:r>
            <w:r>
              <w:rPr>
                <w:rFonts w:hint="eastAsia" w:cs="宋体"/>
                <w:b/>
                <w:bCs w:val="0"/>
                <w:i w:val="0"/>
                <w:iCs w:val="0"/>
                <w:color w:val="auto"/>
                <w:sz w:val="24"/>
                <w:szCs w:val="24"/>
                <w:highlight w:val="none"/>
                <w:u w:val="single"/>
                <w:lang w:val="en-US" w:eastAsia="zh-CN"/>
              </w:rPr>
              <w:t>10%</w:t>
            </w:r>
            <w:r>
              <w:rPr>
                <w:rFonts w:hint="eastAsia" w:ascii="宋体" w:hAnsi="宋体" w:eastAsia="宋体" w:cs="宋体"/>
                <w:b/>
                <w:bCs w:val="0"/>
                <w:color w:val="auto"/>
                <w:sz w:val="24"/>
                <w:szCs w:val="24"/>
                <w:highlight w:val="none"/>
                <w:u w:val="single"/>
                <w:lang w:val="en-US" w:eastAsia="zh-CN"/>
              </w:rPr>
              <w:t xml:space="preserve"> </w:t>
            </w:r>
            <w:r>
              <w:rPr>
                <w:rFonts w:hint="eastAsia" w:ascii="宋体" w:hAnsi="宋体" w:eastAsia="宋体" w:cs="宋体"/>
                <w:b/>
                <w:bCs w:val="0"/>
                <w:color w:val="auto"/>
                <w:sz w:val="24"/>
                <w:szCs w:val="24"/>
                <w:highlight w:val="none"/>
              </w:rPr>
              <w:t>。</w:t>
            </w:r>
          </w:p>
          <w:p w14:paraId="3A14D5AD">
            <w:pPr>
              <w:pStyle w:val="72"/>
              <w:keepNext w:val="0"/>
              <w:keepLines w:val="0"/>
              <w:pageBreakBefore w:val="0"/>
              <w:widowControl w:val="0"/>
              <w:kinsoku/>
              <w:wordWrap/>
              <w:overflowPunct/>
              <w:topLinePunct w:val="0"/>
              <w:bidi w:val="0"/>
              <w:snapToGrid/>
              <w:spacing w:before="0" w:beforeAutospacing="0" w:after="0" w:afterAutospacing="0" w:line="44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2</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监狱企业价格扣除：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CF7AA8F">
            <w:pPr>
              <w:pStyle w:val="72"/>
              <w:keepNext w:val="0"/>
              <w:keepLines w:val="0"/>
              <w:pageBreakBefore w:val="0"/>
              <w:widowControl w:val="0"/>
              <w:kinsoku/>
              <w:wordWrap/>
              <w:overflowPunct/>
              <w:topLinePunct w:val="0"/>
              <w:bidi w:val="0"/>
              <w:snapToGrid/>
              <w:spacing w:before="0" w:beforeAutospacing="0" w:after="0" w:afterAutospacing="0" w:line="44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3</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残疾人福利性单位价格扣除：</w:t>
            </w:r>
            <w:r>
              <w:rPr>
                <w:rFonts w:hint="eastAsia" w:ascii="宋体" w:hAnsi="宋体" w:eastAsia="宋体" w:cs="宋体"/>
                <w:b w:val="0"/>
                <w:color w:val="auto"/>
                <w:sz w:val="24"/>
                <w:szCs w:val="24"/>
                <w:highlight w:val="none"/>
                <w:u w:val="none"/>
              </w:rPr>
              <w:t>同小型和微型企业</w:t>
            </w:r>
            <w:r>
              <w:rPr>
                <w:rFonts w:hint="eastAsia" w:ascii="宋体" w:hAnsi="宋体" w:eastAsia="宋体" w:cs="宋体"/>
                <w:b w:val="0"/>
                <w:color w:val="auto"/>
                <w:sz w:val="24"/>
                <w:szCs w:val="24"/>
                <w:highlight w:val="none"/>
              </w:rPr>
              <w:t>。</w:t>
            </w:r>
          </w:p>
          <w:p w14:paraId="529022C4">
            <w:pPr>
              <w:pStyle w:val="72"/>
              <w:keepNext w:val="0"/>
              <w:keepLines w:val="0"/>
              <w:pageBreakBefore w:val="0"/>
              <w:widowControl w:val="0"/>
              <w:kinsoku/>
              <w:wordWrap/>
              <w:overflowPunct/>
              <w:topLinePunct w:val="0"/>
              <w:bidi w:val="0"/>
              <w:snapToGrid/>
              <w:spacing w:before="0" w:beforeAutospacing="0" w:after="0" w:afterAutospacing="0" w:line="440" w:lineRule="exact"/>
              <w:jc w:val="both"/>
              <w:textAlignment w:val="auto"/>
              <w:rPr>
                <w:rFonts w:hint="eastAsia" w:ascii="宋体" w:hAnsi="宋体" w:eastAsia="宋体" w:cs="宋体"/>
                <w:b w:val="0"/>
                <w:color w:val="auto"/>
                <w:sz w:val="24"/>
                <w:szCs w:val="24"/>
                <w:highlight w:val="none"/>
              </w:rPr>
            </w:pPr>
            <w:r>
              <w:rPr>
                <w:rFonts w:hint="eastAsia" w:ascii="宋体" w:hAnsi="宋体" w:eastAsia="宋体" w:cs="宋体"/>
                <w:b w:val="0"/>
                <w:color w:val="auto"/>
                <w:sz w:val="24"/>
                <w:szCs w:val="24"/>
                <w:highlight w:val="none"/>
              </w:rPr>
              <w:t>4</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符合条件的联合体价格扣除：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color w:val="auto"/>
                <w:sz w:val="24"/>
                <w:szCs w:val="24"/>
                <w:highlight w:val="none"/>
              </w:rPr>
              <w:t>。</w:t>
            </w:r>
          </w:p>
          <w:p w14:paraId="1B996B16">
            <w:pPr>
              <w:pStyle w:val="72"/>
              <w:keepNext w:val="0"/>
              <w:keepLines w:val="0"/>
              <w:pageBreakBefore w:val="0"/>
              <w:widowControl w:val="0"/>
              <w:kinsoku/>
              <w:wordWrap/>
              <w:overflowPunct/>
              <w:topLinePunct w:val="0"/>
              <w:bidi w:val="0"/>
              <w:snapToGrid/>
              <w:spacing w:before="0" w:beforeAutospacing="0" w:after="0" w:afterAutospacing="0" w:line="440" w:lineRule="exact"/>
              <w:jc w:val="both"/>
              <w:textAlignment w:val="auto"/>
              <w:rPr>
                <w:rFonts w:hint="eastAsia" w:ascii="宋体" w:hAnsi="宋体" w:eastAsia="宋体" w:cs="宋体"/>
                <w:b w:val="0"/>
                <w:bCs/>
                <w:color w:val="auto"/>
                <w:kern w:val="0"/>
                <w:sz w:val="24"/>
                <w:szCs w:val="24"/>
                <w:highlight w:val="none"/>
                <w:lang w:val="en-US" w:eastAsia="zh-CN" w:bidi="ar-SA"/>
              </w:rPr>
            </w:pPr>
            <w:r>
              <w:rPr>
                <w:rFonts w:hint="eastAsia" w:ascii="宋体" w:hAnsi="宋体" w:eastAsia="宋体" w:cs="宋体"/>
                <w:b w:val="0"/>
                <w:color w:val="auto"/>
                <w:sz w:val="24"/>
                <w:szCs w:val="24"/>
                <w:highlight w:val="none"/>
              </w:rPr>
              <w:t>5</w:t>
            </w:r>
            <w:r>
              <w:rPr>
                <w:rFonts w:hint="eastAsia" w:ascii="宋体" w:hAnsi="宋体" w:eastAsia="宋体" w:cs="宋体"/>
                <w:b w:val="0"/>
                <w:color w:val="auto"/>
                <w:sz w:val="24"/>
                <w:szCs w:val="24"/>
                <w:highlight w:val="none"/>
                <w:lang w:val="en-US" w:eastAsia="zh-CN"/>
              </w:rPr>
              <w:t>.</w:t>
            </w:r>
            <w:r>
              <w:rPr>
                <w:rFonts w:hint="eastAsia" w:ascii="宋体" w:hAnsi="宋体" w:eastAsia="宋体" w:cs="宋体"/>
                <w:b w:val="0"/>
                <w:color w:val="auto"/>
                <w:sz w:val="24"/>
                <w:szCs w:val="24"/>
                <w:highlight w:val="none"/>
              </w:rPr>
              <w:t>符合条件的向小微企业分包的大中型企业价格扣除：</w:t>
            </w:r>
            <w:r>
              <w:rPr>
                <w:rFonts w:hint="eastAsia" w:ascii="宋体" w:hAnsi="宋体" w:eastAsia="宋体" w:cs="宋体"/>
                <w:b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u w:val="single"/>
                <w:lang w:val="en-US" w:eastAsia="zh-CN"/>
              </w:rPr>
              <w:t xml:space="preserve"> </w:t>
            </w:r>
            <w:r>
              <w:rPr>
                <w:rFonts w:hint="eastAsia" w:ascii="宋体" w:hAnsi="宋体" w:eastAsia="宋体" w:cs="宋体"/>
                <w:b w:val="0"/>
                <w:color w:val="auto"/>
                <w:sz w:val="24"/>
                <w:szCs w:val="24"/>
                <w:highlight w:val="none"/>
              </w:rPr>
              <w:t>。</w:t>
            </w:r>
            <w:r>
              <w:rPr>
                <w:rFonts w:hint="eastAsia" w:ascii="宋体" w:hAnsi="宋体" w:eastAsia="宋体" w:cs="宋体"/>
                <w:b w:val="0"/>
                <w:i w:val="0"/>
                <w:iCs/>
                <w:color w:val="auto"/>
                <w:sz w:val="24"/>
                <w:szCs w:val="24"/>
                <w:highlight w:val="none"/>
              </w:rPr>
              <w:t>（允许大中型企业向小微企业分包的项目适用）</w:t>
            </w:r>
          </w:p>
        </w:tc>
      </w:tr>
      <w:tr w14:paraId="707AAB8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792" w:hRule="atLeast"/>
        </w:trPr>
        <w:tc>
          <w:tcPr>
            <w:tcW w:w="970" w:type="dxa"/>
            <w:vAlign w:val="center"/>
          </w:tcPr>
          <w:p w14:paraId="3AAFC5B3">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42.5</w:t>
            </w:r>
          </w:p>
        </w:tc>
        <w:tc>
          <w:tcPr>
            <w:tcW w:w="2137" w:type="dxa"/>
            <w:vAlign w:val="center"/>
          </w:tcPr>
          <w:p w14:paraId="59931474">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标的所属行业</w:t>
            </w:r>
          </w:p>
          <w:p w14:paraId="27995733">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lang w:val="en-US" w:eastAsia="zh-CN"/>
              </w:rPr>
            </w:pPr>
            <w:r>
              <w:rPr>
                <w:rStyle w:val="34"/>
                <w:rFonts w:hint="eastAsia" w:ascii="宋体" w:hAnsi="宋体" w:eastAsia="宋体" w:cs="宋体"/>
                <w:b w:val="0"/>
                <w:color w:val="auto"/>
                <w:sz w:val="24"/>
                <w:szCs w:val="24"/>
                <w:highlight w:val="none"/>
                <w:lang w:val="en-US" w:eastAsia="zh-CN"/>
              </w:rPr>
              <w:t>参照后附</w:t>
            </w:r>
            <w:r>
              <w:rPr>
                <w:rStyle w:val="34"/>
                <w:rFonts w:hint="eastAsia" w:ascii="宋体" w:hAnsi="宋体" w:eastAsia="宋体" w:cs="宋体"/>
                <w:b w:val="0"/>
                <w:color w:val="auto"/>
                <w:sz w:val="24"/>
                <w:szCs w:val="24"/>
                <w:highlight w:val="none"/>
                <w:lang w:eastAsia="zh-CN"/>
              </w:rPr>
              <w:t>《</w:t>
            </w:r>
            <w:r>
              <w:rPr>
                <w:rStyle w:val="34"/>
                <w:rFonts w:hint="eastAsia" w:ascii="宋体" w:hAnsi="宋体" w:eastAsia="宋体" w:cs="宋体"/>
                <w:b w:val="0"/>
                <w:color w:val="auto"/>
                <w:sz w:val="24"/>
                <w:szCs w:val="24"/>
                <w:highlight w:val="none"/>
              </w:rPr>
              <w:t>工信部联企业〔2011〕300号</w:t>
            </w:r>
            <w:r>
              <w:rPr>
                <w:rStyle w:val="34"/>
                <w:rFonts w:hint="eastAsia" w:ascii="宋体" w:hAnsi="宋体" w:eastAsia="宋体" w:cs="宋体"/>
                <w:b w:val="0"/>
                <w:color w:val="auto"/>
                <w:sz w:val="24"/>
                <w:szCs w:val="24"/>
                <w:highlight w:val="none"/>
                <w:lang w:eastAsia="zh-CN"/>
              </w:rPr>
              <w:t>》</w:t>
            </w:r>
          </w:p>
        </w:tc>
        <w:tc>
          <w:tcPr>
            <w:tcW w:w="6363" w:type="dxa"/>
            <w:vAlign w:val="center"/>
          </w:tcPr>
          <w:p w14:paraId="6804F69E">
            <w:pPr>
              <w:keepNext w:val="0"/>
              <w:keepLines w:val="0"/>
              <w:pageBreakBefore w:val="0"/>
              <w:widowControl/>
              <w:suppressLineNumbers w:val="0"/>
              <w:kinsoku/>
              <w:wordWrap/>
              <w:overflowPunct/>
              <w:topLinePunct w:val="0"/>
              <w:bidi w:val="0"/>
              <w:snapToGrid/>
              <w:spacing w:line="44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本项目采购标的对应的中小企业划分标准所属行业： </w:t>
            </w:r>
          </w:p>
          <w:tbl>
            <w:tblPr>
              <w:tblStyle w:val="32"/>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2"/>
              <w:gridCol w:w="2918"/>
              <w:gridCol w:w="2366"/>
            </w:tblGrid>
            <w:tr w14:paraId="1CAAD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Align w:val="center"/>
                </w:tcPr>
                <w:p w14:paraId="7059451F">
                  <w:pPr>
                    <w:keepNext w:val="0"/>
                    <w:keepLines w:val="0"/>
                    <w:pageBreakBefore w:val="0"/>
                    <w:widowControl/>
                    <w:suppressLineNumbers w:val="0"/>
                    <w:kinsoku/>
                    <w:wordWrap/>
                    <w:overflowPunct/>
                    <w:topLinePunct w:val="0"/>
                    <w:bidi w:val="0"/>
                    <w:snapToGrid/>
                    <w:spacing w:line="440" w:lineRule="exact"/>
                    <w:jc w:val="center"/>
                    <w:textAlignment w:val="auto"/>
                    <w:rPr>
                      <w:rFonts w:hint="default"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lang w:val="en-US" w:eastAsia="zh-CN" w:bidi="ar"/>
                    </w:rPr>
                    <w:t>标项</w:t>
                  </w:r>
                </w:p>
              </w:tc>
              <w:tc>
                <w:tcPr>
                  <w:tcW w:w="2918" w:type="dxa"/>
                  <w:vAlign w:val="center"/>
                </w:tcPr>
                <w:p w14:paraId="334359A5">
                  <w:pPr>
                    <w:keepNext w:val="0"/>
                    <w:keepLines w:val="0"/>
                    <w:pageBreakBefore w:val="0"/>
                    <w:widowControl/>
                    <w:suppressLineNumbers w:val="0"/>
                    <w:kinsoku/>
                    <w:wordWrap/>
                    <w:overflowPunct/>
                    <w:topLinePunct w:val="0"/>
                    <w:bidi w:val="0"/>
                    <w:snapToGrid/>
                    <w:spacing w:line="44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标的名称</w:t>
                  </w:r>
                </w:p>
              </w:tc>
              <w:tc>
                <w:tcPr>
                  <w:tcW w:w="2366" w:type="dxa"/>
                  <w:vAlign w:val="center"/>
                </w:tcPr>
                <w:p w14:paraId="6E9115BA">
                  <w:pPr>
                    <w:keepNext w:val="0"/>
                    <w:keepLines w:val="0"/>
                    <w:pageBreakBefore w:val="0"/>
                    <w:widowControl/>
                    <w:suppressLineNumbers w:val="0"/>
                    <w:kinsoku/>
                    <w:wordWrap/>
                    <w:overflowPunct/>
                    <w:topLinePunct w:val="0"/>
                    <w:bidi w:val="0"/>
                    <w:snapToGrid/>
                    <w:spacing w:line="44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lang w:val="en-US" w:eastAsia="zh-CN" w:bidi="ar"/>
                    </w:rPr>
                    <w:t>中小企业划分标准所属行业</w:t>
                  </w:r>
                </w:p>
              </w:tc>
            </w:tr>
            <w:tr w14:paraId="585F9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2" w:type="dxa"/>
                  <w:vAlign w:val="center"/>
                </w:tcPr>
                <w:p w14:paraId="4BD03589">
                  <w:pPr>
                    <w:keepNext w:val="0"/>
                    <w:keepLines w:val="0"/>
                    <w:pageBreakBefore w:val="0"/>
                    <w:widowControl/>
                    <w:suppressLineNumbers w:val="0"/>
                    <w:kinsoku/>
                    <w:wordWrap/>
                    <w:overflowPunct/>
                    <w:topLinePunct w:val="0"/>
                    <w:bidi w:val="0"/>
                    <w:snapToGrid/>
                    <w:spacing w:line="44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1</w:t>
                  </w:r>
                </w:p>
              </w:tc>
              <w:tc>
                <w:tcPr>
                  <w:tcW w:w="2918" w:type="dxa"/>
                  <w:vAlign w:val="center"/>
                </w:tcPr>
                <w:p w14:paraId="402B250B">
                  <w:pPr>
                    <w:keepNext w:val="0"/>
                    <w:keepLines w:val="0"/>
                    <w:pageBreakBefore w:val="0"/>
                    <w:widowControl/>
                    <w:suppressLineNumbers w:val="0"/>
                    <w:kinsoku/>
                    <w:wordWrap/>
                    <w:overflowPunct/>
                    <w:topLinePunct w:val="0"/>
                    <w:bidi w:val="0"/>
                    <w:snapToGrid/>
                    <w:spacing w:line="44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cs="宋体"/>
                      <w:color w:val="auto"/>
                      <w:kern w:val="0"/>
                      <w:sz w:val="24"/>
                      <w:szCs w:val="24"/>
                      <w:highlight w:val="none"/>
                      <w:vertAlign w:val="baseline"/>
                      <w:lang w:val="en-US" w:eastAsia="zh-CN" w:bidi="ar"/>
                    </w:rPr>
                    <w:t>哈密市伊州区吐哈石油基地“市政、园林 、环卫一体化”（2026-2028年）第三方采购项目</w:t>
                  </w:r>
                </w:p>
              </w:tc>
              <w:tc>
                <w:tcPr>
                  <w:tcW w:w="2366" w:type="dxa"/>
                  <w:vAlign w:val="center"/>
                </w:tcPr>
                <w:p w14:paraId="6A9C8731">
                  <w:pPr>
                    <w:keepNext w:val="0"/>
                    <w:keepLines w:val="0"/>
                    <w:pageBreakBefore w:val="0"/>
                    <w:widowControl/>
                    <w:suppressLineNumbers w:val="0"/>
                    <w:kinsoku/>
                    <w:wordWrap/>
                    <w:overflowPunct/>
                    <w:topLinePunct w:val="0"/>
                    <w:bidi w:val="0"/>
                    <w:snapToGrid/>
                    <w:spacing w:line="440" w:lineRule="exact"/>
                    <w:jc w:val="center"/>
                    <w:textAlignment w:val="auto"/>
                    <w:rPr>
                      <w:rFonts w:hint="eastAsia" w:ascii="宋体" w:hAnsi="宋体" w:eastAsia="宋体" w:cs="宋体"/>
                      <w:color w:val="auto"/>
                      <w:kern w:val="0"/>
                      <w:sz w:val="24"/>
                      <w:szCs w:val="24"/>
                      <w:highlight w:val="none"/>
                      <w:vertAlign w:val="baseline"/>
                      <w:lang w:val="en-US" w:eastAsia="zh-CN" w:bidi="ar"/>
                    </w:rPr>
                  </w:pPr>
                  <w:r>
                    <w:rPr>
                      <w:rFonts w:hint="eastAsia" w:ascii="宋体" w:hAnsi="宋体" w:eastAsia="宋体" w:cs="宋体"/>
                      <w:color w:val="auto"/>
                      <w:kern w:val="0"/>
                      <w:sz w:val="24"/>
                      <w:szCs w:val="24"/>
                      <w:highlight w:val="none"/>
                      <w:vertAlign w:val="baseline"/>
                      <w:lang w:val="en-US" w:eastAsia="zh-CN" w:bidi="ar"/>
                    </w:rPr>
                    <w:t>其他未列明行业</w:t>
                  </w:r>
                </w:p>
              </w:tc>
            </w:tr>
          </w:tbl>
          <w:p w14:paraId="56AC7DD6">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p>
        </w:tc>
      </w:tr>
      <w:tr w14:paraId="4C8E5A4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842" w:hRule="atLeast"/>
        </w:trPr>
        <w:tc>
          <w:tcPr>
            <w:tcW w:w="970" w:type="dxa"/>
            <w:shd w:val="clear" w:color="auto" w:fill="auto"/>
            <w:vAlign w:val="center"/>
          </w:tcPr>
          <w:p w14:paraId="213F4586">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43.5</w:t>
            </w:r>
          </w:p>
        </w:tc>
        <w:tc>
          <w:tcPr>
            <w:tcW w:w="2137" w:type="dxa"/>
            <w:shd w:val="clear" w:color="auto" w:fill="auto"/>
            <w:vAlign w:val="center"/>
          </w:tcPr>
          <w:p w14:paraId="7C0C8321">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优先采购创新节能环保产品</w:t>
            </w:r>
          </w:p>
        </w:tc>
        <w:tc>
          <w:tcPr>
            <w:tcW w:w="6363" w:type="dxa"/>
            <w:shd w:val="clear" w:color="auto" w:fill="auto"/>
            <w:vAlign w:val="center"/>
          </w:tcPr>
          <w:p w14:paraId="3BA26600">
            <w:pPr>
              <w:pStyle w:val="51"/>
              <w:keepNext w:val="0"/>
              <w:keepLines w:val="0"/>
              <w:pageBreakBefore w:val="0"/>
              <w:kinsoku/>
              <w:wordWrap/>
              <w:overflowPunct/>
              <w:topLinePunct w:val="0"/>
              <w:bidi w:val="0"/>
              <w:snapToGrid/>
              <w:spacing w:line="440" w:lineRule="exact"/>
              <w:textAlignment w:val="auto"/>
              <w:rPr>
                <w:rFonts w:ascii="宋体" w:hAnsi="宋体" w:eastAsia="宋体" w:cs="宋体"/>
                <w:color w:val="auto"/>
                <w:sz w:val="24"/>
                <w:szCs w:val="24"/>
                <w:highlight w:val="none"/>
              </w:rPr>
            </w:pPr>
            <w:r>
              <w:rPr>
                <w:rFonts w:ascii="宋体" w:hAnsi="宋体" w:eastAsia="宋体" w:cs="宋体"/>
                <w:color w:val="auto"/>
                <w:sz w:val="24"/>
                <w:szCs w:val="24"/>
                <w:highlight w:val="none"/>
              </w:rPr>
              <w:t>所</w:t>
            </w:r>
            <w:r>
              <w:rPr>
                <w:rFonts w:hint="eastAsia" w:ascii="宋体" w:hAnsi="宋体" w:eastAsia="宋体" w:cs="宋体"/>
                <w:color w:val="auto"/>
                <w:sz w:val="24"/>
                <w:szCs w:val="24"/>
                <w:highlight w:val="none"/>
                <w:lang w:val="en-US" w:eastAsia="zh-CN"/>
              </w:rPr>
              <w:t>投</w:t>
            </w:r>
            <w:r>
              <w:rPr>
                <w:rFonts w:ascii="宋体" w:hAnsi="宋体" w:eastAsia="宋体" w:cs="宋体"/>
                <w:color w:val="auto"/>
                <w:sz w:val="24"/>
                <w:szCs w:val="24"/>
                <w:highlight w:val="none"/>
              </w:rPr>
              <w:t>产品纳入创新产品应用示范推荐目录内企业、所</w:t>
            </w:r>
            <w:r>
              <w:rPr>
                <w:rFonts w:hint="eastAsia" w:ascii="宋体" w:hAnsi="宋体" w:eastAsia="宋体" w:cs="宋体"/>
                <w:color w:val="auto"/>
                <w:sz w:val="24"/>
                <w:szCs w:val="24"/>
                <w:highlight w:val="none"/>
                <w:lang w:val="en-US" w:eastAsia="zh-CN"/>
              </w:rPr>
              <w:t>投</w:t>
            </w:r>
            <w:r>
              <w:rPr>
                <w:rFonts w:ascii="宋体" w:hAnsi="宋体" w:eastAsia="宋体" w:cs="宋体"/>
                <w:color w:val="auto"/>
                <w:sz w:val="24"/>
                <w:szCs w:val="24"/>
                <w:highlight w:val="none"/>
              </w:rPr>
              <w:t>产品获得节能产品或环境标志产品认证证书的供应商给予</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u w:val="single"/>
              </w:rPr>
              <w:t>/</w:t>
            </w:r>
            <w:r>
              <w:rPr>
                <w:rFonts w:hint="eastAsia" w:ascii="宋体" w:hAnsi="宋体" w:eastAsia="宋体" w:cs="宋体"/>
                <w:color w:val="auto"/>
                <w:sz w:val="24"/>
                <w:szCs w:val="24"/>
                <w:highlight w:val="none"/>
                <w:u w:val="single"/>
                <w:lang w:val="en-US" w:eastAsia="zh-CN"/>
              </w:rPr>
              <w:t xml:space="preserve"> </w:t>
            </w:r>
            <w:r>
              <w:rPr>
                <w:rFonts w:ascii="宋体" w:hAnsi="宋体" w:eastAsia="宋体" w:cs="宋体"/>
                <w:color w:val="auto"/>
                <w:sz w:val="24"/>
                <w:szCs w:val="24"/>
                <w:highlight w:val="none"/>
              </w:rPr>
              <w:t>评审优惠。</w:t>
            </w:r>
          </w:p>
          <w:p w14:paraId="1D89079E">
            <w:pPr>
              <w:pStyle w:val="51"/>
              <w:keepNext w:val="0"/>
              <w:keepLines w:val="0"/>
              <w:pageBreakBefore w:val="0"/>
              <w:kinsoku/>
              <w:wordWrap/>
              <w:overflowPunct/>
              <w:topLinePunct w:val="0"/>
              <w:bidi w:val="0"/>
              <w:snapToGrid/>
              <w:spacing w:line="440" w:lineRule="exact"/>
              <w:textAlignment w:val="auto"/>
              <w:rPr>
                <w:rFonts w:hint="default" w:ascii="宋体" w:hAnsi="宋体" w:eastAsia="宋体" w:cs="宋体"/>
                <w:color w:val="auto"/>
                <w:kern w:val="2"/>
                <w:sz w:val="24"/>
                <w:szCs w:val="24"/>
                <w:highlight w:val="none"/>
                <w:lang w:val="en-US" w:eastAsia="zh-CN" w:bidi="ar-SA"/>
              </w:rPr>
            </w:pPr>
            <w:r>
              <w:rPr>
                <w:rFonts w:ascii="宋体" w:hAnsi="宋体" w:eastAsia="宋体" w:cs="宋体"/>
                <w:color w:val="auto"/>
                <w:sz w:val="24"/>
                <w:szCs w:val="24"/>
                <w:highlight w:val="none"/>
              </w:rPr>
              <w:t>注：本项目不涉及上述内容。</w:t>
            </w:r>
          </w:p>
        </w:tc>
      </w:tr>
      <w:tr w14:paraId="140D50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3774" w:hRule="atLeast"/>
        </w:trPr>
        <w:tc>
          <w:tcPr>
            <w:tcW w:w="970" w:type="dxa"/>
            <w:tcBorders>
              <w:right w:val="single" w:color="auto" w:sz="4" w:space="0"/>
            </w:tcBorders>
            <w:vAlign w:val="center"/>
          </w:tcPr>
          <w:p w14:paraId="08D3F63A">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p>
        </w:tc>
        <w:tc>
          <w:tcPr>
            <w:tcW w:w="2137" w:type="dxa"/>
            <w:tcBorders>
              <w:left w:val="single" w:color="auto" w:sz="4" w:space="0"/>
              <w:right w:val="single" w:color="auto" w:sz="4" w:space="0"/>
            </w:tcBorders>
            <w:vAlign w:val="center"/>
          </w:tcPr>
          <w:p w14:paraId="651753DB">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政府采购</w:t>
            </w:r>
          </w:p>
          <w:p w14:paraId="5E3751DF">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合同融资政策</w:t>
            </w:r>
          </w:p>
        </w:tc>
        <w:tc>
          <w:tcPr>
            <w:tcW w:w="6363" w:type="dxa"/>
            <w:tcBorders>
              <w:left w:val="single" w:color="auto" w:sz="4" w:space="0"/>
            </w:tcBorders>
            <w:vAlign w:val="center"/>
          </w:tcPr>
          <w:p w14:paraId="74ADDF46">
            <w:pPr>
              <w:pStyle w:val="51"/>
              <w:keepNext w:val="0"/>
              <w:keepLines w:val="0"/>
              <w:pageBreakBefore w:val="0"/>
              <w:kinsoku/>
              <w:overflowPunct/>
              <w:topLinePunct w:val="0"/>
              <w:bidi w:val="0"/>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有融资需求的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人在获得政府采购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通知书后，即可向开展“政采贷”业务的金融机构提出申请，金融机构依据政府采购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通知书和政府采购合同，为中小微企业提供融资服务。</w:t>
            </w:r>
          </w:p>
          <w:p w14:paraId="5AB0C208">
            <w:pPr>
              <w:pStyle w:val="51"/>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渠道和方式：</w:t>
            </w:r>
            <w:r>
              <w:rPr>
                <w:rFonts w:hint="eastAsia" w:cs="宋体"/>
                <w:i w:val="0"/>
                <w:iCs w:val="0"/>
                <w:color w:val="auto"/>
                <w:sz w:val="24"/>
                <w:szCs w:val="24"/>
                <w:highlight w:val="none"/>
                <w:u w:val="single"/>
                <w:lang w:val="en-US" w:eastAsia="zh-CN"/>
              </w:rPr>
              <w:t>登录新疆政府采购网（</w:t>
            </w:r>
            <w:r>
              <w:rPr>
                <w:rFonts w:hint="eastAsia" w:ascii="宋体" w:hAnsi="宋体" w:eastAsia="宋体" w:cs="宋体"/>
                <w:bCs/>
                <w:i w:val="0"/>
                <w:iCs w:val="0"/>
                <w:color w:val="auto"/>
                <w:sz w:val="24"/>
                <w:szCs w:val="24"/>
                <w:highlight w:val="none"/>
                <w:u w:val="single"/>
              </w:rPr>
              <w:t>http://www.ccgp-xinjiang.gov.cn/</w:t>
            </w:r>
            <w:r>
              <w:rPr>
                <w:rFonts w:hint="eastAsia" w:ascii="宋体" w:hAnsi="宋体" w:eastAsia="宋体" w:cs="宋体"/>
                <w:bCs/>
                <w:i w:val="0"/>
                <w:iCs w:val="0"/>
                <w:color w:val="auto"/>
                <w:sz w:val="24"/>
                <w:szCs w:val="24"/>
                <w:highlight w:val="none"/>
                <w:u w:val="single"/>
                <w:lang w:eastAsia="zh-CN"/>
              </w:rPr>
              <w:t>）</w:t>
            </w:r>
            <w:r>
              <w:rPr>
                <w:rFonts w:hint="eastAsia" w:cs="宋体"/>
                <w:i w:val="0"/>
                <w:iCs w:val="0"/>
                <w:color w:val="auto"/>
                <w:sz w:val="24"/>
                <w:szCs w:val="24"/>
                <w:highlight w:val="none"/>
                <w:u w:val="single"/>
                <w:lang w:val="en-US" w:eastAsia="zh-CN"/>
              </w:rPr>
              <w:t>主页-政采贷专区查看</w:t>
            </w:r>
            <w:r>
              <w:rPr>
                <w:rFonts w:hint="eastAsia" w:ascii="宋体" w:hAnsi="宋体" w:eastAsia="宋体" w:cs="宋体"/>
                <w:i w:val="0"/>
                <w:iCs w:val="0"/>
                <w:color w:val="auto"/>
                <w:sz w:val="24"/>
                <w:szCs w:val="24"/>
                <w:highlight w:val="none"/>
              </w:rPr>
              <w:t>。</w:t>
            </w:r>
          </w:p>
          <w:p w14:paraId="6BD3C0ED">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eastAsia="zh-CN"/>
              </w:rPr>
              <w:t>“政采贷”融资指引：在取得政府采购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lang w:eastAsia="zh-CN"/>
              </w:rPr>
              <w:t>通知书后，可访问“政采贷</w:t>
            </w:r>
            <w:r>
              <w:rPr>
                <w:rFonts w:hint="eastAsia" w:ascii="宋体" w:hAnsi="宋体" w:eastAsia="宋体" w:cs="宋体"/>
                <w:i w:val="0"/>
                <w:iCs w:val="0"/>
                <w:color w:val="auto"/>
                <w:sz w:val="24"/>
                <w:szCs w:val="24"/>
                <w:highlight w:val="none"/>
                <w:lang w:val="en-US" w:eastAsia="zh-CN"/>
              </w:rPr>
              <w:t>融资服务平台”</w:t>
            </w:r>
            <w:r>
              <w:rPr>
                <w:rFonts w:hint="eastAsia" w:ascii="宋体" w:hAnsi="宋体" w:eastAsia="宋体" w:cs="宋体"/>
                <w:i w:val="0"/>
                <w:iCs w:val="0"/>
                <w:color w:val="auto"/>
                <w:sz w:val="24"/>
                <w:szCs w:val="24"/>
                <w:highlight w:val="none"/>
                <w:lang w:eastAsia="zh-CN"/>
              </w:rPr>
              <w:t>，查看和联系第三方平台或者金融机构，商洽融资事项，确定融资意向。</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lang w:eastAsia="zh-CN"/>
              </w:rPr>
              <w:t>人签署政府采购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lang w:eastAsia="zh-CN"/>
              </w:rPr>
              <w:t>合同后，登录“政采贷</w:t>
            </w:r>
            <w:r>
              <w:rPr>
                <w:rFonts w:hint="eastAsia" w:ascii="宋体" w:hAnsi="宋体" w:eastAsia="宋体" w:cs="宋体"/>
                <w:i w:val="0"/>
                <w:iCs w:val="0"/>
                <w:color w:val="auto"/>
                <w:sz w:val="24"/>
                <w:szCs w:val="24"/>
                <w:highlight w:val="none"/>
                <w:lang w:val="en-US" w:eastAsia="zh-CN"/>
              </w:rPr>
              <w:t>融资服务平台”</w:t>
            </w:r>
            <w:r>
              <w:rPr>
                <w:rFonts w:hint="eastAsia" w:ascii="宋体" w:hAnsi="宋体" w:eastAsia="宋体" w:cs="宋体"/>
                <w:i w:val="0"/>
                <w:iCs w:val="0"/>
                <w:color w:val="auto"/>
                <w:sz w:val="24"/>
                <w:szCs w:val="24"/>
                <w:highlight w:val="none"/>
                <w:lang w:eastAsia="zh-CN"/>
              </w:rPr>
              <w:t>，选择意向产品进行申请，并填写相关信息，“政采贷</w:t>
            </w:r>
            <w:r>
              <w:rPr>
                <w:rFonts w:hint="eastAsia" w:ascii="宋体" w:hAnsi="宋体" w:eastAsia="宋体" w:cs="宋体"/>
                <w:i w:val="0"/>
                <w:iCs w:val="0"/>
                <w:color w:val="auto"/>
                <w:sz w:val="24"/>
                <w:szCs w:val="24"/>
                <w:highlight w:val="none"/>
                <w:lang w:val="en-US" w:eastAsia="zh-CN"/>
              </w:rPr>
              <w:t>融资服务平台”</w:t>
            </w:r>
            <w:r>
              <w:rPr>
                <w:rFonts w:hint="eastAsia" w:ascii="宋体" w:hAnsi="宋体" w:eastAsia="宋体" w:cs="宋体"/>
                <w:i w:val="0"/>
                <w:iCs w:val="0"/>
                <w:color w:val="auto"/>
                <w:sz w:val="24"/>
                <w:szCs w:val="24"/>
                <w:highlight w:val="none"/>
                <w:lang w:eastAsia="zh-CN"/>
              </w:rPr>
              <w:t>将中标人融资申请信息推送第三方平台、意向金融机构。</w:t>
            </w:r>
          </w:p>
        </w:tc>
      </w:tr>
      <w:tr w14:paraId="48C9FD1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6734" w:hRule="atLeast"/>
        </w:trPr>
        <w:tc>
          <w:tcPr>
            <w:tcW w:w="970" w:type="dxa"/>
            <w:tcBorders>
              <w:right w:val="single" w:color="auto" w:sz="4" w:space="0"/>
            </w:tcBorders>
            <w:vAlign w:val="center"/>
          </w:tcPr>
          <w:p w14:paraId="59449E7E">
            <w:pPr>
              <w:pStyle w:val="51"/>
              <w:keepNext w:val="0"/>
              <w:keepLines w:val="0"/>
              <w:pageBreakBefore w:val="0"/>
              <w:kinsoku/>
              <w:wordWrap/>
              <w:overflowPunct/>
              <w:topLinePunct w:val="0"/>
              <w:bidi w:val="0"/>
              <w:snapToGrid/>
              <w:spacing w:line="440" w:lineRule="exact"/>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w:t>
            </w:r>
          </w:p>
        </w:tc>
        <w:tc>
          <w:tcPr>
            <w:tcW w:w="2137" w:type="dxa"/>
            <w:tcBorders>
              <w:right w:val="single" w:color="auto" w:sz="4" w:space="0"/>
            </w:tcBorders>
            <w:vAlign w:val="center"/>
          </w:tcPr>
          <w:p w14:paraId="7068A1E1">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需要补充的其他内容</w:t>
            </w:r>
          </w:p>
        </w:tc>
        <w:tc>
          <w:tcPr>
            <w:tcW w:w="6363" w:type="dxa"/>
            <w:tcBorders>
              <w:left w:val="single" w:color="auto" w:sz="4" w:space="0"/>
            </w:tcBorders>
            <w:vAlign w:val="center"/>
          </w:tcPr>
          <w:p w14:paraId="7A3868B3">
            <w:pPr>
              <w:pStyle w:val="51"/>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1.</w:t>
            </w:r>
            <w:r>
              <w:rPr>
                <w:rFonts w:hint="eastAsia" w:cs="宋体"/>
                <w:color w:val="auto"/>
                <w:sz w:val="24"/>
                <w:szCs w:val="24"/>
                <w:highlight w:val="none"/>
                <w:lang w:eastAsia="zh-CN"/>
              </w:rPr>
              <w:t>投标文件</w:t>
            </w:r>
            <w:r>
              <w:rPr>
                <w:rFonts w:hint="eastAsia" w:ascii="宋体" w:hAnsi="宋体" w:eastAsia="宋体" w:cs="宋体"/>
                <w:color w:val="auto"/>
                <w:sz w:val="24"/>
                <w:szCs w:val="24"/>
                <w:highlight w:val="none"/>
                <w:lang w:eastAsia="zh-CN"/>
              </w:rPr>
              <w:t>的签字盖章要求：供应商在制作投标文件时，应按采购文件</w:t>
            </w:r>
            <w:r>
              <w:rPr>
                <w:rFonts w:hint="eastAsia" w:cs="宋体"/>
                <w:color w:val="auto"/>
                <w:sz w:val="24"/>
                <w:szCs w:val="24"/>
                <w:highlight w:val="none"/>
                <w:lang w:eastAsia="zh-CN"/>
              </w:rPr>
              <w:t>投标文件</w:t>
            </w:r>
            <w:r>
              <w:rPr>
                <w:rFonts w:hint="eastAsia" w:ascii="宋体" w:hAnsi="宋体" w:eastAsia="宋体" w:cs="宋体"/>
                <w:color w:val="auto"/>
                <w:sz w:val="24"/>
                <w:szCs w:val="24"/>
                <w:highlight w:val="none"/>
                <w:lang w:eastAsia="zh-CN"/>
              </w:rPr>
              <w:t>格式内容要求签字盖章。供应商可使用电子签章，也可使用实体签章。电子签章与实体签章具备同等效力，法人签章视为已签字。</w:t>
            </w:r>
          </w:p>
          <w:p w14:paraId="6C8497AC">
            <w:pPr>
              <w:pStyle w:val="51"/>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2.</w:t>
            </w:r>
            <w:r>
              <w:rPr>
                <w:rFonts w:hint="eastAsia" w:cs="宋体"/>
                <w:color w:val="auto"/>
                <w:sz w:val="24"/>
                <w:szCs w:val="24"/>
                <w:highlight w:val="none"/>
                <w:lang w:eastAsia="zh-CN"/>
              </w:rPr>
              <w:t>投标文件</w:t>
            </w:r>
            <w:r>
              <w:rPr>
                <w:rFonts w:hint="eastAsia" w:ascii="宋体" w:hAnsi="宋体" w:eastAsia="宋体" w:cs="宋体"/>
                <w:color w:val="auto"/>
                <w:sz w:val="24"/>
                <w:szCs w:val="24"/>
                <w:highlight w:val="none"/>
                <w:lang w:eastAsia="zh-CN"/>
              </w:rPr>
              <w:t>解密时间：</w:t>
            </w:r>
            <w:r>
              <w:rPr>
                <w:rFonts w:hint="eastAsia" w:cs="宋体"/>
                <w:color w:val="auto"/>
                <w:sz w:val="24"/>
                <w:szCs w:val="24"/>
                <w:highlight w:val="none"/>
                <w:lang w:eastAsia="zh-CN"/>
              </w:rPr>
              <w:t>投标文件</w:t>
            </w:r>
            <w:r>
              <w:rPr>
                <w:rFonts w:hint="eastAsia" w:ascii="宋体" w:hAnsi="宋体" w:eastAsia="宋体" w:cs="宋体"/>
                <w:color w:val="auto"/>
                <w:sz w:val="24"/>
                <w:szCs w:val="24"/>
                <w:highlight w:val="none"/>
                <w:lang w:eastAsia="zh-CN"/>
              </w:rPr>
              <w:t>开启前需</w:t>
            </w:r>
            <w:r>
              <w:rPr>
                <w:rFonts w:hint="eastAsia" w:cs="宋体"/>
                <w:color w:val="auto"/>
                <w:sz w:val="24"/>
                <w:szCs w:val="24"/>
                <w:highlight w:val="none"/>
                <w:lang w:val="en-US" w:eastAsia="zh-CN"/>
              </w:rPr>
              <w:t>投标人</w:t>
            </w:r>
            <w:r>
              <w:rPr>
                <w:rFonts w:hint="eastAsia" w:ascii="宋体" w:hAnsi="宋体" w:eastAsia="宋体" w:cs="宋体"/>
                <w:color w:val="auto"/>
                <w:sz w:val="24"/>
                <w:szCs w:val="24"/>
                <w:highlight w:val="none"/>
                <w:lang w:eastAsia="zh-CN"/>
              </w:rPr>
              <w:t>用 CA 证书登录政采云平台开标大厅签到，并在平台显示解密时间（默认30分钟）内输入 CA 证书 PIN 码解密</w:t>
            </w:r>
            <w:r>
              <w:rPr>
                <w:rFonts w:hint="eastAsia" w:cs="宋体"/>
                <w:color w:val="auto"/>
                <w:sz w:val="24"/>
                <w:szCs w:val="24"/>
                <w:highlight w:val="none"/>
                <w:lang w:eastAsia="zh-CN"/>
              </w:rPr>
              <w:t>投标文件</w:t>
            </w:r>
            <w:r>
              <w:rPr>
                <w:rFonts w:hint="eastAsia" w:ascii="宋体" w:hAnsi="宋体" w:eastAsia="宋体" w:cs="宋体"/>
                <w:color w:val="auto"/>
                <w:sz w:val="24"/>
                <w:szCs w:val="24"/>
                <w:highlight w:val="none"/>
                <w:lang w:eastAsia="zh-CN"/>
              </w:rPr>
              <w:t>。在平台显示解密时间内未进行解密的</w:t>
            </w:r>
            <w:r>
              <w:rPr>
                <w:rFonts w:hint="eastAsia" w:cs="宋体"/>
                <w:color w:val="auto"/>
                <w:sz w:val="24"/>
                <w:szCs w:val="24"/>
                <w:highlight w:val="none"/>
                <w:lang w:eastAsia="zh-CN"/>
              </w:rPr>
              <w:t>投标文件</w:t>
            </w:r>
            <w:r>
              <w:rPr>
                <w:rFonts w:hint="eastAsia" w:ascii="宋体" w:hAnsi="宋体" w:eastAsia="宋体" w:cs="宋体"/>
                <w:color w:val="auto"/>
                <w:sz w:val="24"/>
                <w:szCs w:val="24"/>
                <w:highlight w:val="none"/>
                <w:lang w:eastAsia="zh-CN"/>
              </w:rPr>
              <w:t>视为未按在规定时间前递交并被拒收。（解密时间开始时政采云平台一般将以短信形式向投标人在政采云平台预留的手机号发送短信通知，请投标人及时关注。）</w:t>
            </w:r>
          </w:p>
          <w:p w14:paraId="5CEF77B7">
            <w:pPr>
              <w:pStyle w:val="51"/>
              <w:keepNext w:val="0"/>
              <w:keepLines w:val="0"/>
              <w:pageBreakBefore w:val="0"/>
              <w:widowControl w:val="0"/>
              <w:kinsoku/>
              <w:wordWrap w:val="0"/>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lang w:eastAsia="zh-CN"/>
              </w:rPr>
            </w:pPr>
            <w:r>
              <w:rPr>
                <w:rFonts w:hint="eastAsia"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.服务与支持：供应商对不见面开评标系统的技术操作咨询，可通过 https://edu.zcygov.cn/luban/xinjiang-e-biding 自助查询，也可在政采云帮助中心常见问题解答和操作流程讲解视频中自助查询，网址为：https://service.zcygov.cn/#/help，“项目采购—”版面获取操作指南，同时对自助查询无法解决的问题可通过钉钉群及政采云在线客服获取服务支持。政采云热线人工号码：95763（工作时间：工作日 08:00</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eastAsia="zh-CN"/>
              </w:rPr>
              <w:t>20：00）。</w:t>
            </w:r>
          </w:p>
          <w:p w14:paraId="58AB50F3">
            <w:pPr>
              <w:pStyle w:val="51"/>
              <w:keepNext w:val="0"/>
              <w:keepLines w:val="0"/>
              <w:pageBreakBefore w:val="0"/>
              <w:widowControl w:val="0"/>
              <w:kinsoku/>
              <w:wordWrap w:val="0"/>
              <w:overflowPunct/>
              <w:topLinePunct w:val="0"/>
              <w:autoSpaceDE/>
              <w:autoSpaceDN/>
              <w:bidi w:val="0"/>
              <w:adjustRightInd/>
              <w:snapToGrid/>
              <w:spacing w:line="440" w:lineRule="exact"/>
              <w:textAlignment w:val="auto"/>
              <w:rPr>
                <w:rFonts w:hint="default"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4.本项目为进场交易项目，供应商应按哈密市公共资源交易中心相关文件要求缴纳场地费。</w:t>
            </w:r>
          </w:p>
        </w:tc>
      </w:tr>
      <w:tr w14:paraId="0C22694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470" w:type="dxa"/>
            <w:gridSpan w:val="3"/>
            <w:vAlign w:val="center"/>
          </w:tcPr>
          <w:p w14:paraId="16CF3F9F">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备注:</w:t>
            </w:r>
          </w:p>
          <w:p w14:paraId="1ECD6A03">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1. 除本招标文件另有规定外，招标文件中出现的类似于“近三年”或“前三年”、“近五年”或“前五年”均指递交投标文件</w:t>
            </w:r>
            <w:r>
              <w:rPr>
                <w:rFonts w:hint="eastAsia" w:ascii="宋体" w:hAnsi="宋体" w:eastAsia="宋体" w:cs="宋体"/>
                <w:b/>
                <w:bCs/>
                <w:color w:val="auto"/>
                <w:sz w:val="24"/>
                <w:szCs w:val="24"/>
                <w:highlight w:val="none"/>
                <w:lang w:val="en-US" w:eastAsia="zh-CN"/>
              </w:rPr>
              <w:t>截止</w:t>
            </w:r>
            <w:r>
              <w:rPr>
                <w:rFonts w:hint="eastAsia" w:ascii="宋体" w:hAnsi="宋体" w:eastAsia="宋体" w:cs="宋体"/>
                <w:b/>
                <w:bCs/>
                <w:color w:val="auto"/>
                <w:sz w:val="24"/>
                <w:szCs w:val="24"/>
                <w:highlight w:val="none"/>
              </w:rPr>
              <w:t>时间</w:t>
            </w:r>
            <w:r>
              <w:rPr>
                <w:rFonts w:hint="eastAsia" w:ascii="宋体" w:hAnsi="宋体" w:eastAsia="宋体" w:cs="宋体"/>
                <w:b/>
                <w:bCs/>
                <w:color w:val="auto"/>
                <w:sz w:val="24"/>
                <w:szCs w:val="24"/>
                <w:highlight w:val="none"/>
                <w:lang w:val="en-US" w:eastAsia="zh-CN"/>
              </w:rPr>
              <w:t>之</w:t>
            </w:r>
            <w:r>
              <w:rPr>
                <w:rFonts w:hint="eastAsia" w:ascii="宋体" w:hAnsi="宋体" w:eastAsia="宋体" w:cs="宋体"/>
                <w:b/>
                <w:bCs/>
                <w:color w:val="auto"/>
                <w:sz w:val="24"/>
                <w:szCs w:val="24"/>
                <w:highlight w:val="none"/>
              </w:rPr>
              <w:t>前三年或前五年，以此类推。如：</w:t>
            </w:r>
            <w:r>
              <w:rPr>
                <w:rFonts w:hint="eastAsia" w:ascii="宋体" w:hAnsi="宋体" w:eastAsia="宋体" w:cs="宋体"/>
                <w:b/>
                <w:bCs/>
                <w:i w:val="0"/>
                <w:iCs w:val="0"/>
                <w:color w:val="auto"/>
                <w:sz w:val="24"/>
                <w:szCs w:val="24"/>
                <w:highlight w:val="none"/>
              </w:rPr>
              <w:t>递交</w:t>
            </w:r>
            <w:r>
              <w:rPr>
                <w:rFonts w:hint="eastAsia" w:ascii="宋体" w:hAnsi="宋体" w:eastAsia="宋体" w:cs="宋体"/>
                <w:b/>
                <w:bCs/>
                <w:i w:val="0"/>
                <w:iCs w:val="0"/>
                <w:color w:val="auto"/>
                <w:sz w:val="24"/>
                <w:szCs w:val="24"/>
                <w:highlight w:val="none"/>
                <w:lang w:val="en-US" w:eastAsia="zh-CN"/>
              </w:rPr>
              <w:t>投标文件</w:t>
            </w:r>
            <w:r>
              <w:rPr>
                <w:rFonts w:hint="eastAsia" w:ascii="宋体" w:hAnsi="宋体" w:eastAsia="宋体" w:cs="宋体"/>
                <w:b/>
                <w:bCs/>
                <w:i w:val="0"/>
                <w:iCs w:val="0"/>
                <w:color w:val="auto"/>
                <w:sz w:val="24"/>
                <w:szCs w:val="24"/>
                <w:highlight w:val="none"/>
              </w:rPr>
              <w:t>时间为</w:t>
            </w:r>
            <w:r>
              <w:rPr>
                <w:rFonts w:hint="eastAsia" w:cs="宋体"/>
                <w:b/>
                <w:bCs/>
                <w:i w:val="0"/>
                <w:iCs w:val="0"/>
                <w:color w:val="auto"/>
                <w:sz w:val="24"/>
                <w:szCs w:val="24"/>
                <w:highlight w:val="none"/>
                <w:lang w:val="en-US" w:eastAsia="zh-CN"/>
              </w:rPr>
              <w:t>2025</w:t>
            </w:r>
            <w:r>
              <w:rPr>
                <w:rFonts w:hint="eastAsia" w:ascii="宋体" w:hAnsi="宋体" w:eastAsia="宋体" w:cs="宋体"/>
                <w:b/>
                <w:bCs/>
                <w:i w:val="0"/>
                <w:iCs w:val="0"/>
                <w:color w:val="auto"/>
                <w:sz w:val="24"/>
                <w:szCs w:val="24"/>
                <w:highlight w:val="none"/>
              </w:rPr>
              <w:t>年</w:t>
            </w:r>
            <w:r>
              <w:rPr>
                <w:rFonts w:hint="eastAsia" w:cs="宋体"/>
                <w:b/>
                <w:bCs/>
                <w:i w:val="0"/>
                <w:iCs w:val="0"/>
                <w:color w:val="auto"/>
                <w:sz w:val="24"/>
                <w:szCs w:val="24"/>
                <w:highlight w:val="none"/>
                <w:lang w:val="en-US" w:eastAsia="zh-CN"/>
              </w:rPr>
              <w:t>8</w:t>
            </w:r>
            <w:r>
              <w:rPr>
                <w:rFonts w:hint="eastAsia" w:ascii="宋体" w:hAnsi="宋体" w:eastAsia="宋体" w:cs="宋体"/>
                <w:b/>
                <w:bCs/>
                <w:i w:val="0"/>
                <w:iCs w:val="0"/>
                <w:color w:val="auto"/>
                <w:sz w:val="24"/>
                <w:szCs w:val="24"/>
                <w:highlight w:val="none"/>
              </w:rPr>
              <w:t>月</w:t>
            </w:r>
            <w:r>
              <w:rPr>
                <w:rFonts w:hint="eastAsia" w:cs="宋体"/>
                <w:b/>
                <w:bCs/>
                <w:i w:val="0"/>
                <w:iCs w:val="0"/>
                <w:color w:val="auto"/>
                <w:sz w:val="24"/>
                <w:szCs w:val="24"/>
                <w:highlight w:val="none"/>
                <w:lang w:val="en-US" w:eastAsia="zh-CN"/>
              </w:rPr>
              <w:t>10</w:t>
            </w:r>
            <w:r>
              <w:rPr>
                <w:rFonts w:hint="eastAsia" w:ascii="宋体" w:hAnsi="宋体" w:eastAsia="宋体" w:cs="宋体"/>
                <w:b/>
                <w:bCs/>
                <w:i w:val="0"/>
                <w:iCs w:val="0"/>
                <w:color w:val="auto"/>
                <w:sz w:val="24"/>
                <w:szCs w:val="24"/>
                <w:highlight w:val="none"/>
              </w:rPr>
              <w:t xml:space="preserve">日，则“近三年”是指 </w:t>
            </w:r>
            <w:r>
              <w:rPr>
                <w:rFonts w:hint="eastAsia" w:cs="宋体"/>
                <w:b/>
                <w:bCs/>
                <w:i w:val="0"/>
                <w:iCs w:val="0"/>
                <w:color w:val="auto"/>
                <w:sz w:val="24"/>
                <w:szCs w:val="24"/>
                <w:highlight w:val="none"/>
                <w:lang w:val="en-US" w:eastAsia="zh-CN"/>
              </w:rPr>
              <w:t>2022</w:t>
            </w:r>
            <w:r>
              <w:rPr>
                <w:rFonts w:hint="eastAsia" w:ascii="宋体" w:hAnsi="宋体" w:eastAsia="宋体" w:cs="宋体"/>
                <w:b/>
                <w:bCs/>
                <w:i w:val="0"/>
                <w:iCs w:val="0"/>
                <w:color w:val="auto"/>
                <w:sz w:val="24"/>
                <w:szCs w:val="24"/>
                <w:highlight w:val="none"/>
              </w:rPr>
              <w:t>年</w:t>
            </w:r>
            <w:r>
              <w:rPr>
                <w:rFonts w:hint="eastAsia" w:cs="宋体"/>
                <w:b/>
                <w:bCs/>
                <w:i w:val="0"/>
                <w:iCs w:val="0"/>
                <w:color w:val="auto"/>
                <w:sz w:val="24"/>
                <w:szCs w:val="24"/>
                <w:highlight w:val="none"/>
                <w:lang w:val="en-US" w:eastAsia="zh-CN"/>
              </w:rPr>
              <w:t>8</w:t>
            </w:r>
            <w:r>
              <w:rPr>
                <w:rFonts w:hint="eastAsia" w:ascii="宋体" w:hAnsi="宋体" w:eastAsia="宋体" w:cs="宋体"/>
                <w:b/>
                <w:bCs/>
                <w:i w:val="0"/>
                <w:iCs w:val="0"/>
                <w:color w:val="auto"/>
                <w:sz w:val="24"/>
                <w:szCs w:val="24"/>
                <w:highlight w:val="none"/>
              </w:rPr>
              <w:t>月</w:t>
            </w:r>
            <w:r>
              <w:rPr>
                <w:rFonts w:hint="eastAsia" w:cs="宋体"/>
                <w:b/>
                <w:bCs/>
                <w:i w:val="0"/>
                <w:iCs w:val="0"/>
                <w:color w:val="auto"/>
                <w:sz w:val="24"/>
                <w:szCs w:val="24"/>
                <w:highlight w:val="none"/>
                <w:lang w:val="en-US" w:eastAsia="zh-CN"/>
              </w:rPr>
              <w:t>1</w:t>
            </w:r>
            <w:r>
              <w:rPr>
                <w:rFonts w:hint="eastAsia" w:ascii="宋体" w:hAnsi="宋体" w:eastAsia="宋体" w:cs="宋体"/>
                <w:b/>
                <w:bCs/>
                <w:i w:val="0"/>
                <w:iCs w:val="0"/>
                <w:color w:val="auto"/>
                <w:sz w:val="24"/>
                <w:szCs w:val="24"/>
                <w:highlight w:val="none"/>
              </w:rPr>
              <w:t xml:space="preserve">日至 </w:t>
            </w:r>
            <w:r>
              <w:rPr>
                <w:rFonts w:hint="eastAsia" w:cs="宋体"/>
                <w:b/>
                <w:bCs/>
                <w:i w:val="0"/>
                <w:iCs w:val="0"/>
                <w:color w:val="auto"/>
                <w:sz w:val="24"/>
                <w:szCs w:val="24"/>
                <w:highlight w:val="none"/>
                <w:lang w:val="en-US" w:eastAsia="zh-CN"/>
              </w:rPr>
              <w:t>2025</w:t>
            </w:r>
            <w:r>
              <w:rPr>
                <w:rFonts w:hint="eastAsia" w:ascii="宋体" w:hAnsi="宋体" w:eastAsia="宋体" w:cs="宋体"/>
                <w:b/>
                <w:bCs/>
                <w:i w:val="0"/>
                <w:iCs w:val="0"/>
                <w:color w:val="auto"/>
                <w:sz w:val="24"/>
                <w:szCs w:val="24"/>
                <w:highlight w:val="none"/>
              </w:rPr>
              <w:t>年</w:t>
            </w:r>
            <w:r>
              <w:rPr>
                <w:rFonts w:hint="eastAsia" w:cs="宋体"/>
                <w:b/>
                <w:bCs/>
                <w:i w:val="0"/>
                <w:iCs w:val="0"/>
                <w:color w:val="auto"/>
                <w:sz w:val="24"/>
                <w:szCs w:val="24"/>
                <w:highlight w:val="none"/>
                <w:lang w:val="en-US" w:eastAsia="zh-CN"/>
              </w:rPr>
              <w:t>8</w:t>
            </w:r>
            <w:r>
              <w:rPr>
                <w:rFonts w:hint="eastAsia" w:ascii="宋体" w:hAnsi="宋体" w:eastAsia="宋体" w:cs="宋体"/>
                <w:b/>
                <w:bCs/>
                <w:i w:val="0"/>
                <w:iCs w:val="0"/>
                <w:color w:val="auto"/>
                <w:sz w:val="24"/>
                <w:szCs w:val="24"/>
                <w:highlight w:val="none"/>
              </w:rPr>
              <w:t>月</w:t>
            </w:r>
            <w:r>
              <w:rPr>
                <w:rFonts w:hint="eastAsia" w:cs="宋体"/>
                <w:b/>
                <w:bCs/>
                <w:i w:val="0"/>
                <w:iCs w:val="0"/>
                <w:color w:val="auto"/>
                <w:sz w:val="24"/>
                <w:szCs w:val="24"/>
                <w:highlight w:val="none"/>
                <w:lang w:val="en-US" w:eastAsia="zh-CN"/>
              </w:rPr>
              <w:t>10</w:t>
            </w:r>
            <w:r>
              <w:rPr>
                <w:rFonts w:hint="eastAsia" w:ascii="宋体" w:hAnsi="宋体" w:eastAsia="宋体" w:cs="宋体"/>
                <w:b/>
                <w:bCs/>
                <w:i w:val="0"/>
                <w:iCs w:val="0"/>
                <w:color w:val="auto"/>
                <w:sz w:val="24"/>
                <w:szCs w:val="24"/>
                <w:highlight w:val="none"/>
              </w:rPr>
              <w:t>日。</w:t>
            </w:r>
          </w:p>
          <w:p w14:paraId="6F66C892">
            <w:pPr>
              <w:pStyle w:val="51"/>
              <w:keepNext w:val="0"/>
              <w:keepLines w:val="0"/>
              <w:pageBreakBefore w:val="0"/>
              <w:kinsoku/>
              <w:wordWrap/>
              <w:overflowPunct/>
              <w:topLinePunct w:val="0"/>
              <w:bidi w:val="0"/>
              <w:snapToGrid/>
              <w:spacing w:line="440" w:lineRule="exact"/>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2. 本招标文件所称的“以上”、“以下”、“内”、“以内”，包括本数；所称的“不足”，不包括本数。</w:t>
            </w:r>
          </w:p>
          <w:p w14:paraId="185B6F87">
            <w:pPr>
              <w:pStyle w:val="51"/>
              <w:keepNext w:val="0"/>
              <w:keepLines w:val="0"/>
              <w:pageBreakBefore w:val="0"/>
              <w:kinsoku/>
              <w:wordWrap/>
              <w:overflowPunct/>
              <w:topLinePunct w:val="0"/>
              <w:bidi w:val="0"/>
              <w:snapToGrid/>
              <w:spacing w:line="440" w:lineRule="exact"/>
              <w:textAlignment w:val="auto"/>
              <w:rPr>
                <w:rFonts w:hint="default" w:ascii="宋体" w:hAnsi="宋体" w:eastAsia="宋体" w:cs="宋体"/>
                <w:color w:val="auto"/>
                <w:sz w:val="24"/>
                <w:szCs w:val="24"/>
                <w:highlight w:val="none"/>
                <w:lang w:val="en-US" w:eastAsia="zh-CN"/>
              </w:rPr>
            </w:pPr>
            <w:r>
              <w:rPr>
                <w:rFonts w:hint="eastAsia" w:cs="宋体"/>
                <w:b/>
                <w:bCs/>
                <w:color w:val="auto"/>
                <w:sz w:val="24"/>
                <w:szCs w:val="24"/>
                <w:highlight w:val="none"/>
                <w:lang w:val="en-US" w:eastAsia="zh-CN"/>
              </w:rPr>
              <w:t>3. 总公司可以提供分公司的业绩、设备、人员资料参与投标。</w:t>
            </w:r>
          </w:p>
        </w:tc>
      </w:tr>
    </w:tbl>
    <w:p w14:paraId="52888D65">
      <w:pPr>
        <w:rPr>
          <w:color w:val="auto"/>
          <w:highlight w:val="none"/>
        </w:rPr>
      </w:pPr>
    </w:p>
    <w:p w14:paraId="43A4992E">
      <w:pPr>
        <w:rPr>
          <w:rFonts w:hint="eastAsia" w:eastAsia="宋体" w:asciiTheme="majorHAnsi" w:hAnsiTheme="majorHAnsi" w:cstheme="majorBidi"/>
          <w:b/>
          <w:bCs/>
          <w:color w:val="auto"/>
          <w:kern w:val="2"/>
          <w:sz w:val="32"/>
          <w:szCs w:val="32"/>
          <w:highlight w:val="none"/>
          <w:lang w:val="en-US" w:eastAsia="zh-CN" w:bidi="ar-SA"/>
        </w:rPr>
      </w:pPr>
      <w:bookmarkStart w:id="112" w:name="_Toc155185869"/>
      <w:r>
        <w:rPr>
          <w:rFonts w:hint="eastAsia" w:eastAsia="宋体" w:asciiTheme="majorHAnsi" w:hAnsiTheme="majorHAnsi" w:cstheme="majorBidi"/>
          <w:b/>
          <w:bCs/>
          <w:color w:val="auto"/>
          <w:kern w:val="2"/>
          <w:sz w:val="32"/>
          <w:szCs w:val="32"/>
          <w:highlight w:val="none"/>
          <w:lang w:val="en-US" w:eastAsia="zh-CN" w:bidi="ar-SA"/>
        </w:rPr>
        <w:br w:type="page"/>
      </w:r>
    </w:p>
    <w:p w14:paraId="410914FC">
      <w:pPr>
        <w:pStyle w:val="3"/>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113" w:name="_Toc17983"/>
      <w:r>
        <w:rPr>
          <w:rFonts w:hint="eastAsia" w:eastAsia="宋体" w:asciiTheme="majorHAnsi" w:hAnsiTheme="majorHAnsi" w:cstheme="majorBidi"/>
          <w:b/>
          <w:bCs/>
          <w:color w:val="auto"/>
          <w:kern w:val="2"/>
          <w:sz w:val="28"/>
          <w:szCs w:val="28"/>
          <w:highlight w:val="none"/>
          <w:lang w:val="en-US" w:eastAsia="zh-CN" w:bidi="ar-SA"/>
        </w:rPr>
        <w:t>二、投标人须知</w:t>
      </w:r>
      <w:bookmarkEnd w:id="112"/>
      <w:bookmarkEnd w:id="113"/>
    </w:p>
    <w:p w14:paraId="604D77A9">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14" w:name="_Toc9308"/>
      <w:bookmarkStart w:id="115" w:name="_Toc28135"/>
      <w:bookmarkStart w:id="116" w:name="_Toc5011"/>
      <w:bookmarkStart w:id="117" w:name="_Toc155185870"/>
      <w:bookmarkStart w:id="118" w:name="_Toc163492822"/>
      <w:bookmarkStart w:id="119" w:name="_Toc3080"/>
      <w:r>
        <w:rPr>
          <w:rFonts w:hint="eastAsia" w:ascii="宋体" w:hAnsi="宋体" w:eastAsia="宋体" w:cs="宋体"/>
          <w:b/>
          <w:bCs/>
          <w:color w:val="auto"/>
          <w:kern w:val="2"/>
          <w:sz w:val="24"/>
          <w:szCs w:val="24"/>
          <w:highlight w:val="none"/>
          <w:lang w:val="en-US" w:eastAsia="zh-CN" w:bidi="ar-SA"/>
        </w:rPr>
        <w:t>（一）总则</w:t>
      </w:r>
      <w:bookmarkEnd w:id="114"/>
      <w:bookmarkEnd w:id="115"/>
      <w:bookmarkEnd w:id="116"/>
      <w:bookmarkEnd w:id="117"/>
      <w:bookmarkEnd w:id="118"/>
      <w:bookmarkEnd w:id="119"/>
    </w:p>
    <w:p w14:paraId="788765C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20" w:name="_Toc1399"/>
      <w:bookmarkStart w:id="121" w:name="_Toc163492823"/>
      <w:bookmarkStart w:id="122" w:name="_Toc31233"/>
      <w:bookmarkStart w:id="123" w:name="_Toc19525"/>
      <w:bookmarkStart w:id="124" w:name="_Toc109900050"/>
      <w:bookmarkStart w:id="125" w:name="_Toc24126"/>
      <w:bookmarkStart w:id="126" w:name="_Toc22777"/>
      <w:bookmarkStart w:id="127" w:name="_Toc155095689"/>
      <w:bookmarkStart w:id="128" w:name="_Toc109900469"/>
      <w:bookmarkStart w:id="129" w:name="_Toc109897532"/>
      <w:bookmarkStart w:id="130" w:name="_Toc109899631"/>
      <w:r>
        <w:rPr>
          <w:rFonts w:hint="eastAsia" w:ascii="宋体" w:hAnsi="宋体" w:eastAsia="宋体" w:cs="宋体"/>
          <w:b/>
          <w:bCs/>
          <w:color w:val="auto"/>
          <w:kern w:val="2"/>
          <w:sz w:val="24"/>
          <w:szCs w:val="24"/>
          <w:highlight w:val="none"/>
          <w:lang w:val="en-US" w:eastAsia="zh-CN" w:bidi="ar-SA"/>
        </w:rPr>
        <w:t>1.适用范围</w:t>
      </w:r>
      <w:bookmarkEnd w:id="120"/>
      <w:bookmarkEnd w:id="121"/>
      <w:bookmarkEnd w:id="122"/>
      <w:bookmarkEnd w:id="123"/>
      <w:bookmarkEnd w:id="124"/>
      <w:bookmarkEnd w:id="125"/>
      <w:bookmarkEnd w:id="126"/>
      <w:bookmarkEnd w:id="127"/>
      <w:bookmarkEnd w:id="128"/>
      <w:bookmarkEnd w:id="129"/>
      <w:bookmarkEnd w:id="130"/>
    </w:p>
    <w:p w14:paraId="3896363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1.1本招标文件仅适用于本项目的采购活动。</w:t>
      </w:r>
    </w:p>
    <w:p w14:paraId="34F0841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1" w:name="_Toc11954"/>
      <w:bookmarkStart w:id="132" w:name="_Toc8394"/>
      <w:bookmarkStart w:id="133" w:name="_Toc11043"/>
      <w:bookmarkStart w:id="134" w:name="_Toc163492824"/>
      <w:bookmarkStart w:id="135" w:name="_Toc2674"/>
      <w:r>
        <w:rPr>
          <w:rFonts w:hint="eastAsia" w:ascii="宋体" w:hAnsi="宋体" w:eastAsia="宋体" w:cs="宋体"/>
          <w:b/>
          <w:bCs/>
          <w:color w:val="auto"/>
          <w:kern w:val="2"/>
          <w:sz w:val="24"/>
          <w:szCs w:val="24"/>
          <w:highlight w:val="none"/>
          <w:lang w:val="en-US" w:eastAsia="zh-CN" w:bidi="ar-SA"/>
        </w:rPr>
        <w:t>2.基本定义</w:t>
      </w:r>
      <w:bookmarkEnd w:id="131"/>
      <w:bookmarkEnd w:id="132"/>
      <w:bookmarkEnd w:id="133"/>
      <w:bookmarkEnd w:id="134"/>
      <w:bookmarkEnd w:id="135"/>
    </w:p>
    <w:p w14:paraId="768D70C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2.1根据《中华人民共和国政府采购法》及其实施条例等有关法律、法规和规章的规定，制定本招标文件。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2.2采购人：</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ascii="宋体" w:hAnsi="宋体" w:eastAsia="宋体" w:cs="宋体"/>
          <w:color w:val="auto"/>
          <w:sz w:val="24"/>
          <w:szCs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2.3采购代理机构：</w:t>
      </w:r>
      <w:r>
        <w:rPr>
          <w:rFonts w:hint="eastAsia" w:ascii="宋体" w:hAnsi="宋体" w:eastAsia="宋体" w:cs="宋体"/>
          <w:color w:val="auto"/>
          <w:kern w:val="0"/>
          <w:sz w:val="24"/>
          <w:szCs w:val="24"/>
          <w:highlight w:val="none"/>
          <w:lang w:val="en-US" w:eastAsia="zh-CN" w:bidi="ar"/>
        </w:rPr>
        <w:t>指依法进行政府采购的国家机关、事业单位、团体组织</w:t>
      </w:r>
      <w:r>
        <w:rPr>
          <w:rFonts w:hint="eastAsia" w:ascii="宋体" w:hAnsi="宋体" w:eastAsia="宋体" w:cs="宋体"/>
          <w:color w:val="auto"/>
          <w:sz w:val="24"/>
          <w:szCs w:val="24"/>
          <w:highlight w:val="none"/>
          <w:lang w:val="en-US" w:eastAsia="zh-CN"/>
        </w:rPr>
        <w:t>委托的采购代理机构</w:t>
      </w:r>
      <w:r>
        <w:rPr>
          <w:rFonts w:hint="eastAsia" w:ascii="宋体" w:hAnsi="宋体" w:eastAsia="宋体" w:cs="宋体"/>
          <w:color w:val="auto"/>
          <w:sz w:val="24"/>
          <w:szCs w:val="24"/>
          <w:highlight w:val="none"/>
        </w:rPr>
        <w:t>。</w:t>
      </w:r>
    </w:p>
    <w:p w14:paraId="26D5074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2.5 服务包含的内容见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val="en-US" w:eastAsia="zh-CN"/>
        </w:rPr>
        <w:t>。</w:t>
      </w:r>
    </w:p>
    <w:p w14:paraId="214DD75F">
      <w:pPr>
        <w:ind w:firstLine="480" w:firstLineChars="200"/>
        <w:rPr>
          <w:rFonts w:hint="eastAsia" w:ascii="宋体" w:hAnsi="宋体" w:eastAsia="宋体" w:cs="宋体"/>
          <w:color w:val="auto"/>
          <w:sz w:val="24"/>
          <w:szCs w:val="24"/>
          <w:highlight w:val="none"/>
        </w:rPr>
      </w:pPr>
      <w:r>
        <w:rPr>
          <w:rFonts w:hint="eastAsia" w:ascii="宋体" w:hAnsi="宋体" w:eastAsia="宋体" w:cs="宋体"/>
          <w:iCs/>
          <w:color w:val="auto"/>
          <w:sz w:val="24"/>
          <w:szCs w:val="24"/>
          <w:highlight w:val="none"/>
          <w:shd w:val="clear" w:color="auto" w:fill="FFFFFF" w:themeFill="background1"/>
        </w:rPr>
        <w:t>2.6投标人（也称“供应商”、“申请人”）：指向采购人提供货物、工程或者服务的法人、其他组织或者自然人。</w:t>
      </w:r>
      <w:r>
        <w:rPr>
          <w:rFonts w:hint="eastAsia" w:ascii="宋体" w:hAnsi="宋体" w:eastAsia="宋体" w:cs="宋体"/>
          <w:color w:val="auto"/>
          <w:sz w:val="24"/>
          <w:szCs w:val="24"/>
          <w:highlight w:val="none"/>
        </w:rPr>
        <w:t>分支机构不得参加政府采购活动，但银行、保险、石油石化、电力、电信等</w:t>
      </w:r>
      <w:r>
        <w:rPr>
          <w:rFonts w:hint="eastAsia" w:ascii="宋体" w:hAnsi="宋体" w:eastAsia="宋体" w:cs="宋体"/>
          <w:color w:val="auto"/>
          <w:sz w:val="24"/>
          <w:szCs w:val="24"/>
          <w:highlight w:val="none"/>
          <w:lang w:val="en-US" w:eastAsia="zh-CN"/>
        </w:rPr>
        <w:t>有</w:t>
      </w:r>
      <w:r>
        <w:rPr>
          <w:rFonts w:hint="eastAsia" w:ascii="宋体" w:hAnsi="宋体" w:eastAsia="宋体" w:cs="宋体"/>
          <w:color w:val="auto"/>
          <w:sz w:val="24"/>
          <w:szCs w:val="24"/>
          <w:highlight w:val="none"/>
        </w:rPr>
        <w:t>行业特殊</w:t>
      </w:r>
      <w:r>
        <w:rPr>
          <w:rFonts w:hint="eastAsia" w:ascii="宋体" w:hAnsi="宋体" w:eastAsia="宋体" w:cs="宋体"/>
          <w:color w:val="auto"/>
          <w:sz w:val="24"/>
          <w:szCs w:val="24"/>
          <w:highlight w:val="none"/>
          <w:lang w:val="en-US" w:eastAsia="zh-CN"/>
        </w:rPr>
        <w:t>情况的</w:t>
      </w:r>
      <w:r>
        <w:rPr>
          <w:rFonts w:hint="eastAsia" w:ascii="宋体" w:hAnsi="宋体" w:eastAsia="宋体" w:cs="宋体"/>
          <w:color w:val="auto"/>
          <w:sz w:val="24"/>
          <w:szCs w:val="24"/>
          <w:highlight w:val="none"/>
        </w:rPr>
        <w:t>除外。本项目的投标人须满足以下条件：</w:t>
      </w:r>
    </w:p>
    <w:p w14:paraId="2518C535">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2.6.1具备《中华人民共和国政府采购法》第二十二条规定的条件，遵守本项目采购人本级和上级财政部门政府采购的有关规定。</w:t>
      </w:r>
    </w:p>
    <w:p w14:paraId="76745163">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2.6.2以招标公告中发布的方式依法获得了本项目的招标文件。</w:t>
      </w:r>
    </w:p>
    <w:p w14:paraId="0DE24F0D">
      <w:pPr>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2.6.3符合本招标文件规定并参加投标的供应商。</w:t>
      </w:r>
    </w:p>
    <w:p w14:paraId="5FC27D1B">
      <w:pPr>
        <w:pStyle w:val="39"/>
        <w:keepNext w:val="0"/>
        <w:keepLines w:val="0"/>
        <w:pageBreakBefore w:val="0"/>
        <w:widowControl w:val="0"/>
        <w:kinsoku/>
        <w:overflowPunct/>
        <w:topLinePunct w:val="0"/>
        <w:autoSpaceDE/>
        <w:autoSpaceDN/>
        <w:bidi w:val="0"/>
        <w:adjustRightInd/>
        <w:ind w:left="0"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w:t>
      </w:r>
      <w:r>
        <w:rPr>
          <w:rFonts w:hint="eastAsia" w:ascii="宋体" w:hAnsi="宋体" w:eastAsia="宋体" w:cs="宋体"/>
          <w:iCs/>
          <w:color w:val="auto"/>
          <w:sz w:val="24"/>
          <w:szCs w:val="24"/>
          <w:highlight w:val="none"/>
          <w:shd w:val="clear" w:color="auto" w:fill="FFFFFF" w:themeFill="background1"/>
        </w:rPr>
        <w:t>潜在投标人、潜在供应商</w:t>
      </w:r>
      <w:r>
        <w:rPr>
          <w:rFonts w:hint="eastAsia" w:ascii="宋体" w:hAnsi="宋体" w:eastAsia="宋体" w:cs="宋体"/>
          <w:iCs/>
          <w:color w:val="auto"/>
          <w:sz w:val="24"/>
          <w:szCs w:val="24"/>
          <w:highlight w:val="none"/>
          <w:shd w:val="clear" w:color="auto" w:fill="FFFFFF" w:themeFill="background1"/>
          <w:lang w:eastAsia="zh-CN"/>
        </w:rPr>
        <w:t>：</w:t>
      </w:r>
      <w:r>
        <w:rPr>
          <w:rFonts w:hint="eastAsia" w:ascii="宋体" w:hAnsi="宋体" w:eastAsia="宋体" w:cs="宋体"/>
          <w:iCs/>
          <w:color w:val="auto"/>
          <w:sz w:val="24"/>
          <w:szCs w:val="24"/>
          <w:highlight w:val="none"/>
          <w:shd w:val="clear" w:color="auto" w:fill="FFFFFF" w:themeFill="background1"/>
          <w:lang w:val="en-US" w:eastAsia="zh-CN"/>
        </w:rPr>
        <w:t>指</w:t>
      </w:r>
      <w:r>
        <w:rPr>
          <w:rFonts w:hint="eastAsia" w:ascii="宋体" w:hAnsi="宋体" w:eastAsia="宋体" w:cs="宋体"/>
          <w:color w:val="auto"/>
          <w:sz w:val="24"/>
          <w:szCs w:val="24"/>
          <w:highlight w:val="none"/>
          <w:lang w:val="en-US" w:eastAsia="zh-CN"/>
        </w:rPr>
        <w:t>符合本招标文件规定的供应商</w:t>
      </w:r>
      <w:r>
        <w:rPr>
          <w:rFonts w:hint="eastAsia" w:ascii="宋体" w:hAnsi="宋体" w:eastAsia="宋体" w:cs="宋体"/>
          <w:color w:val="auto"/>
          <w:sz w:val="24"/>
          <w:szCs w:val="24"/>
          <w:highlight w:val="none"/>
        </w:rPr>
        <w:t>。</w:t>
      </w:r>
    </w:p>
    <w:p w14:paraId="7BECD89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36" w:name="_Toc15923"/>
      <w:bookmarkStart w:id="137" w:name="_Toc30765"/>
      <w:bookmarkStart w:id="138" w:name="_Toc27150"/>
      <w:bookmarkStart w:id="139" w:name="_Toc22315"/>
      <w:bookmarkStart w:id="140" w:name="_Toc140132758"/>
      <w:bookmarkStart w:id="141" w:name="_Toc163492825"/>
      <w:r>
        <w:rPr>
          <w:rFonts w:hint="eastAsia" w:ascii="宋体" w:hAnsi="宋体" w:eastAsia="宋体" w:cs="宋体"/>
          <w:b/>
          <w:bCs/>
          <w:color w:val="auto"/>
          <w:kern w:val="2"/>
          <w:sz w:val="24"/>
          <w:szCs w:val="24"/>
          <w:highlight w:val="none"/>
          <w:lang w:val="en-US" w:eastAsia="zh-CN" w:bidi="ar-SA"/>
        </w:rPr>
        <w:t>3.资金来源</w:t>
      </w:r>
      <w:bookmarkEnd w:id="136"/>
      <w:bookmarkEnd w:id="137"/>
      <w:bookmarkEnd w:id="138"/>
      <w:bookmarkEnd w:id="139"/>
      <w:bookmarkEnd w:id="140"/>
      <w:bookmarkEnd w:id="141"/>
    </w:p>
    <w:p w14:paraId="76E8C14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3.1资金来源：</w:t>
      </w:r>
      <w:r>
        <w:rPr>
          <w:rFonts w:hint="eastAsia" w:ascii="宋体" w:hAnsi="宋体" w:eastAsia="宋体" w:cs="宋体"/>
          <w:color w:val="auto"/>
          <w:sz w:val="24"/>
          <w:szCs w:val="24"/>
          <w:highlight w:val="none"/>
          <w:lang w:val="en-US" w:eastAsia="zh-CN"/>
        </w:rPr>
        <w:t>为财政性资金即</w:t>
      </w:r>
      <w:r>
        <w:rPr>
          <w:rFonts w:hint="eastAsia" w:ascii="宋体" w:hAnsi="宋体" w:eastAsia="宋体" w:cs="宋体"/>
          <w:color w:val="auto"/>
          <w:sz w:val="24"/>
          <w:szCs w:val="24"/>
          <w:highlight w:val="none"/>
        </w:rPr>
        <w:t>纳入预算管理的资金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以财政性资金作为还款来源的借贷资金，视同财政性资金。财政性资金与非财政性资金无法分割采购的，统一适用《中华人民共和国政府采购法》及其实施条例。</w:t>
      </w:r>
    </w:p>
    <w:p w14:paraId="17722C4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2" w:name="_Toc4285"/>
      <w:bookmarkStart w:id="143" w:name="_Toc1893"/>
      <w:bookmarkStart w:id="144" w:name="_Toc15559"/>
      <w:bookmarkStart w:id="145" w:name="_Toc21872"/>
      <w:bookmarkStart w:id="146" w:name="_Toc163492826"/>
      <w:bookmarkStart w:id="147" w:name="_Toc140132760"/>
      <w:r>
        <w:rPr>
          <w:rFonts w:hint="eastAsia" w:ascii="宋体" w:hAnsi="宋体" w:eastAsia="宋体" w:cs="宋体"/>
          <w:b/>
          <w:bCs/>
          <w:color w:val="auto"/>
          <w:kern w:val="2"/>
          <w:sz w:val="24"/>
          <w:szCs w:val="24"/>
          <w:highlight w:val="none"/>
          <w:lang w:val="en-US" w:eastAsia="zh-CN" w:bidi="ar-SA"/>
        </w:rPr>
        <w:t>4.投标人资格要求</w:t>
      </w:r>
      <w:bookmarkEnd w:id="142"/>
      <w:bookmarkEnd w:id="143"/>
      <w:bookmarkEnd w:id="144"/>
      <w:bookmarkEnd w:id="145"/>
      <w:bookmarkEnd w:id="146"/>
      <w:bookmarkEnd w:id="147"/>
    </w:p>
    <w:p w14:paraId="522AD9C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4.1投标人资格要求：见“</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p>
    <w:p w14:paraId="3B57853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lang w:val="zh-CN" w:eastAsia="zh-CN"/>
        </w:rPr>
        <w:t>”规定接受联合体投标的，还应遵守以下规定：</w:t>
      </w:r>
    </w:p>
    <w:p w14:paraId="512308F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1两个以上的自然人、法人或者其他组织可以组成一个联合体，以一个</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lang w:val="zh-CN" w:eastAsia="zh-CN"/>
        </w:rPr>
        <w:t>的身份共同参加政府采购。</w:t>
      </w:r>
      <w:r>
        <w:rPr>
          <w:rFonts w:hint="eastAsia" w:ascii="宋体" w:hAnsi="宋体" w:eastAsia="宋体" w:cs="宋体"/>
          <w:iCs/>
          <w:color w:val="auto"/>
          <w:kern w:val="2"/>
          <w:sz w:val="24"/>
          <w:szCs w:val="24"/>
          <w:highlight w:val="none"/>
          <w:shd w:val="clear" w:color="auto" w:fill="FFFFFF" w:themeFill="background1"/>
          <w:lang w:val="zh-CN" w:eastAsia="zh-CN" w:bidi="ar-SA"/>
        </w:rPr>
        <w:t>以联合体形式进行政府采购的，参加联合体的供应商均应当具备《</w:t>
      </w:r>
      <w:r>
        <w:rPr>
          <w:rFonts w:hint="eastAsia" w:ascii="宋体" w:hAnsi="宋体" w:eastAsia="宋体" w:cs="宋体"/>
          <w:color w:val="auto"/>
          <w:sz w:val="24"/>
          <w:szCs w:val="24"/>
          <w:highlight w:val="none"/>
        </w:rPr>
        <w:t>中华人民共和国政府采购法</w:t>
      </w:r>
      <w:r>
        <w:rPr>
          <w:rFonts w:hint="eastAsia" w:ascii="宋体" w:hAnsi="宋体" w:eastAsia="宋体" w:cs="宋体"/>
          <w:iCs/>
          <w:color w:val="auto"/>
          <w:kern w:val="2"/>
          <w:sz w:val="24"/>
          <w:szCs w:val="24"/>
          <w:highlight w:val="none"/>
          <w:shd w:val="clear" w:color="auto" w:fill="FFFFFF" w:themeFill="background1"/>
          <w:lang w:val="zh-CN" w:eastAsia="zh-CN" w:bidi="ar-SA"/>
        </w:rPr>
        <w:t>》第二十二条规定的条件。</w:t>
      </w:r>
    </w:p>
    <w:p w14:paraId="7EFB49B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2.2</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联合体各方应按招标文件提供的格式签订联合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，明确约定联合体各方承担的工作和相应的责任，并将联合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作为投标文件的一部分提交，该协议书对联合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体所有成员</w:t>
      </w:r>
      <w:r>
        <w:rPr>
          <w:rFonts w:hint="eastAsia" w:ascii="宋体" w:hAnsi="宋体" w:eastAsia="宋体" w:cs="宋体"/>
          <w:iCs/>
          <w:color w:val="auto"/>
          <w:kern w:val="2"/>
          <w:sz w:val="24"/>
          <w:szCs w:val="24"/>
          <w:highlight w:val="none"/>
          <w:shd w:val="clear" w:color="auto" w:fill="FFFFFF" w:themeFill="background1"/>
          <w:lang w:val="zh-CN" w:eastAsia="zh-CN" w:bidi="ar-SA"/>
        </w:rPr>
        <w:t>均具有法律约束力。</w:t>
      </w:r>
    </w:p>
    <w:p w14:paraId="5343E5B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4.2.3</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联合体中有同类资质的供应商按照联合体分工承担相同工作的，应当按照资质等级较低的供应商确定资质等级。</w:t>
      </w:r>
    </w:p>
    <w:p w14:paraId="21D444C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4</w:t>
      </w:r>
      <w:r>
        <w:rPr>
          <w:rFonts w:hint="eastAsia" w:ascii="宋体" w:hAnsi="宋体" w:eastAsia="宋体" w:cs="宋体"/>
          <w:iCs/>
          <w:color w:val="auto"/>
          <w:kern w:val="2"/>
          <w:sz w:val="24"/>
          <w:szCs w:val="24"/>
          <w:highlight w:val="none"/>
          <w:shd w:val="clear" w:color="auto" w:fill="FFFFFF" w:themeFill="background1"/>
          <w:lang w:val="zh-CN" w:eastAsia="zh-CN" w:bidi="ar-SA"/>
        </w:rPr>
        <w:t>以联合体形式参加政府采购活动的，联合体各方不得再单独参加或者与其他供应商另外组成联合体参加</w:t>
      </w:r>
      <w:r>
        <w:rPr>
          <w:rFonts w:hint="eastAsia" w:ascii="宋体" w:hAnsi="宋体" w:eastAsia="宋体" w:cs="宋体"/>
          <w:iCs/>
          <w:color w:val="auto"/>
          <w:kern w:val="2"/>
          <w:sz w:val="24"/>
          <w:szCs w:val="24"/>
          <w:highlight w:val="none"/>
          <w:shd w:val="clear" w:color="auto" w:fill="FFFFFF" w:themeFill="background1"/>
          <w:lang w:val="en-US" w:eastAsia="zh-CN" w:bidi="ar-SA"/>
        </w:rPr>
        <w:t>同一合同项下的</w:t>
      </w:r>
      <w:r>
        <w:rPr>
          <w:rFonts w:hint="eastAsia" w:ascii="宋体" w:hAnsi="宋体" w:eastAsia="宋体" w:cs="宋体"/>
          <w:iCs/>
          <w:color w:val="auto"/>
          <w:kern w:val="2"/>
          <w:sz w:val="24"/>
          <w:szCs w:val="24"/>
          <w:highlight w:val="none"/>
          <w:shd w:val="clear" w:color="auto" w:fill="FFFFFF" w:themeFill="background1"/>
          <w:lang w:val="zh-CN" w:eastAsia="zh-CN" w:bidi="ar-SA"/>
        </w:rPr>
        <w:t>投标，否则相关投标将被认定为</w:t>
      </w:r>
      <w:r>
        <w:rPr>
          <w:rFonts w:hint="eastAsia" w:ascii="宋体" w:hAnsi="宋体" w:eastAsia="宋体" w:cs="宋体"/>
          <w:b/>
          <w:bCs/>
          <w:iCs/>
          <w:color w:val="auto"/>
          <w:kern w:val="2"/>
          <w:sz w:val="24"/>
          <w:szCs w:val="24"/>
          <w:highlight w:val="none"/>
          <w:shd w:val="clear" w:color="auto" w:fill="FFFFFF" w:themeFill="background1"/>
          <w:lang w:val="zh-CN" w:eastAsia="zh-CN" w:bidi="ar-SA"/>
        </w:rPr>
        <w:t>投标无效</w:t>
      </w:r>
      <w:r>
        <w:rPr>
          <w:rFonts w:hint="eastAsia" w:ascii="宋体" w:hAnsi="宋体" w:eastAsia="宋体" w:cs="宋体"/>
          <w:iCs/>
          <w:color w:val="auto"/>
          <w:kern w:val="2"/>
          <w:sz w:val="24"/>
          <w:szCs w:val="24"/>
          <w:highlight w:val="none"/>
          <w:shd w:val="clear" w:color="auto" w:fill="FFFFFF" w:themeFill="background1"/>
          <w:lang w:val="zh-CN" w:eastAsia="zh-CN" w:bidi="ar-SA"/>
        </w:rPr>
        <w:t>。</w:t>
      </w:r>
    </w:p>
    <w:p w14:paraId="2E60D00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.5大中型企业、其他自然人、法人或者非法人组织与小型、微型企业组成联合体共同参加投标</w:t>
      </w:r>
      <w:r>
        <w:rPr>
          <w:rFonts w:hint="eastAsia" w:ascii="宋体" w:hAnsi="宋体" w:eastAsia="宋体" w:cs="宋体"/>
          <w:iCs/>
          <w:color w:val="auto"/>
          <w:kern w:val="2"/>
          <w:sz w:val="24"/>
          <w:szCs w:val="24"/>
          <w:highlight w:val="none"/>
          <w:shd w:val="clear" w:color="auto" w:fill="FFFFFF" w:themeFill="background1"/>
          <w:lang w:val="en-US" w:eastAsia="zh-CN" w:bidi="ar-SA"/>
        </w:rPr>
        <w:t>的</w:t>
      </w:r>
      <w:r>
        <w:rPr>
          <w:rFonts w:hint="eastAsia" w:ascii="宋体" w:hAnsi="宋体" w:eastAsia="宋体" w:cs="宋体"/>
          <w:iCs/>
          <w:color w:val="auto"/>
          <w:kern w:val="2"/>
          <w:sz w:val="24"/>
          <w:szCs w:val="24"/>
          <w:highlight w:val="none"/>
          <w:shd w:val="clear" w:color="auto" w:fill="FFFFFF" w:themeFill="background1"/>
          <w:lang w:val="zh-CN" w:eastAsia="zh-CN" w:bidi="ar-SA"/>
        </w:rPr>
        <w:t>，联合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协议</w:t>
      </w:r>
      <w:r>
        <w:rPr>
          <w:rFonts w:hint="eastAsia" w:ascii="宋体" w:hAnsi="宋体" w:eastAsia="宋体" w:cs="宋体"/>
          <w:iCs/>
          <w:color w:val="auto"/>
          <w:kern w:val="2"/>
          <w:sz w:val="24"/>
          <w:szCs w:val="24"/>
          <w:highlight w:val="none"/>
          <w:shd w:val="clear" w:color="auto" w:fill="FFFFFF" w:themeFill="background1"/>
          <w:lang w:val="en-US" w:eastAsia="zh-CN" w:bidi="ar-SA"/>
        </w:rPr>
        <w:t>书</w:t>
      </w:r>
      <w:r>
        <w:rPr>
          <w:rFonts w:hint="eastAsia" w:ascii="宋体" w:hAnsi="宋体" w:eastAsia="宋体" w:cs="宋体"/>
          <w:iCs/>
          <w:color w:val="auto"/>
          <w:kern w:val="2"/>
          <w:sz w:val="24"/>
          <w:szCs w:val="24"/>
          <w:highlight w:val="none"/>
          <w:shd w:val="clear" w:color="auto" w:fill="FFFFFF" w:themeFill="background1"/>
          <w:lang w:val="zh-CN" w:eastAsia="zh-CN" w:bidi="ar-SA"/>
        </w:rPr>
        <w:t>中应写明小型、微型企业的合同金额占到联合</w:t>
      </w:r>
      <w:r>
        <w:rPr>
          <w:rFonts w:hint="eastAsia" w:ascii="宋体" w:hAnsi="宋体" w:eastAsia="宋体" w:cs="宋体"/>
          <w:iCs/>
          <w:color w:val="auto"/>
          <w:kern w:val="2"/>
          <w:sz w:val="24"/>
          <w:szCs w:val="24"/>
          <w:highlight w:val="none"/>
          <w:shd w:val="clear" w:color="auto" w:fill="FFFFFF" w:themeFill="background1"/>
          <w:lang w:val="en-US" w:eastAsia="zh-CN" w:bidi="ar-SA"/>
        </w:rPr>
        <w:t>体</w:t>
      </w:r>
      <w:r>
        <w:rPr>
          <w:rFonts w:hint="eastAsia" w:ascii="宋体" w:hAnsi="宋体" w:eastAsia="宋体" w:cs="宋体"/>
          <w:iCs/>
          <w:color w:val="auto"/>
          <w:kern w:val="2"/>
          <w:sz w:val="24"/>
          <w:szCs w:val="24"/>
          <w:highlight w:val="none"/>
          <w:shd w:val="clear" w:color="auto" w:fill="FFFFFF" w:themeFill="background1"/>
          <w:lang w:val="zh-CN" w:eastAsia="zh-CN" w:bidi="ar-SA"/>
        </w:rPr>
        <w:t>投标</w:t>
      </w:r>
      <w:r>
        <w:rPr>
          <w:rFonts w:hint="eastAsia" w:ascii="宋体" w:hAnsi="宋体" w:eastAsia="宋体" w:cs="宋体"/>
          <w:iCs/>
          <w:color w:val="auto"/>
          <w:kern w:val="2"/>
          <w:sz w:val="24"/>
          <w:szCs w:val="24"/>
          <w:highlight w:val="none"/>
          <w:shd w:val="clear" w:color="auto" w:fill="FFFFFF" w:themeFill="background1"/>
          <w:lang w:val="en-US" w:eastAsia="zh-CN" w:bidi="ar-SA"/>
        </w:rPr>
        <w:t>合同</w:t>
      </w:r>
      <w:r>
        <w:rPr>
          <w:rFonts w:hint="eastAsia" w:ascii="宋体" w:hAnsi="宋体" w:eastAsia="宋体" w:cs="宋体"/>
          <w:iCs/>
          <w:color w:val="auto"/>
          <w:kern w:val="2"/>
          <w:sz w:val="24"/>
          <w:szCs w:val="24"/>
          <w:highlight w:val="none"/>
          <w:shd w:val="clear" w:color="auto" w:fill="FFFFFF" w:themeFill="background1"/>
          <w:lang w:val="zh-CN" w:eastAsia="zh-CN" w:bidi="ar-SA"/>
        </w:rPr>
        <w:t>总金额的比例。</w:t>
      </w:r>
    </w:p>
    <w:p w14:paraId="7127D16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zh-CN" w:eastAsia="zh-CN" w:bidi="ar-SA"/>
        </w:rPr>
        <w:t>4.2</w:t>
      </w:r>
      <w:r>
        <w:rPr>
          <w:rFonts w:hint="eastAsia" w:ascii="宋体" w:hAnsi="宋体" w:eastAsia="宋体" w:cs="宋体"/>
          <w:iCs/>
          <w:color w:val="auto"/>
          <w:kern w:val="2"/>
          <w:sz w:val="24"/>
          <w:szCs w:val="24"/>
          <w:highlight w:val="none"/>
          <w:shd w:val="clear" w:color="auto" w:fill="FFFFFF" w:themeFill="background1"/>
          <w:lang w:val="en-US" w:eastAsia="zh-CN" w:bidi="ar-SA"/>
        </w:rPr>
        <w:t>.6</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联合体中标</w:t>
      </w:r>
      <w:r>
        <w:rPr>
          <w:rFonts w:hint="eastAsia" w:ascii="宋体" w:hAnsi="宋体" w:eastAsia="宋体" w:cs="宋体"/>
          <w:iCs/>
          <w:color w:val="auto"/>
          <w:kern w:val="2"/>
          <w:sz w:val="24"/>
          <w:szCs w:val="24"/>
          <w:highlight w:val="none"/>
          <w:shd w:val="clear" w:color="auto" w:fill="FFFFFF" w:themeFill="background1"/>
          <w:lang w:val="en-US" w:eastAsia="zh-CN" w:bidi="ar-SA"/>
        </w:rPr>
        <w:t>的</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采购</w:t>
      </w:r>
      <w:r>
        <w:rPr>
          <w:rFonts w:hint="eastAsia" w:ascii="宋体" w:hAnsi="宋体" w:eastAsia="宋体" w:cs="宋体"/>
          <w:iCs/>
          <w:color w:val="auto"/>
          <w:kern w:val="2"/>
          <w:sz w:val="24"/>
          <w:szCs w:val="24"/>
          <w:highlight w:val="none"/>
          <w:shd w:val="clear" w:color="auto" w:fill="FFFFFF" w:themeFill="background1"/>
          <w:lang w:val="zh-CN" w:eastAsia="zh-CN" w:bidi="ar-SA"/>
        </w:rPr>
        <w:t>合同应由</w:t>
      </w:r>
      <w:r>
        <w:rPr>
          <w:rFonts w:hint="eastAsia" w:ascii="宋体" w:hAnsi="宋体" w:eastAsia="宋体" w:cs="宋体"/>
          <w:iCs/>
          <w:color w:val="auto"/>
          <w:kern w:val="2"/>
          <w:sz w:val="24"/>
          <w:szCs w:val="24"/>
          <w:highlight w:val="none"/>
          <w:shd w:val="clear" w:color="auto" w:fill="FFFFFF" w:themeFill="background1"/>
          <w:lang w:val="en-US" w:eastAsia="zh-CN" w:bidi="ar-SA"/>
        </w:rPr>
        <w:t>联合体</w:t>
      </w:r>
      <w:r>
        <w:rPr>
          <w:rFonts w:hint="eastAsia" w:ascii="宋体" w:hAnsi="宋体" w:eastAsia="宋体" w:cs="宋体"/>
          <w:iCs/>
          <w:color w:val="auto"/>
          <w:kern w:val="2"/>
          <w:sz w:val="24"/>
          <w:szCs w:val="24"/>
          <w:highlight w:val="none"/>
          <w:shd w:val="clear" w:color="auto" w:fill="FFFFFF" w:themeFill="background1"/>
          <w:lang w:val="zh-CN" w:eastAsia="zh-CN" w:bidi="ar-SA"/>
        </w:rPr>
        <w:t>各成员的合法授权代表签字</w:t>
      </w:r>
      <w:r>
        <w:rPr>
          <w:rFonts w:hint="eastAsia" w:ascii="宋体" w:hAnsi="宋体" w:eastAsia="宋体" w:cs="宋体"/>
          <w:iCs/>
          <w:color w:val="auto"/>
          <w:kern w:val="2"/>
          <w:sz w:val="24"/>
          <w:szCs w:val="24"/>
          <w:highlight w:val="none"/>
          <w:shd w:val="clear" w:color="auto" w:fill="FFFFFF" w:themeFill="background1"/>
          <w:lang w:val="en-US" w:eastAsia="zh-CN" w:bidi="ar-SA"/>
        </w:rPr>
        <w:t>及</w:t>
      </w:r>
      <w:r>
        <w:rPr>
          <w:rFonts w:hint="eastAsia" w:ascii="宋体" w:hAnsi="宋体" w:eastAsia="宋体" w:cs="宋体"/>
          <w:iCs/>
          <w:color w:val="auto"/>
          <w:kern w:val="2"/>
          <w:sz w:val="24"/>
          <w:szCs w:val="24"/>
          <w:highlight w:val="none"/>
          <w:shd w:val="clear" w:color="auto" w:fill="FFFFFF" w:themeFill="background1"/>
          <w:lang w:val="zh-CN" w:eastAsia="zh-CN" w:bidi="ar-SA"/>
        </w:rPr>
        <w:t>加盖</w:t>
      </w:r>
      <w:r>
        <w:rPr>
          <w:rFonts w:hint="eastAsia" w:ascii="宋体" w:hAnsi="宋体" w:eastAsia="宋体" w:cs="宋体"/>
          <w:iCs/>
          <w:color w:val="auto"/>
          <w:kern w:val="2"/>
          <w:sz w:val="24"/>
          <w:szCs w:val="24"/>
          <w:highlight w:val="none"/>
          <w:shd w:val="clear" w:color="auto" w:fill="FFFFFF" w:themeFill="background1"/>
          <w:lang w:val="en-US" w:eastAsia="zh-CN" w:bidi="ar-SA"/>
        </w:rPr>
        <w:t>联合体</w:t>
      </w:r>
      <w:r>
        <w:rPr>
          <w:rFonts w:hint="eastAsia" w:ascii="宋体" w:hAnsi="宋体" w:eastAsia="宋体" w:cs="宋体"/>
          <w:iCs/>
          <w:color w:val="auto"/>
          <w:kern w:val="2"/>
          <w:sz w:val="24"/>
          <w:szCs w:val="24"/>
          <w:highlight w:val="none"/>
          <w:shd w:val="clear" w:color="auto" w:fill="FFFFFF" w:themeFill="background1"/>
          <w:lang w:val="zh-CN" w:eastAsia="zh-CN" w:bidi="ar-SA"/>
        </w:rPr>
        <w:t>各成员公章，</w:t>
      </w:r>
      <w:r>
        <w:rPr>
          <w:rFonts w:hint="eastAsia" w:ascii="宋体" w:hAnsi="宋体" w:eastAsia="宋体" w:cs="宋体"/>
          <w:iCs/>
          <w:color w:val="auto"/>
          <w:kern w:val="2"/>
          <w:sz w:val="24"/>
          <w:szCs w:val="24"/>
          <w:highlight w:val="none"/>
          <w:shd w:val="clear" w:color="auto" w:fill="FFFFFF" w:themeFill="background1"/>
          <w:lang w:val="en-US" w:eastAsia="zh-CN" w:bidi="ar-SA"/>
        </w:rPr>
        <w:t>并</w:t>
      </w:r>
      <w:r>
        <w:rPr>
          <w:rFonts w:hint="eastAsia" w:ascii="宋体" w:hAnsi="宋体" w:eastAsia="宋体" w:cs="宋体"/>
          <w:iCs/>
          <w:color w:val="auto"/>
          <w:kern w:val="2"/>
          <w:sz w:val="24"/>
          <w:szCs w:val="24"/>
          <w:highlight w:val="none"/>
          <w:shd w:val="clear" w:color="auto" w:fill="FFFFFF" w:themeFill="background1"/>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2C3CFE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zh-CN" w:eastAsia="zh-CN" w:bidi="ar-SA"/>
        </w:rPr>
        <w:t>4.2</w:t>
      </w:r>
      <w:r>
        <w:rPr>
          <w:rFonts w:hint="eastAsia" w:ascii="宋体" w:hAnsi="宋体" w:eastAsia="宋体" w:cs="宋体"/>
          <w:iCs/>
          <w:color w:val="auto"/>
          <w:kern w:val="2"/>
          <w:sz w:val="24"/>
          <w:szCs w:val="24"/>
          <w:highlight w:val="none"/>
          <w:shd w:val="clear" w:color="auto" w:fill="FFFFFF" w:themeFill="background1"/>
          <w:lang w:val="en-US" w:eastAsia="zh-CN" w:bidi="ar-SA"/>
        </w:rPr>
        <w:t>.7</w:t>
      </w:r>
      <w:r>
        <w:rPr>
          <w:rFonts w:hint="eastAsia" w:ascii="宋体" w:hAnsi="宋体" w:eastAsia="宋体" w:cs="宋体"/>
          <w:iCs/>
          <w:color w:val="auto"/>
          <w:kern w:val="2"/>
          <w:sz w:val="24"/>
          <w:szCs w:val="24"/>
          <w:highlight w:val="none"/>
          <w:shd w:val="clear" w:color="auto" w:fill="FFFFFF" w:themeFill="background1"/>
          <w:lang w:val="zh-CN" w:eastAsia="zh-CN" w:bidi="ar-SA"/>
        </w:rPr>
        <w:t>联合体或其成员不得将其在合同项下的权利或义务全部或部分转让给第三人，有关分包事项须事先取得采购</w:t>
      </w:r>
      <w:r>
        <w:rPr>
          <w:rFonts w:hint="eastAsia" w:ascii="宋体" w:hAnsi="宋体" w:eastAsia="宋体" w:cs="宋体"/>
          <w:iCs/>
          <w:color w:val="auto"/>
          <w:kern w:val="2"/>
          <w:sz w:val="24"/>
          <w:szCs w:val="24"/>
          <w:highlight w:val="none"/>
          <w:shd w:val="clear" w:color="auto" w:fill="FFFFFF" w:themeFill="background1"/>
          <w:lang w:val="en-US" w:eastAsia="zh-CN" w:bidi="ar-SA"/>
        </w:rPr>
        <w:t>人</w:t>
      </w:r>
      <w:r>
        <w:rPr>
          <w:rFonts w:hint="eastAsia" w:ascii="宋体" w:hAnsi="宋体" w:eastAsia="宋体" w:cs="宋体"/>
          <w:iCs/>
          <w:color w:val="auto"/>
          <w:kern w:val="2"/>
          <w:sz w:val="24"/>
          <w:szCs w:val="24"/>
          <w:highlight w:val="none"/>
          <w:shd w:val="clear" w:color="auto" w:fill="FFFFFF" w:themeFill="background1"/>
          <w:lang w:val="zh-CN" w:eastAsia="zh-CN" w:bidi="ar-SA"/>
        </w:rPr>
        <w:t>书面同意并且须遵守相关法律、法规、本次招标的全部相关规定。</w:t>
      </w:r>
    </w:p>
    <w:p w14:paraId="7D2803A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iCs/>
          <w:color w:val="auto"/>
          <w:kern w:val="2"/>
          <w:sz w:val="24"/>
          <w:szCs w:val="24"/>
          <w:highlight w:val="none"/>
          <w:shd w:val="clear" w:color="auto" w:fill="FFFFFF" w:themeFill="background1"/>
          <w:lang w:val="zh-CN"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4.2</w:t>
      </w:r>
      <w:r>
        <w:rPr>
          <w:rFonts w:hint="eastAsia" w:ascii="宋体" w:hAnsi="宋体" w:eastAsia="宋体" w:cs="宋体"/>
          <w:iCs/>
          <w:color w:val="auto"/>
          <w:kern w:val="2"/>
          <w:sz w:val="24"/>
          <w:szCs w:val="24"/>
          <w:highlight w:val="none"/>
          <w:shd w:val="clear" w:color="auto" w:fill="FFFFFF" w:themeFill="background1"/>
          <w:lang w:val="zh-CN" w:eastAsia="zh-CN" w:bidi="ar-SA"/>
        </w:rPr>
        <w:t>.</w:t>
      </w:r>
      <w:r>
        <w:rPr>
          <w:rFonts w:hint="eastAsia" w:ascii="宋体" w:hAnsi="宋体" w:eastAsia="宋体" w:cs="宋体"/>
          <w:iCs/>
          <w:color w:val="auto"/>
          <w:kern w:val="2"/>
          <w:sz w:val="24"/>
          <w:szCs w:val="24"/>
          <w:highlight w:val="none"/>
          <w:shd w:val="clear" w:color="auto" w:fill="FFFFFF" w:themeFill="background1"/>
          <w:lang w:val="en-US" w:eastAsia="zh-CN" w:bidi="ar-SA"/>
        </w:rPr>
        <w:t>8</w:t>
      </w:r>
      <w:r>
        <w:rPr>
          <w:rFonts w:hint="eastAsia" w:ascii="宋体" w:hAnsi="宋体" w:eastAsia="宋体" w:cs="宋体"/>
          <w:iCs/>
          <w:color w:val="auto"/>
          <w:kern w:val="2"/>
          <w:sz w:val="24"/>
          <w:szCs w:val="24"/>
          <w:highlight w:val="none"/>
          <w:shd w:val="clear" w:color="auto" w:fill="FFFFFF" w:themeFill="background1"/>
          <w:lang w:val="zh-CN" w:eastAsia="zh-CN" w:bidi="ar-SA"/>
        </w:rPr>
        <w:t>对联合体投标的其他资格要求见</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中的“二、</w:t>
      </w:r>
      <w:r>
        <w:rPr>
          <w:rFonts w:hint="eastAsia" w:ascii="宋体" w:hAnsi="宋体" w:eastAsia="宋体" w:cs="宋体"/>
          <w:iCs/>
          <w:color w:val="auto"/>
          <w:kern w:val="2"/>
          <w:sz w:val="24"/>
          <w:szCs w:val="24"/>
          <w:highlight w:val="none"/>
          <w:shd w:val="clear" w:color="auto" w:fill="FFFFFF" w:themeFill="background1"/>
          <w:lang w:val="en-US" w:eastAsia="zh-CN" w:bidi="ar-SA"/>
        </w:rPr>
        <w:t>申请人的</w:t>
      </w:r>
      <w:r>
        <w:rPr>
          <w:rFonts w:hint="eastAsia" w:ascii="宋体" w:hAnsi="宋体" w:eastAsia="宋体" w:cs="宋体"/>
          <w:iCs/>
          <w:color w:val="auto"/>
          <w:kern w:val="2"/>
          <w:sz w:val="24"/>
          <w:szCs w:val="24"/>
          <w:highlight w:val="none"/>
          <w:shd w:val="clear" w:color="auto" w:fill="FFFFFF" w:themeFill="background1"/>
          <w:lang w:val="zh-CN" w:eastAsia="zh-CN" w:bidi="ar-SA"/>
        </w:rPr>
        <w:t>资格</w:t>
      </w:r>
      <w:r>
        <w:rPr>
          <w:rFonts w:hint="eastAsia" w:ascii="宋体" w:hAnsi="宋体" w:eastAsia="宋体" w:cs="宋体"/>
          <w:iCs/>
          <w:color w:val="auto"/>
          <w:kern w:val="2"/>
          <w:sz w:val="24"/>
          <w:szCs w:val="24"/>
          <w:highlight w:val="none"/>
          <w:shd w:val="clear" w:color="auto" w:fill="FFFFFF" w:themeFill="background1"/>
          <w:lang w:val="en-US" w:eastAsia="zh-CN" w:bidi="ar-SA"/>
        </w:rPr>
        <w:t>要求”</w:t>
      </w:r>
      <w:r>
        <w:rPr>
          <w:rFonts w:hint="eastAsia" w:ascii="宋体" w:hAnsi="宋体" w:eastAsia="宋体" w:cs="宋体"/>
          <w:iCs/>
          <w:color w:val="auto"/>
          <w:kern w:val="2"/>
          <w:sz w:val="24"/>
          <w:szCs w:val="24"/>
          <w:highlight w:val="none"/>
          <w:shd w:val="clear" w:color="auto" w:fill="FFFFFF" w:themeFill="background1"/>
          <w:lang w:val="zh-CN" w:eastAsia="zh-CN" w:bidi="ar-SA"/>
        </w:rPr>
        <w:t>。</w:t>
      </w:r>
    </w:p>
    <w:p w14:paraId="4DE6446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48" w:name="_Toc7413"/>
      <w:bookmarkStart w:id="149" w:name="_Toc163492827"/>
      <w:bookmarkStart w:id="150" w:name="_Toc18213"/>
      <w:bookmarkStart w:id="151" w:name="_Toc19194"/>
      <w:bookmarkStart w:id="152" w:name="_Toc1799"/>
      <w:r>
        <w:rPr>
          <w:rFonts w:hint="eastAsia" w:ascii="宋体" w:hAnsi="宋体" w:eastAsia="宋体" w:cs="宋体"/>
          <w:b/>
          <w:bCs/>
          <w:color w:val="auto"/>
          <w:kern w:val="2"/>
          <w:sz w:val="24"/>
          <w:szCs w:val="24"/>
          <w:highlight w:val="none"/>
          <w:lang w:val="en-US" w:eastAsia="zh-CN" w:bidi="ar-SA"/>
        </w:rPr>
        <w:t>5.费用承担</w:t>
      </w:r>
      <w:bookmarkEnd w:id="148"/>
      <w:bookmarkEnd w:id="149"/>
      <w:bookmarkEnd w:id="150"/>
      <w:bookmarkEnd w:id="151"/>
      <w:bookmarkEnd w:id="152"/>
    </w:p>
    <w:p w14:paraId="3C6741ED">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w:t>
      </w:r>
      <w:r>
        <w:rPr>
          <w:rFonts w:hint="eastAsia" w:ascii="宋体" w:hAnsi="宋体" w:eastAsia="宋体" w:cs="宋体"/>
          <w:color w:val="auto"/>
          <w:sz w:val="24"/>
          <w:szCs w:val="24"/>
          <w:highlight w:val="none"/>
          <w:lang w:val="en-US" w:eastAsia="zh-CN"/>
        </w:rPr>
        <w:t>不论投标的结果如何，投标人应承担所有与准备和参加投标有关的费用。</w:t>
      </w:r>
    </w:p>
    <w:p w14:paraId="0CE9ACA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3" w:name="_Toc163492828"/>
      <w:bookmarkStart w:id="154" w:name="_Toc29375"/>
      <w:bookmarkStart w:id="155" w:name="_Toc140132761"/>
      <w:bookmarkStart w:id="156" w:name="_Toc19870"/>
      <w:bookmarkStart w:id="157" w:name="_Toc12320"/>
      <w:bookmarkStart w:id="158" w:name="_Toc27984"/>
      <w:r>
        <w:rPr>
          <w:rFonts w:hint="eastAsia" w:ascii="宋体" w:hAnsi="宋体" w:eastAsia="宋体" w:cs="宋体"/>
          <w:b/>
          <w:bCs/>
          <w:color w:val="auto"/>
          <w:kern w:val="2"/>
          <w:sz w:val="24"/>
          <w:szCs w:val="24"/>
          <w:highlight w:val="none"/>
          <w:lang w:val="en-US" w:eastAsia="zh-CN" w:bidi="ar-SA"/>
        </w:rPr>
        <w:t>6.保密</w:t>
      </w:r>
      <w:bookmarkEnd w:id="153"/>
      <w:bookmarkEnd w:id="154"/>
      <w:bookmarkEnd w:id="155"/>
      <w:bookmarkEnd w:id="156"/>
      <w:bookmarkEnd w:id="157"/>
      <w:bookmarkEnd w:id="158"/>
    </w:p>
    <w:p w14:paraId="7CBA93F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6.1</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参与招标投标活动的各方应对招标文件和投标文件中的商业和技术等秘密保密，否则应承担相应的法律责任。</w:t>
      </w:r>
    </w:p>
    <w:p w14:paraId="2947ABF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2 </w:t>
      </w:r>
      <w:r>
        <w:rPr>
          <w:rFonts w:hint="eastAsia" w:ascii="宋体" w:hAnsi="宋体" w:eastAsia="宋体" w:cs="宋体"/>
          <w:color w:val="auto"/>
          <w:kern w:val="2"/>
          <w:sz w:val="24"/>
          <w:szCs w:val="24"/>
          <w:highlight w:val="none"/>
        </w:rPr>
        <w:t>投标人自领取招标文件之日起，须承担本招标项目保密义务，不得将因本次招标获得的信息向第三人外传。由采购人向投标人提供的图纸、详细资料、样品、模型、模件和所有其它资料，被视为保密资料，仅被用于它所规定的用途。除非得到采购人的同意，不能向任何第三方透露。开标结束后，应采购人要求，投标人应归还所有从采购人处获得的保密资料。</w:t>
      </w:r>
    </w:p>
    <w:p w14:paraId="38BD9605">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3 </w:t>
      </w:r>
      <w:r>
        <w:rPr>
          <w:rFonts w:hint="eastAsia" w:ascii="宋体" w:hAnsi="宋体" w:eastAsia="宋体" w:cs="宋体"/>
          <w:color w:val="auto"/>
          <w:kern w:val="2"/>
          <w:sz w:val="24"/>
          <w:szCs w:val="24"/>
          <w:highlight w:val="none"/>
        </w:rPr>
        <w:t>采购代理机构有权将投标人提供的所有资料向有关政府部门或评审</w:t>
      </w:r>
      <w:r>
        <w:rPr>
          <w:rFonts w:hint="eastAsia" w:ascii="宋体" w:hAnsi="宋体" w:eastAsia="宋体" w:cs="宋体"/>
          <w:color w:val="auto"/>
          <w:kern w:val="2"/>
          <w:sz w:val="24"/>
          <w:szCs w:val="24"/>
          <w:highlight w:val="none"/>
          <w:lang w:val="en-US" w:eastAsia="zh-CN"/>
        </w:rPr>
        <w:t>投标文件</w:t>
      </w:r>
      <w:r>
        <w:rPr>
          <w:rFonts w:hint="eastAsia" w:ascii="宋体" w:hAnsi="宋体" w:eastAsia="宋体" w:cs="宋体"/>
          <w:color w:val="auto"/>
          <w:kern w:val="2"/>
          <w:sz w:val="24"/>
          <w:szCs w:val="24"/>
          <w:highlight w:val="none"/>
        </w:rPr>
        <w:t>的有关人员披露。</w:t>
      </w:r>
    </w:p>
    <w:p w14:paraId="0EE6357E">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6</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color w:val="auto"/>
          <w:kern w:val="2"/>
          <w:sz w:val="24"/>
          <w:szCs w:val="24"/>
          <w:highlight w:val="none"/>
        </w:rPr>
        <w:t>。</w:t>
      </w:r>
    </w:p>
    <w:p w14:paraId="284B114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59" w:name="_Toc489"/>
      <w:bookmarkStart w:id="160" w:name="_Toc2247"/>
      <w:bookmarkStart w:id="161" w:name="_Toc23819"/>
      <w:bookmarkStart w:id="162" w:name="_Toc30988"/>
      <w:bookmarkStart w:id="163" w:name="_Toc163492829"/>
      <w:bookmarkStart w:id="164" w:name="_Toc140132762"/>
      <w:r>
        <w:rPr>
          <w:rFonts w:hint="eastAsia" w:ascii="宋体" w:hAnsi="宋体" w:eastAsia="宋体" w:cs="宋体"/>
          <w:b/>
          <w:bCs/>
          <w:color w:val="auto"/>
          <w:kern w:val="2"/>
          <w:sz w:val="24"/>
          <w:szCs w:val="24"/>
          <w:highlight w:val="none"/>
          <w:lang w:val="en-US" w:eastAsia="zh-CN" w:bidi="ar-SA"/>
        </w:rPr>
        <w:t>7.语言文字</w:t>
      </w:r>
      <w:bookmarkEnd w:id="159"/>
      <w:bookmarkEnd w:id="160"/>
      <w:bookmarkEnd w:id="161"/>
      <w:bookmarkEnd w:id="162"/>
      <w:bookmarkEnd w:id="163"/>
      <w:bookmarkEnd w:id="164"/>
    </w:p>
    <w:p w14:paraId="2514093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7.1招标投标</w:t>
      </w:r>
      <w:r>
        <w:rPr>
          <w:rFonts w:hint="eastAsia" w:ascii="宋体" w:hAnsi="宋体" w:eastAsia="宋体" w:cs="宋体"/>
          <w:color w:val="auto"/>
          <w:sz w:val="24"/>
          <w:szCs w:val="24"/>
          <w:highlight w:val="none"/>
          <w:lang w:val="en-US" w:eastAsia="zh-CN"/>
        </w:rPr>
        <w:t>过程</w:t>
      </w:r>
      <w:r>
        <w:rPr>
          <w:rFonts w:hint="eastAsia" w:ascii="宋体" w:hAnsi="宋体" w:eastAsia="宋体" w:cs="宋体"/>
          <w:color w:val="auto"/>
          <w:sz w:val="24"/>
          <w:szCs w:val="24"/>
          <w:highlight w:val="none"/>
        </w:rPr>
        <w:t>文件使用的语言文字为中文。专用术语使用外文的，应附有中文注释。</w:t>
      </w:r>
      <w:r>
        <w:rPr>
          <w:rFonts w:hint="eastAsia" w:ascii="宋体" w:hAnsi="宋体" w:eastAsia="宋体" w:cs="宋体"/>
          <w:color w:val="auto"/>
          <w:sz w:val="24"/>
          <w:szCs w:val="24"/>
          <w:highlight w:val="none"/>
          <w:lang w:val="en-US" w:eastAsia="zh-CN"/>
        </w:rPr>
        <w:t>投标人提交的支持资料和已印制的文献可以用外文，但相应内容应附有中文翻译本，在解释投标文件时以中文翻译本为准。未附中文翻译本或翻译本中文内容明显与外文内容不一致的，其不利后果由投标人自行承担。</w:t>
      </w:r>
    </w:p>
    <w:p w14:paraId="2F33616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65" w:name="_Toc9364"/>
      <w:bookmarkStart w:id="166" w:name="_Toc3997"/>
      <w:bookmarkStart w:id="167" w:name="_Toc18687"/>
      <w:bookmarkStart w:id="168" w:name="_Toc163492830"/>
      <w:bookmarkStart w:id="169" w:name="_Toc23417"/>
      <w:bookmarkStart w:id="170" w:name="_Toc140132763"/>
      <w:r>
        <w:rPr>
          <w:rFonts w:hint="eastAsia" w:ascii="宋体" w:hAnsi="宋体" w:eastAsia="宋体" w:cs="宋体"/>
          <w:b/>
          <w:bCs/>
          <w:color w:val="auto"/>
          <w:kern w:val="2"/>
          <w:sz w:val="24"/>
          <w:szCs w:val="24"/>
          <w:highlight w:val="none"/>
          <w:lang w:val="en-US" w:eastAsia="zh-CN" w:bidi="ar-SA"/>
        </w:rPr>
        <w:t>8.计量单位</w:t>
      </w:r>
      <w:bookmarkEnd w:id="165"/>
      <w:bookmarkEnd w:id="166"/>
      <w:bookmarkEnd w:id="167"/>
      <w:bookmarkEnd w:id="168"/>
      <w:bookmarkEnd w:id="169"/>
      <w:bookmarkEnd w:id="170"/>
    </w:p>
    <w:p w14:paraId="45A7AE5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8.1所有计量均采用中华人民共和国法定计量单位。</w:t>
      </w:r>
    </w:p>
    <w:p w14:paraId="099F3EF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1" w:name="_Toc140132764"/>
      <w:bookmarkStart w:id="172" w:name="_Toc11937"/>
      <w:bookmarkStart w:id="173" w:name="_Toc11023"/>
      <w:bookmarkStart w:id="174" w:name="_Toc163492831"/>
      <w:bookmarkStart w:id="175" w:name="_Toc19979"/>
      <w:bookmarkStart w:id="176" w:name="_Toc31192"/>
      <w:r>
        <w:rPr>
          <w:rFonts w:hint="eastAsia" w:ascii="宋体" w:hAnsi="宋体" w:eastAsia="宋体" w:cs="宋体"/>
          <w:b/>
          <w:bCs/>
          <w:color w:val="auto"/>
          <w:kern w:val="2"/>
          <w:sz w:val="24"/>
          <w:szCs w:val="24"/>
          <w:highlight w:val="none"/>
          <w:lang w:val="en-US" w:eastAsia="zh-CN" w:bidi="ar-SA"/>
        </w:rPr>
        <w:t>9.现场考察和答疑会</w:t>
      </w:r>
      <w:bookmarkEnd w:id="171"/>
      <w:bookmarkEnd w:id="172"/>
      <w:bookmarkEnd w:id="173"/>
      <w:bookmarkEnd w:id="174"/>
      <w:bookmarkEnd w:id="175"/>
      <w:bookmarkEnd w:id="176"/>
    </w:p>
    <w:p w14:paraId="5A8B8C4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177" w:name="_Hlk143529198"/>
      <w:r>
        <w:rPr>
          <w:rFonts w:hint="eastAsia" w:ascii="宋体" w:hAnsi="宋体" w:eastAsia="宋体" w:cs="宋体"/>
          <w:color w:val="auto"/>
          <w:sz w:val="24"/>
          <w:szCs w:val="24"/>
          <w:highlight w:val="none"/>
        </w:rPr>
        <w:t xml:space="preserve">9.1 “投标人须知前附表”规定组织现场考察的，采购代理机构按“投标人须知前附表”规定的时间、地点组织投标人项目现场考察。 </w:t>
      </w:r>
    </w:p>
    <w:p w14:paraId="5F8A235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9.2 投标人现场考察发生的费用自理。</w:t>
      </w:r>
    </w:p>
    <w:p w14:paraId="199A48B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9.3 在现场考察中，因投标人自身原因发生的人员伤亡和财产损失，由投标人自行负责。</w:t>
      </w:r>
    </w:p>
    <w:p w14:paraId="6F1F6A2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9.4 采购人在现场考察中介绍的项目场地和相关的周边环境情况，仅供投标人在编制投标文件时参考，采购人和采购代理机构不对投标人据此作出的判断和决策负责。</w:t>
      </w:r>
    </w:p>
    <w:p w14:paraId="0E249AE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9.5 “投标人须知前附表”规定召开答疑会的，采购代理机构按“投标人须知前附表”规定的时间和地点召开答疑会，澄清投标人提出的问题。</w:t>
      </w:r>
    </w:p>
    <w:p w14:paraId="0094384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9.6 由于未参加现场考察或未参加标前答疑会而导致对项目实际情况不了解，影响投标文件编制、投标报价准确性、综合因素响应不全面等问题的，由投标人自行承担不利评审后果。</w:t>
      </w:r>
    </w:p>
    <w:bookmarkEnd w:id="177"/>
    <w:p w14:paraId="015C1ED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78" w:name="_Toc155185858"/>
      <w:bookmarkStart w:id="179" w:name="_Toc3693"/>
      <w:bookmarkStart w:id="180" w:name="_Toc24524"/>
      <w:bookmarkStart w:id="181" w:name="_Toc163492833"/>
      <w:bookmarkStart w:id="182" w:name="_Toc15887"/>
      <w:bookmarkStart w:id="183" w:name="_Toc28644"/>
      <w:bookmarkStart w:id="184" w:name="_Toc155185871"/>
      <w:r>
        <w:rPr>
          <w:rFonts w:hint="eastAsia" w:ascii="宋体" w:hAnsi="宋体" w:eastAsia="宋体" w:cs="宋体"/>
          <w:b/>
          <w:bCs/>
          <w:color w:val="auto"/>
          <w:kern w:val="2"/>
          <w:sz w:val="24"/>
          <w:szCs w:val="24"/>
          <w:highlight w:val="none"/>
          <w:lang w:val="en-US" w:eastAsia="zh-CN" w:bidi="ar-SA"/>
        </w:rPr>
        <w:t>10.电子投标说明</w:t>
      </w:r>
      <w:bookmarkEnd w:id="178"/>
      <w:bookmarkEnd w:id="179"/>
      <w:bookmarkEnd w:id="180"/>
      <w:bookmarkEnd w:id="181"/>
      <w:bookmarkEnd w:id="182"/>
      <w:bookmarkEnd w:id="183"/>
      <w:r>
        <w:rPr>
          <w:rFonts w:hint="eastAsia" w:ascii="宋体" w:hAnsi="宋体" w:eastAsia="宋体" w:cs="宋体"/>
          <w:b/>
          <w:bCs/>
          <w:color w:val="auto"/>
          <w:kern w:val="2"/>
          <w:sz w:val="24"/>
          <w:szCs w:val="24"/>
          <w:highlight w:val="none"/>
          <w:lang w:val="en-US" w:eastAsia="zh-CN" w:bidi="ar-SA"/>
        </w:rPr>
        <w:t xml:space="preserve">   </w:t>
      </w:r>
    </w:p>
    <w:p w14:paraId="07B6752A">
      <w:pPr>
        <w:pStyle w:val="39"/>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10.1 本次采购采用电子交易方式，电子交易平台为</w:t>
      </w:r>
      <w:r>
        <w:rPr>
          <w:rFonts w:hint="eastAsia" w:cs="宋体"/>
          <w:i w:val="0"/>
          <w:iCs w:val="0"/>
          <w:color w:val="auto"/>
          <w:sz w:val="24"/>
          <w:szCs w:val="24"/>
          <w:highlight w:val="none"/>
          <w:lang w:val="en-US" w:eastAsia="zh-CN"/>
        </w:rPr>
        <w:t>新疆政府采购</w:t>
      </w:r>
      <w:r>
        <w:rPr>
          <w:rFonts w:hint="eastAsia" w:ascii="宋体" w:hAnsi="宋体" w:eastAsia="宋体" w:cs="宋体"/>
          <w:i w:val="0"/>
          <w:iCs w:val="0"/>
          <w:color w:val="auto"/>
          <w:sz w:val="24"/>
          <w:szCs w:val="24"/>
          <w:highlight w:val="none"/>
          <w:lang w:val="en-US" w:eastAsia="zh-CN"/>
        </w:rPr>
        <w:t>电子交易云平台（网址：https://www.zcygov.cn/）。供应商参与本项目电子交易活动前，</w:t>
      </w:r>
      <w:r>
        <w:rPr>
          <w:rFonts w:hint="eastAsia" w:ascii="宋体" w:hAnsi="宋体" w:eastAsia="宋体" w:cs="宋体"/>
          <w:i w:val="0"/>
          <w:iCs w:val="0"/>
          <w:color w:val="auto"/>
          <w:sz w:val="24"/>
          <w:szCs w:val="24"/>
          <w:highlight w:val="none"/>
        </w:rPr>
        <w:t>应</w:t>
      </w:r>
      <w:r>
        <w:rPr>
          <w:rFonts w:hint="eastAsia" w:ascii="宋体" w:hAnsi="宋体" w:eastAsia="宋体" w:cs="宋体"/>
          <w:i w:val="0"/>
          <w:iCs w:val="0"/>
          <w:color w:val="auto"/>
          <w:sz w:val="24"/>
          <w:szCs w:val="24"/>
          <w:highlight w:val="none"/>
          <w:lang w:val="en-US" w:eastAsia="zh-CN"/>
        </w:rPr>
        <w:t>在</w:t>
      </w:r>
      <w:r>
        <w:rPr>
          <w:rFonts w:hint="eastAsia" w:ascii="宋体" w:hAnsi="宋体" w:eastAsia="宋体" w:cs="宋体"/>
          <w:i w:val="0"/>
          <w:iCs w:val="0"/>
          <w:color w:val="auto"/>
          <w:sz w:val="24"/>
          <w:szCs w:val="24"/>
          <w:highlight w:val="none"/>
        </w:rPr>
        <w:t>政</w:t>
      </w:r>
      <w:r>
        <w:rPr>
          <w:rFonts w:hint="eastAsia" w:ascii="宋体" w:hAnsi="宋体" w:eastAsia="宋体" w:cs="宋体"/>
          <w:i w:val="0"/>
          <w:iCs w:val="0"/>
          <w:color w:val="auto"/>
          <w:sz w:val="24"/>
          <w:szCs w:val="24"/>
          <w:highlight w:val="none"/>
          <w:lang w:val="en-US" w:eastAsia="zh-CN"/>
        </w:rPr>
        <w:t>采</w:t>
      </w:r>
      <w:r>
        <w:rPr>
          <w:rFonts w:hint="eastAsia" w:ascii="宋体" w:hAnsi="宋体" w:eastAsia="宋体" w:cs="宋体"/>
          <w:i w:val="0"/>
          <w:iCs w:val="0"/>
          <w:color w:val="auto"/>
          <w:sz w:val="24"/>
          <w:szCs w:val="24"/>
          <w:highlight w:val="none"/>
          <w:lang w:val="en-US"/>
        </w:rPr>
        <w:t>云</w:t>
      </w:r>
      <w:r>
        <w:rPr>
          <w:rFonts w:hint="eastAsia" w:ascii="宋体" w:hAnsi="宋体" w:eastAsia="宋体" w:cs="宋体"/>
          <w:i w:val="0"/>
          <w:iCs w:val="0"/>
          <w:color w:val="auto"/>
          <w:sz w:val="24"/>
          <w:szCs w:val="24"/>
          <w:highlight w:val="none"/>
        </w:rPr>
        <w:t>平台</w:t>
      </w:r>
      <w:r>
        <w:rPr>
          <w:rFonts w:hint="eastAsia" w:ascii="宋体" w:hAnsi="宋体" w:eastAsia="宋体" w:cs="宋体"/>
          <w:i w:val="0"/>
          <w:iCs w:val="0"/>
          <w:color w:val="auto"/>
          <w:sz w:val="24"/>
          <w:szCs w:val="24"/>
          <w:highlight w:val="none"/>
          <w:lang w:val="en-US" w:eastAsia="zh-CN"/>
        </w:rPr>
        <w:t>上</w:t>
      </w:r>
      <w:r>
        <w:rPr>
          <w:rFonts w:hint="eastAsia" w:ascii="宋体" w:hAnsi="宋体" w:eastAsia="宋体" w:cs="宋体"/>
          <w:i w:val="0"/>
          <w:iCs w:val="0"/>
          <w:color w:val="auto"/>
          <w:sz w:val="24"/>
          <w:szCs w:val="24"/>
          <w:highlight w:val="none"/>
        </w:rPr>
        <w:t>注册</w:t>
      </w:r>
      <w:r>
        <w:rPr>
          <w:rFonts w:hint="eastAsia" w:ascii="宋体" w:hAnsi="宋体" w:eastAsia="宋体" w:cs="宋体"/>
          <w:i w:val="0"/>
          <w:iCs w:val="0"/>
          <w:color w:val="auto"/>
          <w:sz w:val="24"/>
          <w:szCs w:val="24"/>
          <w:highlight w:val="none"/>
          <w:lang w:val="en-US" w:eastAsia="zh-CN"/>
        </w:rPr>
        <w:t>供应商账号</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编制电子响应文件前还需申领CA证书并绑定帐号。供应商应充分考虑完成平台注册、申领CA证书等所需的时间。潜在供应商领取文件须提前完成注册、CA证书和电子签章申领和绑定、下载投标客户端。因未办理CA数字证书、CA证书故障、操作不当等原因造成无法磋商或磋商失败等后果由供应商自行承担。</w:t>
      </w:r>
    </w:p>
    <w:p w14:paraId="33C62886">
      <w:pPr>
        <w:pStyle w:val="39"/>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10.2 供应商将</w:t>
      </w:r>
      <w:r>
        <w:rPr>
          <w:rFonts w:hint="eastAsia" w:cs="宋体"/>
          <w:i w:val="0"/>
          <w:iCs w:val="0"/>
          <w:color w:val="auto"/>
          <w:sz w:val="24"/>
          <w:szCs w:val="24"/>
          <w:highlight w:val="none"/>
          <w:lang w:val="en-US" w:eastAsia="zh-CN"/>
        </w:rPr>
        <w:t>新疆政府采购</w:t>
      </w:r>
      <w:r>
        <w:rPr>
          <w:rFonts w:hint="eastAsia" w:ascii="宋体" w:hAnsi="宋体" w:eastAsia="宋体" w:cs="宋体"/>
          <w:i w:val="0"/>
          <w:iCs w:val="0"/>
          <w:color w:val="auto"/>
          <w:sz w:val="24"/>
          <w:szCs w:val="24"/>
          <w:highlight w:val="none"/>
          <w:lang w:val="en-US" w:eastAsia="zh-CN"/>
        </w:rPr>
        <w:t>电子交易云平台电子交易客户端下载、安装完成后，可通过账号密码或CA登录客户端进行响应文件制作。在使用政采云投标客户端时，建议使用WIN7及以上操作系统。供应商登录</w:t>
      </w:r>
      <w:r>
        <w:rPr>
          <w:rFonts w:hint="eastAsia" w:cs="宋体"/>
          <w:i w:val="0"/>
          <w:iCs w:val="0"/>
          <w:color w:val="auto"/>
          <w:sz w:val="24"/>
          <w:szCs w:val="24"/>
          <w:highlight w:val="none"/>
          <w:lang w:val="en-US" w:eastAsia="zh-CN"/>
        </w:rPr>
        <w:t>新疆政府采购</w:t>
      </w:r>
      <w:r>
        <w:rPr>
          <w:rFonts w:hint="eastAsia" w:ascii="宋体" w:hAnsi="宋体" w:eastAsia="宋体" w:cs="宋体"/>
          <w:i w:val="0"/>
          <w:iCs w:val="0"/>
          <w:color w:val="auto"/>
          <w:sz w:val="24"/>
          <w:szCs w:val="24"/>
          <w:highlight w:val="none"/>
          <w:lang w:val="en-US" w:eastAsia="zh-CN"/>
        </w:rPr>
        <w:t>网“下载专区”—“电子招投标客户端下载”下载相关客户端，如有问题可拨打政采云客户服务热线95763进行咨询。</w:t>
      </w:r>
    </w:p>
    <w:p w14:paraId="2CA2FABA">
      <w:pPr>
        <w:pStyle w:val="39"/>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10.3 加密的电子响应文件应在响应文件递交截止时间前通过政采云平台上传完成。逾期上传或者未上传指定地点的响应文件，不予受理。</w:t>
      </w:r>
    </w:p>
    <w:p w14:paraId="39E9086D">
      <w:pPr>
        <w:pStyle w:val="39"/>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10.4 供应商在磋商前须提前配置好电脑及浏览器，磋商时请使用制作加密电子响应文件的CA锁进行解密及报价确认。本项目响应文件解密时间详“供应商须知前附表”，如因自身原因导致无法正常解密，后果由供应商自行承担。</w:t>
      </w:r>
    </w:p>
    <w:p w14:paraId="214F6514">
      <w:pPr>
        <w:pStyle w:val="39"/>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10.5 如遇“</w:t>
      </w:r>
      <w:r>
        <w:rPr>
          <w:rFonts w:hint="eastAsia" w:cs="宋体"/>
          <w:i w:val="0"/>
          <w:iCs w:val="0"/>
          <w:color w:val="auto"/>
          <w:sz w:val="24"/>
          <w:szCs w:val="24"/>
          <w:highlight w:val="none"/>
          <w:lang w:val="en-US" w:eastAsia="zh-CN"/>
        </w:rPr>
        <w:t>新疆政府采购</w:t>
      </w:r>
      <w:r>
        <w:rPr>
          <w:rFonts w:hint="eastAsia" w:ascii="宋体" w:hAnsi="宋体" w:eastAsia="宋体" w:cs="宋体"/>
          <w:i w:val="0"/>
          <w:iCs w:val="0"/>
          <w:color w:val="auto"/>
          <w:sz w:val="24"/>
          <w:szCs w:val="24"/>
          <w:highlight w:val="none"/>
          <w:lang w:val="en-US" w:eastAsia="zh-CN"/>
        </w:rPr>
        <w:t>电子交易云平台（网址：https://www.zcygov.cn/）”电子交易规则调整，以最新要求为准。</w:t>
      </w:r>
    </w:p>
    <w:p w14:paraId="46323BD5">
      <w:pPr>
        <w:pStyle w:val="39"/>
        <w:keepNext w:val="0"/>
        <w:keepLines w:val="0"/>
        <w:pageBreakBefore w:val="0"/>
        <w:widowControl w:val="0"/>
        <w:kinsoku/>
        <w:overflowPunct/>
        <w:topLinePunct w:val="0"/>
        <w:bidi w:val="0"/>
        <w:ind w:firstLine="48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10.6 电子交易系统咨询：供应商应当充分考虑到电子响应可能会发生的各种问题和风险，特别是响应文件签署、提交等问题，可按照“第一章 竞争性磋商公告”的联系方式咨询相关人员。</w:t>
      </w:r>
    </w:p>
    <w:p w14:paraId="06DEE05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10.7 由于本项目采用电子磋商方式，潜在供应商的名单将在递交响应文件截止时间后才会解密。因此，采购人或采购代理机构无法通过传统的传真或邮件方式，将竞争性磋商文件的澄清或修改内容逐一通知到每位已获取竞争性磋商文件的潜在供应商。为确保信息的及时性和准确性，澄清或修改的内容将仅在政采云平台以更正公告的形式发布。潜在供应商需密切关注该网站，及时查看并下载相关更正公告。若因潜在供应商未能及时查看或下载相关更正公告，而导致的一切后果，将由潜在供应商自行承担。</w:t>
      </w:r>
    </w:p>
    <w:p w14:paraId="7A306C00">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85" w:name="_Toc26264"/>
      <w:bookmarkStart w:id="186" w:name="_Toc5898"/>
      <w:bookmarkStart w:id="187" w:name="_Toc2746"/>
      <w:bookmarkStart w:id="188" w:name="_Toc163492834"/>
      <w:bookmarkStart w:id="189" w:name="_Toc28416"/>
      <w:r>
        <w:rPr>
          <w:rFonts w:hint="eastAsia" w:ascii="宋体" w:hAnsi="宋体" w:eastAsia="宋体" w:cs="宋体"/>
          <w:b/>
          <w:bCs/>
          <w:color w:val="auto"/>
          <w:kern w:val="2"/>
          <w:sz w:val="24"/>
          <w:szCs w:val="24"/>
          <w:highlight w:val="none"/>
          <w:lang w:val="en-US" w:eastAsia="zh-CN" w:bidi="ar-SA"/>
        </w:rPr>
        <w:t>（二）招标文件</w:t>
      </w:r>
      <w:bookmarkEnd w:id="184"/>
      <w:bookmarkEnd w:id="185"/>
      <w:bookmarkEnd w:id="186"/>
      <w:bookmarkEnd w:id="187"/>
      <w:bookmarkEnd w:id="188"/>
      <w:bookmarkEnd w:id="189"/>
    </w:p>
    <w:p w14:paraId="08A2C6A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90" w:name="_Toc21231"/>
      <w:bookmarkStart w:id="191" w:name="_Toc140132768"/>
      <w:bookmarkStart w:id="192" w:name="_Toc8199"/>
      <w:bookmarkStart w:id="193" w:name="_Toc20534"/>
      <w:bookmarkStart w:id="194" w:name="_Toc163492835"/>
      <w:bookmarkStart w:id="195" w:name="_Toc24748"/>
      <w:r>
        <w:rPr>
          <w:rFonts w:hint="eastAsia" w:ascii="宋体" w:hAnsi="宋体" w:eastAsia="宋体" w:cs="宋体"/>
          <w:b/>
          <w:bCs/>
          <w:color w:val="auto"/>
          <w:kern w:val="2"/>
          <w:sz w:val="24"/>
          <w:szCs w:val="24"/>
          <w:highlight w:val="none"/>
          <w:lang w:val="en-US" w:eastAsia="zh-CN" w:bidi="ar-SA"/>
        </w:rPr>
        <w:t>11.招标文件的组成</w:t>
      </w:r>
      <w:bookmarkEnd w:id="190"/>
      <w:bookmarkEnd w:id="191"/>
      <w:bookmarkEnd w:id="192"/>
      <w:bookmarkEnd w:id="193"/>
      <w:bookmarkEnd w:id="194"/>
      <w:bookmarkEnd w:id="195"/>
    </w:p>
    <w:p w14:paraId="0FCCC62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.1本招标文件包括下列文件及根据本章第9款、第1</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款对招标文件所作的澄清或者修改。</w:t>
      </w:r>
    </w:p>
    <w:p w14:paraId="5876B8A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第一章 </w:t>
      </w:r>
      <w:r>
        <w:rPr>
          <w:rFonts w:hint="eastAsia" w:ascii="宋体" w:hAnsi="宋体" w:eastAsia="宋体" w:cs="宋体"/>
          <w:color w:val="auto"/>
          <w:sz w:val="24"/>
          <w:szCs w:val="24"/>
          <w:highlight w:val="none"/>
          <w:lang w:val="en-US" w:eastAsia="zh-CN"/>
        </w:rPr>
        <w:t>招标公告</w:t>
      </w:r>
    </w:p>
    <w:p w14:paraId="626801D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第二章 投标人须知</w:t>
      </w:r>
    </w:p>
    <w:p w14:paraId="5E339F1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第三章 采购需求</w:t>
      </w:r>
    </w:p>
    <w:p w14:paraId="750A6D4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第四章 资格审查</w:t>
      </w:r>
    </w:p>
    <w:p w14:paraId="08BF935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第五章 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3F57501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第六章 合同草案</w:t>
      </w:r>
    </w:p>
    <w:p w14:paraId="5855AFA7">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第七章 投标文件的格式</w:t>
      </w:r>
    </w:p>
    <w:p w14:paraId="78CADEE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196" w:name="_Toc23241"/>
      <w:bookmarkStart w:id="197" w:name="_Toc163492836"/>
      <w:bookmarkStart w:id="198" w:name="_Toc140132769"/>
      <w:bookmarkStart w:id="199" w:name="_Toc23749"/>
      <w:bookmarkStart w:id="200" w:name="_Toc19359"/>
      <w:bookmarkStart w:id="201" w:name="_Toc1043"/>
      <w:r>
        <w:rPr>
          <w:rFonts w:hint="eastAsia" w:ascii="宋体" w:hAnsi="宋体" w:eastAsia="宋体" w:cs="宋体"/>
          <w:b/>
          <w:bCs/>
          <w:color w:val="auto"/>
          <w:kern w:val="2"/>
          <w:sz w:val="24"/>
          <w:szCs w:val="24"/>
          <w:highlight w:val="none"/>
          <w:lang w:val="en-US" w:eastAsia="zh-CN" w:bidi="ar-SA"/>
        </w:rPr>
        <w:t>12.招标文件的询问、澄清或者修改</w:t>
      </w:r>
      <w:bookmarkEnd w:id="196"/>
      <w:bookmarkEnd w:id="197"/>
      <w:bookmarkEnd w:id="198"/>
      <w:bookmarkEnd w:id="199"/>
      <w:bookmarkEnd w:id="200"/>
      <w:bookmarkEnd w:id="201"/>
    </w:p>
    <w:p w14:paraId="2E6BAA48">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w:t>
      </w:r>
      <w:r>
        <w:rPr>
          <w:rFonts w:eastAsia="宋体" w:cs="仿宋_GB2312"/>
          <w:color w:val="auto"/>
          <w:sz w:val="24"/>
          <w:szCs w:val="24"/>
          <w:highlight w:val="none"/>
        </w:rPr>
        <w:t>投标人如对招标文件内容有疑问，须在投标人须知前附表规定的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投标人提出的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时对招标文件进行澄清与修改。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s="仿宋_GB2312"/>
          <w:color w:val="auto"/>
          <w:sz w:val="24"/>
          <w:szCs w:val="24"/>
          <w:highlight w:val="none"/>
          <w:lang w:val="en-US" w:eastAsia="zh-CN"/>
        </w:rPr>
        <w:t>新疆政府采购云平台</w:t>
      </w:r>
      <w:r>
        <w:rPr>
          <w:rFonts w:hint="eastAsia" w:eastAsia="宋体" w:cs="仿宋_GB2312"/>
          <w:color w:val="auto"/>
          <w:sz w:val="24"/>
          <w:szCs w:val="24"/>
          <w:highlight w:val="none"/>
        </w:rPr>
        <w:t>以发布更正公告的方式澄清或修改招标文件，更正公告的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为招标文件</w:t>
      </w:r>
      <w:r>
        <w:rPr>
          <w:rFonts w:hint="eastAsia" w:eastAsia="宋体" w:cs="仿宋_GB2312"/>
          <w:color w:val="auto"/>
          <w:sz w:val="24"/>
          <w:szCs w:val="24"/>
          <w:highlight w:val="none"/>
        </w:rPr>
        <w:t>的</w:t>
      </w:r>
      <w:r>
        <w:rPr>
          <w:rFonts w:eastAsia="宋体" w:cs="仿宋_GB2312"/>
          <w:color w:val="auto"/>
          <w:sz w:val="24"/>
          <w:szCs w:val="24"/>
          <w:highlight w:val="none"/>
        </w:rPr>
        <w:t>组成部分，对投标人起约束作用</w:t>
      </w:r>
      <w:r>
        <w:rPr>
          <w:rFonts w:hint="eastAsia" w:eastAsia="宋体" w:cs="仿宋_GB2312"/>
          <w:color w:val="auto"/>
          <w:sz w:val="24"/>
          <w:szCs w:val="24"/>
          <w:highlight w:val="none"/>
        </w:rPr>
        <w:t>。投标人应主动上网查询。采购代理机构不承担投标人未及时关注相关信息引发的相关责任。</w:t>
      </w:r>
    </w:p>
    <w:p w14:paraId="14950506">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招标文件的澄清或者修改的内容可能影响投标文件编制的，采购人或者采购代理机构应当在投标截止时间至少15日前，以书面形式通知所有获取招标文件的潜在投标人；不足15日的，采购人或者采购代理机构应当顺延提交投标文件的截止时间。</w:t>
      </w:r>
    </w:p>
    <w:p w14:paraId="593F433F">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投标人提供的任何书面或口头资料，未经采购代理机构在网上发布或书面通知，均作无效处理，不得作为招标文件的组成部分。采购代理机构对投标人由此而做出的推论、理解和结论概不负责。</w:t>
      </w:r>
    </w:p>
    <w:p w14:paraId="715B866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项目投标的</w:t>
      </w:r>
      <w:r>
        <w:rPr>
          <w:rFonts w:hint="eastAsia" w:eastAsia="宋体" w:cs="仿宋_GB2312"/>
          <w:color w:val="auto"/>
          <w:sz w:val="24"/>
          <w:szCs w:val="24"/>
          <w:highlight w:val="none"/>
        </w:rPr>
        <w:t>投标人</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w:t>
      </w:r>
      <w:r>
        <w:rPr>
          <w:rFonts w:eastAsia="宋体" w:cs="仿宋_GB2312"/>
          <w:color w:val="auto"/>
          <w:sz w:val="24"/>
          <w:szCs w:val="24"/>
          <w:highlight w:val="none"/>
        </w:rPr>
        <w:t>招标文件（含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4C471A46">
      <w:pPr>
        <w:pStyle w:val="39"/>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投标人须知”所称“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17849B2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当招标文件的澄清、修改及其他答复等就同一内容的表述不一致时，以最后发布的内容为准。</w:t>
      </w:r>
    </w:p>
    <w:p w14:paraId="578320B0">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02" w:name="_Toc20861"/>
      <w:bookmarkStart w:id="203" w:name="_Toc21031"/>
      <w:bookmarkStart w:id="204" w:name="_Toc28118"/>
      <w:bookmarkStart w:id="205" w:name="_Toc155185872"/>
      <w:bookmarkStart w:id="206" w:name="_Toc163492837"/>
      <w:bookmarkStart w:id="207" w:name="_Toc10238"/>
      <w:r>
        <w:rPr>
          <w:rFonts w:hint="eastAsia" w:ascii="宋体" w:hAnsi="宋体" w:eastAsia="宋体" w:cs="宋体"/>
          <w:b/>
          <w:bCs/>
          <w:color w:val="auto"/>
          <w:kern w:val="2"/>
          <w:sz w:val="24"/>
          <w:szCs w:val="24"/>
          <w:highlight w:val="none"/>
          <w:lang w:val="en-US" w:eastAsia="zh-CN" w:bidi="ar-SA"/>
        </w:rPr>
        <w:t>（三）投标文件</w:t>
      </w:r>
      <w:bookmarkEnd w:id="202"/>
      <w:bookmarkEnd w:id="203"/>
      <w:bookmarkEnd w:id="204"/>
      <w:bookmarkEnd w:id="205"/>
      <w:bookmarkEnd w:id="206"/>
      <w:bookmarkEnd w:id="207"/>
    </w:p>
    <w:p w14:paraId="67D7EC6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08" w:name="_Toc31491"/>
      <w:bookmarkStart w:id="209" w:name="_Toc10645"/>
      <w:bookmarkStart w:id="210" w:name="_Toc163492838"/>
      <w:bookmarkStart w:id="211" w:name="_Toc16394"/>
      <w:bookmarkStart w:id="212" w:name="_Toc25559"/>
      <w:r>
        <w:rPr>
          <w:rFonts w:hint="eastAsia" w:ascii="宋体" w:hAnsi="宋体" w:eastAsia="宋体" w:cs="宋体"/>
          <w:b/>
          <w:bCs/>
          <w:color w:val="auto"/>
          <w:kern w:val="2"/>
          <w:sz w:val="24"/>
          <w:szCs w:val="24"/>
          <w:highlight w:val="none"/>
          <w:lang w:val="en-US" w:eastAsia="zh-CN" w:bidi="ar-SA"/>
        </w:rPr>
        <w:t>13.投标文件的组成</w:t>
      </w:r>
      <w:bookmarkEnd w:id="208"/>
      <w:bookmarkEnd w:id="209"/>
      <w:bookmarkEnd w:id="210"/>
      <w:bookmarkEnd w:id="211"/>
      <w:bookmarkEnd w:id="212"/>
    </w:p>
    <w:p w14:paraId="174A0A3D">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bookmarkStart w:id="213" w:name="_Toc163492839"/>
      <w:bookmarkStart w:id="214" w:name="_Toc140132772"/>
      <w:r>
        <w:rPr>
          <w:rFonts w:hint="eastAsia" w:ascii="宋体" w:hAnsi="宋体" w:eastAsia="宋体" w:cs="宋体"/>
          <w:color w:val="auto"/>
          <w:kern w:val="2"/>
          <w:sz w:val="24"/>
          <w:szCs w:val="24"/>
          <w:highlight w:val="none"/>
          <w:lang w:val="en-US" w:eastAsia="zh-CN"/>
        </w:rPr>
        <w:t>13</w:t>
      </w:r>
      <w:r>
        <w:rPr>
          <w:rFonts w:hint="eastAsia" w:ascii="宋体" w:hAnsi="宋体" w:eastAsia="宋体" w:cs="宋体"/>
          <w:color w:val="auto"/>
          <w:kern w:val="2"/>
          <w:sz w:val="24"/>
          <w:szCs w:val="24"/>
          <w:highlight w:val="none"/>
        </w:rPr>
        <w:t>.1投标人应完整地按招标文件提供的投标文件格式及要求编写投标文件，具体内容详见</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 xml:space="preserve">第七章 </w:t>
      </w:r>
      <w:r>
        <w:rPr>
          <w:rFonts w:hint="eastAsia" w:ascii="宋体" w:hAnsi="宋体" w:eastAsia="宋体" w:cs="宋体"/>
          <w:color w:val="auto"/>
          <w:kern w:val="2"/>
          <w:sz w:val="24"/>
          <w:szCs w:val="24"/>
          <w:highlight w:val="none"/>
        </w:rPr>
        <w:t>投标文件格式</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的相关内容。</w:t>
      </w:r>
    </w:p>
    <w:p w14:paraId="3BB3A0B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13.2</w:t>
      </w:r>
      <w:r>
        <w:rPr>
          <w:rFonts w:hint="eastAsia" w:ascii="宋体" w:hAnsi="宋体" w:eastAsia="宋体" w:cs="宋体"/>
          <w:color w:val="auto"/>
          <w:kern w:val="2"/>
          <w:sz w:val="24"/>
          <w:szCs w:val="24"/>
          <w:highlight w:val="none"/>
        </w:rPr>
        <w:t>投标人应提交招标文件要求的证明文件，证明其投标内容符合招标文件规定</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该证明文件是投标文件的一部分</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证明文件</w:t>
      </w:r>
      <w:r>
        <w:rPr>
          <w:rFonts w:hint="eastAsia" w:ascii="宋体" w:hAnsi="宋体" w:eastAsia="宋体" w:cs="宋体"/>
          <w:color w:val="auto"/>
          <w:kern w:val="2"/>
          <w:sz w:val="24"/>
          <w:szCs w:val="24"/>
          <w:highlight w:val="none"/>
          <w:lang w:val="en-US" w:eastAsia="zh-CN"/>
        </w:rPr>
        <w:t>形式</w:t>
      </w:r>
      <w:r>
        <w:rPr>
          <w:rFonts w:hint="eastAsia" w:ascii="宋体" w:hAnsi="宋体" w:eastAsia="宋体" w:cs="宋体"/>
          <w:color w:val="auto"/>
          <w:kern w:val="2"/>
          <w:sz w:val="24"/>
          <w:szCs w:val="24"/>
          <w:highlight w:val="none"/>
        </w:rPr>
        <w:t>可以是文字资料、图纸和数据</w:t>
      </w:r>
      <w:bookmarkStart w:id="215" w:name="_Hlk11703583"/>
      <w:r>
        <w:rPr>
          <w:rFonts w:hint="eastAsia" w:ascii="宋体" w:hAnsi="宋体" w:eastAsia="宋体" w:cs="宋体"/>
          <w:color w:val="auto"/>
          <w:kern w:val="2"/>
          <w:sz w:val="24"/>
          <w:szCs w:val="24"/>
          <w:highlight w:val="none"/>
          <w:lang w:val="en-US" w:eastAsia="zh-CN"/>
        </w:rPr>
        <w:t>等。</w:t>
      </w:r>
    </w:p>
    <w:bookmarkEnd w:id="215"/>
    <w:p w14:paraId="781BBAE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13.3</w:t>
      </w:r>
      <w:r>
        <w:rPr>
          <w:rFonts w:hint="eastAsia" w:ascii="宋体" w:hAnsi="宋体" w:eastAsia="宋体" w:cs="宋体"/>
          <w:color w:val="auto"/>
          <w:kern w:val="2"/>
          <w:sz w:val="24"/>
          <w:szCs w:val="24"/>
          <w:highlight w:val="none"/>
        </w:rPr>
        <w:t>为保证公平公正，除非</w:t>
      </w:r>
      <w:r>
        <w:rPr>
          <w:rFonts w:hint="eastAsia" w:ascii="宋体" w:hAnsi="宋体" w:eastAsia="宋体" w:cs="宋体"/>
          <w:color w:val="auto"/>
          <w:kern w:val="2"/>
          <w:sz w:val="24"/>
          <w:szCs w:val="24"/>
          <w:highlight w:val="none"/>
          <w:lang w:val="en-US" w:eastAsia="zh-CN"/>
        </w:rPr>
        <w:t>本招标文件</w:t>
      </w:r>
      <w:r>
        <w:rPr>
          <w:rFonts w:hint="eastAsia" w:ascii="宋体" w:hAnsi="宋体" w:eastAsia="宋体" w:cs="宋体"/>
          <w:color w:val="auto"/>
          <w:kern w:val="2"/>
          <w:sz w:val="24"/>
          <w:szCs w:val="24"/>
          <w:highlight w:val="none"/>
        </w:rPr>
        <w:t>另有规定或说明，投标人对同一项目投标时，不得同时提供备选投标方案。</w:t>
      </w:r>
    </w:p>
    <w:p w14:paraId="2DB5A9E4">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16" w:name="_Toc24665"/>
      <w:bookmarkStart w:id="217" w:name="_Toc27765"/>
      <w:bookmarkStart w:id="218" w:name="_Toc12829"/>
      <w:bookmarkStart w:id="219" w:name="_Toc31381"/>
      <w:r>
        <w:rPr>
          <w:rFonts w:hint="eastAsia" w:ascii="宋体" w:hAnsi="宋体" w:eastAsia="宋体" w:cs="宋体"/>
          <w:b/>
          <w:bCs/>
          <w:color w:val="auto"/>
          <w:kern w:val="2"/>
          <w:sz w:val="24"/>
          <w:szCs w:val="24"/>
          <w:highlight w:val="none"/>
          <w:lang w:val="en-US" w:eastAsia="zh-CN" w:bidi="ar-SA"/>
        </w:rPr>
        <w:t>14.投标报价</w:t>
      </w:r>
      <w:bookmarkEnd w:id="213"/>
      <w:bookmarkEnd w:id="214"/>
      <w:bookmarkEnd w:id="216"/>
      <w:bookmarkEnd w:id="217"/>
      <w:bookmarkEnd w:id="218"/>
      <w:bookmarkEnd w:id="219"/>
    </w:p>
    <w:p w14:paraId="3BD2CDC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snapToGrid w:val="0"/>
          <w:color w:val="auto"/>
          <w:sz w:val="24"/>
          <w:szCs w:val="24"/>
          <w:highlight w:val="none"/>
          <w:lang w:val="zh-CN"/>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rPr>
        <w:t xml:space="preserve">.1 </w:t>
      </w:r>
      <w:r>
        <w:rPr>
          <w:rFonts w:hint="eastAsia" w:ascii="宋体" w:hAnsi="宋体" w:eastAsia="宋体" w:cs="宋体"/>
          <w:snapToGrid w:val="0"/>
          <w:color w:val="auto"/>
          <w:sz w:val="24"/>
          <w:szCs w:val="24"/>
          <w:highlight w:val="none"/>
          <w:lang w:val="zh-CN"/>
        </w:rPr>
        <w:t>投标人的报价均应以人民币进行报价。</w:t>
      </w:r>
    </w:p>
    <w:p w14:paraId="6CC0054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1</w:t>
      </w:r>
      <w:r>
        <w:rPr>
          <w:rFonts w:hint="eastAsia" w:ascii="宋体" w:hAnsi="宋体" w:eastAsia="宋体" w:cs="宋体"/>
          <w:snapToGrid w:val="0"/>
          <w:color w:val="auto"/>
          <w:sz w:val="24"/>
          <w:szCs w:val="24"/>
          <w:highlight w:val="none"/>
          <w:lang w:val="en-US" w:eastAsia="zh-CN"/>
        </w:rPr>
        <w:t>4</w:t>
      </w:r>
      <w:r>
        <w:rPr>
          <w:rFonts w:hint="eastAsia" w:ascii="宋体" w:hAnsi="宋体" w:eastAsia="宋体" w:cs="宋体"/>
          <w:snapToGrid w:val="0"/>
          <w:color w:val="auto"/>
          <w:sz w:val="24"/>
          <w:szCs w:val="24"/>
          <w:highlight w:val="none"/>
        </w:rPr>
        <w:t>.2 投标人应按照本招标文件规定的报价方式进行报价，投标报价中不得包含招标文件要求以外的内容，否则，在评标时不予核减。投标报价中也不得遗漏招标文件所要求的内容，否则其</w:t>
      </w:r>
      <w:r>
        <w:rPr>
          <w:rFonts w:hint="eastAsia" w:ascii="宋体" w:hAnsi="宋体" w:eastAsia="宋体" w:cs="宋体"/>
          <w:b/>
          <w:bCs/>
          <w:snapToGrid w:val="0"/>
          <w:color w:val="auto"/>
          <w:sz w:val="24"/>
          <w:szCs w:val="24"/>
          <w:highlight w:val="none"/>
        </w:rPr>
        <w:t>投标无效</w:t>
      </w:r>
      <w:r>
        <w:rPr>
          <w:rFonts w:hint="eastAsia" w:ascii="宋体" w:hAnsi="宋体" w:eastAsia="宋体" w:cs="宋体"/>
          <w:snapToGrid w:val="0"/>
          <w:color w:val="auto"/>
          <w:sz w:val="24"/>
          <w:szCs w:val="24"/>
          <w:highlight w:val="none"/>
        </w:rPr>
        <w:t>。</w:t>
      </w:r>
    </w:p>
    <w:p w14:paraId="1197AD09">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snapToGrid w:val="0"/>
          <w:color w:val="auto"/>
          <w:sz w:val="24"/>
          <w:szCs w:val="24"/>
          <w:highlight w:val="none"/>
        </w:rPr>
      </w:pPr>
      <w:r>
        <w:rPr>
          <w:rFonts w:hint="eastAsia" w:ascii="宋体" w:hAnsi="宋体" w:eastAsia="宋体" w:cs="宋体"/>
          <w:color w:val="auto"/>
          <w:kern w:val="2"/>
          <w:sz w:val="24"/>
          <w:szCs w:val="24"/>
          <w:highlight w:val="none"/>
          <w:lang w:val="en-US" w:eastAsia="zh-CN"/>
        </w:rPr>
        <w:t>14.3</w:t>
      </w:r>
      <w:r>
        <w:rPr>
          <w:rFonts w:hint="eastAsia" w:ascii="宋体" w:hAnsi="宋体" w:eastAsia="宋体" w:cs="宋体"/>
          <w:snapToGrid w:val="0"/>
          <w:color w:val="auto"/>
          <w:sz w:val="24"/>
          <w:szCs w:val="24"/>
          <w:highlight w:val="none"/>
          <w:lang w:val="en-US" w:eastAsia="zh-CN"/>
        </w:rPr>
        <w:t>投标人的报价应包括为完成本项目所发生的一切费用和税费，采购人将不再支付报价以外的任何费用。只要投报了一个确定数额的总价，无论分项价格是否全部填报了相应的金额或免费字样，</w:t>
      </w:r>
      <w:r>
        <w:rPr>
          <w:rFonts w:hint="eastAsia" w:cs="宋体"/>
          <w:snapToGrid w:val="0"/>
          <w:color w:val="auto"/>
          <w:sz w:val="24"/>
          <w:szCs w:val="24"/>
          <w:highlight w:val="none"/>
          <w:lang w:val="en-US" w:eastAsia="zh-CN"/>
        </w:rPr>
        <w:t>该</w:t>
      </w:r>
      <w:r>
        <w:rPr>
          <w:rFonts w:hint="eastAsia" w:ascii="宋体" w:hAnsi="宋体" w:eastAsia="宋体" w:cs="宋体"/>
          <w:snapToGrid w:val="0"/>
          <w:color w:val="auto"/>
          <w:sz w:val="24"/>
          <w:szCs w:val="24"/>
          <w:highlight w:val="none"/>
          <w:lang w:val="en-US" w:eastAsia="zh-CN"/>
        </w:rPr>
        <w:t>报价应被视为已包含但不限于本次招标全部采购需求所应提供的服务，以及伴随的货物和工程等的费用和所需缴纳的所有价格、税、费。在其他情况下，由于分项报价填报不完整、不清楚或存在其他任何失误，所导致的任何不利后果均应当由投标人自行承担</w:t>
      </w:r>
      <w:r>
        <w:rPr>
          <w:rFonts w:hint="eastAsia" w:ascii="宋体" w:hAnsi="宋体" w:eastAsia="宋体" w:cs="宋体"/>
          <w:snapToGrid w:val="0"/>
          <w:color w:val="auto"/>
          <w:sz w:val="24"/>
          <w:szCs w:val="24"/>
          <w:highlight w:val="none"/>
        </w:rPr>
        <w:t>。</w:t>
      </w:r>
    </w:p>
    <w:p w14:paraId="29AAB874">
      <w:pPr>
        <w:pStyle w:val="1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14.4投标人的报价应包括但不限于按照招标文件要求完成本项目的全部相关费用。</w:t>
      </w:r>
    </w:p>
    <w:p w14:paraId="049AF5FA">
      <w:pPr>
        <w:ind w:firstLine="480" w:firstLineChars="200"/>
        <w:rPr>
          <w:rFonts w:hint="eastAsia" w:ascii="宋体" w:hAnsi="宋体" w:eastAsia="宋体" w:cs="宋体"/>
          <w:snapToGrid w:val="0"/>
          <w:color w:val="auto"/>
          <w:sz w:val="24"/>
          <w:szCs w:val="24"/>
          <w:highlight w:val="none"/>
          <w:lang w:val="zh-CN"/>
        </w:rPr>
      </w:pPr>
      <w:r>
        <w:rPr>
          <w:rFonts w:hint="eastAsia" w:ascii="宋体" w:hAnsi="宋体" w:eastAsia="宋体" w:cs="宋体"/>
          <w:color w:val="auto"/>
          <w:kern w:val="2"/>
          <w:sz w:val="24"/>
          <w:szCs w:val="24"/>
          <w:highlight w:val="none"/>
          <w:lang w:val="en-US" w:eastAsia="zh-CN" w:bidi="ar-SA"/>
        </w:rPr>
        <w:t>14.5 投标人须严格按照分项报价表规定的内容填写服务单价以及其他事项。</w:t>
      </w:r>
      <w:r>
        <w:rPr>
          <w:rFonts w:hint="eastAsia" w:ascii="宋体" w:hAnsi="宋体" w:eastAsia="宋体" w:cs="宋体"/>
          <w:snapToGrid w:val="0"/>
          <w:color w:val="auto"/>
          <w:sz w:val="24"/>
          <w:szCs w:val="24"/>
          <w:highlight w:val="none"/>
          <w:lang w:val="zh-CN"/>
        </w:rPr>
        <w:t>投标人应根据本招标文件的规定和要求、市场价格水平及其走势、投标人的管理水平、投标人的方案和由这些因素决定的投标人之于本项目的成本水平等提出自己的报价。报价应合理，并包含完成本招标文件采购需求全部内容的所有费用，所有根据本招标文件或其它原因应由投标人支付的税款和其他应交纳的费用都应包括在投标人提交的投标报价中。</w:t>
      </w:r>
    </w:p>
    <w:p w14:paraId="058EFD12">
      <w:pPr>
        <w:ind w:firstLine="480" w:firstLineChars="20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14.6 投标人在投标文件中注明免费的项目将视为包含在投标报价中。</w:t>
      </w:r>
    </w:p>
    <w:p w14:paraId="6DF8B2FA">
      <w:pPr>
        <w:pStyle w:val="10"/>
        <w:rPr>
          <w:rFonts w:hint="eastAsia" w:ascii="宋体" w:hAnsi="宋体" w:eastAsia="宋体" w:cs="宋体"/>
          <w:color w:val="auto"/>
          <w:sz w:val="24"/>
          <w:szCs w:val="24"/>
          <w:highlight w:val="none"/>
        </w:rPr>
      </w:pPr>
      <w:r>
        <w:rPr>
          <w:rFonts w:hint="eastAsia" w:ascii="宋体" w:hAnsi="宋体" w:eastAsia="宋体" w:cs="宋体"/>
          <w:color w:val="auto"/>
          <w:kern w:val="2"/>
          <w:sz w:val="24"/>
          <w:szCs w:val="24"/>
          <w:highlight w:val="none"/>
          <w:lang w:val="en-US" w:eastAsia="zh-CN" w:bidi="ar-SA"/>
        </w:rPr>
        <w:t>14.7 每一种采购内容只允许</w:t>
      </w:r>
      <w:r>
        <w:rPr>
          <w:rFonts w:hint="eastAsia" w:ascii="宋体" w:hAnsi="宋体" w:eastAsia="宋体" w:cs="宋体"/>
          <w:snapToGrid w:val="0"/>
          <w:color w:val="auto"/>
          <w:sz w:val="24"/>
          <w:szCs w:val="24"/>
          <w:highlight w:val="none"/>
        </w:rPr>
        <w:t>有一个报价，否则其</w:t>
      </w:r>
      <w:r>
        <w:rPr>
          <w:rFonts w:hint="eastAsia" w:ascii="宋体" w:hAnsi="宋体" w:eastAsia="宋体" w:cs="宋体"/>
          <w:b/>
          <w:bCs/>
          <w:snapToGrid w:val="0"/>
          <w:color w:val="auto"/>
          <w:sz w:val="24"/>
          <w:szCs w:val="24"/>
          <w:highlight w:val="none"/>
        </w:rPr>
        <w:t>投标无效</w:t>
      </w:r>
      <w:r>
        <w:rPr>
          <w:rFonts w:hint="eastAsia" w:ascii="宋体" w:hAnsi="宋体" w:eastAsia="宋体" w:cs="宋体"/>
          <w:snapToGrid w:val="0"/>
          <w:color w:val="auto"/>
          <w:sz w:val="24"/>
          <w:szCs w:val="24"/>
          <w:highlight w:val="none"/>
        </w:rPr>
        <w:t>。</w:t>
      </w:r>
      <w:r>
        <w:rPr>
          <w:rFonts w:hint="eastAsia" w:ascii="宋体" w:hAnsi="宋体" w:eastAsia="宋体" w:cs="宋体"/>
          <w:color w:val="auto"/>
          <w:kern w:val="2"/>
          <w:sz w:val="24"/>
          <w:szCs w:val="24"/>
          <w:highlight w:val="none"/>
        </w:rPr>
        <w:t>除非招标文件另有规定，不接受可选择或可调整的投标方案和报价，任何有选择的或可调整的投标方案和报价将被视为非</w:t>
      </w:r>
      <w:r>
        <w:rPr>
          <w:rFonts w:hint="eastAsia" w:ascii="宋体" w:hAnsi="宋体" w:eastAsia="宋体" w:cs="宋体"/>
          <w:color w:val="auto"/>
          <w:kern w:val="2"/>
          <w:sz w:val="24"/>
          <w:szCs w:val="24"/>
          <w:highlight w:val="none"/>
          <w:lang w:val="en-US" w:eastAsia="zh-CN"/>
        </w:rPr>
        <w:t>实质性</w:t>
      </w:r>
      <w:r>
        <w:rPr>
          <w:rFonts w:hint="eastAsia" w:ascii="宋体" w:hAnsi="宋体" w:eastAsia="宋体" w:cs="宋体"/>
          <w:color w:val="auto"/>
          <w:kern w:val="2"/>
          <w:sz w:val="24"/>
          <w:szCs w:val="24"/>
          <w:highlight w:val="none"/>
        </w:rPr>
        <w:t>响应</w:t>
      </w:r>
      <w:r>
        <w:rPr>
          <w:rFonts w:hint="eastAsia" w:ascii="宋体" w:hAnsi="宋体" w:eastAsia="宋体" w:cs="宋体"/>
          <w:color w:val="auto"/>
          <w:kern w:val="2"/>
          <w:sz w:val="24"/>
          <w:szCs w:val="24"/>
          <w:highlight w:val="none"/>
          <w:lang w:val="en-US" w:eastAsia="zh-CN"/>
        </w:rPr>
        <w:t>招标文件,其</w:t>
      </w:r>
      <w:r>
        <w:rPr>
          <w:rFonts w:hint="eastAsia" w:ascii="宋体" w:hAnsi="宋体" w:eastAsia="宋体" w:cs="宋体"/>
          <w:b/>
          <w:bCs/>
          <w:color w:val="auto"/>
          <w:kern w:val="2"/>
          <w:sz w:val="24"/>
          <w:szCs w:val="24"/>
          <w:highlight w:val="none"/>
          <w:lang w:eastAsia="zh-CN"/>
        </w:rPr>
        <w:t>投标无效</w:t>
      </w:r>
      <w:r>
        <w:rPr>
          <w:rFonts w:hint="eastAsia" w:ascii="宋体" w:hAnsi="宋体" w:eastAsia="宋体" w:cs="宋体"/>
          <w:color w:val="auto"/>
          <w:kern w:val="2"/>
          <w:sz w:val="24"/>
          <w:szCs w:val="24"/>
          <w:highlight w:val="none"/>
        </w:rPr>
        <w:t>。</w:t>
      </w:r>
    </w:p>
    <w:p w14:paraId="192E0BF0">
      <w:pPr>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8 </w:t>
      </w:r>
      <w:r>
        <w:rPr>
          <w:rFonts w:hint="eastAsia" w:ascii="宋体" w:hAnsi="宋体" w:eastAsia="宋体" w:cs="宋体"/>
          <w:color w:val="auto"/>
          <w:sz w:val="24"/>
          <w:szCs w:val="24"/>
          <w:highlight w:val="none"/>
        </w:rPr>
        <w:t>投标报价不得超过“</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”中规定的最高投标限价</w:t>
      </w:r>
      <w:r>
        <w:rPr>
          <w:rFonts w:hint="eastAsia" w:ascii="宋体" w:hAnsi="宋体" w:eastAsia="宋体" w:cs="宋体"/>
          <w:color w:val="auto"/>
          <w:sz w:val="24"/>
          <w:szCs w:val="24"/>
          <w:highlight w:val="none"/>
          <w:lang w:val="en-US" w:eastAsia="zh-CN"/>
        </w:rPr>
        <w:t>或者预算金额</w:t>
      </w:r>
      <w:r>
        <w:rPr>
          <w:rFonts w:hint="eastAsia" w:ascii="宋体" w:hAnsi="宋体" w:eastAsia="宋体" w:cs="宋体"/>
          <w:color w:val="auto"/>
          <w:sz w:val="24"/>
          <w:szCs w:val="24"/>
          <w:highlight w:val="none"/>
        </w:rPr>
        <w:t>，否则评标委员会将</w:t>
      </w:r>
      <w:r>
        <w:rPr>
          <w:rFonts w:hint="eastAsia" w:ascii="宋体" w:hAnsi="宋体" w:eastAsia="宋体" w:cs="宋体"/>
          <w:b w:val="0"/>
          <w:bCs w:val="0"/>
          <w:color w:val="auto"/>
          <w:sz w:val="24"/>
          <w:szCs w:val="24"/>
          <w:highlight w:val="none"/>
          <w:lang w:val="en-US" w:eastAsia="zh-CN"/>
        </w:rPr>
        <w:t>对</w:t>
      </w:r>
      <w:r>
        <w:rPr>
          <w:rFonts w:hint="eastAsia" w:ascii="宋体" w:hAnsi="宋体" w:eastAsia="宋体" w:cs="宋体"/>
          <w:b w:val="0"/>
          <w:bCs w:val="0"/>
          <w:color w:val="auto"/>
          <w:sz w:val="24"/>
          <w:szCs w:val="24"/>
          <w:highlight w:val="none"/>
        </w:rPr>
        <w:t>其</w:t>
      </w:r>
      <w:r>
        <w:rPr>
          <w:rFonts w:hint="eastAsia" w:ascii="宋体" w:hAnsi="宋体" w:eastAsia="宋体" w:cs="宋体"/>
          <w:b w:val="0"/>
          <w:bCs w:val="0"/>
          <w:color w:val="auto"/>
          <w:sz w:val="24"/>
          <w:szCs w:val="24"/>
          <w:highlight w:val="none"/>
          <w:lang w:val="en-US" w:eastAsia="zh-CN"/>
        </w:rPr>
        <w:t>作</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处理</w:t>
      </w:r>
      <w:r>
        <w:rPr>
          <w:rFonts w:hint="eastAsia" w:ascii="宋体" w:hAnsi="宋体" w:eastAsia="宋体" w:cs="宋体"/>
          <w:color w:val="auto"/>
          <w:sz w:val="24"/>
          <w:szCs w:val="24"/>
          <w:highlight w:val="none"/>
        </w:rPr>
        <w:t>。</w:t>
      </w:r>
    </w:p>
    <w:p w14:paraId="1DC40C77">
      <w:pPr>
        <w:pStyle w:val="56"/>
        <w:pageBreakBefore w:val="0"/>
        <w:shd w:val="clear" w:color="auto" w:fill="auto"/>
        <w:kinsoku/>
        <w:wordWrap/>
        <w:overflowPunct/>
        <w:topLinePunct w:val="0"/>
        <w:bidi w:val="0"/>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9 </w:t>
      </w:r>
      <w:r>
        <w:rPr>
          <w:rFonts w:hint="eastAsia" w:ascii="宋体" w:hAnsi="宋体" w:eastAsia="宋体" w:cs="宋体"/>
          <w:color w:val="auto"/>
          <w:kern w:val="2"/>
          <w:sz w:val="24"/>
          <w:szCs w:val="24"/>
          <w:highlight w:val="none"/>
        </w:rPr>
        <w:t>投标人对投标报价若有说明应在投标文件中显著处注明。</w:t>
      </w:r>
    </w:p>
    <w:p w14:paraId="69F7C97A">
      <w:pPr>
        <w:pStyle w:val="56"/>
        <w:pageBreakBefore w:val="0"/>
        <w:shd w:val="clear" w:color="auto" w:fill="auto"/>
        <w:kinsoku/>
        <w:wordWrap/>
        <w:overflowPunct/>
        <w:topLinePunct w:val="0"/>
        <w:bidi w:val="0"/>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除政策性文件规定以外，投标人所报价格在合同实施期间不因市场变化因素而变动。</w:t>
      </w:r>
    </w:p>
    <w:p w14:paraId="3D2E52CC">
      <w:pPr>
        <w:pStyle w:val="56"/>
        <w:pageBreakBefore w:val="0"/>
        <w:shd w:val="clear" w:color="auto" w:fill="auto"/>
        <w:kinsoku/>
        <w:wordWrap/>
        <w:overflowPunct/>
        <w:topLinePunct w:val="0"/>
        <w:bidi w:val="0"/>
        <w:spacing w:line="360" w:lineRule="auto"/>
        <w:ind w:firstLine="480" w:firstLineChars="200"/>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rPr>
        <w:t>1</w:t>
      </w:r>
      <w:r>
        <w:rPr>
          <w:rFonts w:hint="eastAsia" w:ascii="宋体" w:hAnsi="宋体" w:eastAsia="宋体" w:cs="宋体"/>
          <w:color w:val="auto"/>
          <w:kern w:val="2"/>
          <w:sz w:val="24"/>
          <w:szCs w:val="24"/>
          <w:highlight w:val="none"/>
          <w:lang w:val="en-US" w:eastAsia="zh-CN"/>
        </w:rPr>
        <w:t>4</w:t>
      </w:r>
      <w:r>
        <w:rPr>
          <w:rFonts w:hint="eastAsia" w:ascii="宋体" w:hAnsi="宋体" w:eastAsia="宋体" w:cs="宋体"/>
          <w:color w:val="auto"/>
          <w:kern w:val="2"/>
          <w:sz w:val="24"/>
          <w:szCs w:val="24"/>
          <w:highlight w:val="none"/>
        </w:rPr>
        <w:t>.</w:t>
      </w:r>
      <w:r>
        <w:rPr>
          <w:rFonts w:hint="eastAsia" w:ascii="宋体" w:hAnsi="宋体" w:eastAsia="宋体" w:cs="宋体"/>
          <w:color w:val="auto"/>
          <w:kern w:val="2"/>
          <w:sz w:val="24"/>
          <w:szCs w:val="24"/>
          <w:highlight w:val="none"/>
          <w:lang w:val="en-US" w:eastAsia="zh-CN"/>
        </w:rPr>
        <w:t xml:space="preserve">10 </w:t>
      </w:r>
      <w:r>
        <w:rPr>
          <w:rFonts w:hint="eastAsia" w:ascii="宋体" w:hAnsi="宋体" w:eastAsia="宋体" w:cs="宋体"/>
          <w:color w:val="auto"/>
          <w:kern w:val="2"/>
          <w:sz w:val="24"/>
          <w:szCs w:val="24"/>
          <w:highlight w:val="none"/>
        </w:rPr>
        <w:t>最低报价不能作为中标的保证。</w:t>
      </w:r>
    </w:p>
    <w:p w14:paraId="4F55CD6E">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14.11</w:t>
      </w:r>
      <w:r>
        <w:rPr>
          <w:rFonts w:hint="eastAsia" w:ascii="宋体" w:hAnsi="宋体" w:eastAsia="宋体" w:cs="宋体"/>
          <w:color w:val="auto"/>
          <w:kern w:val="0"/>
          <w:sz w:val="24"/>
          <w:szCs w:val="24"/>
          <w:highlight w:val="none"/>
          <w:lang w:val="en-US" w:eastAsia="zh-CN" w:bidi="ar"/>
        </w:rPr>
        <w:t>采购人不得向投标人索要或者接受其给予的赠品、回扣或者与采购无关的其他商品、服务。</w:t>
      </w:r>
    </w:p>
    <w:p w14:paraId="691BBD0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20" w:name="_Toc163492840"/>
      <w:bookmarkStart w:id="221" w:name="_Toc9162"/>
      <w:bookmarkStart w:id="222" w:name="_Toc32205"/>
      <w:bookmarkStart w:id="223" w:name="_Toc24048"/>
      <w:bookmarkStart w:id="224" w:name="_Toc140132773"/>
      <w:bookmarkStart w:id="225" w:name="_Toc24520"/>
      <w:r>
        <w:rPr>
          <w:rFonts w:hint="eastAsia" w:ascii="宋体" w:hAnsi="宋体" w:eastAsia="宋体" w:cs="宋体"/>
          <w:b/>
          <w:bCs/>
          <w:color w:val="auto"/>
          <w:kern w:val="2"/>
          <w:sz w:val="24"/>
          <w:szCs w:val="24"/>
          <w:highlight w:val="none"/>
          <w:lang w:val="en-US" w:eastAsia="zh-CN" w:bidi="ar-SA"/>
        </w:rPr>
        <w:t>15.投标有效期</w:t>
      </w:r>
      <w:bookmarkEnd w:id="220"/>
      <w:bookmarkEnd w:id="221"/>
      <w:bookmarkEnd w:id="222"/>
      <w:bookmarkEnd w:id="223"/>
      <w:bookmarkEnd w:id="224"/>
      <w:bookmarkEnd w:id="225"/>
    </w:p>
    <w:p w14:paraId="13B2B164">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 xml:space="preserve">.1 </w:t>
      </w:r>
      <w:r>
        <w:rPr>
          <w:rFonts w:hint="eastAsia" w:ascii="宋体" w:hAnsi="宋体" w:eastAsia="宋体" w:cs="宋体"/>
          <w:color w:val="auto"/>
          <w:kern w:val="0"/>
          <w:sz w:val="24"/>
          <w:szCs w:val="24"/>
          <w:highlight w:val="none"/>
          <w:lang w:val="en"/>
        </w:rPr>
        <w:t>投标有效期</w:t>
      </w:r>
      <w:r>
        <w:rPr>
          <w:rFonts w:hint="eastAsia" w:ascii="宋体" w:hAnsi="宋体" w:eastAsia="宋体" w:cs="宋体"/>
          <w:color w:val="auto"/>
          <w:sz w:val="24"/>
          <w:szCs w:val="24"/>
          <w:highlight w:val="none"/>
        </w:rPr>
        <w:t>见“</w:t>
      </w:r>
      <w:r>
        <w:rPr>
          <w:rFonts w:hint="eastAsia" w:ascii="宋体" w:hAnsi="宋体" w:eastAsia="宋体" w:cs="宋体"/>
          <w:color w:val="auto"/>
          <w:sz w:val="24"/>
          <w:szCs w:val="24"/>
          <w:highlight w:val="none"/>
          <w:lang w:val="en-US" w:eastAsia="zh-CN"/>
        </w:rPr>
        <w:t xml:space="preserve">第二章 </w:t>
      </w:r>
      <w:r>
        <w:rPr>
          <w:rFonts w:hint="eastAsia" w:ascii="宋体" w:hAnsi="宋体" w:eastAsia="宋体" w:cs="宋体"/>
          <w:color w:val="auto"/>
          <w:sz w:val="24"/>
          <w:szCs w:val="24"/>
          <w:highlight w:val="none"/>
        </w:rPr>
        <w:t>投标人须知前附表”，投标人承诺的投标有效期</w:t>
      </w:r>
      <w:r>
        <w:rPr>
          <w:rFonts w:hint="eastAsia" w:ascii="宋体" w:hAnsi="宋体" w:eastAsia="宋体" w:cs="宋体"/>
          <w:snapToGrid w:val="0"/>
          <w:color w:val="auto"/>
          <w:sz w:val="24"/>
          <w:szCs w:val="24"/>
          <w:highlight w:val="none"/>
          <w:lang w:val="zh-CN" w:eastAsia="zh-CN"/>
        </w:rPr>
        <w:t>少于</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val="zh-CN" w:eastAsia="zh-CN"/>
        </w:rPr>
        <w:t>文件规定期限的，其</w:t>
      </w:r>
      <w:r>
        <w:rPr>
          <w:rFonts w:hint="eastAsia" w:ascii="宋体" w:hAnsi="宋体" w:eastAsia="宋体" w:cs="宋体"/>
          <w:b/>
          <w:bCs/>
          <w:snapToGrid w:val="0"/>
          <w:color w:val="auto"/>
          <w:sz w:val="24"/>
          <w:szCs w:val="24"/>
          <w:highlight w:val="none"/>
          <w:lang w:val="en-US" w:eastAsia="zh-CN"/>
        </w:rPr>
        <w:t>投标</w:t>
      </w:r>
      <w:r>
        <w:rPr>
          <w:rFonts w:hint="eastAsia" w:ascii="宋体" w:hAnsi="宋体" w:eastAsia="宋体" w:cs="宋体"/>
          <w:b/>
          <w:bCs/>
          <w:snapToGrid w:val="0"/>
          <w:color w:val="auto"/>
          <w:sz w:val="24"/>
          <w:szCs w:val="24"/>
          <w:highlight w:val="none"/>
          <w:lang w:val="zh-CN" w:eastAsia="zh-CN"/>
        </w:rPr>
        <w:t>无效</w:t>
      </w:r>
      <w:r>
        <w:rPr>
          <w:rFonts w:hint="eastAsia" w:ascii="宋体" w:hAnsi="宋体" w:eastAsia="宋体" w:cs="宋体"/>
          <w:snapToGrid w:val="0"/>
          <w:color w:val="auto"/>
          <w:sz w:val="24"/>
          <w:szCs w:val="24"/>
          <w:highlight w:val="none"/>
          <w:lang w:val="zh-CN" w:eastAsia="zh-CN"/>
        </w:rPr>
        <w:t>。</w:t>
      </w:r>
    </w:p>
    <w:p w14:paraId="6D112F8D">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15.2 投标有效期从提交投标文件的截止之日起算。投标文件中承诺的投标有效期应当不少于招标文件中载明的投标有效期。投标有效期内投标人撤销投标文件的，采购人或者采购代理机构可以不退还投标保证金。</w:t>
      </w:r>
    </w:p>
    <w:p w14:paraId="4457FE8E">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特殊情况下，在原投标文件有效期截止之前，采购代理机构或采购人可要求投标人延长投标有效期。需要延长投标有效期时，采购代理机构或采购人将以书面形式通知所有投标人，投标人应以书面形式答复是否同意延长投标有效期。</w:t>
      </w:r>
    </w:p>
    <w:p w14:paraId="2EF7720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投标人同意延长的，</w:t>
      </w:r>
      <w:r>
        <w:rPr>
          <w:rFonts w:hint="eastAsia" w:ascii="宋体" w:hAnsi="宋体" w:eastAsia="宋体" w:cs="宋体"/>
          <w:color w:val="auto"/>
          <w:kern w:val="2"/>
          <w:sz w:val="24"/>
          <w:szCs w:val="24"/>
          <w:highlight w:val="none"/>
          <w:lang w:val="en-US" w:eastAsia="zh-CN"/>
        </w:rPr>
        <w:t>其</w:t>
      </w:r>
      <w:r>
        <w:rPr>
          <w:rFonts w:hint="eastAsia" w:ascii="宋体" w:hAnsi="宋体" w:eastAsia="宋体" w:cs="宋体"/>
          <w:color w:val="auto"/>
          <w:kern w:val="2"/>
          <w:sz w:val="24"/>
          <w:szCs w:val="24"/>
          <w:highlight w:val="none"/>
        </w:rPr>
        <w:t>投标保证金的有效期也相应延长</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lang w:val="en-US" w:eastAsia="zh-CN"/>
        </w:rPr>
        <w:t>但</w:t>
      </w:r>
      <w:r>
        <w:rPr>
          <w:rFonts w:hint="eastAsia" w:ascii="宋体" w:hAnsi="宋体" w:eastAsia="宋体" w:cs="宋体"/>
          <w:color w:val="auto"/>
          <w:sz w:val="24"/>
          <w:szCs w:val="24"/>
          <w:highlight w:val="none"/>
        </w:rPr>
        <w:t>不得要求或被允许修改或撤销其投标文件；</w:t>
      </w:r>
      <w:r>
        <w:rPr>
          <w:rFonts w:hint="eastAsia" w:ascii="宋体" w:hAnsi="宋体" w:eastAsia="宋体" w:cs="宋体"/>
          <w:color w:val="auto"/>
          <w:sz w:val="24"/>
          <w:szCs w:val="24"/>
          <w:highlight w:val="none"/>
          <w:lang w:val="en-US" w:eastAsia="zh-CN"/>
        </w:rPr>
        <w:t>投标人</w:t>
      </w:r>
      <w:r>
        <w:rPr>
          <w:rFonts w:hint="eastAsia" w:ascii="宋体" w:hAnsi="宋体" w:eastAsia="宋体" w:cs="宋体"/>
          <w:color w:val="auto"/>
          <w:sz w:val="24"/>
          <w:szCs w:val="24"/>
          <w:highlight w:val="none"/>
        </w:rPr>
        <w:t>拒绝延长的，其投标文件在原投标有效期满后将不再有效</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但其提交的投标保证金可予以退还</w:t>
      </w:r>
      <w:r>
        <w:rPr>
          <w:rFonts w:hint="eastAsia" w:ascii="宋体" w:hAnsi="宋体" w:eastAsia="宋体" w:cs="宋体"/>
          <w:color w:val="auto"/>
          <w:sz w:val="24"/>
          <w:szCs w:val="24"/>
          <w:highlight w:val="none"/>
        </w:rPr>
        <w:t>。</w:t>
      </w:r>
    </w:p>
    <w:p w14:paraId="51F7C8D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26" w:name="_Toc21362"/>
      <w:bookmarkStart w:id="227" w:name="_Toc19276"/>
      <w:bookmarkStart w:id="228" w:name="_Toc163492841"/>
      <w:bookmarkStart w:id="229" w:name="_Toc9620"/>
      <w:bookmarkStart w:id="230" w:name="_Toc17887"/>
      <w:bookmarkStart w:id="231" w:name="_Toc140132774"/>
      <w:r>
        <w:rPr>
          <w:rFonts w:hint="eastAsia" w:ascii="宋体" w:hAnsi="宋体" w:eastAsia="宋体" w:cs="宋体"/>
          <w:b/>
          <w:bCs/>
          <w:color w:val="auto"/>
          <w:kern w:val="2"/>
          <w:sz w:val="24"/>
          <w:szCs w:val="24"/>
          <w:highlight w:val="none"/>
          <w:lang w:val="en-US" w:eastAsia="zh-CN" w:bidi="ar-SA"/>
        </w:rPr>
        <w:t>16.投标文件的编制</w:t>
      </w:r>
      <w:bookmarkEnd w:id="226"/>
      <w:bookmarkEnd w:id="227"/>
      <w:bookmarkEnd w:id="228"/>
      <w:bookmarkEnd w:id="229"/>
      <w:bookmarkEnd w:id="230"/>
      <w:bookmarkEnd w:id="231"/>
    </w:p>
    <w:p w14:paraId="523C51E8">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.1投标文件应在</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rPr>
        <w:t>客户端中进行编制，在投标文件中要求加盖印章的，除有特殊说明之外，</w:t>
      </w:r>
      <w:r>
        <w:rPr>
          <w:rFonts w:hint="eastAsia" w:ascii="宋体" w:hAnsi="宋体" w:eastAsia="宋体" w:cs="宋体"/>
          <w:color w:val="auto"/>
          <w:sz w:val="24"/>
          <w:szCs w:val="24"/>
          <w:highlight w:val="none"/>
          <w:lang w:val="en-US" w:eastAsia="zh-CN"/>
        </w:rPr>
        <w:t>可</w:t>
      </w:r>
      <w:r>
        <w:rPr>
          <w:rFonts w:hint="eastAsia" w:ascii="宋体" w:hAnsi="宋体" w:eastAsia="宋体" w:cs="宋体"/>
          <w:color w:val="auto"/>
          <w:sz w:val="24"/>
          <w:szCs w:val="24"/>
          <w:highlight w:val="none"/>
        </w:rPr>
        <w:t>使用电子签章签署。</w:t>
      </w:r>
    </w:p>
    <w:p w14:paraId="540601F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bookmarkStart w:id="232" w:name="_Hlk143528557"/>
      <w:r>
        <w:rPr>
          <w:rFonts w:hint="eastAsia" w:ascii="宋体" w:hAnsi="宋体" w:eastAsia="宋体" w:cs="宋体"/>
          <w:color w:val="auto"/>
          <w:sz w:val="24"/>
          <w:szCs w:val="24"/>
          <w:highlight w:val="none"/>
        </w:rPr>
        <w:t>2投标人在</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rPr>
        <w:t>客户端中按照</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rPr>
        <w:t>客户端中的格式要求填写响应内容后，生成投标文件。投标人须按照招标文件的要求使用电子签章对要求加盖印章的部分逐一进行签章。</w:t>
      </w:r>
      <w:bookmarkEnd w:id="232"/>
    </w:p>
    <w:p w14:paraId="1A7BD12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投标人应详细阅读招标文件的全部内容。投标文件须对招标文件中的内容作出实质性和完整的响应，如果投标文件填报的内容不详，或没有提供招标文件中所要求的全部资料及数据，将可能</w:t>
      </w:r>
      <w:r>
        <w:rPr>
          <w:rFonts w:hint="eastAsia" w:ascii="宋体" w:hAnsi="宋体" w:eastAsia="宋体" w:cs="宋体"/>
          <w:b/>
          <w:bCs/>
          <w:color w:val="auto"/>
          <w:sz w:val="24"/>
          <w:szCs w:val="24"/>
          <w:highlight w:val="none"/>
        </w:rPr>
        <w:t>导致</w:t>
      </w:r>
      <w:r>
        <w:rPr>
          <w:rFonts w:hint="eastAsia" w:ascii="宋体" w:hAnsi="宋体" w:eastAsia="宋体" w:cs="宋体"/>
          <w:b/>
          <w:bCs/>
          <w:color w:val="auto"/>
          <w:sz w:val="24"/>
          <w:szCs w:val="24"/>
          <w:highlight w:val="none"/>
          <w:lang w:val="en-US" w:eastAsia="zh-CN"/>
        </w:rPr>
        <w:t>其</w:t>
      </w:r>
      <w:r>
        <w:rPr>
          <w:rFonts w:hint="eastAsia" w:ascii="宋体" w:hAnsi="宋体" w:eastAsia="宋体" w:cs="宋体"/>
          <w:b/>
          <w:bCs/>
          <w:color w:val="auto"/>
          <w:sz w:val="24"/>
          <w:szCs w:val="24"/>
          <w:highlight w:val="none"/>
        </w:rPr>
        <w:t>投标</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rPr>
        <w:t>。</w:t>
      </w:r>
    </w:p>
    <w:p w14:paraId="7A6BB4B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投标文件须严格按照</w:t>
      </w:r>
      <w:r>
        <w:rPr>
          <w:rFonts w:hint="eastAsia" w:ascii="宋体" w:hAnsi="宋体" w:eastAsia="宋体" w:cs="宋体"/>
          <w:color w:val="auto"/>
          <w:sz w:val="24"/>
          <w:szCs w:val="24"/>
          <w:highlight w:val="none"/>
          <w:lang w:val="en-US" w:eastAsia="zh-CN"/>
        </w:rPr>
        <w:t>本</w:t>
      </w:r>
      <w:r>
        <w:rPr>
          <w:rFonts w:hint="eastAsia" w:ascii="宋体" w:hAnsi="宋体" w:eastAsia="宋体" w:cs="宋体"/>
          <w:color w:val="auto"/>
          <w:sz w:val="24"/>
          <w:szCs w:val="24"/>
          <w:highlight w:val="none"/>
        </w:rPr>
        <w:t>招标文件第</w:t>
      </w:r>
      <w:r>
        <w:rPr>
          <w:rFonts w:hint="eastAsia" w:ascii="宋体" w:hAnsi="宋体" w:eastAsia="宋体" w:cs="宋体"/>
          <w:color w:val="auto"/>
          <w:sz w:val="24"/>
          <w:szCs w:val="24"/>
          <w:highlight w:val="none"/>
          <w:lang w:val="en-US" w:eastAsia="zh-CN"/>
        </w:rPr>
        <w:t>七章</w:t>
      </w:r>
      <w:r>
        <w:rPr>
          <w:rFonts w:hint="eastAsia" w:ascii="宋体" w:hAnsi="宋体" w:eastAsia="宋体" w:cs="宋体"/>
          <w:color w:val="auto"/>
          <w:sz w:val="24"/>
          <w:szCs w:val="24"/>
          <w:highlight w:val="none"/>
        </w:rPr>
        <w:t>规定的格式提交，并按规定的统一格式逐项填写，不准有空项；无相应内容可填的项，应填写“无”、“未测试”、“没有相应指标”等明确的回答文字。由于编排混乱导致投标文件被误读或查找不到，其责任由投标人承担。</w:t>
      </w:r>
    </w:p>
    <w:p w14:paraId="4B72F25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开标一览表为在开标</w:t>
      </w:r>
      <w:r>
        <w:rPr>
          <w:rFonts w:hint="eastAsia" w:ascii="宋体" w:hAnsi="宋体" w:eastAsia="宋体" w:cs="宋体"/>
          <w:color w:val="auto"/>
          <w:sz w:val="24"/>
          <w:szCs w:val="24"/>
          <w:highlight w:val="none"/>
          <w:lang w:val="en-US" w:eastAsia="zh-CN"/>
        </w:rPr>
        <w:t>时</w:t>
      </w:r>
      <w:r>
        <w:rPr>
          <w:rFonts w:hint="eastAsia" w:ascii="宋体" w:hAnsi="宋体" w:eastAsia="宋体" w:cs="宋体"/>
          <w:color w:val="auto"/>
          <w:sz w:val="24"/>
          <w:szCs w:val="24"/>
          <w:highlight w:val="none"/>
        </w:rPr>
        <w:t>唱标的内容，要求按格式统一填写，不得自行增减内容。</w:t>
      </w:r>
    </w:p>
    <w:p w14:paraId="499D705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投标人须注意：为合理节约政府采购评审成本，提倡诚实信用的投标行为，特别要求投标人应本着诚信精神，在本次投标文件的偏离表中，均以审慎的态度明确、清楚地披露各项偏离。若投标人对某一事项是否存在或是否属于偏离不能确定，亦必须在偏离表中清楚地表明该偏离事项，并可以注明不能确定的字样。任何情况下，对于投标人没有在偏离表中明确、清楚地披露的事项，包括可能属于被投标人在偏离表中遗漏披露的事项，一旦在评审中被发现存在偏离或被认定为属于偏离，则评标委员会有权视具体情形评审时</w:t>
      </w:r>
      <w:r>
        <w:rPr>
          <w:rFonts w:hint="eastAsia" w:ascii="宋体" w:hAnsi="宋体" w:eastAsia="宋体" w:cs="宋体"/>
          <w:color w:val="auto"/>
          <w:sz w:val="24"/>
          <w:szCs w:val="24"/>
          <w:highlight w:val="none"/>
          <w:lang w:val="en-US" w:eastAsia="zh-CN"/>
        </w:rPr>
        <w:t>按</w:t>
      </w:r>
      <w:r>
        <w:rPr>
          <w:rFonts w:hint="eastAsia" w:ascii="宋体" w:hAnsi="宋体" w:eastAsia="宋体" w:cs="宋体"/>
          <w:b/>
          <w:bCs/>
          <w:color w:val="auto"/>
          <w:sz w:val="24"/>
          <w:szCs w:val="24"/>
          <w:highlight w:val="none"/>
          <w:lang w:val="en-US" w:eastAsia="zh-CN"/>
        </w:rPr>
        <w:t>无效投标</w:t>
      </w:r>
      <w:r>
        <w:rPr>
          <w:rFonts w:hint="eastAsia" w:ascii="宋体" w:hAnsi="宋体" w:eastAsia="宋体" w:cs="宋体"/>
          <w:color w:val="auto"/>
          <w:sz w:val="24"/>
          <w:szCs w:val="24"/>
          <w:highlight w:val="none"/>
        </w:rPr>
        <w:t>处理。</w:t>
      </w:r>
    </w:p>
    <w:p w14:paraId="7DBECB0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投标人必须保证投标文件所提供的全部资料真实可靠，并接受采购</w:t>
      </w:r>
      <w:r>
        <w:rPr>
          <w:rFonts w:hint="eastAsia" w:ascii="宋体" w:hAnsi="宋体" w:eastAsia="宋体" w:cs="宋体"/>
          <w:color w:val="auto"/>
          <w:sz w:val="24"/>
          <w:szCs w:val="24"/>
          <w:highlight w:val="none"/>
          <w:lang w:val="en-US" w:eastAsia="zh-CN"/>
        </w:rPr>
        <w:t>人、采购</w:t>
      </w:r>
      <w:r>
        <w:rPr>
          <w:rFonts w:hint="eastAsia" w:ascii="宋体" w:hAnsi="宋体" w:eastAsia="宋体" w:cs="宋体"/>
          <w:color w:val="auto"/>
          <w:sz w:val="24"/>
          <w:szCs w:val="24"/>
          <w:highlight w:val="none"/>
        </w:rPr>
        <w:t>代理机构或评标委员会对其中任何资料进一步审查的要求。</w:t>
      </w:r>
    </w:p>
    <w:p w14:paraId="7AE3718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投标人在投标文件及相关文件的签订、履行、通知等事项的文件中的单位盖章、印章、公章等处均指与当事人全称相一致的标准公章，不得使用其他形式（如带有“专用章”等字样的印章）。不符合本条规定的按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color w:val="auto"/>
          <w:sz w:val="24"/>
          <w:szCs w:val="24"/>
          <w:highlight w:val="none"/>
        </w:rPr>
        <w:t>无效投标</w:t>
      </w:r>
      <w:r>
        <w:rPr>
          <w:rFonts w:hint="eastAsia" w:ascii="宋体" w:hAnsi="宋体" w:eastAsia="宋体" w:cs="宋体"/>
          <w:color w:val="auto"/>
          <w:sz w:val="24"/>
          <w:szCs w:val="24"/>
          <w:highlight w:val="none"/>
        </w:rPr>
        <w:t>处理。</w:t>
      </w:r>
    </w:p>
    <w:p w14:paraId="323B93DE">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16.9电子投标文件的编制</w:t>
      </w:r>
    </w:p>
    <w:p w14:paraId="072DFFA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16.9.1电子投标文件需按招标文件要求进行制作编制。投标文件制作时，不同内容按标签提示制作导入，按照招标文件中明确的投标文件目录和格式进行编制，保证目录清晰、内容完整；           </w:t>
      </w:r>
    </w:p>
    <w:p w14:paraId="51F1928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16.9.2电子招投标文件具有法律效力，与其他形式的招投标文件在内容和格式上等同，若投标文件与招标文件要求不一致，其内容影响中标结果时，责任由投标人自行承担。投标人递交的电子投标文件因投标人自身原因而导致无法导入电子辅助评标系统，该投标文件视为无效投标文件，</w:t>
      </w:r>
      <w:r>
        <w:rPr>
          <w:rFonts w:hint="eastAsia" w:ascii="宋体" w:hAnsi="宋体" w:eastAsia="宋体" w:cs="宋体"/>
          <w:b/>
          <w:bCs/>
          <w:iCs/>
          <w:color w:val="auto"/>
          <w:kern w:val="2"/>
          <w:sz w:val="24"/>
          <w:szCs w:val="24"/>
          <w:highlight w:val="none"/>
          <w:shd w:val="clear" w:color="auto" w:fill="FFFFFF" w:themeFill="background1"/>
          <w:lang w:val="en-US" w:eastAsia="zh-CN" w:bidi="ar-SA"/>
        </w:rPr>
        <w:t>其投标无效</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6B2E6D6A">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33" w:name="_Toc10210"/>
      <w:bookmarkStart w:id="234" w:name="_Toc163492842"/>
      <w:bookmarkStart w:id="235" w:name="_Toc20042"/>
      <w:bookmarkStart w:id="236" w:name="_Toc22756"/>
      <w:bookmarkStart w:id="237" w:name="_Toc20626"/>
      <w:bookmarkStart w:id="238" w:name="_Toc155185873"/>
      <w:r>
        <w:rPr>
          <w:rFonts w:hint="eastAsia" w:ascii="宋体" w:hAnsi="宋体" w:eastAsia="宋体" w:cs="宋体"/>
          <w:b/>
          <w:bCs/>
          <w:color w:val="auto"/>
          <w:kern w:val="2"/>
          <w:sz w:val="24"/>
          <w:szCs w:val="24"/>
          <w:highlight w:val="none"/>
          <w:lang w:val="en-US" w:eastAsia="zh-CN" w:bidi="ar-SA"/>
        </w:rPr>
        <w:t>（四）投标</w:t>
      </w:r>
      <w:bookmarkEnd w:id="233"/>
      <w:bookmarkEnd w:id="234"/>
      <w:bookmarkEnd w:id="235"/>
      <w:bookmarkEnd w:id="236"/>
      <w:bookmarkEnd w:id="237"/>
      <w:bookmarkEnd w:id="238"/>
    </w:p>
    <w:p w14:paraId="386CC8E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39" w:name="_Toc28692"/>
      <w:bookmarkStart w:id="240" w:name="_Toc32654"/>
      <w:bookmarkStart w:id="241" w:name="_Toc27659"/>
      <w:bookmarkStart w:id="242" w:name="_Toc16487"/>
      <w:bookmarkStart w:id="243" w:name="_Toc163492843"/>
      <w:r>
        <w:rPr>
          <w:rFonts w:hint="eastAsia" w:ascii="宋体" w:hAnsi="宋体" w:eastAsia="宋体" w:cs="宋体"/>
          <w:b/>
          <w:bCs/>
          <w:color w:val="auto"/>
          <w:kern w:val="2"/>
          <w:sz w:val="24"/>
          <w:szCs w:val="24"/>
          <w:highlight w:val="none"/>
          <w:lang w:val="en-US" w:eastAsia="zh-CN" w:bidi="ar-SA"/>
        </w:rPr>
        <w:t>17.投标保证金</w:t>
      </w:r>
      <w:bookmarkEnd w:id="239"/>
      <w:bookmarkEnd w:id="240"/>
      <w:bookmarkEnd w:id="241"/>
      <w:bookmarkEnd w:id="242"/>
    </w:p>
    <w:p w14:paraId="1182B9B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17.1投标人应按照招标文件“第二章 投标人须知前附表”规定的金额及要求提交投标保证金。投标人自愿超额缴纳投标保证金的，投标文件不做无效处理。</w:t>
      </w:r>
    </w:p>
    <w:p w14:paraId="370C7C1E">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17.2提交投标保证金可采用的形式：政府采购法律法规接受的支票、汇票、本票、网上银行支付或者金融机构、担保机构出具的保函等非现金形式。</w:t>
      </w:r>
      <w:r>
        <w:rPr>
          <w:rFonts w:hint="eastAsia" w:ascii="宋体" w:hAnsi="宋体" w:eastAsia="宋体" w:cs="宋体"/>
          <w:color w:val="auto"/>
          <w:kern w:val="2"/>
          <w:sz w:val="24"/>
          <w:szCs w:val="24"/>
          <w:highlight w:val="none"/>
          <w:lang w:val="en-US" w:eastAsia="zh-CN" w:bidi="ar-SA"/>
        </w:rPr>
        <w:t>投标人未按照招标文件要求提交投标保证金的，其</w:t>
      </w:r>
      <w:r>
        <w:rPr>
          <w:rFonts w:hint="eastAsia" w:ascii="宋体" w:hAnsi="宋体" w:eastAsia="宋体" w:cs="宋体"/>
          <w:b/>
          <w:bCs/>
          <w:color w:val="auto"/>
          <w:kern w:val="2"/>
          <w:sz w:val="24"/>
          <w:szCs w:val="24"/>
          <w:highlight w:val="none"/>
          <w:lang w:val="en-US" w:eastAsia="zh-CN" w:bidi="ar-SA"/>
        </w:rPr>
        <w:t>投标无效</w:t>
      </w:r>
      <w:r>
        <w:rPr>
          <w:rFonts w:hint="eastAsia" w:ascii="宋体" w:hAnsi="宋体" w:eastAsia="宋体" w:cs="宋体"/>
          <w:color w:val="auto"/>
          <w:kern w:val="2"/>
          <w:sz w:val="24"/>
          <w:szCs w:val="24"/>
          <w:highlight w:val="none"/>
          <w:lang w:val="en-US" w:eastAsia="zh-CN" w:bidi="ar-SA"/>
        </w:rPr>
        <w:t>。</w:t>
      </w:r>
      <w:r>
        <w:rPr>
          <w:rFonts w:hint="eastAsia" w:ascii="宋体" w:hAnsi="宋体" w:eastAsia="宋体" w:cs="宋体"/>
          <w:color w:val="auto"/>
          <w:sz w:val="24"/>
          <w:szCs w:val="24"/>
          <w:highlight w:val="none"/>
          <w:lang w:val="en-US" w:eastAsia="zh-CN"/>
        </w:rPr>
        <w:t>投标保证金有效期同投标有效期。</w:t>
      </w:r>
    </w:p>
    <w:p w14:paraId="54BD0912">
      <w:pPr>
        <w:pStyle w:val="10"/>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kern w:val="2"/>
          <w:sz w:val="24"/>
          <w:szCs w:val="24"/>
          <w:highlight w:val="none"/>
          <w:lang w:val="en-US" w:eastAsia="zh-CN"/>
        </w:rPr>
      </w:pPr>
      <w:r>
        <w:rPr>
          <w:rFonts w:hint="eastAsia" w:ascii="宋体" w:hAnsi="宋体" w:eastAsia="宋体" w:cs="宋体"/>
          <w:color w:val="auto"/>
          <w:kern w:val="2"/>
          <w:sz w:val="24"/>
          <w:szCs w:val="24"/>
          <w:highlight w:val="none"/>
          <w:lang w:val="en-US" w:eastAsia="zh-CN"/>
        </w:rPr>
        <w:t>17.3投标保证金到账（保函提交）截止时间同投标截止时间。以支票、汇票、本票、网上银行支付等形式提交投标保证金的，应在投标截止时间前到账；以金融机构、担保机构出具的保函等形式提交投标保证金的，应在投标截止时间前将投标保证金支付原件扫描后作为投标文件的组成部分与投标文件一起上传。由于到账时间晚于投标截止时间，或者票据错误、印鉴不清等原因导致不能到账的，其</w:t>
      </w:r>
      <w:r>
        <w:rPr>
          <w:rFonts w:hint="eastAsia" w:ascii="宋体" w:hAnsi="宋体" w:eastAsia="宋体" w:cs="宋体"/>
          <w:b/>
          <w:bCs/>
          <w:color w:val="auto"/>
          <w:kern w:val="2"/>
          <w:sz w:val="24"/>
          <w:szCs w:val="24"/>
          <w:highlight w:val="none"/>
          <w:lang w:val="en-US" w:eastAsia="zh-CN"/>
        </w:rPr>
        <w:t>投标无效</w:t>
      </w:r>
      <w:r>
        <w:rPr>
          <w:rFonts w:hint="eastAsia" w:ascii="宋体" w:hAnsi="宋体" w:eastAsia="宋体" w:cs="宋体"/>
          <w:color w:val="auto"/>
          <w:kern w:val="2"/>
          <w:sz w:val="24"/>
          <w:szCs w:val="24"/>
          <w:highlight w:val="none"/>
          <w:lang w:val="en-US" w:eastAsia="zh-CN"/>
        </w:rPr>
        <w:t>。</w:t>
      </w:r>
    </w:p>
    <w:p w14:paraId="27BA1101">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17.4 投标人为联合体的，可以由联合体中的一方或者多方共同提交投标保证金，其提交的投标保证金对联合体各方均具有约束力。 </w:t>
      </w:r>
    </w:p>
    <w:p w14:paraId="45878AF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17.5采购人或者采购代理机构应当在采购活动结束后及时退还投标人的投标保证金，采用银行保函、担保机构担保函等形式递交的投标保证金，经投标人同意后采购人、采购代理机构可以不再退还，但因投标人自身原因导致无法及时退还的除外。未中标投标人的投标保证金应当自中标通知书发出之日起 5 个工作日内退还，中标投标人的投标保证金应当自采购合同签订之日起 5 个工作日内退还。 </w:t>
      </w:r>
    </w:p>
    <w:p w14:paraId="6CFB121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17.6 投标人在投标截止时间前撤回已提交的投标文件的，自收到投标人书面撤回通知之日起 5 个工作日内，退还已收取的投标保证金，但因投标人自身原因导致无法及时退还的除外。 </w:t>
      </w:r>
    </w:p>
    <w:p w14:paraId="5EB3FE3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17.7 终止招标项目已经收取投标保证金的，自终止采购活动后 5 个工作日内退还已收取的投标保证金及其在银行产生的孳息。</w:t>
      </w:r>
    </w:p>
    <w:p w14:paraId="0B6A028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17.8 有下列情形之一的，采购人或采购代理机构可以不予退还投标保证金,</w:t>
      </w:r>
      <w:r>
        <w:rPr>
          <w:rFonts w:hint="eastAsia" w:ascii="宋体" w:hAnsi="宋体" w:eastAsia="宋体" w:cs="宋体"/>
          <w:color w:val="auto"/>
          <w:kern w:val="2"/>
          <w:sz w:val="24"/>
          <w:szCs w:val="24"/>
          <w:highlight w:val="none"/>
        </w:rPr>
        <w:t>情节严重的将其列入不良记录名单</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02F7ADEB">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17.8.1 </w:t>
      </w:r>
      <w:r>
        <w:rPr>
          <w:rFonts w:hint="eastAsia" w:ascii="宋体" w:hAnsi="宋体" w:eastAsia="宋体" w:cs="宋体"/>
          <w:color w:val="auto"/>
          <w:kern w:val="2"/>
          <w:sz w:val="24"/>
          <w:szCs w:val="24"/>
          <w:highlight w:val="none"/>
        </w:rPr>
        <w:t>开标后在投标有效期内，投标人撤</w:t>
      </w:r>
      <w:r>
        <w:rPr>
          <w:rFonts w:hint="eastAsia" w:ascii="宋体" w:hAnsi="宋体" w:eastAsia="宋体" w:cs="宋体"/>
          <w:color w:val="auto"/>
          <w:kern w:val="2"/>
          <w:sz w:val="24"/>
          <w:szCs w:val="24"/>
          <w:highlight w:val="none"/>
          <w:lang w:val="en-US" w:eastAsia="zh-CN"/>
        </w:rPr>
        <w:t>销</w:t>
      </w:r>
      <w:r>
        <w:rPr>
          <w:rFonts w:hint="eastAsia" w:ascii="宋体" w:hAnsi="宋体" w:eastAsia="宋体" w:cs="宋体"/>
          <w:color w:val="auto"/>
          <w:kern w:val="2"/>
          <w:sz w:val="24"/>
          <w:szCs w:val="24"/>
          <w:highlight w:val="none"/>
        </w:rPr>
        <w:t>其投标</w:t>
      </w:r>
      <w:r>
        <w:rPr>
          <w:rFonts w:hint="eastAsia" w:ascii="宋体" w:hAnsi="宋体" w:eastAsia="宋体" w:cs="宋体"/>
          <w:color w:val="auto"/>
          <w:kern w:val="2"/>
          <w:sz w:val="24"/>
          <w:szCs w:val="24"/>
          <w:highlight w:val="none"/>
          <w:lang w:val="en-US" w:eastAsia="zh-CN"/>
        </w:rPr>
        <w:t>的</w:t>
      </w:r>
      <w:r>
        <w:rPr>
          <w:rFonts w:hint="eastAsia" w:ascii="宋体" w:hAnsi="宋体" w:eastAsia="宋体" w:cs="宋体"/>
          <w:color w:val="auto"/>
          <w:kern w:val="2"/>
          <w:sz w:val="24"/>
          <w:szCs w:val="24"/>
          <w:highlight w:val="none"/>
        </w:rPr>
        <w:t>；</w:t>
      </w: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 </w:t>
      </w:r>
    </w:p>
    <w:p w14:paraId="36FC9D7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17.8.2 </w:t>
      </w:r>
      <w:r>
        <w:rPr>
          <w:rFonts w:hint="eastAsia" w:ascii="宋体" w:hAnsi="宋体" w:eastAsia="宋体" w:cs="宋体"/>
          <w:color w:val="auto"/>
          <w:kern w:val="2"/>
          <w:sz w:val="24"/>
          <w:szCs w:val="24"/>
          <w:highlight w:val="none"/>
        </w:rPr>
        <w:t>中标后无正当理由不与采购人签订合同的；</w:t>
      </w:r>
    </w:p>
    <w:p w14:paraId="3694295C">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17.8.3 </w:t>
      </w:r>
      <w:r>
        <w:rPr>
          <w:rFonts w:hint="eastAsia" w:ascii="宋体" w:hAnsi="宋体" w:eastAsia="宋体" w:cs="宋体"/>
          <w:color w:val="auto"/>
          <w:kern w:val="2"/>
          <w:sz w:val="24"/>
          <w:szCs w:val="24"/>
          <w:highlight w:val="none"/>
        </w:rPr>
        <w:t>中标人与采购人订立背离合同实质性内容的其他协议；</w:t>
      </w:r>
    </w:p>
    <w:p w14:paraId="54583F23">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4</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将中标项目转让给他人，或者在投标文件中未说明，且未经采购</w:t>
      </w:r>
      <w:r>
        <w:rPr>
          <w:rFonts w:hint="eastAsia" w:ascii="宋体" w:hAnsi="宋体" w:eastAsia="宋体" w:cs="宋体"/>
          <w:color w:val="auto"/>
          <w:kern w:val="2"/>
          <w:sz w:val="24"/>
          <w:szCs w:val="24"/>
          <w:highlight w:val="none"/>
          <w:lang w:val="en-US" w:eastAsia="zh-CN"/>
        </w:rPr>
        <w:t>人</w:t>
      </w:r>
      <w:r>
        <w:rPr>
          <w:rFonts w:hint="eastAsia" w:ascii="宋体" w:hAnsi="宋体" w:eastAsia="宋体" w:cs="宋体"/>
          <w:color w:val="auto"/>
          <w:kern w:val="2"/>
          <w:sz w:val="24"/>
          <w:szCs w:val="24"/>
          <w:highlight w:val="none"/>
        </w:rPr>
        <w:t>同意，将中标项目分包给他人的；</w:t>
      </w:r>
    </w:p>
    <w:p w14:paraId="433DB211">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5</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存在串通投标行为的；</w:t>
      </w:r>
    </w:p>
    <w:p w14:paraId="0A3E2CC4">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6</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存在弄虚作假或提供虚假材料谋取中标的；</w:t>
      </w:r>
    </w:p>
    <w:p w14:paraId="3CBF915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iCs/>
          <w:color w:val="auto"/>
          <w:kern w:val="2"/>
          <w:sz w:val="24"/>
          <w:szCs w:val="24"/>
          <w:highlight w:val="none"/>
          <w:shd w:val="clear" w:color="auto" w:fill="FFFFFF" w:themeFill="background1"/>
          <w:lang w:val="en-US" w:eastAsia="zh-CN" w:bidi="ar-SA"/>
        </w:rPr>
        <w:t>17.8.</w:t>
      </w:r>
      <w:r>
        <w:rPr>
          <w:rFonts w:hint="eastAsia" w:ascii="宋体" w:hAnsi="宋体" w:eastAsia="宋体" w:cs="宋体"/>
          <w:color w:val="auto"/>
          <w:kern w:val="2"/>
          <w:sz w:val="24"/>
          <w:szCs w:val="24"/>
          <w:highlight w:val="none"/>
        </w:rPr>
        <w:t>7</w:t>
      </w:r>
      <w:r>
        <w:rPr>
          <w:rFonts w:hint="eastAsia" w:ascii="宋体" w:hAnsi="宋体" w:eastAsia="宋体" w:cs="宋体"/>
          <w:color w:val="auto"/>
          <w:kern w:val="2"/>
          <w:sz w:val="24"/>
          <w:szCs w:val="24"/>
          <w:highlight w:val="none"/>
          <w:lang w:val="en-US" w:eastAsia="zh-CN"/>
        </w:rPr>
        <w:t xml:space="preserve"> </w:t>
      </w:r>
      <w:r>
        <w:rPr>
          <w:rFonts w:hint="eastAsia" w:ascii="宋体" w:hAnsi="宋体" w:eastAsia="宋体" w:cs="宋体"/>
          <w:color w:val="auto"/>
          <w:kern w:val="2"/>
          <w:sz w:val="24"/>
          <w:szCs w:val="24"/>
          <w:highlight w:val="none"/>
        </w:rPr>
        <w:t>投标人其他未按招标文件规定和合同约定履行义务的行为。</w:t>
      </w:r>
    </w:p>
    <w:p w14:paraId="330E240F">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17.9如开标时投标人对本单位投标保证金缴纳情况有疑义，投标人应在开标结束前向采购人提交书面申请核实保证金缴纳情况。由银行或保险公司核实后出具书面材料予以答复。</w:t>
      </w:r>
    </w:p>
    <w:p w14:paraId="071DFFA7">
      <w:pPr>
        <w:pStyle w:val="56"/>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auto"/>
          <w:kern w:val="2"/>
          <w:sz w:val="24"/>
          <w:szCs w:val="24"/>
          <w:highlight w:val="none"/>
          <w:shd w:val="clear" w:color="auto" w:fill="FFFFFF" w:themeFill="background1"/>
          <w:lang w:val="en-US" w:eastAsia="zh-CN" w:bidi="ar-SA"/>
        </w:rPr>
      </w:pPr>
      <w:r>
        <w:rPr>
          <w:rFonts w:hint="eastAsia" w:ascii="宋体" w:hAnsi="宋体" w:eastAsia="宋体" w:cs="宋体"/>
          <w:iCs/>
          <w:color w:val="auto"/>
          <w:kern w:val="2"/>
          <w:sz w:val="24"/>
          <w:szCs w:val="24"/>
          <w:highlight w:val="none"/>
          <w:shd w:val="clear" w:color="auto" w:fill="FFFFFF" w:themeFill="background1"/>
          <w:lang w:val="en-US" w:eastAsia="zh-CN" w:bidi="ar-SA"/>
        </w:rPr>
        <w:t xml:space="preserve">17.10为支持和促进中小企业发展，进一步发挥政府采购政策功能，鼓励投标供应商使用电子保函代替现金缴纳投标保证金，在线完成保函的申请、审核、开票、出函等环节，投标企业注意区分办理保函类型，并确认投标有效期，如如采用政采云电子保函，可登录“新疆政府采购网”首页“政采贷｜电子保函”专区查看。     </w:t>
      </w:r>
    </w:p>
    <w:p w14:paraId="3586E85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44" w:name="_Toc22547"/>
      <w:bookmarkStart w:id="245" w:name="_Toc27604"/>
      <w:bookmarkStart w:id="246" w:name="_Toc11437"/>
      <w:bookmarkStart w:id="247" w:name="_Toc731"/>
      <w:r>
        <w:rPr>
          <w:rFonts w:hint="eastAsia" w:ascii="宋体" w:hAnsi="宋体" w:eastAsia="宋体" w:cs="宋体"/>
          <w:b/>
          <w:bCs/>
          <w:color w:val="auto"/>
          <w:kern w:val="2"/>
          <w:sz w:val="24"/>
          <w:szCs w:val="24"/>
          <w:highlight w:val="none"/>
          <w:lang w:val="en-US" w:eastAsia="zh-CN" w:bidi="ar-SA"/>
        </w:rPr>
        <w:t>18.投标文件的加密</w:t>
      </w:r>
      <w:bookmarkEnd w:id="243"/>
      <w:bookmarkEnd w:id="244"/>
      <w:bookmarkEnd w:id="245"/>
      <w:bookmarkEnd w:id="246"/>
      <w:bookmarkEnd w:id="247"/>
    </w:p>
    <w:p w14:paraId="7CFFC07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u w:val="single"/>
        </w:rPr>
      </w:pPr>
      <w:bookmarkStart w:id="248" w:name="_Hlk143531864"/>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.1投标人在供应商客户端中生成投标文件并完成签章之后，使用CA证书在供应商客户端中对投标文件进行加密。</w:t>
      </w:r>
    </w:p>
    <w:p w14:paraId="20075D69">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.2投标人应在供应商客户端中对加密的投标文件进行解密验证，以防止投标文件加密异常，在开标时无法解密。</w:t>
      </w:r>
    </w:p>
    <w:p w14:paraId="60E84957">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.3 投标人应保证加密投标文件的CA证书有效期在开标时间之前。若CA证书有效期临近开标时间，建议投标人提前办理CA证书续期，以免开标时无法进行解密。</w:t>
      </w:r>
    </w:p>
    <w:p w14:paraId="4D80B003">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w:t>
      </w:r>
      <w:r>
        <w:rPr>
          <w:rFonts w:hint="eastAsia" w:ascii="宋体" w:hAnsi="宋体" w:eastAsia="宋体" w:cs="宋体"/>
          <w:color w:val="auto"/>
          <w:sz w:val="24"/>
          <w:szCs w:val="24"/>
          <w:highlight w:val="none"/>
          <w:lang w:val="en-US" w:eastAsia="zh-CN"/>
        </w:rPr>
        <w:t>止</w:t>
      </w:r>
      <w:r>
        <w:rPr>
          <w:rFonts w:hint="eastAsia" w:ascii="宋体" w:hAnsi="宋体" w:eastAsia="宋体" w:cs="宋体"/>
          <w:color w:val="auto"/>
          <w:sz w:val="24"/>
          <w:szCs w:val="24"/>
          <w:highlight w:val="none"/>
        </w:rPr>
        <w:t>时间前通过</w:t>
      </w:r>
      <w:r>
        <w:rPr>
          <w:rFonts w:hint="eastAsia" w:ascii="宋体" w:hAnsi="宋体" w:eastAsia="宋体" w:cs="宋体"/>
          <w:color w:val="auto"/>
          <w:sz w:val="24"/>
          <w:szCs w:val="24"/>
          <w:highlight w:val="none"/>
          <w:lang w:val="en-US" w:eastAsia="zh-CN"/>
        </w:rPr>
        <w:t>新疆政府采购网（http://www.ccgp-xinjiang.gov.cn/）</w:t>
      </w:r>
      <w:r>
        <w:rPr>
          <w:rFonts w:hint="eastAsia" w:ascii="宋体" w:hAnsi="宋体" w:eastAsia="宋体" w:cs="宋体"/>
          <w:color w:val="auto"/>
          <w:sz w:val="24"/>
          <w:szCs w:val="24"/>
          <w:highlight w:val="none"/>
        </w:rPr>
        <w:t>的”政采云登录入口”登录后，将加密电子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（为.jmbs后缀格式）上传到对应项目的指定位置</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投标人认为有必要提交的其他资料请于投标截止时间前一并提交。</w:t>
      </w:r>
    </w:p>
    <w:p w14:paraId="7FD09881">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如果投标人未按上述要求</w:t>
      </w:r>
      <w:r>
        <w:rPr>
          <w:rFonts w:hint="eastAsia" w:ascii="宋体" w:hAnsi="宋体" w:eastAsia="宋体" w:cs="宋体"/>
          <w:color w:val="auto"/>
          <w:sz w:val="24"/>
          <w:szCs w:val="24"/>
          <w:highlight w:val="none"/>
          <w:lang w:val="en-US" w:eastAsia="zh-CN"/>
        </w:rPr>
        <w:t>加密并上传</w:t>
      </w:r>
      <w:r>
        <w:rPr>
          <w:rFonts w:hint="eastAsia" w:ascii="宋体" w:hAnsi="宋体" w:eastAsia="宋体" w:cs="宋体"/>
          <w:color w:val="auto"/>
          <w:sz w:val="24"/>
          <w:szCs w:val="24"/>
          <w:highlight w:val="none"/>
        </w:rPr>
        <w:t>，采购代理机构对投标文件的误投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无法解密、传输错误等问题</w:t>
      </w:r>
      <w:r>
        <w:rPr>
          <w:rFonts w:hint="eastAsia" w:ascii="宋体" w:hAnsi="宋体" w:eastAsia="宋体" w:cs="宋体"/>
          <w:color w:val="auto"/>
          <w:sz w:val="24"/>
          <w:szCs w:val="24"/>
          <w:highlight w:val="none"/>
        </w:rPr>
        <w:t>概不负责。对由此造成</w:t>
      </w:r>
      <w:r>
        <w:rPr>
          <w:rFonts w:hint="eastAsia" w:ascii="宋体" w:hAnsi="宋体" w:eastAsia="宋体" w:cs="宋体"/>
          <w:color w:val="auto"/>
          <w:sz w:val="24"/>
          <w:szCs w:val="24"/>
          <w:highlight w:val="none"/>
          <w:lang w:val="en-US" w:eastAsia="zh-CN"/>
        </w:rPr>
        <w:t>无法正常开启</w:t>
      </w:r>
      <w:r>
        <w:rPr>
          <w:rFonts w:hint="eastAsia" w:ascii="宋体" w:hAnsi="宋体" w:eastAsia="宋体" w:cs="宋体"/>
          <w:color w:val="auto"/>
          <w:sz w:val="24"/>
          <w:szCs w:val="24"/>
          <w:highlight w:val="none"/>
        </w:rPr>
        <w:t>的投标文件，采购代理机构有权予以拒绝，并退回投标人。</w:t>
      </w:r>
    </w:p>
    <w:p w14:paraId="23051441">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本项目采用不见面开标，无需提供电子投标文件U盘。</w:t>
      </w:r>
    </w:p>
    <w:bookmarkEnd w:id="248"/>
    <w:p w14:paraId="31ED663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49" w:name="_Toc140132777"/>
      <w:bookmarkStart w:id="250" w:name="_Toc163492844"/>
      <w:bookmarkStart w:id="251" w:name="_Toc13225"/>
      <w:bookmarkStart w:id="252" w:name="_Toc18403"/>
      <w:bookmarkStart w:id="253" w:name="_Toc18936"/>
      <w:bookmarkStart w:id="254" w:name="_Toc14531"/>
      <w:r>
        <w:rPr>
          <w:rFonts w:hint="eastAsia" w:ascii="宋体" w:hAnsi="宋体" w:eastAsia="宋体" w:cs="宋体"/>
          <w:b/>
          <w:bCs/>
          <w:color w:val="auto"/>
          <w:kern w:val="2"/>
          <w:sz w:val="24"/>
          <w:szCs w:val="24"/>
          <w:highlight w:val="none"/>
          <w:lang w:val="en-US" w:eastAsia="zh-CN" w:bidi="ar-SA"/>
        </w:rPr>
        <w:t>19.投标文件的递交</w:t>
      </w:r>
      <w:bookmarkEnd w:id="249"/>
      <w:r>
        <w:rPr>
          <w:rFonts w:hint="eastAsia" w:ascii="宋体" w:hAnsi="宋体" w:eastAsia="宋体" w:cs="宋体"/>
          <w:b/>
          <w:bCs/>
          <w:color w:val="auto"/>
          <w:kern w:val="2"/>
          <w:sz w:val="24"/>
          <w:szCs w:val="24"/>
          <w:highlight w:val="none"/>
          <w:lang w:val="en-US" w:eastAsia="zh-CN" w:bidi="ar-SA"/>
        </w:rPr>
        <w:t>（上传）</w:t>
      </w:r>
      <w:bookmarkEnd w:id="250"/>
      <w:bookmarkEnd w:id="251"/>
      <w:bookmarkEnd w:id="252"/>
      <w:bookmarkEnd w:id="253"/>
      <w:bookmarkEnd w:id="254"/>
    </w:p>
    <w:p w14:paraId="68ADD5D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bookmarkStart w:id="255" w:name="_Hlk143531977"/>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.1 投标人应在“</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”规定的投标截止时间前递交（上传）投标文件。</w:t>
      </w:r>
    </w:p>
    <w:p w14:paraId="0686D9A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.2 投标人递交（上传）投标文件的地点见“</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w:t>
      </w:r>
    </w:p>
    <w:p w14:paraId="6AE6974A">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.3投标人应充分评估集中同时投标带来的网络影响，尽量避开投标高峰时间，错峰进行电子投标。投标人递交全部的投标文件后可在政采云平台（项目采购</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投标文件上传）中获取投标文件递交回执单。</w:t>
      </w:r>
    </w:p>
    <w:p w14:paraId="66FB688C">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.4 投标人应在</w:t>
      </w:r>
      <w:r>
        <w:rPr>
          <w:rFonts w:hint="eastAsia" w:cs="宋体"/>
          <w:color w:val="auto"/>
          <w:sz w:val="24"/>
          <w:szCs w:val="24"/>
          <w:highlight w:val="none"/>
          <w:lang w:val="en-US" w:eastAsia="zh-CN"/>
        </w:rPr>
        <w:t>投标</w:t>
      </w:r>
      <w:r>
        <w:rPr>
          <w:rFonts w:hint="eastAsia" w:ascii="宋体" w:hAnsi="宋体" w:eastAsia="宋体" w:cs="宋体"/>
          <w:color w:val="auto"/>
          <w:sz w:val="24"/>
          <w:szCs w:val="24"/>
          <w:highlight w:val="none"/>
        </w:rPr>
        <w:t>客户端中下载未加密且完成签章的投标文件妥善保存，以便启动应急开标程序时使用。</w:t>
      </w:r>
    </w:p>
    <w:p w14:paraId="4469D505">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19</w:t>
      </w:r>
      <w:r>
        <w:rPr>
          <w:rFonts w:hint="eastAsia" w:ascii="宋体" w:hAnsi="宋体" w:eastAsia="宋体" w:cs="宋体"/>
          <w:color w:val="auto"/>
          <w:sz w:val="24"/>
          <w:szCs w:val="24"/>
          <w:highlight w:val="none"/>
        </w:rPr>
        <w:t>.5投标人所递交的投标文件不予退还。</w:t>
      </w:r>
    </w:p>
    <w:bookmarkEnd w:id="255"/>
    <w:p w14:paraId="6AD70963">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56" w:name="_Toc19314"/>
      <w:bookmarkStart w:id="257" w:name="_Toc19457"/>
      <w:bookmarkStart w:id="258" w:name="_Toc9803"/>
      <w:bookmarkStart w:id="259" w:name="_Toc163492845"/>
      <w:bookmarkStart w:id="260" w:name="_Toc2114"/>
      <w:r>
        <w:rPr>
          <w:rFonts w:hint="eastAsia" w:ascii="宋体" w:hAnsi="宋体" w:eastAsia="宋体" w:cs="宋体"/>
          <w:b/>
          <w:bCs/>
          <w:color w:val="auto"/>
          <w:kern w:val="2"/>
          <w:sz w:val="24"/>
          <w:szCs w:val="24"/>
          <w:highlight w:val="none"/>
          <w:lang w:val="en-US" w:eastAsia="zh-CN" w:bidi="ar-SA"/>
        </w:rPr>
        <w:t>20.拒收</w:t>
      </w:r>
      <w:bookmarkEnd w:id="256"/>
      <w:bookmarkEnd w:id="257"/>
      <w:bookmarkEnd w:id="258"/>
      <w:bookmarkEnd w:id="259"/>
      <w:bookmarkEnd w:id="260"/>
    </w:p>
    <w:p w14:paraId="163AD542">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 超过投标文件提交截止时间</w:t>
      </w:r>
      <w:bookmarkStart w:id="261" w:name="_Hlk143532404"/>
      <w:r>
        <w:rPr>
          <w:rFonts w:hint="eastAsia" w:ascii="宋体" w:hAnsi="宋体" w:eastAsia="宋体" w:cs="宋体"/>
          <w:color w:val="auto"/>
          <w:sz w:val="24"/>
          <w:szCs w:val="24"/>
          <w:highlight w:val="none"/>
        </w:rPr>
        <w:t>或者不按照本章要求加密的投标文件，交易系统应当拒收</w:t>
      </w:r>
      <w:bookmarkEnd w:id="261"/>
      <w:r>
        <w:rPr>
          <w:rFonts w:hint="eastAsia" w:ascii="宋体" w:hAnsi="宋体" w:eastAsia="宋体" w:cs="宋体"/>
          <w:color w:val="auto"/>
          <w:sz w:val="24"/>
          <w:szCs w:val="24"/>
          <w:highlight w:val="none"/>
        </w:rPr>
        <w:t>。</w:t>
      </w:r>
    </w:p>
    <w:p w14:paraId="0356121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62" w:name="_Toc163492846"/>
      <w:bookmarkStart w:id="263" w:name="_Toc31714"/>
      <w:bookmarkStart w:id="264" w:name="_Toc21076"/>
      <w:bookmarkStart w:id="265" w:name="_Toc140132778"/>
      <w:bookmarkStart w:id="266" w:name="_Toc20710"/>
      <w:bookmarkStart w:id="267" w:name="_Toc17912"/>
      <w:r>
        <w:rPr>
          <w:rFonts w:hint="eastAsia" w:ascii="宋体" w:hAnsi="宋体" w:eastAsia="宋体" w:cs="宋体"/>
          <w:b/>
          <w:bCs/>
          <w:color w:val="auto"/>
          <w:kern w:val="2"/>
          <w:sz w:val="24"/>
          <w:szCs w:val="24"/>
          <w:highlight w:val="none"/>
          <w:lang w:val="en-US" w:eastAsia="zh-CN" w:bidi="ar-SA"/>
        </w:rPr>
        <w:t>21.投标文件的修改与撤回</w:t>
      </w:r>
      <w:bookmarkEnd w:id="262"/>
      <w:bookmarkEnd w:id="263"/>
      <w:bookmarkEnd w:id="264"/>
      <w:bookmarkEnd w:id="265"/>
      <w:bookmarkEnd w:id="266"/>
      <w:bookmarkEnd w:id="267"/>
    </w:p>
    <w:p w14:paraId="7DBF29E0">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w:t>
      </w:r>
      <w:bookmarkStart w:id="268" w:name="_Hlk143532466"/>
      <w:r>
        <w:rPr>
          <w:rFonts w:hint="eastAsia" w:ascii="宋体" w:hAnsi="宋体" w:eastAsia="宋体" w:cs="宋体"/>
          <w:color w:val="auto"/>
          <w:sz w:val="24"/>
          <w:szCs w:val="24"/>
          <w:highlight w:val="none"/>
          <w:lang w:eastAsia="zh-CN"/>
        </w:rPr>
        <w:t>投标人</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规定的</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递交截止时间之前，可在</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rPr>
        <w:t>政府采购电子交易云平台上随时撤回已上传的电子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，将修改好的电子</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在</w:t>
      </w:r>
      <w:r>
        <w:rPr>
          <w:rFonts w:hint="eastAsia" w:ascii="宋体" w:hAnsi="宋体" w:eastAsia="宋体" w:cs="宋体"/>
          <w:color w:val="auto"/>
          <w:sz w:val="24"/>
          <w:szCs w:val="24"/>
          <w:highlight w:val="none"/>
          <w:lang w:eastAsia="zh-CN"/>
        </w:rPr>
        <w:t>投标文件</w:t>
      </w:r>
      <w:r>
        <w:rPr>
          <w:rFonts w:hint="eastAsia" w:ascii="宋体" w:hAnsi="宋体" w:eastAsia="宋体" w:cs="宋体"/>
          <w:color w:val="auto"/>
          <w:sz w:val="24"/>
          <w:szCs w:val="24"/>
          <w:highlight w:val="none"/>
        </w:rPr>
        <w:t>递交截止时间前重新上传到</w:t>
      </w:r>
      <w:r>
        <w:rPr>
          <w:rFonts w:hint="eastAsia" w:cs="宋体"/>
          <w:color w:val="auto"/>
          <w:sz w:val="24"/>
          <w:szCs w:val="24"/>
          <w:highlight w:val="none"/>
          <w:lang w:val="en-US" w:eastAsia="zh-CN"/>
        </w:rPr>
        <w:t>新疆</w:t>
      </w:r>
      <w:r>
        <w:rPr>
          <w:rFonts w:hint="eastAsia" w:ascii="宋体" w:hAnsi="宋体" w:eastAsia="宋体" w:cs="宋体"/>
          <w:color w:val="auto"/>
          <w:sz w:val="24"/>
          <w:szCs w:val="24"/>
          <w:highlight w:val="none"/>
        </w:rPr>
        <w:t>政府采购电子交易云平台的</w:t>
      </w:r>
      <w:r>
        <w:rPr>
          <w:rFonts w:hint="eastAsia" w:ascii="宋体" w:hAnsi="宋体" w:eastAsia="宋体" w:cs="宋体"/>
          <w:color w:val="auto"/>
          <w:sz w:val="24"/>
          <w:szCs w:val="24"/>
          <w:highlight w:val="none"/>
          <w:lang w:val="en-US" w:eastAsia="zh-CN"/>
        </w:rPr>
        <w:t>指</w:t>
      </w:r>
      <w:r>
        <w:rPr>
          <w:rFonts w:hint="eastAsia" w:ascii="宋体" w:hAnsi="宋体" w:eastAsia="宋体" w:cs="宋体"/>
          <w:color w:val="auto"/>
          <w:sz w:val="24"/>
          <w:szCs w:val="24"/>
          <w:highlight w:val="none"/>
        </w:rPr>
        <w:t>定位置。</w:t>
      </w:r>
    </w:p>
    <w:bookmarkEnd w:id="268"/>
    <w:p w14:paraId="20434D8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69" w:name="_Toc20864"/>
      <w:bookmarkStart w:id="270" w:name="_Toc163492847"/>
      <w:bookmarkStart w:id="271" w:name="_Toc18728"/>
      <w:bookmarkStart w:id="272" w:name="_Toc26077"/>
      <w:bookmarkStart w:id="273" w:name="_Toc155185874"/>
      <w:bookmarkStart w:id="274" w:name="_Toc6030"/>
      <w:r>
        <w:rPr>
          <w:rFonts w:hint="eastAsia" w:ascii="宋体" w:hAnsi="宋体" w:eastAsia="宋体" w:cs="宋体"/>
          <w:b/>
          <w:bCs/>
          <w:color w:val="auto"/>
          <w:kern w:val="2"/>
          <w:sz w:val="24"/>
          <w:szCs w:val="24"/>
          <w:highlight w:val="none"/>
          <w:lang w:val="en-US" w:eastAsia="zh-CN" w:bidi="ar-SA"/>
        </w:rPr>
        <w:t>22.实物样品</w:t>
      </w:r>
      <w:bookmarkEnd w:id="269"/>
      <w:bookmarkEnd w:id="270"/>
      <w:bookmarkEnd w:id="271"/>
      <w:bookmarkEnd w:id="272"/>
      <w:bookmarkEnd w:id="273"/>
      <w:bookmarkEnd w:id="274"/>
    </w:p>
    <w:p w14:paraId="52D4EAF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.1“投标人须知前附表”要求提供样品的，样品的具体要求及评审详见“第三章 采购需求”和“第五章 评标</w:t>
      </w:r>
      <w:r>
        <w:rPr>
          <w:rFonts w:hint="eastAsia" w:ascii="宋体" w:hAnsi="宋体" w:eastAsia="宋体" w:cs="宋体"/>
          <w:snapToGrid w:val="0"/>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2D6ED3F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.2样品退还：未中标的投标人应</w:t>
      </w:r>
      <w:r>
        <w:rPr>
          <w:rFonts w:hint="eastAsia" w:ascii="宋体" w:hAnsi="宋体" w:eastAsia="宋体" w:cs="宋体"/>
          <w:color w:val="auto"/>
          <w:sz w:val="24"/>
          <w:szCs w:val="24"/>
          <w:highlight w:val="none"/>
          <w:lang w:val="en-US" w:eastAsia="zh-CN"/>
        </w:rPr>
        <w:t>按照</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val="en-US" w:eastAsia="zh-CN"/>
        </w:rPr>
        <w:t>要求</w:t>
      </w:r>
      <w:r>
        <w:rPr>
          <w:rFonts w:hint="eastAsia" w:ascii="宋体" w:hAnsi="宋体" w:eastAsia="宋体" w:cs="宋体"/>
          <w:color w:val="auto"/>
          <w:sz w:val="24"/>
          <w:szCs w:val="24"/>
          <w:highlight w:val="none"/>
        </w:rPr>
        <w:t>自行联系采购人取回投标样品；中标人的样品由采购人进行保管、封存，并作为履约验收的参考（招标文件另有规定的从其规定）。</w:t>
      </w:r>
    </w:p>
    <w:p w14:paraId="7DD3C31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75" w:name="_Toc17331"/>
      <w:bookmarkStart w:id="276" w:name="_Toc163492848"/>
      <w:bookmarkStart w:id="277" w:name="_Toc11533"/>
      <w:bookmarkStart w:id="278" w:name="_Toc155185875"/>
      <w:bookmarkStart w:id="279" w:name="_Toc3586"/>
      <w:bookmarkStart w:id="280" w:name="_Toc30367"/>
      <w:r>
        <w:rPr>
          <w:rFonts w:hint="eastAsia" w:ascii="宋体" w:hAnsi="宋体" w:eastAsia="宋体" w:cs="宋体"/>
          <w:b/>
          <w:bCs/>
          <w:color w:val="auto"/>
          <w:kern w:val="2"/>
          <w:sz w:val="24"/>
          <w:szCs w:val="24"/>
          <w:highlight w:val="none"/>
          <w:lang w:val="en-US" w:eastAsia="zh-CN" w:bidi="ar-SA"/>
        </w:rPr>
        <w:t>23.演示</w:t>
      </w:r>
      <w:bookmarkEnd w:id="275"/>
      <w:bookmarkEnd w:id="276"/>
      <w:bookmarkEnd w:id="277"/>
      <w:bookmarkEnd w:id="278"/>
      <w:bookmarkEnd w:id="279"/>
      <w:bookmarkEnd w:id="280"/>
    </w:p>
    <w:p w14:paraId="1A234B3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.1要求投标人进行演示的，演示要求详见“投标人须知前附表”。</w:t>
      </w:r>
    </w:p>
    <w:p w14:paraId="527E903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.2演示的评审详见“第三章 采购需求”和“第五章 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p>
    <w:p w14:paraId="44828689">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81" w:name="_Toc8231"/>
      <w:bookmarkStart w:id="282" w:name="_Toc23023"/>
      <w:bookmarkStart w:id="283" w:name="_Toc13245"/>
      <w:bookmarkStart w:id="284" w:name="_Toc163492849"/>
      <w:bookmarkStart w:id="285" w:name="_Toc155185876"/>
      <w:bookmarkStart w:id="286" w:name="_Toc140132779"/>
      <w:bookmarkStart w:id="287" w:name="_Toc22479"/>
      <w:r>
        <w:rPr>
          <w:rFonts w:hint="eastAsia" w:ascii="宋体" w:hAnsi="宋体" w:eastAsia="宋体" w:cs="宋体"/>
          <w:b/>
          <w:bCs/>
          <w:color w:val="auto"/>
          <w:kern w:val="2"/>
          <w:sz w:val="24"/>
          <w:szCs w:val="24"/>
          <w:highlight w:val="none"/>
          <w:lang w:val="en-US" w:eastAsia="zh-CN" w:bidi="ar-SA"/>
        </w:rPr>
        <w:t>（五）开标</w:t>
      </w:r>
      <w:bookmarkEnd w:id="281"/>
      <w:bookmarkEnd w:id="282"/>
      <w:bookmarkEnd w:id="283"/>
      <w:bookmarkEnd w:id="284"/>
      <w:bookmarkEnd w:id="285"/>
      <w:bookmarkEnd w:id="286"/>
      <w:bookmarkEnd w:id="287"/>
    </w:p>
    <w:p w14:paraId="1705A8F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88" w:name="_Toc21393"/>
      <w:bookmarkStart w:id="289" w:name="_Toc28117"/>
      <w:bookmarkStart w:id="290" w:name="_Toc22613"/>
      <w:bookmarkStart w:id="291" w:name="_Toc163492850"/>
      <w:bookmarkStart w:id="292" w:name="_Toc140132780"/>
      <w:bookmarkStart w:id="293" w:name="_Toc8612"/>
      <w:r>
        <w:rPr>
          <w:rFonts w:hint="eastAsia" w:ascii="宋体" w:hAnsi="宋体" w:eastAsia="宋体" w:cs="宋体"/>
          <w:b/>
          <w:bCs/>
          <w:color w:val="auto"/>
          <w:kern w:val="2"/>
          <w:sz w:val="24"/>
          <w:szCs w:val="24"/>
          <w:highlight w:val="none"/>
          <w:lang w:val="en-US" w:eastAsia="zh-CN" w:bidi="ar-SA"/>
        </w:rPr>
        <w:t>24.开标会议</w:t>
      </w:r>
      <w:bookmarkEnd w:id="288"/>
      <w:bookmarkEnd w:id="289"/>
      <w:bookmarkEnd w:id="290"/>
      <w:bookmarkEnd w:id="291"/>
      <w:bookmarkEnd w:id="292"/>
      <w:bookmarkEnd w:id="293"/>
    </w:p>
    <w:p w14:paraId="43376441">
      <w:pPr>
        <w:keepNext w:val="0"/>
        <w:keepLines w:val="0"/>
        <w:pageBreakBefore w:val="0"/>
        <w:widowControl w:val="0"/>
        <w:kinsoku/>
        <w:overflowPunct/>
        <w:topLinePunct w:val="0"/>
        <w:autoSpaceDE/>
        <w:autoSpaceDN/>
        <w:bidi w:val="0"/>
        <w:adjustRightInd/>
        <w:snapToGrid/>
        <w:ind w:firstLine="480" w:firstLineChars="200"/>
        <w:textAlignment w:val="auto"/>
        <w:rPr>
          <w:rFonts w:hint="eastAsia" w:ascii="宋体" w:hAnsi="宋体" w:eastAsia="宋体" w:cs="宋体"/>
          <w:color w:val="auto"/>
          <w:sz w:val="24"/>
          <w:szCs w:val="24"/>
          <w:highlight w:val="none"/>
          <w:lang w:eastAsia="zh-CN"/>
        </w:rPr>
      </w:pPr>
      <w:bookmarkStart w:id="294" w:name="_Toc140132781"/>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开标会按“</w:t>
      </w:r>
      <w:r>
        <w:rPr>
          <w:rFonts w:hint="eastAsia" w:ascii="宋体" w:hAnsi="宋体" w:eastAsia="宋体" w:cs="宋体"/>
          <w:color w:val="auto"/>
          <w:sz w:val="24"/>
          <w:szCs w:val="24"/>
          <w:highlight w:val="none"/>
          <w:lang w:val="en-US" w:eastAsia="zh-CN"/>
        </w:rPr>
        <w:t>第一章 招标公告</w:t>
      </w:r>
      <w:r>
        <w:rPr>
          <w:rFonts w:hint="eastAsia" w:ascii="宋体" w:hAnsi="宋体" w:eastAsia="宋体" w:cs="宋体"/>
          <w:color w:val="auto"/>
          <w:sz w:val="24"/>
          <w:szCs w:val="24"/>
          <w:highlight w:val="none"/>
        </w:rPr>
        <w:t>”规定的开标时间和地点准时举行，采购人、采购代理机构邀请所有投标人准时参加开标会。投标人应按照</w:t>
      </w:r>
      <w:r>
        <w:rPr>
          <w:rFonts w:hint="eastAsia" w:ascii="宋体" w:hAnsi="宋体" w:eastAsia="宋体" w:cs="宋体"/>
          <w:color w:val="auto"/>
          <w:sz w:val="24"/>
          <w:szCs w:val="24"/>
          <w:highlight w:val="none"/>
          <w:lang w:val="en-US" w:eastAsia="zh-CN"/>
        </w:rPr>
        <w:t>招标文件</w:t>
      </w:r>
      <w:r>
        <w:rPr>
          <w:rFonts w:hint="eastAsia" w:ascii="宋体" w:hAnsi="宋体" w:eastAsia="宋体" w:cs="宋体"/>
          <w:color w:val="auto"/>
          <w:sz w:val="24"/>
          <w:szCs w:val="24"/>
          <w:highlight w:val="none"/>
        </w:rPr>
        <w:t>的要求参与</w:t>
      </w:r>
      <w:r>
        <w:rPr>
          <w:rFonts w:hint="eastAsia" w:ascii="宋体" w:hAnsi="宋体" w:eastAsia="宋体" w:cs="宋体"/>
          <w:color w:val="auto"/>
          <w:sz w:val="24"/>
          <w:szCs w:val="24"/>
          <w:highlight w:val="none"/>
          <w:lang w:val="en-US" w:eastAsia="zh-CN"/>
        </w:rPr>
        <w:t>不见面开标</w:t>
      </w:r>
      <w:r>
        <w:rPr>
          <w:rFonts w:hint="eastAsia" w:ascii="宋体" w:hAnsi="宋体" w:eastAsia="宋体" w:cs="宋体"/>
          <w:color w:val="auto"/>
          <w:sz w:val="24"/>
          <w:szCs w:val="24"/>
          <w:highlight w:val="none"/>
        </w:rPr>
        <w:t>。</w:t>
      </w:r>
    </w:p>
    <w:p w14:paraId="60A061F0">
      <w:pPr>
        <w:keepNext w:val="0"/>
        <w:keepLines w:val="0"/>
        <w:pageBreakBefore w:val="0"/>
        <w:widowControl w:val="0"/>
        <w:kinsoku/>
        <w:wordWrap w:val="0"/>
        <w:overflowPunct/>
        <w:topLinePunct w:val="0"/>
        <w:autoSpaceDE/>
        <w:autoSpaceDN/>
        <w:bidi w:val="0"/>
        <w:adjustRightInd/>
        <w:snapToGrid/>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 xml:space="preserve"> </w:t>
      </w:r>
      <w:bookmarkEnd w:id="294"/>
      <w:r>
        <w:rPr>
          <w:rFonts w:hint="eastAsia" w:ascii="宋体" w:hAnsi="宋体" w:eastAsia="宋体" w:cs="宋体"/>
          <w:color w:val="auto"/>
          <w:kern w:val="2"/>
          <w:sz w:val="24"/>
          <w:szCs w:val="24"/>
          <w:highlight w:val="none"/>
        </w:rPr>
        <w:t>采购代理机构按照招标文件规定的时间、地点主持开标。采购人在规定的</w:t>
      </w:r>
      <w:r>
        <w:rPr>
          <w:rFonts w:hint="eastAsia" w:ascii="宋体" w:hAnsi="宋体" w:eastAsia="宋体" w:cs="宋体"/>
          <w:color w:val="auto"/>
          <w:kern w:val="2"/>
          <w:sz w:val="24"/>
          <w:szCs w:val="24"/>
          <w:highlight w:val="none"/>
          <w:lang w:eastAsia="zh-CN"/>
        </w:rPr>
        <w:t>投标文件</w:t>
      </w:r>
      <w:r>
        <w:rPr>
          <w:rFonts w:hint="eastAsia" w:ascii="宋体" w:hAnsi="宋体" w:eastAsia="宋体" w:cs="宋体"/>
          <w:color w:val="auto"/>
          <w:kern w:val="2"/>
          <w:sz w:val="24"/>
          <w:szCs w:val="24"/>
          <w:highlight w:val="none"/>
        </w:rPr>
        <w:t>递交截止时间（开标时间）和地点进行不见面远程开标。</w:t>
      </w:r>
      <w:r>
        <w:rPr>
          <w:rFonts w:hint="eastAsia" w:ascii="宋体" w:hAnsi="宋体" w:eastAsia="宋体" w:cs="宋体"/>
          <w:color w:val="auto"/>
          <w:kern w:val="2"/>
          <w:sz w:val="24"/>
          <w:szCs w:val="24"/>
          <w:highlight w:val="none"/>
          <w:lang w:eastAsia="zh-CN"/>
        </w:rPr>
        <w:t>投标人</w:t>
      </w:r>
      <w:r>
        <w:rPr>
          <w:rFonts w:hint="eastAsia" w:ascii="宋体" w:hAnsi="宋体" w:eastAsia="宋体" w:cs="宋体"/>
          <w:color w:val="auto"/>
          <w:kern w:val="2"/>
          <w:sz w:val="24"/>
          <w:szCs w:val="24"/>
          <w:highlight w:val="none"/>
        </w:rPr>
        <w:t>的法定代表人或其委托代理人无需到达开标现场，仅需在任意地点通过</w:t>
      </w:r>
      <w:r>
        <w:rPr>
          <w:rFonts w:hint="eastAsia" w:ascii="宋体" w:hAnsi="宋体" w:eastAsia="宋体" w:cs="宋体"/>
          <w:color w:val="auto"/>
          <w:sz w:val="24"/>
          <w:szCs w:val="24"/>
          <w:highlight w:val="none"/>
          <w:lang w:val="en-US" w:eastAsia="zh-CN"/>
        </w:rPr>
        <w:t>新疆政府采购网（http://www.ccgp-xinjiang.gov.cn/）</w:t>
      </w:r>
      <w:r>
        <w:rPr>
          <w:rFonts w:hint="eastAsia" w:ascii="宋体" w:hAnsi="宋体" w:eastAsia="宋体" w:cs="宋体"/>
          <w:color w:val="auto"/>
          <w:kern w:val="2"/>
          <w:sz w:val="24"/>
          <w:szCs w:val="24"/>
          <w:highlight w:val="none"/>
        </w:rPr>
        <w:t>的</w:t>
      </w:r>
      <w:r>
        <w:rPr>
          <w:rFonts w:hint="eastAsia" w:ascii="宋体" w:hAnsi="宋体" w:eastAsia="宋体" w:cs="宋体"/>
          <w:color w:val="auto"/>
          <w:kern w:val="2"/>
          <w:sz w:val="24"/>
          <w:szCs w:val="24"/>
          <w:highlight w:val="none"/>
          <w:lang w:eastAsia="zh-CN"/>
        </w:rPr>
        <w:t>“</w:t>
      </w:r>
      <w:r>
        <w:rPr>
          <w:rFonts w:hint="eastAsia" w:ascii="宋体" w:hAnsi="宋体" w:eastAsia="宋体" w:cs="宋体"/>
          <w:color w:val="auto"/>
          <w:kern w:val="2"/>
          <w:sz w:val="24"/>
          <w:szCs w:val="24"/>
          <w:highlight w:val="none"/>
        </w:rPr>
        <w:t>政采云登录入口”登录后，进入“政采云远程开标大厅”参加开标会议，并使用CA密钥完成远程解密、提疑澄清、开标唱标、结果公布等交互环节。</w:t>
      </w:r>
    </w:p>
    <w:p w14:paraId="4F83B05F">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kern w:val="2"/>
          <w:sz w:val="24"/>
          <w:szCs w:val="24"/>
          <w:highlight w:val="none"/>
        </w:rPr>
      </w:pPr>
      <w:r>
        <w:rPr>
          <w:rFonts w:hint="eastAsia" w:ascii="宋体" w:hAnsi="宋体" w:eastAsia="宋体" w:cs="宋体"/>
          <w:color w:val="auto"/>
          <w:kern w:val="2"/>
          <w:sz w:val="24"/>
          <w:szCs w:val="24"/>
          <w:highlight w:val="none"/>
          <w:lang w:val="en-US" w:eastAsia="zh-CN"/>
        </w:rPr>
        <w:t xml:space="preserve">24.3开标过程将宣布投标人名称、投标价格和招标文件规定的需要宣布的其他内容并进行记录，并由参加开标的各投标人确认。投标人未在规定时间内提 出疑义或确认一览表的，视同认可开标结果。 </w:t>
      </w:r>
    </w:p>
    <w:p w14:paraId="63FB5E6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295" w:name="_Toc163492852"/>
      <w:bookmarkStart w:id="296" w:name="_Toc140132783"/>
      <w:bookmarkStart w:id="297" w:name="_Toc25384"/>
      <w:bookmarkStart w:id="298" w:name="_Toc30858"/>
      <w:bookmarkStart w:id="299" w:name="_Toc22024"/>
      <w:bookmarkStart w:id="300" w:name="_Toc6135"/>
      <w:r>
        <w:rPr>
          <w:rFonts w:hint="eastAsia" w:ascii="宋体" w:hAnsi="宋体" w:eastAsia="宋体" w:cs="宋体"/>
          <w:b/>
          <w:bCs/>
          <w:color w:val="auto"/>
          <w:kern w:val="2"/>
          <w:sz w:val="24"/>
          <w:szCs w:val="24"/>
          <w:highlight w:val="none"/>
          <w:lang w:val="en-US" w:eastAsia="zh-CN" w:bidi="ar-SA"/>
        </w:rPr>
        <w:t>25.开标程序</w:t>
      </w:r>
      <w:bookmarkEnd w:id="295"/>
      <w:bookmarkEnd w:id="296"/>
      <w:bookmarkEnd w:id="297"/>
      <w:bookmarkEnd w:id="298"/>
      <w:bookmarkEnd w:id="299"/>
      <w:bookmarkEnd w:id="300"/>
    </w:p>
    <w:p w14:paraId="60F7948B">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投标人不足3家的，不得开标。</w:t>
      </w:r>
    </w:p>
    <w:p w14:paraId="5B4EFA66">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评标委员会成员不得参加开标活动。</w:t>
      </w:r>
    </w:p>
    <w:p w14:paraId="6EDD80B3">
      <w:pPr>
        <w:keepNext w:val="0"/>
        <w:keepLines w:val="0"/>
        <w:pageBreakBefore w:val="0"/>
        <w:widowControl w:val="0"/>
        <w:kinsoku/>
        <w:overflowPunct/>
        <w:topLinePunct w:val="0"/>
        <w:autoSpaceDE/>
        <w:autoSpaceDN/>
        <w:bidi w:val="0"/>
        <w:adjustRightInd/>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.3主持人按下列程序进行开标：</w:t>
      </w:r>
    </w:p>
    <w:p w14:paraId="02BF7803">
      <w:pPr>
        <w:keepNext w:val="0"/>
        <w:keepLines w:val="0"/>
        <w:pageBreakBefore w:val="0"/>
        <w:widowControl w:val="0"/>
        <w:kinsoku/>
        <w:overflowPunct/>
        <w:topLinePunct w:val="0"/>
        <w:autoSpaceDE/>
        <w:autoSpaceDN/>
        <w:bidi w:val="0"/>
        <w:adjustRightInd/>
        <w:ind w:firstLine="398" w:firstLineChars="1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（1）宣布开标会纪律；</w:t>
      </w:r>
    </w:p>
    <w:p w14:paraId="06FE8596">
      <w:pPr>
        <w:keepNext w:val="0"/>
        <w:keepLines w:val="0"/>
        <w:pageBreakBefore w:val="0"/>
        <w:widowControl w:val="0"/>
        <w:kinsoku/>
        <w:overflowPunct/>
        <w:topLinePunct w:val="0"/>
        <w:autoSpaceDE/>
        <w:autoSpaceDN/>
        <w:bidi w:val="0"/>
        <w:adjustRightInd/>
        <w:ind w:firstLine="398" w:firstLineChars="1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（2）介绍参加开标会的单位和人员；</w:t>
      </w:r>
    </w:p>
    <w:p w14:paraId="69CFC68B">
      <w:pPr>
        <w:keepNext w:val="0"/>
        <w:keepLines w:val="0"/>
        <w:pageBreakBefore w:val="0"/>
        <w:widowControl w:val="0"/>
        <w:kinsoku/>
        <w:overflowPunct/>
        <w:topLinePunct w:val="0"/>
        <w:autoSpaceDE/>
        <w:autoSpaceDN/>
        <w:bidi w:val="0"/>
        <w:adjustRightInd/>
        <w:ind w:firstLine="398" w:firstLineChars="1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（3）发起投标文件解密。投标人应在“投标人须知前附表”规定的时间内使用加密投标文件的CA证书在系统中完成投标文件的解密</w:t>
      </w:r>
      <w:r>
        <w:rPr>
          <w:rFonts w:hint="eastAsia"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投标人不足3家的，不予解密；</w:t>
      </w:r>
    </w:p>
    <w:p w14:paraId="30C058B0">
      <w:pPr>
        <w:keepNext w:val="0"/>
        <w:keepLines w:val="0"/>
        <w:pageBreakBefore w:val="0"/>
        <w:widowControl w:val="0"/>
        <w:kinsoku/>
        <w:overflowPunct/>
        <w:topLinePunct w:val="0"/>
        <w:autoSpaceDE/>
        <w:autoSpaceDN/>
        <w:bidi w:val="0"/>
        <w:adjustRightInd/>
        <w:ind w:firstLine="398" w:firstLineChars="166"/>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（4）解密完成后，系统自动显示投标人名称、投标价格和招标文件规定的需要宣布的其他内容；</w:t>
      </w:r>
    </w:p>
    <w:p w14:paraId="102D4E44">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（5）系统自动生成开标记录表，供应商应在线对开标记录进行签署确认</w:t>
      </w:r>
      <w:r>
        <w:rPr>
          <w:rFonts w:hint="eastAsia" w:ascii="宋体" w:hAnsi="宋体" w:eastAsia="宋体" w:cs="宋体"/>
          <w:color w:val="auto"/>
          <w:sz w:val="24"/>
          <w:szCs w:val="24"/>
          <w:highlight w:val="none"/>
          <w:lang w:val="en-US" w:eastAsia="zh-CN"/>
        </w:rPr>
        <w:t>；</w:t>
      </w:r>
    </w:p>
    <w:p w14:paraId="1E68785D">
      <w:pPr>
        <w:keepNext w:val="0"/>
        <w:keepLines w:val="0"/>
        <w:pageBreakBefore w:val="0"/>
        <w:widowControl w:val="0"/>
        <w:kinsoku/>
        <w:overflowPunct/>
        <w:topLinePunct w:val="0"/>
        <w:autoSpaceDE/>
        <w:autoSpaceDN/>
        <w:bidi w:val="0"/>
        <w:adjustRightInd/>
        <w:ind w:left="564" w:leftChars="200" w:hanging="84" w:hangingChars="35"/>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（6）开标会结束。</w:t>
      </w:r>
      <w:bookmarkStart w:id="301" w:name="_Toc163492853"/>
      <w:bookmarkStart w:id="302" w:name="_Toc140132784"/>
    </w:p>
    <w:p w14:paraId="459D358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03" w:name="_Toc8444"/>
      <w:bookmarkStart w:id="304" w:name="_Toc6699"/>
      <w:bookmarkStart w:id="305" w:name="_Toc4525"/>
      <w:bookmarkStart w:id="306" w:name="_Toc8830"/>
      <w:r>
        <w:rPr>
          <w:rFonts w:hint="eastAsia" w:ascii="宋体" w:hAnsi="宋体" w:eastAsia="宋体" w:cs="宋体"/>
          <w:b/>
          <w:bCs/>
          <w:color w:val="auto"/>
          <w:kern w:val="2"/>
          <w:sz w:val="24"/>
          <w:szCs w:val="24"/>
          <w:highlight w:val="none"/>
          <w:lang w:val="en-US" w:eastAsia="zh-CN" w:bidi="ar-SA"/>
        </w:rPr>
        <w:t>26.开标疑义及回避情形</w:t>
      </w:r>
      <w:bookmarkEnd w:id="301"/>
      <w:bookmarkEnd w:id="302"/>
      <w:bookmarkEnd w:id="303"/>
      <w:bookmarkEnd w:id="304"/>
      <w:bookmarkEnd w:id="305"/>
      <w:bookmarkEnd w:id="306"/>
    </w:p>
    <w:p w14:paraId="04573EB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投标人代表对开标过程和开标记录有疑义，以及认为采购人、采购代理机构相关工作人员有需要回避的情形的，应在开标会议中提出询问或者回避申请。采购人、采购代理机构对投标人授权代表提出的询问或者回避申请应当及时处理。</w:t>
      </w:r>
    </w:p>
    <w:p w14:paraId="4E69EE0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.2投标人未参加开标的，视同认可开标结果。</w:t>
      </w:r>
    </w:p>
    <w:p w14:paraId="55D243EF">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07" w:name="_Toc15018"/>
      <w:bookmarkStart w:id="308" w:name="_Toc22271"/>
      <w:bookmarkStart w:id="309" w:name="_Toc31888"/>
      <w:bookmarkStart w:id="310" w:name="_Toc163492854"/>
      <w:bookmarkStart w:id="311" w:name="_Toc155185877"/>
      <w:bookmarkStart w:id="312" w:name="_Toc9049"/>
      <w:bookmarkStart w:id="313" w:name="_Toc140132785"/>
      <w:r>
        <w:rPr>
          <w:rFonts w:hint="eastAsia" w:ascii="宋体" w:hAnsi="宋体" w:eastAsia="宋体" w:cs="宋体"/>
          <w:b/>
          <w:bCs/>
          <w:color w:val="auto"/>
          <w:kern w:val="2"/>
          <w:sz w:val="24"/>
          <w:szCs w:val="24"/>
          <w:highlight w:val="none"/>
          <w:lang w:val="en-US" w:eastAsia="zh-CN" w:bidi="ar-SA"/>
        </w:rPr>
        <w:t>（六）资格审查</w:t>
      </w:r>
      <w:bookmarkEnd w:id="307"/>
      <w:bookmarkEnd w:id="308"/>
      <w:bookmarkEnd w:id="309"/>
      <w:bookmarkEnd w:id="310"/>
      <w:bookmarkEnd w:id="311"/>
      <w:bookmarkEnd w:id="312"/>
      <w:bookmarkEnd w:id="313"/>
    </w:p>
    <w:p w14:paraId="2C1B5FD6">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14" w:name="_Toc16245"/>
      <w:bookmarkStart w:id="315" w:name="_Toc9539"/>
      <w:bookmarkStart w:id="316" w:name="_Toc507"/>
      <w:bookmarkStart w:id="317" w:name="_Toc163492855"/>
      <w:bookmarkStart w:id="318" w:name="_Toc12995"/>
      <w:r>
        <w:rPr>
          <w:rFonts w:hint="eastAsia" w:ascii="宋体" w:hAnsi="宋体" w:eastAsia="宋体" w:cs="宋体"/>
          <w:b/>
          <w:bCs/>
          <w:color w:val="auto"/>
          <w:kern w:val="2"/>
          <w:sz w:val="24"/>
          <w:szCs w:val="24"/>
          <w:highlight w:val="none"/>
          <w:lang w:val="en-US" w:eastAsia="zh-CN" w:bidi="ar-SA"/>
        </w:rPr>
        <w:t>27.资格审查及审查主体</w:t>
      </w:r>
      <w:bookmarkEnd w:id="314"/>
      <w:bookmarkEnd w:id="315"/>
      <w:bookmarkEnd w:id="316"/>
      <w:bookmarkEnd w:id="317"/>
      <w:bookmarkEnd w:id="318"/>
    </w:p>
    <w:p w14:paraId="3F6E8AD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319" w:name="_Toc140132786"/>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w:t>
      </w:r>
      <w:bookmarkEnd w:id="319"/>
      <w:r>
        <w:rPr>
          <w:rFonts w:hint="eastAsia" w:ascii="宋体" w:hAnsi="宋体" w:eastAsia="宋体" w:cs="宋体"/>
          <w:color w:val="auto"/>
          <w:sz w:val="24"/>
          <w:szCs w:val="24"/>
          <w:highlight w:val="none"/>
        </w:rPr>
        <w:t>开标结束后，采购人或者采购代理机构应当依法对投标人的资格进行审查。</w:t>
      </w:r>
    </w:p>
    <w:p w14:paraId="6F7626D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320" w:name="_Toc140132787"/>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.2资格审查按“第四章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资格审查”的规定进行。</w:t>
      </w:r>
      <w:bookmarkEnd w:id="320"/>
    </w:p>
    <w:p w14:paraId="44D43B8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321" w:name="_Toc140132788"/>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.3资格审查结束后，应及时对资格审查结果进行复核，对资格审查错误进行及时纠正并记录。</w:t>
      </w:r>
      <w:bookmarkEnd w:id="321"/>
    </w:p>
    <w:p w14:paraId="272F167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27.4</w:t>
      </w:r>
      <w:r>
        <w:rPr>
          <w:rFonts w:hint="eastAsia" w:ascii="宋体" w:hAnsi="宋体" w:eastAsia="宋体" w:cs="宋体"/>
          <w:color w:val="auto"/>
          <w:sz w:val="24"/>
          <w:szCs w:val="24"/>
          <w:highlight w:val="none"/>
        </w:rPr>
        <w:t>资格审查合格投标人不足3家的，不得评标。</w:t>
      </w:r>
    </w:p>
    <w:p w14:paraId="7A1F7D21">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2" w:name="_Toc23809"/>
      <w:bookmarkStart w:id="323" w:name="_Toc155185878"/>
      <w:bookmarkStart w:id="324" w:name="_Toc163492856"/>
      <w:bookmarkStart w:id="325" w:name="_Toc9489"/>
      <w:bookmarkStart w:id="326" w:name="_Toc140132789"/>
      <w:bookmarkStart w:id="327" w:name="_Toc11390"/>
      <w:bookmarkStart w:id="328" w:name="_Toc3464"/>
      <w:r>
        <w:rPr>
          <w:rFonts w:hint="eastAsia" w:ascii="宋体" w:hAnsi="宋体" w:eastAsia="宋体" w:cs="宋体"/>
          <w:b/>
          <w:bCs/>
          <w:color w:val="auto"/>
          <w:kern w:val="2"/>
          <w:sz w:val="24"/>
          <w:szCs w:val="24"/>
          <w:highlight w:val="none"/>
          <w:lang w:val="en-US" w:eastAsia="zh-CN" w:bidi="ar-SA"/>
        </w:rPr>
        <w:t>（七）评标</w:t>
      </w:r>
      <w:bookmarkEnd w:id="322"/>
      <w:bookmarkEnd w:id="323"/>
      <w:bookmarkEnd w:id="324"/>
      <w:bookmarkEnd w:id="325"/>
      <w:bookmarkEnd w:id="326"/>
      <w:bookmarkEnd w:id="327"/>
      <w:bookmarkEnd w:id="328"/>
    </w:p>
    <w:p w14:paraId="7EBE7ABE">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29" w:name="_Toc195"/>
      <w:bookmarkStart w:id="330" w:name="_Toc14310"/>
      <w:bookmarkStart w:id="331" w:name="_Toc9074"/>
      <w:bookmarkStart w:id="332" w:name="_Toc13920"/>
      <w:bookmarkStart w:id="333" w:name="_Toc140132790"/>
      <w:bookmarkStart w:id="334" w:name="_Toc163492857"/>
      <w:r>
        <w:rPr>
          <w:rFonts w:hint="eastAsia" w:ascii="宋体" w:hAnsi="宋体" w:eastAsia="宋体" w:cs="宋体"/>
          <w:b/>
          <w:bCs/>
          <w:color w:val="auto"/>
          <w:kern w:val="2"/>
          <w:sz w:val="24"/>
          <w:szCs w:val="24"/>
          <w:highlight w:val="none"/>
          <w:lang w:val="en-US" w:eastAsia="zh-CN" w:bidi="ar-SA"/>
        </w:rPr>
        <w:t>28.评标委员会</w:t>
      </w:r>
      <w:bookmarkEnd w:id="329"/>
      <w:bookmarkEnd w:id="330"/>
      <w:bookmarkEnd w:id="331"/>
      <w:bookmarkEnd w:id="332"/>
      <w:bookmarkEnd w:id="333"/>
      <w:bookmarkEnd w:id="334"/>
    </w:p>
    <w:p w14:paraId="1EA2B13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评标由采购人依法组建的评标委员会负责。评标委员会由采购人代表和评审专家组成</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成员人数应当为5</w:t>
      </w:r>
      <w:r>
        <w:rPr>
          <w:rFonts w:hint="eastAsia" w:ascii="宋体" w:hAnsi="宋体" w:eastAsia="宋体" w:cs="宋体"/>
          <w:color w:val="auto"/>
          <w:sz w:val="24"/>
          <w:szCs w:val="24"/>
          <w:highlight w:val="none"/>
        </w:rPr>
        <w:t>人以上单数，其中</w:t>
      </w:r>
      <w:r>
        <w:rPr>
          <w:rFonts w:hint="eastAsia" w:ascii="宋体" w:hAnsi="宋体" w:eastAsia="宋体" w:cs="宋体"/>
          <w:color w:val="auto"/>
          <w:sz w:val="24"/>
          <w:szCs w:val="24"/>
          <w:highlight w:val="none"/>
          <w:lang w:val="en-US" w:eastAsia="zh-CN"/>
        </w:rPr>
        <w:t>评审</w:t>
      </w:r>
      <w:r>
        <w:rPr>
          <w:rFonts w:hint="eastAsia" w:ascii="宋体" w:hAnsi="宋体" w:eastAsia="宋体" w:cs="宋体"/>
          <w:color w:val="auto"/>
          <w:sz w:val="24"/>
          <w:szCs w:val="24"/>
          <w:highlight w:val="none"/>
        </w:rPr>
        <w:t>专家不</w:t>
      </w:r>
      <w:r>
        <w:rPr>
          <w:rFonts w:hint="eastAsia" w:ascii="宋体" w:hAnsi="宋体" w:eastAsia="宋体" w:cs="宋体"/>
          <w:color w:val="auto"/>
          <w:sz w:val="24"/>
          <w:szCs w:val="24"/>
          <w:highlight w:val="none"/>
          <w:lang w:val="en-US" w:eastAsia="zh-CN"/>
        </w:rPr>
        <w:t>得</w:t>
      </w:r>
      <w:r>
        <w:rPr>
          <w:rFonts w:hint="eastAsia" w:ascii="宋体" w:hAnsi="宋体" w:eastAsia="宋体" w:cs="宋体"/>
          <w:color w:val="auto"/>
          <w:sz w:val="24"/>
          <w:szCs w:val="24"/>
          <w:highlight w:val="none"/>
        </w:rPr>
        <w:t>少于</w:t>
      </w:r>
      <w:r>
        <w:rPr>
          <w:rFonts w:hint="eastAsia" w:ascii="宋体" w:hAnsi="宋体" w:eastAsia="宋体" w:cs="宋体"/>
          <w:color w:val="auto"/>
          <w:sz w:val="24"/>
          <w:szCs w:val="24"/>
          <w:highlight w:val="none"/>
          <w:lang w:val="en-US" w:eastAsia="zh-CN"/>
        </w:rPr>
        <w:t>成员总数的</w:t>
      </w:r>
      <w:r>
        <w:rPr>
          <w:rFonts w:hint="eastAsia" w:ascii="宋体" w:hAnsi="宋体" w:eastAsia="宋体" w:cs="宋体"/>
          <w:color w:val="auto"/>
          <w:sz w:val="24"/>
          <w:szCs w:val="24"/>
          <w:highlight w:val="none"/>
        </w:rPr>
        <w:t>三分之二。</w:t>
      </w:r>
      <w:r>
        <w:rPr>
          <w:rFonts w:hint="eastAsia" w:ascii="宋体" w:hAnsi="宋体" w:eastAsia="宋体" w:cs="宋体"/>
          <w:color w:val="auto"/>
          <w:sz w:val="24"/>
          <w:szCs w:val="24"/>
          <w:highlight w:val="none"/>
          <w:lang w:val="en-US" w:eastAsia="zh-CN"/>
        </w:rPr>
        <w:t>采购人或者采购代理机构应当从省级以上财政部门设立的政府采购评审专家库中，通过随机方式抽取评审专家。</w:t>
      </w:r>
    </w:p>
    <w:p w14:paraId="32DE780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28.2 采购项目符合下列情形之一的，评标委员会成员人数应当为7人以上单数：</w:t>
      </w:r>
    </w:p>
    <w:p w14:paraId="05C639B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（1）采购预算金额在1000万元以上；</w:t>
      </w:r>
    </w:p>
    <w:p w14:paraId="67DFE62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（2）技术复杂；</w:t>
      </w:r>
    </w:p>
    <w:p w14:paraId="6B9FB10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（3）社会影响较大。</w:t>
      </w:r>
    </w:p>
    <w:p w14:paraId="4590A67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28.3评审专家对本单位的采购项目只能作为采购人代表参与评标，对技术复杂、专业性强的采购项目，通过随机方式难以确定合适评审专家的，经主管预算单位同意，采购人可以自行选定相应专业领域的评审专家。采购代理机构工作人员不得参加由本机构代理的政府采购项目的评标。</w:t>
      </w:r>
    </w:p>
    <w:p w14:paraId="16E9280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28.4评标委员会成员名单在评标结果公告前应当保密。</w:t>
      </w:r>
    </w:p>
    <w:p w14:paraId="2F8842E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28.5评标中因评标委员会成员缺席、回避或者健康等特殊原因导致评标委员会组成不符合本办法规定的，采购人或者采购代理机构应当依法补足后继续评标。被更换的评标委员会成员所作出的评标意见无效。</w:t>
      </w:r>
    </w:p>
    <w:p w14:paraId="28948BF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28.6无法及时补足评标委员会成员的，采购人或者采购代理机构应当停止评标活动，封存所有投标文件和开标、评标资料，依法重新组建评标委员会进行评标。原评标委员会所作出的评标意见无效。</w:t>
      </w:r>
    </w:p>
    <w:p w14:paraId="320EF10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 xml:space="preserve"> 评标委员会成员有下列情形之一的，应当回避：</w:t>
      </w:r>
    </w:p>
    <w:p w14:paraId="5366671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（1）参加采购活动前3年内与投标人存在劳动关系；</w:t>
      </w:r>
    </w:p>
    <w:p w14:paraId="4B33BA4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（2）参加采购活动前3年内担任投标人的董事、监事；</w:t>
      </w:r>
    </w:p>
    <w:p w14:paraId="271CA22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（3）参加采购活动前3年内是投标人的控股股东或实际控制人；</w:t>
      </w:r>
    </w:p>
    <w:p w14:paraId="0F31540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（4）与投标人的法定代表人或者负责人有夫妻、直系血亲、三代以内旁系血亲或者近姻亲关系；</w:t>
      </w:r>
    </w:p>
    <w:p w14:paraId="20FB9B7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（5）与投标人有其他可能影响采购活动公平、公正进行的关系。</w:t>
      </w:r>
    </w:p>
    <w:p w14:paraId="25BEA5A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35" w:name="_Toc15760"/>
      <w:bookmarkStart w:id="336" w:name="_Toc167"/>
      <w:bookmarkStart w:id="337" w:name="_Toc140132791"/>
      <w:bookmarkStart w:id="338" w:name="_Toc7854"/>
      <w:bookmarkStart w:id="339" w:name="_Toc4052"/>
      <w:bookmarkStart w:id="340" w:name="_Toc163492858"/>
      <w:r>
        <w:rPr>
          <w:rFonts w:hint="eastAsia" w:ascii="宋体" w:hAnsi="宋体" w:eastAsia="宋体" w:cs="宋体"/>
          <w:b/>
          <w:bCs/>
          <w:color w:val="auto"/>
          <w:kern w:val="2"/>
          <w:sz w:val="24"/>
          <w:szCs w:val="24"/>
          <w:highlight w:val="none"/>
          <w:lang w:val="en-US" w:eastAsia="zh-CN" w:bidi="ar-SA"/>
        </w:rPr>
        <w:t>29.评标</w:t>
      </w:r>
      <w:bookmarkEnd w:id="335"/>
      <w:bookmarkEnd w:id="336"/>
      <w:bookmarkEnd w:id="337"/>
      <w:bookmarkEnd w:id="338"/>
      <w:bookmarkEnd w:id="339"/>
      <w:bookmarkEnd w:id="340"/>
    </w:p>
    <w:p w14:paraId="6D0B095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 xml:space="preserve"> 评标方法分为综合评分法和</w:t>
      </w:r>
      <w:r>
        <w:rPr>
          <w:rFonts w:hint="eastAsia" w:ascii="宋体" w:hAnsi="宋体" w:eastAsia="宋体" w:cs="宋体"/>
          <w:color w:val="auto"/>
          <w:sz w:val="24"/>
          <w:szCs w:val="24"/>
          <w:highlight w:val="none"/>
        </w:rPr>
        <w:t>最低评标价法</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本项目评标</w:t>
      </w:r>
      <w:r>
        <w:rPr>
          <w:rFonts w:hint="eastAsia" w:ascii="宋体" w:hAnsi="宋体" w:eastAsia="宋体" w:cs="宋体"/>
          <w:color w:val="auto"/>
          <w:sz w:val="24"/>
          <w:szCs w:val="24"/>
          <w:highlight w:val="none"/>
          <w:lang w:val="en-US" w:eastAsia="zh-CN"/>
        </w:rPr>
        <w:t>方法详见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sz w:val="24"/>
          <w:szCs w:val="24"/>
          <w:highlight w:val="none"/>
          <w:lang w:eastAsia="zh-CN"/>
        </w:rPr>
        <w:t>。</w:t>
      </w:r>
    </w:p>
    <w:p w14:paraId="2BC22B3E">
      <w:pPr>
        <w:pStyle w:val="3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val="en-US" w:eastAsia="zh-CN"/>
        </w:rPr>
        <w:t>9.1.1</w:t>
      </w:r>
      <w:r>
        <w:rPr>
          <w:rFonts w:hint="eastAsia" w:ascii="宋体" w:hAnsi="宋体" w:eastAsia="宋体" w:cs="宋体"/>
          <w:color w:val="auto"/>
          <w:sz w:val="24"/>
          <w:szCs w:val="24"/>
          <w:highlight w:val="none"/>
        </w:rPr>
        <w:t>综合评分法，是指投标文件满足招标文件全部实质性要求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且按照评审因素的量化指标评审得分最高的投标人为中标候选人的评标方法。</w:t>
      </w:r>
    </w:p>
    <w:p w14:paraId="0E3867E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29.1.2.</w:t>
      </w:r>
      <w:r>
        <w:rPr>
          <w:rFonts w:hint="eastAsia" w:ascii="宋体" w:hAnsi="宋体" w:eastAsia="宋体" w:cs="宋体"/>
          <w:color w:val="auto"/>
          <w:sz w:val="24"/>
          <w:szCs w:val="24"/>
          <w:highlight w:val="none"/>
        </w:rPr>
        <w:t>最低评标价法，是指投标文件满足招标文件全部实质性要求</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且投标报价最低的投标人为中标候选人的评标方法。</w:t>
      </w:r>
    </w:p>
    <w:p w14:paraId="418DE4C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2 </w:t>
      </w:r>
      <w:r>
        <w:rPr>
          <w:rFonts w:hint="eastAsia" w:ascii="宋体" w:hAnsi="宋体" w:eastAsia="宋体" w:cs="宋体"/>
          <w:color w:val="auto"/>
          <w:sz w:val="24"/>
          <w:szCs w:val="24"/>
          <w:highlight w:val="none"/>
        </w:rPr>
        <w:t>评标委员会按照“第五章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的</w:t>
      </w:r>
      <w:r>
        <w:rPr>
          <w:rFonts w:hint="eastAsia" w:ascii="宋体" w:hAnsi="宋体" w:eastAsia="宋体" w:cs="宋体"/>
          <w:color w:val="auto"/>
          <w:sz w:val="24"/>
          <w:szCs w:val="24"/>
          <w:highlight w:val="none"/>
        </w:rPr>
        <w:t>规定对投标文件进行评审。“第五章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法及标准”没有规定的方法、评审因素和标准，不作为评标依据。</w:t>
      </w:r>
    </w:p>
    <w:p w14:paraId="1A9007D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29</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3 </w:t>
      </w:r>
      <w:r>
        <w:rPr>
          <w:rFonts w:hint="eastAsia" w:ascii="宋体" w:hAnsi="宋体" w:eastAsia="宋体" w:cs="宋体"/>
          <w:color w:val="auto"/>
          <w:sz w:val="24"/>
          <w:szCs w:val="24"/>
          <w:highlight w:val="none"/>
        </w:rPr>
        <w:t>评标委员会按“投标人须知前附表”规定的中标候选人数量在评标报告中向采购人推荐中标候选人。</w:t>
      </w:r>
    </w:p>
    <w:p w14:paraId="1E63454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29.4 开标之后，直到签订合同止，凡是属于审查、澄清、评价和比较投标的有关资料以及定标意向等，均不得向投标人或者其他与评标无关的人员透露。</w:t>
      </w:r>
    </w:p>
    <w:p w14:paraId="57927CB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29.5 在确定中标人之前，投标人试图在投标文件审查、澄清、比较和评标时对评标委员会、采购人和采购代理机构施加任何影响都可能导致其</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w:t>
      </w:r>
    </w:p>
    <w:p w14:paraId="32A3200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 电子招投标的应急措施</w:t>
      </w:r>
    </w:p>
    <w:p w14:paraId="52525CD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29.6.1电子开标、评标如出现下列原因，导致系统无法正常运行或无法正常评标时，应采取应急措施。</w:t>
      </w:r>
    </w:p>
    <w:p w14:paraId="3D99F56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（1）系统服务器发生故障，无法访问或无法使用系统；</w:t>
      </w:r>
    </w:p>
    <w:p w14:paraId="518B308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（2）系统的软件或数据库出现错误，不能进行正常操作；</w:t>
      </w:r>
    </w:p>
    <w:p w14:paraId="657BA7B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（3）系统发现有安全漏洞，有潜在的泄密危险；</w:t>
      </w:r>
    </w:p>
    <w:p w14:paraId="26B1539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（4）病毒发作或受到外来病毒的攻击；</w:t>
      </w:r>
    </w:p>
    <w:p w14:paraId="6BCA43D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（5）出现其他不可抗拒的客观原因造成开评标系统无法正常使用。</w:t>
      </w:r>
    </w:p>
    <w:p w14:paraId="2BA3CE0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出现上述情况时，应对未开标的暂停开标。已在系统内开标、评标的立即停止。采取应急措施时，必须对原有资料及信息作出妥善保密处理。</w:t>
      </w:r>
    </w:p>
    <w:p w14:paraId="791CC4F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29.6.2因系统原因导致投标人均无法解密电子投标文件时，采购代理机构可在开标现场直接导入投标人在投标截止时间前递交的未加密的电子投标文件进行开标、评标。</w:t>
      </w:r>
    </w:p>
    <w:p w14:paraId="28CD45E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29.7 投标人瑕疵滞后发现的处理规则</w:t>
      </w:r>
    </w:p>
    <w:p w14:paraId="11E85EA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29.7.1无论基于何种原因，各项本应作</w:t>
      </w:r>
      <w:r>
        <w:rPr>
          <w:rFonts w:hint="eastAsia" w:ascii="宋体" w:hAnsi="宋体" w:eastAsia="宋体" w:cs="宋体"/>
          <w:b/>
          <w:bCs/>
          <w:color w:val="auto"/>
          <w:sz w:val="24"/>
          <w:szCs w:val="24"/>
          <w:highlight w:val="none"/>
          <w:lang w:val="en-US" w:eastAsia="zh-CN"/>
        </w:rPr>
        <w:t>无效投标</w:t>
      </w:r>
      <w:r>
        <w:rPr>
          <w:rFonts w:hint="eastAsia" w:ascii="宋体" w:hAnsi="宋体" w:eastAsia="宋体" w:cs="宋体"/>
          <w:color w:val="auto"/>
          <w:sz w:val="24"/>
          <w:szCs w:val="24"/>
          <w:highlight w:val="none"/>
          <w:lang w:val="en-US" w:eastAsia="zh-CN"/>
        </w:rPr>
        <w:t>处理的情形即便未被及时发现而使该投标人进入初审、综合评审或其他后续程序，包括已经签订合同的情形，一旦该投标人的投标作无效投标处理或该投标人的此前评议结果被取消，其现有的位置将被其他投标人依序替代，相关的一切损失均由该投标人承担。</w:t>
      </w:r>
    </w:p>
    <w:p w14:paraId="34027149">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41" w:name="_Toc155185879"/>
      <w:bookmarkStart w:id="342" w:name="_Toc16712"/>
      <w:bookmarkStart w:id="343" w:name="_Toc163492859"/>
      <w:bookmarkStart w:id="344" w:name="_Toc11591"/>
      <w:bookmarkStart w:id="345" w:name="_Toc24173"/>
      <w:bookmarkStart w:id="346" w:name="_Toc140132792"/>
      <w:bookmarkStart w:id="347" w:name="_Toc12307"/>
      <w:r>
        <w:rPr>
          <w:rFonts w:hint="eastAsia" w:ascii="宋体" w:hAnsi="宋体" w:eastAsia="宋体" w:cs="宋体"/>
          <w:b/>
          <w:bCs/>
          <w:color w:val="auto"/>
          <w:kern w:val="2"/>
          <w:sz w:val="24"/>
          <w:szCs w:val="24"/>
          <w:highlight w:val="none"/>
          <w:lang w:val="en-US" w:eastAsia="zh-CN" w:bidi="ar-SA"/>
        </w:rPr>
        <w:t>（八）中标</w:t>
      </w:r>
      <w:bookmarkEnd w:id="341"/>
      <w:bookmarkEnd w:id="342"/>
      <w:bookmarkEnd w:id="343"/>
      <w:bookmarkEnd w:id="344"/>
      <w:bookmarkEnd w:id="345"/>
      <w:bookmarkEnd w:id="346"/>
      <w:bookmarkEnd w:id="347"/>
    </w:p>
    <w:p w14:paraId="37B6B95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48" w:name="_Toc18980"/>
      <w:bookmarkStart w:id="349" w:name="_Toc5728"/>
      <w:bookmarkStart w:id="350" w:name="_Toc140132793"/>
      <w:bookmarkStart w:id="351" w:name="_Toc163492860"/>
      <w:bookmarkStart w:id="352" w:name="_Toc14944"/>
      <w:bookmarkStart w:id="353" w:name="_Toc11832"/>
      <w:r>
        <w:rPr>
          <w:rFonts w:hint="eastAsia" w:ascii="宋体" w:hAnsi="宋体" w:eastAsia="宋体" w:cs="宋体"/>
          <w:b/>
          <w:bCs/>
          <w:color w:val="auto"/>
          <w:kern w:val="2"/>
          <w:sz w:val="24"/>
          <w:szCs w:val="24"/>
          <w:highlight w:val="none"/>
          <w:lang w:val="en-US" w:eastAsia="zh-CN" w:bidi="ar-SA"/>
        </w:rPr>
        <w:t>30.确定中标人</w:t>
      </w:r>
      <w:bookmarkEnd w:id="348"/>
      <w:bookmarkEnd w:id="349"/>
      <w:bookmarkEnd w:id="350"/>
      <w:bookmarkEnd w:id="351"/>
      <w:bookmarkEnd w:id="352"/>
      <w:bookmarkEnd w:id="353"/>
    </w:p>
    <w:p w14:paraId="23CC2B81">
      <w:pPr>
        <w:keepNext w:val="0"/>
        <w:keepLines w:val="0"/>
        <w:pageBreakBefore w:val="0"/>
        <w:widowControl w:val="0"/>
        <w:suppressLineNumbers w:val="0"/>
        <w:kinsoku/>
        <w:overflowPunct/>
        <w:topLinePunct w:val="0"/>
        <w:autoSpaceDE/>
        <w:autoSpaceDN/>
        <w:bidi w:val="0"/>
        <w:adjustRightInd/>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30.1</w:t>
      </w:r>
      <w:r>
        <w:rPr>
          <w:rFonts w:hint="eastAsia" w:ascii="宋体" w:hAnsi="宋体" w:eastAsia="宋体" w:cs="宋体"/>
          <w:color w:val="auto"/>
          <w:kern w:val="0"/>
          <w:sz w:val="24"/>
          <w:szCs w:val="24"/>
          <w:highlight w:val="none"/>
          <w:lang w:val="en-US" w:eastAsia="zh-CN" w:bidi="ar"/>
        </w:rPr>
        <w:t>采购人将在评标报告确定的中标候选人名单中按顺序确定中标人，中标候选人并列的，按照</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kern w:val="0"/>
          <w:sz w:val="24"/>
          <w:szCs w:val="24"/>
          <w:highlight w:val="none"/>
          <w:lang w:val="en-US" w:eastAsia="zh-CN" w:bidi="ar"/>
        </w:rPr>
        <w:t>确定中标人；招标文件未规定的，采取随机抽取的方式确定。采购人是否委托评标委员会直接确定中标人，见</w:t>
      </w:r>
      <w:r>
        <w:rPr>
          <w:rFonts w:hint="eastAsia" w:ascii="宋体" w:hAnsi="宋体" w:eastAsia="宋体" w:cs="宋体"/>
          <w:color w:val="auto"/>
          <w:sz w:val="24"/>
          <w:szCs w:val="24"/>
          <w:highlight w:val="none"/>
        </w:rPr>
        <w:t>“投标人须知前附表”</w:t>
      </w:r>
      <w:r>
        <w:rPr>
          <w:rFonts w:hint="eastAsia" w:ascii="宋体" w:hAnsi="宋体" w:eastAsia="宋体" w:cs="宋体"/>
          <w:color w:val="auto"/>
          <w:kern w:val="0"/>
          <w:sz w:val="24"/>
          <w:szCs w:val="24"/>
          <w:highlight w:val="none"/>
          <w:lang w:val="en-US" w:eastAsia="zh-CN" w:bidi="ar"/>
        </w:rPr>
        <w:t>。</w:t>
      </w:r>
    </w:p>
    <w:p w14:paraId="1897145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54" w:name="_Toc16181"/>
      <w:bookmarkStart w:id="355" w:name="_Toc15642"/>
      <w:bookmarkStart w:id="356" w:name="_Toc6680"/>
      <w:bookmarkStart w:id="357" w:name="_Toc163492861"/>
      <w:bookmarkStart w:id="358" w:name="_Toc140132794"/>
      <w:bookmarkStart w:id="359" w:name="_Toc18603"/>
      <w:r>
        <w:rPr>
          <w:rFonts w:hint="eastAsia" w:ascii="宋体" w:hAnsi="宋体" w:eastAsia="宋体" w:cs="宋体"/>
          <w:b/>
          <w:bCs/>
          <w:color w:val="auto"/>
          <w:kern w:val="2"/>
          <w:sz w:val="24"/>
          <w:szCs w:val="24"/>
          <w:highlight w:val="none"/>
          <w:lang w:val="en-US" w:eastAsia="zh-CN" w:bidi="ar-SA"/>
        </w:rPr>
        <w:t>31.中标结果公告</w:t>
      </w:r>
      <w:bookmarkEnd w:id="354"/>
      <w:bookmarkEnd w:id="355"/>
      <w:bookmarkEnd w:id="356"/>
      <w:bookmarkEnd w:id="357"/>
      <w:bookmarkEnd w:id="358"/>
      <w:bookmarkEnd w:id="359"/>
    </w:p>
    <w:p w14:paraId="5975ECA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1</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采购人或</w:t>
      </w:r>
      <w:r>
        <w:rPr>
          <w:rFonts w:hint="eastAsia" w:ascii="宋体" w:hAnsi="宋体" w:eastAsia="宋体" w:cs="宋体"/>
          <w:color w:val="auto"/>
          <w:sz w:val="24"/>
          <w:szCs w:val="24"/>
          <w:highlight w:val="none"/>
        </w:rPr>
        <w:t>采购代理机构应当自中标人确定之日起2个工作日内，在</w:t>
      </w:r>
      <w:r>
        <w:rPr>
          <w:rFonts w:hint="eastAsia" w:ascii="宋体" w:hAnsi="宋体" w:eastAsia="宋体" w:cs="宋体"/>
          <w:color w:val="auto"/>
          <w:sz w:val="24"/>
          <w:szCs w:val="24"/>
          <w:highlight w:val="none"/>
          <w:lang w:val="en-US" w:eastAsia="zh-CN"/>
        </w:rPr>
        <w:t>发布招标公告的同一</w:t>
      </w:r>
      <w:r>
        <w:rPr>
          <w:rFonts w:hint="eastAsia" w:ascii="宋体" w:hAnsi="宋体" w:eastAsia="宋体" w:cs="宋体"/>
          <w:color w:val="auto"/>
          <w:sz w:val="24"/>
          <w:szCs w:val="24"/>
          <w:highlight w:val="none"/>
        </w:rPr>
        <w:t>媒体上发布中标结果公告，</w:t>
      </w:r>
      <w:r>
        <w:rPr>
          <w:rFonts w:hint="eastAsia" w:ascii="宋体" w:hAnsi="宋体" w:eastAsia="宋体" w:cs="宋体"/>
          <w:color w:val="auto"/>
          <w:sz w:val="24"/>
          <w:szCs w:val="24"/>
          <w:highlight w:val="none"/>
          <w:lang w:val="en-US" w:eastAsia="zh-CN"/>
        </w:rPr>
        <w:t>同时向中标人</w:t>
      </w:r>
      <w:r>
        <w:rPr>
          <w:rFonts w:hint="eastAsia" w:ascii="宋体" w:hAnsi="宋体" w:eastAsia="宋体" w:cs="宋体"/>
          <w:color w:val="auto"/>
          <w:sz w:val="24"/>
          <w:szCs w:val="24"/>
          <w:highlight w:val="none"/>
        </w:rPr>
        <w:t>发出中标通知书</w:t>
      </w:r>
      <w:r>
        <w:rPr>
          <w:rFonts w:hint="eastAsia" w:ascii="宋体" w:hAnsi="宋体" w:eastAsia="宋体" w:cs="宋体"/>
          <w:color w:val="auto"/>
          <w:sz w:val="24"/>
          <w:szCs w:val="24"/>
          <w:highlight w:val="none"/>
          <w:lang w:eastAsia="zh-CN"/>
        </w:rPr>
        <w:t>。招标文件随中标结果同时公告，</w:t>
      </w:r>
      <w:r>
        <w:rPr>
          <w:rFonts w:hint="eastAsia" w:ascii="宋体" w:hAnsi="宋体" w:eastAsia="宋体" w:cs="宋体"/>
          <w:color w:val="auto"/>
          <w:sz w:val="24"/>
          <w:szCs w:val="24"/>
          <w:highlight w:val="none"/>
        </w:rPr>
        <w:t>中标结果公告期限为1个工作日。</w:t>
      </w:r>
    </w:p>
    <w:p w14:paraId="5352A1F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Cs/>
          <w:color w:val="auto"/>
          <w:sz w:val="24"/>
          <w:szCs w:val="24"/>
          <w:highlight w:val="none"/>
          <w:lang w:eastAsia="zh-CN"/>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1</w:t>
      </w:r>
      <w:r>
        <w:rPr>
          <w:rFonts w:hint="eastAsia" w:ascii="宋体" w:hAnsi="宋体" w:eastAsia="宋体" w:cs="宋体"/>
          <w:bCs/>
          <w:color w:val="auto"/>
          <w:sz w:val="24"/>
          <w:szCs w:val="24"/>
          <w:highlight w:val="none"/>
        </w:rPr>
        <w:t>.2</w:t>
      </w:r>
      <w:r>
        <w:rPr>
          <w:rFonts w:hint="eastAsia" w:ascii="宋体" w:hAnsi="宋体" w:eastAsia="宋体" w:cs="宋体"/>
          <w:bCs/>
          <w:color w:val="auto"/>
          <w:sz w:val="24"/>
          <w:szCs w:val="24"/>
          <w:highlight w:val="none"/>
          <w:lang w:eastAsia="zh-CN"/>
        </w:rPr>
        <w:t>中标供应商为中小企业</w:t>
      </w:r>
      <w:r>
        <w:rPr>
          <w:rFonts w:hint="eastAsia" w:ascii="宋体" w:hAnsi="宋体" w:eastAsia="宋体" w:cs="宋体"/>
          <w:bCs/>
          <w:color w:val="auto"/>
          <w:sz w:val="24"/>
          <w:szCs w:val="24"/>
          <w:highlight w:val="none"/>
          <w:lang w:val="en-US" w:eastAsia="zh-CN"/>
        </w:rPr>
        <w:t>享受中小企业扶持政策的</w:t>
      </w:r>
      <w:r>
        <w:rPr>
          <w:rFonts w:hint="eastAsia" w:ascii="宋体" w:hAnsi="宋体" w:eastAsia="宋体" w:cs="宋体"/>
          <w:bCs/>
          <w:color w:val="auto"/>
          <w:sz w:val="24"/>
          <w:szCs w:val="24"/>
          <w:highlight w:val="none"/>
          <w:lang w:eastAsia="zh-CN"/>
        </w:rPr>
        <w:t>，其“中小企业声明函”随中标结果同时公告。中标供应商为残疾人福利性单位的，其“残疾人福利性单位声明函”随中标结果同时公告。</w:t>
      </w:r>
    </w:p>
    <w:p w14:paraId="3302A7D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31.3</w:t>
      </w:r>
      <w:r>
        <w:rPr>
          <w:rFonts w:hint="eastAsia" w:ascii="宋体" w:hAnsi="宋体" w:eastAsia="宋体" w:cs="宋体"/>
          <w:color w:val="auto"/>
          <w:sz w:val="24"/>
          <w:szCs w:val="24"/>
          <w:highlight w:val="none"/>
        </w:rPr>
        <w:t>项目采购采用最低评标价法的，公告中标结果时同时公告因落实政府采购政策等原因进行价格扣除后中标供应商的评审报价；项目采购采用综合评分法的，公告中标结果时同时公告中标供应商的评审总得分。</w:t>
      </w:r>
    </w:p>
    <w:p w14:paraId="24E8EB4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0" w:name="_Toc19467"/>
      <w:bookmarkStart w:id="361" w:name="_Toc6163"/>
      <w:bookmarkStart w:id="362" w:name="_Toc163492862"/>
      <w:bookmarkStart w:id="363" w:name="_Toc6353"/>
      <w:bookmarkStart w:id="364" w:name="_Toc24102"/>
      <w:bookmarkStart w:id="365" w:name="_Toc140132795"/>
      <w:r>
        <w:rPr>
          <w:rFonts w:hint="eastAsia" w:ascii="宋体" w:hAnsi="宋体" w:eastAsia="宋体" w:cs="宋体"/>
          <w:b/>
          <w:bCs/>
          <w:color w:val="auto"/>
          <w:kern w:val="2"/>
          <w:sz w:val="24"/>
          <w:szCs w:val="24"/>
          <w:highlight w:val="none"/>
          <w:lang w:val="en-US" w:eastAsia="zh-CN" w:bidi="ar-SA"/>
        </w:rPr>
        <w:t>32.中标通知</w:t>
      </w:r>
      <w:bookmarkEnd w:id="360"/>
      <w:bookmarkEnd w:id="361"/>
      <w:bookmarkEnd w:id="362"/>
      <w:bookmarkEnd w:id="363"/>
      <w:bookmarkEnd w:id="364"/>
      <w:bookmarkEnd w:id="365"/>
    </w:p>
    <w:p w14:paraId="41D33E1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2</w:t>
      </w:r>
      <w:r>
        <w:rPr>
          <w:rFonts w:hint="eastAsia" w:ascii="宋体" w:hAnsi="宋体" w:eastAsia="宋体" w:cs="宋体"/>
          <w:color w:val="auto"/>
          <w:sz w:val="24"/>
          <w:szCs w:val="24"/>
          <w:highlight w:val="none"/>
        </w:rPr>
        <w:t>.1采购人和采购代理机构以书面形式向中标人发出中标通知书，同时将招标结果通知未中标的投标人。</w:t>
      </w:r>
    </w:p>
    <w:p w14:paraId="67E9F9A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32.2中标通知书对采购人和中标供应商均具有法律效力。中标通知书发出后，采购人改变中标结果的，或者中标供应商放弃中标项目的，应当依法承担法律责任。</w:t>
      </w:r>
    </w:p>
    <w:p w14:paraId="004C264E">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66" w:name="_Toc30315"/>
      <w:bookmarkStart w:id="367" w:name="_Toc27187"/>
      <w:bookmarkStart w:id="368" w:name="_Toc163492863"/>
      <w:bookmarkStart w:id="369" w:name="_Toc17615"/>
      <w:bookmarkStart w:id="370" w:name="_Toc812"/>
      <w:r>
        <w:rPr>
          <w:rFonts w:hint="eastAsia" w:ascii="宋体" w:hAnsi="宋体" w:eastAsia="宋体" w:cs="宋体"/>
          <w:b/>
          <w:bCs/>
          <w:color w:val="auto"/>
          <w:kern w:val="2"/>
          <w:sz w:val="24"/>
          <w:szCs w:val="24"/>
          <w:highlight w:val="none"/>
          <w:lang w:val="en-US" w:eastAsia="zh-CN" w:bidi="ar-SA"/>
        </w:rPr>
        <w:t>（九）签订</w:t>
      </w:r>
      <w:bookmarkStart w:id="371" w:name="_Toc140132796"/>
      <w:bookmarkStart w:id="372" w:name="_Toc155185880"/>
      <w:r>
        <w:rPr>
          <w:rFonts w:hint="eastAsia" w:ascii="宋体" w:hAnsi="宋体" w:eastAsia="宋体" w:cs="宋体"/>
          <w:b/>
          <w:bCs/>
          <w:color w:val="auto"/>
          <w:kern w:val="2"/>
          <w:sz w:val="24"/>
          <w:szCs w:val="24"/>
          <w:highlight w:val="none"/>
          <w:lang w:val="en-US" w:eastAsia="zh-CN" w:bidi="ar-SA"/>
        </w:rPr>
        <w:t>合同</w:t>
      </w:r>
      <w:bookmarkEnd w:id="366"/>
      <w:bookmarkEnd w:id="367"/>
      <w:bookmarkEnd w:id="368"/>
      <w:bookmarkEnd w:id="369"/>
      <w:bookmarkEnd w:id="370"/>
      <w:bookmarkEnd w:id="371"/>
      <w:bookmarkEnd w:id="372"/>
    </w:p>
    <w:p w14:paraId="547E6B9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73" w:name="_Toc3030"/>
      <w:bookmarkStart w:id="374" w:name="_Toc8948"/>
      <w:bookmarkStart w:id="375" w:name="_Toc21817"/>
      <w:bookmarkStart w:id="376" w:name="_Toc140132797"/>
      <w:bookmarkStart w:id="377" w:name="_Toc1439"/>
      <w:bookmarkStart w:id="378" w:name="_Toc163492864"/>
      <w:r>
        <w:rPr>
          <w:rFonts w:hint="eastAsia" w:ascii="宋体" w:hAnsi="宋体" w:eastAsia="宋体" w:cs="宋体"/>
          <w:b/>
          <w:bCs/>
          <w:color w:val="auto"/>
          <w:kern w:val="2"/>
          <w:sz w:val="24"/>
          <w:szCs w:val="24"/>
          <w:highlight w:val="none"/>
          <w:lang w:val="en-US" w:eastAsia="zh-CN" w:bidi="ar-SA"/>
        </w:rPr>
        <w:t>33.履约保证金</w:t>
      </w:r>
      <w:bookmarkEnd w:id="373"/>
      <w:bookmarkEnd w:id="374"/>
      <w:bookmarkEnd w:id="375"/>
      <w:bookmarkEnd w:id="376"/>
      <w:bookmarkEnd w:id="377"/>
      <w:bookmarkEnd w:id="378"/>
    </w:p>
    <w:p w14:paraId="77717F0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3</w:t>
      </w:r>
      <w:r>
        <w:rPr>
          <w:rFonts w:hint="eastAsia" w:ascii="宋体" w:hAnsi="宋体" w:eastAsia="宋体" w:cs="宋体"/>
          <w:color w:val="auto"/>
          <w:sz w:val="24"/>
          <w:szCs w:val="24"/>
          <w:highlight w:val="none"/>
        </w:rPr>
        <w:t>.1在签订合同前，中标人应按“投标人须知前附表”规定的金额、担保形式和采购人认可的履约担保格式向采购人提交履约保证金。</w:t>
      </w:r>
    </w:p>
    <w:p w14:paraId="73BC7DA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3</w:t>
      </w:r>
      <w:r>
        <w:rPr>
          <w:rFonts w:hint="eastAsia" w:ascii="宋体" w:hAnsi="宋体" w:eastAsia="宋体" w:cs="宋体"/>
          <w:color w:val="auto"/>
          <w:sz w:val="24"/>
          <w:szCs w:val="24"/>
          <w:highlight w:val="none"/>
        </w:rPr>
        <w:t>.2中标人不能按本章第3</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.1项要求提交履约担保的，视为放弃中标，给采购人造成损失的，中标人还应当承担民事责任。</w:t>
      </w:r>
    </w:p>
    <w:p w14:paraId="4B3DD6F8">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79" w:name="_Toc12603"/>
      <w:bookmarkStart w:id="380" w:name="_Toc1975"/>
      <w:bookmarkStart w:id="381" w:name="_Toc140132798"/>
      <w:bookmarkStart w:id="382" w:name="_Toc10817"/>
      <w:bookmarkStart w:id="383" w:name="_Toc163492865"/>
      <w:bookmarkStart w:id="384" w:name="_Toc31706"/>
      <w:r>
        <w:rPr>
          <w:rFonts w:hint="eastAsia" w:ascii="宋体" w:hAnsi="宋体" w:eastAsia="宋体" w:cs="宋体"/>
          <w:b/>
          <w:bCs/>
          <w:color w:val="auto"/>
          <w:kern w:val="2"/>
          <w:sz w:val="24"/>
          <w:szCs w:val="24"/>
          <w:highlight w:val="none"/>
          <w:lang w:val="en-US" w:eastAsia="zh-CN" w:bidi="ar-SA"/>
        </w:rPr>
        <w:t>34.签订合同</w:t>
      </w:r>
      <w:bookmarkEnd w:id="379"/>
      <w:bookmarkEnd w:id="380"/>
      <w:bookmarkEnd w:id="381"/>
      <w:bookmarkEnd w:id="382"/>
      <w:bookmarkEnd w:id="383"/>
      <w:bookmarkEnd w:id="384"/>
    </w:p>
    <w:p w14:paraId="77507EB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.1 采购人和中标人应当自中标通知书发出之日起</w:t>
      </w:r>
      <w:r>
        <w:rPr>
          <w:rFonts w:hint="eastAsia" w:ascii="宋体" w:hAnsi="宋体" w:eastAsia="宋体" w:cs="宋体"/>
          <w:color w:val="auto"/>
          <w:sz w:val="24"/>
          <w:szCs w:val="24"/>
          <w:highlight w:val="none"/>
          <w:lang w:val="en-US" w:eastAsia="zh-CN"/>
        </w:rPr>
        <w:t>2</w:t>
      </w:r>
      <w:r>
        <w:rPr>
          <w:rFonts w:hint="eastAsia" w:cs="宋体"/>
          <w:color w:val="auto"/>
          <w:sz w:val="24"/>
          <w:szCs w:val="24"/>
          <w:highlight w:val="none"/>
          <w:lang w:val="en-US" w:eastAsia="zh-CN"/>
        </w:rPr>
        <w:t>0</w:t>
      </w:r>
      <w:r>
        <w:rPr>
          <w:rFonts w:hint="eastAsia" w:ascii="宋体" w:hAnsi="宋体" w:eastAsia="宋体" w:cs="宋体"/>
          <w:color w:val="auto"/>
          <w:sz w:val="24"/>
          <w:szCs w:val="24"/>
          <w:highlight w:val="none"/>
        </w:rPr>
        <w:t>天内（最长不超过30日内），根据招标文件和中标人的投标文件订立书面合同。采购人因不可抗力原因迟延签订合同的，应当自不可抗力事由消除之日起7日内完成合同签订事宜。所签订的合同不得对招标文件和中标人投标文件作实质性修改。中标人无正当理由拒签合同，给采购人造成损失的，中标人还应当承担民事责任。</w:t>
      </w:r>
    </w:p>
    <w:p w14:paraId="72CF4FD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34.2 中标人拒绝与采购人签订合同的，采购人可以按照评标报告推荐的中标候选人名单排序，确定下一候选人为中标人，也可以重新开展政府采购活动。</w:t>
      </w:r>
    </w:p>
    <w:p w14:paraId="0D3421B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 xml:space="preserve"> 采购人和中标人不得向对方提出任何不合理的要求，作为签订合同的条件，双方不得私下订立背离合同实质性内容的协议。</w:t>
      </w:r>
    </w:p>
    <w:p w14:paraId="5551DDA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34.4 联合体中标的，联合体各方应当共同与采购人签订合同，就采购合同约定的事项向采购人承担连带责任。</w:t>
      </w:r>
    </w:p>
    <w:p w14:paraId="2BA187E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34.5 本项目是否允许分包，见“投标人须知前附表”。采购人允许采用分包方式履行合同的，中标人可以依法在中标后将中标项目的工作采取分包方式履行合同。政府采购合同分包履行的，应当在投标文件中载明分包承担主体</w:t>
      </w:r>
      <w:r>
        <w:rPr>
          <w:rFonts w:hint="eastAsia" w:cs="宋体"/>
          <w:color w:val="auto"/>
          <w:sz w:val="24"/>
          <w:szCs w:val="24"/>
          <w:highlight w:val="none"/>
          <w:lang w:val="en-US" w:eastAsia="zh-CN"/>
        </w:rPr>
        <w:t>（或提交分包承诺），</w:t>
      </w:r>
      <w:r>
        <w:rPr>
          <w:rFonts w:hint="eastAsia" w:ascii="宋体" w:hAnsi="宋体" w:eastAsia="宋体" w:cs="宋体"/>
          <w:color w:val="auto"/>
          <w:sz w:val="24"/>
          <w:szCs w:val="24"/>
          <w:highlight w:val="none"/>
          <w:lang w:val="en-US" w:eastAsia="zh-CN"/>
        </w:rPr>
        <w:t>分包承担主体应当具备相应资质条件且不得再次分包，否则</w:t>
      </w:r>
      <w:r>
        <w:rPr>
          <w:rFonts w:hint="eastAsia" w:ascii="宋体" w:hAnsi="宋体" w:eastAsia="宋体" w:cs="宋体"/>
          <w:b/>
          <w:bCs/>
          <w:color w:val="auto"/>
          <w:sz w:val="24"/>
          <w:szCs w:val="24"/>
          <w:highlight w:val="none"/>
          <w:lang w:val="en-US" w:eastAsia="zh-CN"/>
        </w:rPr>
        <w:t>投标无效</w:t>
      </w:r>
      <w:r>
        <w:rPr>
          <w:rFonts w:hint="eastAsia" w:ascii="宋体" w:hAnsi="宋体" w:eastAsia="宋体" w:cs="宋体"/>
          <w:color w:val="auto"/>
          <w:sz w:val="24"/>
          <w:szCs w:val="24"/>
          <w:highlight w:val="none"/>
          <w:lang w:val="en-US" w:eastAsia="zh-CN"/>
        </w:rPr>
        <w:t>。中标人就采购项目和分包项目向采购人负责，分包供应商就分包项目承担责任。</w:t>
      </w:r>
      <w:r>
        <w:rPr>
          <w:rFonts w:hint="eastAsia" w:ascii="宋体" w:hAnsi="宋体" w:eastAsia="宋体" w:cs="宋体"/>
          <w:b/>
          <w:bCs/>
          <w:color w:val="auto"/>
          <w:sz w:val="24"/>
          <w:szCs w:val="24"/>
          <w:highlight w:val="none"/>
          <w:lang w:val="en-US" w:eastAsia="zh-CN"/>
        </w:rPr>
        <w:t>政府采购合同不能转包。</w:t>
      </w:r>
    </w:p>
    <w:p w14:paraId="13D12B8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4</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采购合同履行中，采购人需追加与合同标的相同的</w:t>
      </w:r>
      <w:r>
        <w:rPr>
          <w:rFonts w:hint="eastAsia" w:ascii="宋体" w:hAnsi="宋体" w:eastAsia="宋体" w:cs="宋体"/>
          <w:color w:val="auto"/>
          <w:sz w:val="24"/>
          <w:szCs w:val="24"/>
          <w:highlight w:val="none"/>
          <w:lang w:val="en-US" w:eastAsia="zh-CN"/>
        </w:rPr>
        <w:t>货物、工程或者服务</w:t>
      </w:r>
      <w:r>
        <w:rPr>
          <w:rFonts w:hint="eastAsia" w:ascii="宋体" w:hAnsi="宋体" w:eastAsia="宋体" w:cs="宋体"/>
          <w:color w:val="auto"/>
          <w:sz w:val="24"/>
          <w:szCs w:val="24"/>
          <w:highlight w:val="none"/>
        </w:rPr>
        <w:t>的，在不改变合同其他条款的前提下，可以与中标人协商签订补充合同，但所有补充合同的采购金额不得超过原合同采购金额的百分之十。</w:t>
      </w:r>
    </w:p>
    <w:p w14:paraId="259D0E8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34.7 采购人应于签订合同之日起2个工作日内在政采云平台备案公示。</w:t>
      </w:r>
    </w:p>
    <w:p w14:paraId="12490EB6">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85" w:name="_Toc155185881"/>
      <w:bookmarkStart w:id="386" w:name="_Toc22067"/>
      <w:bookmarkStart w:id="387" w:name="_Toc163492866"/>
      <w:bookmarkStart w:id="388" w:name="_Toc3645"/>
      <w:bookmarkStart w:id="389" w:name="_Toc14069"/>
      <w:bookmarkStart w:id="390" w:name="_Toc140132799"/>
      <w:bookmarkStart w:id="391" w:name="_Toc23066"/>
      <w:r>
        <w:rPr>
          <w:rFonts w:hint="eastAsia" w:ascii="宋体" w:hAnsi="宋体" w:eastAsia="宋体" w:cs="宋体"/>
          <w:b/>
          <w:bCs/>
          <w:color w:val="auto"/>
          <w:kern w:val="2"/>
          <w:sz w:val="24"/>
          <w:szCs w:val="24"/>
          <w:highlight w:val="none"/>
          <w:lang w:val="en-US" w:eastAsia="zh-CN" w:bidi="ar-SA"/>
        </w:rPr>
        <w:t>（十）质疑和投诉</w:t>
      </w:r>
      <w:bookmarkEnd w:id="385"/>
      <w:bookmarkEnd w:id="386"/>
      <w:bookmarkEnd w:id="387"/>
      <w:bookmarkEnd w:id="388"/>
      <w:bookmarkEnd w:id="389"/>
      <w:bookmarkEnd w:id="390"/>
      <w:bookmarkEnd w:id="391"/>
    </w:p>
    <w:p w14:paraId="23BE6A9F">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2" w:name="_Toc31662"/>
      <w:bookmarkStart w:id="393" w:name="_Toc163492867"/>
      <w:bookmarkStart w:id="394" w:name="_Toc140132800"/>
      <w:bookmarkStart w:id="395" w:name="_Toc6362"/>
      <w:bookmarkStart w:id="396" w:name="_Toc5521"/>
      <w:bookmarkStart w:id="397" w:name="_Toc17195"/>
      <w:r>
        <w:rPr>
          <w:rFonts w:hint="eastAsia" w:ascii="宋体" w:hAnsi="宋体" w:eastAsia="宋体" w:cs="宋体"/>
          <w:b/>
          <w:bCs/>
          <w:color w:val="auto"/>
          <w:kern w:val="2"/>
          <w:sz w:val="24"/>
          <w:szCs w:val="24"/>
          <w:highlight w:val="none"/>
          <w:lang w:val="en-US" w:eastAsia="zh-CN" w:bidi="ar-SA"/>
        </w:rPr>
        <w:t>35.质疑</w:t>
      </w:r>
      <w:bookmarkEnd w:id="392"/>
      <w:bookmarkEnd w:id="393"/>
      <w:bookmarkEnd w:id="394"/>
      <w:bookmarkEnd w:id="395"/>
      <w:bookmarkEnd w:id="396"/>
      <w:bookmarkEnd w:id="397"/>
    </w:p>
    <w:p w14:paraId="097AA16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.1供应商认为采购文件、采购过程、中标结果使自己的权益受到损害的，可以在知道或者应知其权益受到损害之日起7个工作日内，以书面形式向采购人、采购代理机构提出质疑</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详见“投标人须知前附表”</w:t>
      </w:r>
      <w:r>
        <w:rPr>
          <w:rFonts w:hint="eastAsia" w:ascii="宋体" w:hAnsi="宋体" w:eastAsia="宋体" w:cs="宋体"/>
          <w:color w:val="auto"/>
          <w:sz w:val="24"/>
          <w:szCs w:val="24"/>
          <w:highlight w:val="none"/>
        </w:rPr>
        <w:t>。供应商在法定质疑期内一次性提出针对同一采购程序环节的质疑。</w:t>
      </w:r>
    </w:p>
    <w:p w14:paraId="492A54F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.2提出质疑的供应商（以下简称质疑供应商）应当是参与所质疑项目采购活动的供应商。</w:t>
      </w:r>
    </w:p>
    <w:p w14:paraId="6503DC7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35.3</w:t>
      </w:r>
      <w:r>
        <w:rPr>
          <w:rFonts w:hint="eastAsia" w:ascii="宋体" w:hAnsi="宋体" w:eastAsia="宋体" w:cs="宋体"/>
          <w:color w:val="auto"/>
          <w:sz w:val="24"/>
          <w:szCs w:val="24"/>
          <w:highlight w:val="none"/>
        </w:rPr>
        <w:t>潜在供应商已依法获取其可质疑的采购文件的，可以对该文件提出质疑。对采购文件提出质疑的，应当在获取采购文件或者采购文件公告期限届满之日起7个工作日内提出。</w:t>
      </w:r>
    </w:p>
    <w:p w14:paraId="58321ED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35.4</w:t>
      </w:r>
      <w:r>
        <w:rPr>
          <w:rFonts w:hint="eastAsia" w:ascii="宋体" w:hAnsi="宋体" w:eastAsia="宋体" w:cs="宋体"/>
          <w:color w:val="auto"/>
          <w:sz w:val="24"/>
          <w:szCs w:val="24"/>
          <w:highlight w:val="none"/>
        </w:rPr>
        <w:t>供应商提出质疑应当提交质疑函和必要的证明材料。质疑函应当包括下列内容：</w:t>
      </w:r>
    </w:p>
    <w:p w14:paraId="682A84D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）供应商的姓名或者名称、地址、邮编、联系人及联系电话；</w:t>
      </w:r>
    </w:p>
    <w:p w14:paraId="388DB77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）质疑项目的名称、</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rPr>
        <w:t>编号</w:t>
      </w:r>
      <w:r>
        <w:rPr>
          <w:rFonts w:hint="eastAsia" w:cs="宋体"/>
          <w:color w:val="auto"/>
          <w:sz w:val="24"/>
          <w:szCs w:val="24"/>
          <w:highlight w:val="none"/>
          <w:lang w:val="en-US" w:eastAsia="zh-CN"/>
        </w:rPr>
        <w:t>及</w:t>
      </w:r>
      <w:r>
        <w:rPr>
          <w:rFonts w:hint="eastAsia"/>
          <w:color w:val="auto"/>
          <w:sz w:val="24"/>
          <w:highlight w:val="none"/>
          <w:lang w:val="en-US" w:eastAsia="zh-CN"/>
        </w:rPr>
        <w:t>包号（如有）</w:t>
      </w:r>
      <w:r>
        <w:rPr>
          <w:rFonts w:hint="eastAsia" w:ascii="宋体" w:hAnsi="宋体" w:eastAsia="宋体" w:cs="宋体"/>
          <w:color w:val="auto"/>
          <w:sz w:val="24"/>
          <w:szCs w:val="24"/>
          <w:highlight w:val="none"/>
        </w:rPr>
        <w:t>；</w:t>
      </w:r>
    </w:p>
    <w:p w14:paraId="7C9D471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）具体、明确的质疑事项和与质疑事项相关的请求；</w:t>
      </w:r>
    </w:p>
    <w:p w14:paraId="3C52874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）事实依据；</w:t>
      </w:r>
    </w:p>
    <w:p w14:paraId="3EEC5BF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）必要的法律依据；</w:t>
      </w:r>
    </w:p>
    <w:p w14:paraId="2E14DE4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）提出质疑的日期。</w:t>
      </w:r>
    </w:p>
    <w:p w14:paraId="553B627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供应商为自然人的，应当由本人签字；供应商为法人或者其他组织的，应当由法定代表人、主要负责人，或者其授权代表签字或者盖章，并加盖公章。</w:t>
      </w:r>
    </w:p>
    <w:p w14:paraId="5BBD16A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.5质疑函不符合上述要求的，采购人或代理机构应书面告知具体事项，质疑人应当按要求进行修改或补充，并在质疑有效期限内提交。</w:t>
      </w:r>
    </w:p>
    <w:p w14:paraId="4A4B924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rPr>
        <w:t>3</w:t>
      </w:r>
      <w:r>
        <w:rPr>
          <w:rFonts w:hint="eastAsia" w:ascii="宋体" w:hAnsi="宋体" w:eastAsia="宋体" w:cs="宋体"/>
          <w:snapToGrid w:val="0"/>
          <w:color w:val="auto"/>
          <w:sz w:val="24"/>
          <w:szCs w:val="24"/>
          <w:highlight w:val="none"/>
          <w:lang w:val="en-US" w:eastAsia="zh-CN"/>
        </w:rPr>
        <w:t>5</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6</w:t>
      </w:r>
      <w:r>
        <w:rPr>
          <w:rFonts w:hint="eastAsia" w:ascii="宋体" w:hAnsi="宋体" w:eastAsia="宋体" w:cs="宋体"/>
          <w:snapToGrid w:val="0"/>
          <w:color w:val="auto"/>
          <w:sz w:val="24"/>
          <w:szCs w:val="24"/>
          <w:highlight w:val="none"/>
        </w:rPr>
        <w:t>投标人进行虚假和恶意</w:t>
      </w:r>
      <w:r>
        <w:rPr>
          <w:rFonts w:hint="eastAsia" w:ascii="宋体" w:hAnsi="宋体" w:eastAsia="宋体" w:cs="宋体"/>
          <w:snapToGrid w:val="0"/>
          <w:color w:val="auto"/>
          <w:sz w:val="24"/>
          <w:szCs w:val="24"/>
          <w:highlight w:val="none"/>
          <w:lang w:val="en-US" w:eastAsia="zh-CN"/>
        </w:rPr>
        <w:t>质疑投诉</w:t>
      </w:r>
      <w:r>
        <w:rPr>
          <w:rFonts w:hint="eastAsia" w:ascii="宋体" w:hAnsi="宋体" w:eastAsia="宋体" w:cs="宋体"/>
          <w:snapToGrid w:val="0"/>
          <w:color w:val="auto"/>
          <w:sz w:val="24"/>
          <w:szCs w:val="24"/>
          <w:highlight w:val="none"/>
        </w:rPr>
        <w:t>的，采购代理机构将提请有关部门将其列入不良记录名单，在一至三年内禁止参加政府采购活动，并将处理决定在相关政府采购媒体上公布。</w:t>
      </w:r>
    </w:p>
    <w:p w14:paraId="184C71D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35.7</w:t>
      </w:r>
      <w:r>
        <w:rPr>
          <w:rFonts w:hint="eastAsia" w:ascii="宋体" w:hAnsi="宋体" w:eastAsia="宋体" w:cs="宋体"/>
          <w:color w:val="auto"/>
          <w:sz w:val="24"/>
          <w:szCs w:val="24"/>
          <w:highlight w:val="none"/>
        </w:rPr>
        <w:t>质疑函</w:t>
      </w:r>
      <w:r>
        <w:rPr>
          <w:rFonts w:hint="eastAsia" w:ascii="宋体" w:hAnsi="宋体" w:eastAsia="宋体" w:cs="宋体"/>
          <w:color w:val="auto"/>
          <w:sz w:val="24"/>
          <w:szCs w:val="24"/>
          <w:highlight w:val="none"/>
          <w:lang w:val="en-US" w:eastAsia="zh-CN"/>
        </w:rPr>
        <w:t>应当使用中文，并采用财政部门制定的范本。</w:t>
      </w:r>
    </w:p>
    <w:p w14:paraId="6E7964C0">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398" w:name="_Toc7060"/>
      <w:bookmarkStart w:id="399" w:name="_Toc30183"/>
      <w:bookmarkStart w:id="400" w:name="_Toc163492868"/>
      <w:bookmarkStart w:id="401" w:name="_Toc15462"/>
      <w:bookmarkStart w:id="402" w:name="_Toc140132801"/>
      <w:bookmarkStart w:id="403" w:name="_Toc2308"/>
      <w:r>
        <w:rPr>
          <w:rFonts w:hint="eastAsia" w:ascii="宋体" w:hAnsi="宋体" w:eastAsia="宋体" w:cs="宋体"/>
          <w:b/>
          <w:bCs/>
          <w:color w:val="auto"/>
          <w:kern w:val="2"/>
          <w:sz w:val="24"/>
          <w:szCs w:val="24"/>
          <w:highlight w:val="none"/>
          <w:lang w:val="en-US" w:eastAsia="zh-CN" w:bidi="ar-SA"/>
        </w:rPr>
        <w:t>36.质疑答复</w:t>
      </w:r>
      <w:bookmarkEnd w:id="398"/>
      <w:bookmarkEnd w:id="399"/>
      <w:bookmarkEnd w:id="400"/>
      <w:bookmarkEnd w:id="401"/>
      <w:bookmarkEnd w:id="402"/>
      <w:bookmarkEnd w:id="403"/>
    </w:p>
    <w:p w14:paraId="43D7F91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bookmarkStart w:id="404" w:name="_Toc140132802"/>
      <w:bookmarkStart w:id="405" w:name="_Toc163492869"/>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.1采购人、采购代理机构不得拒收质疑供应商在法定质疑期内发出的质疑函，应当在收到质疑函后7个工作日内作出答复，并以书面形式通知质疑供应商和其他有关供应商。</w:t>
      </w:r>
    </w:p>
    <w:p w14:paraId="4E9D6E2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36.2供应商对评审过程、中标结果提出质疑的，采购人、采购代理机构可以组织原评标委员会协助答复质疑。</w:t>
      </w:r>
    </w:p>
    <w:p w14:paraId="0056DA5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质疑答复应当包括下列内容：</w:t>
      </w:r>
    </w:p>
    <w:p w14:paraId="34339C8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val="zh-CN" w:eastAsia="zh-CN"/>
        </w:rPr>
        <w:t>）质疑供应商的姓名或者名称；</w:t>
      </w:r>
    </w:p>
    <w:p w14:paraId="2F25172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val="zh-CN" w:eastAsia="zh-CN"/>
        </w:rPr>
        <w:t>）收到质疑函的日期、质疑项目名称及</w:t>
      </w:r>
      <w:r>
        <w:rPr>
          <w:rFonts w:hint="eastAsia" w:ascii="宋体" w:hAnsi="宋体" w:eastAsia="宋体" w:cs="宋体"/>
          <w:color w:val="auto"/>
          <w:sz w:val="24"/>
          <w:szCs w:val="24"/>
          <w:highlight w:val="none"/>
          <w:lang w:val="en-US" w:eastAsia="zh-CN"/>
        </w:rPr>
        <w:t>项目</w:t>
      </w:r>
      <w:r>
        <w:rPr>
          <w:rFonts w:hint="eastAsia" w:ascii="宋体" w:hAnsi="宋体" w:eastAsia="宋体" w:cs="宋体"/>
          <w:color w:val="auto"/>
          <w:sz w:val="24"/>
          <w:szCs w:val="24"/>
          <w:highlight w:val="none"/>
          <w:lang w:val="zh-CN" w:eastAsia="zh-CN"/>
        </w:rPr>
        <w:t>编号</w:t>
      </w:r>
      <w:r>
        <w:rPr>
          <w:rFonts w:hint="eastAsia"/>
          <w:color w:val="auto"/>
          <w:sz w:val="24"/>
          <w:highlight w:val="none"/>
          <w:lang w:val="en-US" w:eastAsia="zh-CN"/>
        </w:rPr>
        <w:t>及包号（如有）</w:t>
      </w:r>
      <w:r>
        <w:rPr>
          <w:rFonts w:hint="eastAsia" w:ascii="宋体" w:hAnsi="宋体" w:eastAsia="宋体" w:cs="宋体"/>
          <w:color w:val="auto"/>
          <w:sz w:val="24"/>
          <w:szCs w:val="24"/>
          <w:highlight w:val="none"/>
          <w:lang w:val="zh-CN" w:eastAsia="zh-CN"/>
        </w:rPr>
        <w:t>；</w:t>
      </w:r>
    </w:p>
    <w:p w14:paraId="1365ED7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val="zh-CN" w:eastAsia="zh-CN"/>
        </w:rPr>
        <w:t>）质疑事项、质疑答复的具体内容、事实依据和法律依据；</w:t>
      </w:r>
    </w:p>
    <w:p w14:paraId="3C71AFF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）告知质疑供应商依法投诉的权利；</w:t>
      </w:r>
    </w:p>
    <w:p w14:paraId="77F64A3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val="zh-CN" w:eastAsia="zh-CN"/>
        </w:rPr>
        <w:t>）质疑答复人名称；</w:t>
      </w:r>
    </w:p>
    <w:p w14:paraId="52743A2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val="zh-CN" w:eastAsia="zh-CN"/>
        </w:rPr>
        <w:t>）答复质疑的日期。</w:t>
      </w:r>
    </w:p>
    <w:p w14:paraId="56A5E1E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质疑答复的内容不得涉及商业秘密。</w:t>
      </w:r>
    </w:p>
    <w:p w14:paraId="631FD1E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06" w:name="_Toc14993"/>
      <w:bookmarkStart w:id="407" w:name="_Toc4201"/>
      <w:bookmarkStart w:id="408" w:name="_Toc13241"/>
      <w:bookmarkStart w:id="409" w:name="_Toc8648"/>
      <w:r>
        <w:rPr>
          <w:rFonts w:hint="eastAsia" w:ascii="宋体" w:hAnsi="宋体" w:eastAsia="宋体" w:cs="宋体"/>
          <w:b/>
          <w:bCs/>
          <w:color w:val="auto"/>
          <w:kern w:val="2"/>
          <w:sz w:val="24"/>
          <w:szCs w:val="24"/>
          <w:highlight w:val="none"/>
          <w:lang w:val="en-US" w:eastAsia="zh-CN" w:bidi="ar-SA"/>
        </w:rPr>
        <w:t>37.投诉</w:t>
      </w:r>
      <w:bookmarkEnd w:id="404"/>
      <w:bookmarkEnd w:id="405"/>
      <w:bookmarkEnd w:id="406"/>
      <w:bookmarkEnd w:id="407"/>
      <w:bookmarkEnd w:id="408"/>
      <w:bookmarkEnd w:id="409"/>
    </w:p>
    <w:p w14:paraId="34C5EAA0">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37.1</w:t>
      </w:r>
      <w:r>
        <w:rPr>
          <w:rFonts w:hint="eastAsia" w:ascii="宋体" w:hAnsi="宋体" w:eastAsia="宋体" w:cs="宋体"/>
          <w:color w:val="auto"/>
          <w:sz w:val="24"/>
          <w:szCs w:val="24"/>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color w:val="auto"/>
          <w:sz w:val="24"/>
          <w:szCs w:val="24"/>
          <w:highlight w:val="none"/>
          <w:lang w:val="en-US" w:eastAsia="zh-CN"/>
        </w:rPr>
        <w:t>同级政府采购监督管理部门</w:t>
      </w:r>
      <w:r>
        <w:rPr>
          <w:rFonts w:hint="eastAsia" w:ascii="宋体" w:hAnsi="宋体" w:eastAsia="宋体" w:cs="宋体"/>
          <w:color w:val="auto"/>
          <w:sz w:val="24"/>
          <w:szCs w:val="24"/>
          <w:highlight w:val="none"/>
        </w:rPr>
        <w:t>提起投诉。</w:t>
      </w:r>
    </w:p>
    <w:p w14:paraId="7AE3C0F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37.2</w:t>
      </w:r>
      <w:r>
        <w:rPr>
          <w:rFonts w:hint="eastAsia" w:ascii="宋体" w:hAnsi="宋体" w:eastAsia="宋体" w:cs="宋体"/>
          <w:color w:val="auto"/>
          <w:sz w:val="24"/>
          <w:szCs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）投诉人和被投诉人的姓名或者名称、通讯地址、邮编、联系人及联系电话；</w:t>
      </w:r>
    </w:p>
    <w:p w14:paraId="1A65A10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）质疑和质疑答复情况说明及相关证明材料；</w:t>
      </w:r>
    </w:p>
    <w:p w14:paraId="675A6D9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）具体、明确的投诉事项和与投诉事项相关的投诉请求；</w:t>
      </w:r>
    </w:p>
    <w:p w14:paraId="4A0C159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）事实依据；</w:t>
      </w:r>
    </w:p>
    <w:p w14:paraId="4CFD3E0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）法律依据；</w:t>
      </w:r>
    </w:p>
    <w:p w14:paraId="35FA6A4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）提起投诉的日期。</w:t>
      </w:r>
    </w:p>
    <w:p w14:paraId="4FC7C3A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投诉人为自然人的，应当由本人签字；投诉人为法人或者其他组织的，应当由法定代表人、主要负责人，或者其授权代表签字或者盖章，并加盖公章。</w:t>
      </w:r>
    </w:p>
    <w:p w14:paraId="4DF335B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Cs/>
          <w:color w:val="auto"/>
          <w:sz w:val="24"/>
          <w:szCs w:val="24"/>
          <w:highlight w:val="none"/>
        </w:rPr>
      </w:pPr>
      <w:r>
        <w:rPr>
          <w:rFonts w:hint="eastAsia" w:ascii="宋体" w:hAnsi="宋体" w:eastAsia="宋体" w:cs="宋体"/>
          <w:color w:val="auto"/>
          <w:sz w:val="24"/>
          <w:szCs w:val="24"/>
          <w:highlight w:val="none"/>
          <w:lang w:val="en-US" w:eastAsia="zh-CN"/>
        </w:rPr>
        <w:t>37.3</w:t>
      </w:r>
      <w:r>
        <w:rPr>
          <w:rFonts w:hint="eastAsia" w:ascii="宋体" w:hAnsi="宋体" w:eastAsia="宋体" w:cs="宋体"/>
          <w:color w:val="auto"/>
          <w:sz w:val="24"/>
          <w:szCs w:val="24"/>
          <w:highlight w:val="none"/>
        </w:rPr>
        <w:t>供应商</w:t>
      </w:r>
      <w:r>
        <w:rPr>
          <w:rFonts w:hint="eastAsia" w:ascii="宋体" w:hAnsi="宋体" w:eastAsia="宋体" w:cs="宋体"/>
          <w:color w:val="auto"/>
          <w:sz w:val="24"/>
          <w:szCs w:val="24"/>
          <w:highlight w:val="none"/>
          <w:lang w:val="en-US" w:eastAsia="zh-CN"/>
        </w:rPr>
        <w:t>质疑、</w:t>
      </w:r>
      <w:r>
        <w:rPr>
          <w:rFonts w:hint="eastAsia" w:ascii="宋体" w:hAnsi="宋体" w:eastAsia="宋体" w:cs="宋体"/>
          <w:color w:val="auto"/>
          <w:sz w:val="24"/>
          <w:szCs w:val="24"/>
          <w:highlight w:val="none"/>
        </w:rPr>
        <w:t>投诉</w:t>
      </w:r>
      <w:r>
        <w:rPr>
          <w:rFonts w:hint="eastAsia" w:ascii="宋体" w:hAnsi="宋体" w:eastAsia="宋体" w:cs="宋体"/>
          <w:color w:val="auto"/>
          <w:sz w:val="24"/>
          <w:szCs w:val="24"/>
          <w:highlight w:val="none"/>
          <w:lang w:val="en-US" w:eastAsia="zh-CN"/>
        </w:rPr>
        <w:t>应当有明确的请求和必要的证明材料</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供应商投诉的事项不得超出</w:t>
      </w:r>
      <w:r>
        <w:rPr>
          <w:rFonts w:hint="eastAsia" w:ascii="宋体" w:hAnsi="宋体" w:eastAsia="宋体" w:cs="宋体"/>
          <w:color w:val="auto"/>
          <w:sz w:val="24"/>
          <w:szCs w:val="24"/>
          <w:highlight w:val="none"/>
          <w:lang w:val="en-US" w:eastAsia="zh-CN"/>
        </w:rPr>
        <w:t>已</w:t>
      </w:r>
      <w:r>
        <w:rPr>
          <w:rFonts w:hint="eastAsia" w:ascii="宋体" w:hAnsi="宋体" w:eastAsia="宋体" w:cs="宋体"/>
          <w:color w:val="auto"/>
          <w:sz w:val="24"/>
          <w:szCs w:val="24"/>
          <w:highlight w:val="none"/>
        </w:rPr>
        <w:t>质疑事项的范围，但基于质疑答复内容提出的投诉事项除外</w:t>
      </w:r>
      <w:r>
        <w:rPr>
          <w:rFonts w:hint="eastAsia" w:ascii="宋体" w:hAnsi="宋体" w:eastAsia="宋体" w:cs="宋体"/>
          <w:bCs/>
          <w:color w:val="auto"/>
          <w:sz w:val="24"/>
          <w:szCs w:val="24"/>
          <w:highlight w:val="none"/>
        </w:rPr>
        <w:t>。</w:t>
      </w:r>
    </w:p>
    <w:p w14:paraId="0C7738C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bCs/>
          <w:color w:val="auto"/>
          <w:sz w:val="24"/>
          <w:szCs w:val="24"/>
          <w:highlight w:val="none"/>
        </w:rPr>
      </w:pPr>
      <w:r>
        <w:rPr>
          <w:rFonts w:hint="eastAsia" w:ascii="宋体" w:hAnsi="宋体" w:eastAsia="宋体" w:cs="宋体"/>
          <w:snapToGrid w:val="0"/>
          <w:color w:val="auto"/>
          <w:sz w:val="24"/>
          <w:szCs w:val="24"/>
          <w:highlight w:val="none"/>
          <w:lang w:val="en-US" w:eastAsia="zh-CN"/>
        </w:rPr>
        <w:t>37.4</w:t>
      </w:r>
      <w:r>
        <w:rPr>
          <w:rFonts w:hint="eastAsia" w:ascii="宋体" w:hAnsi="宋体" w:eastAsia="宋体" w:cs="宋体"/>
          <w:color w:val="auto"/>
          <w:sz w:val="24"/>
          <w:szCs w:val="24"/>
          <w:highlight w:val="none"/>
          <w:lang w:val="en-US" w:eastAsia="zh-CN"/>
        </w:rPr>
        <w:t>投诉书应当使用中文，并采用财政部门制定的范本。</w:t>
      </w:r>
    </w:p>
    <w:p w14:paraId="076E00EB">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0" w:name="_Toc26619"/>
      <w:bookmarkStart w:id="411" w:name="_Toc155185882"/>
      <w:bookmarkStart w:id="412" w:name="_Toc25532"/>
      <w:bookmarkStart w:id="413" w:name="_Toc19407"/>
      <w:bookmarkStart w:id="414" w:name="_Toc11529"/>
      <w:bookmarkStart w:id="415" w:name="_Toc140132803"/>
      <w:bookmarkStart w:id="416" w:name="_Toc163492870"/>
      <w:r>
        <w:rPr>
          <w:rFonts w:hint="eastAsia" w:ascii="宋体" w:hAnsi="宋体" w:eastAsia="宋体" w:cs="宋体"/>
          <w:b/>
          <w:bCs/>
          <w:color w:val="auto"/>
          <w:kern w:val="2"/>
          <w:sz w:val="24"/>
          <w:szCs w:val="24"/>
          <w:highlight w:val="none"/>
          <w:lang w:val="en-US" w:eastAsia="zh-CN" w:bidi="ar-SA"/>
        </w:rPr>
        <w:t>（十一）采购代理服务费</w:t>
      </w:r>
      <w:bookmarkEnd w:id="410"/>
      <w:bookmarkEnd w:id="411"/>
      <w:bookmarkEnd w:id="412"/>
      <w:bookmarkEnd w:id="413"/>
      <w:bookmarkEnd w:id="414"/>
      <w:bookmarkEnd w:id="415"/>
      <w:bookmarkEnd w:id="416"/>
    </w:p>
    <w:p w14:paraId="3EF5B76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17" w:name="_Toc16634"/>
      <w:bookmarkStart w:id="418" w:name="_Toc21533"/>
      <w:bookmarkStart w:id="419" w:name="_Toc140132804"/>
      <w:bookmarkStart w:id="420" w:name="_Toc163492871"/>
      <w:bookmarkStart w:id="421" w:name="_Toc17640"/>
      <w:bookmarkStart w:id="422" w:name="_Toc16138"/>
      <w:r>
        <w:rPr>
          <w:rFonts w:hint="eastAsia" w:ascii="宋体" w:hAnsi="宋体" w:eastAsia="宋体" w:cs="宋体"/>
          <w:b/>
          <w:bCs/>
          <w:color w:val="auto"/>
          <w:kern w:val="2"/>
          <w:sz w:val="24"/>
          <w:szCs w:val="24"/>
          <w:highlight w:val="none"/>
          <w:lang w:val="en-US" w:eastAsia="zh-CN" w:bidi="ar-SA"/>
        </w:rPr>
        <w:t>38.收取方式和标准</w:t>
      </w:r>
      <w:bookmarkEnd w:id="417"/>
      <w:bookmarkEnd w:id="418"/>
      <w:bookmarkEnd w:id="419"/>
      <w:bookmarkEnd w:id="420"/>
      <w:bookmarkEnd w:id="421"/>
      <w:bookmarkEnd w:id="422"/>
    </w:p>
    <w:p w14:paraId="0FDD9E2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bCs/>
          <w:color w:val="auto"/>
          <w:sz w:val="24"/>
          <w:szCs w:val="24"/>
          <w:highlight w:val="none"/>
        </w:rPr>
        <w:t>3</w:t>
      </w:r>
      <w:r>
        <w:rPr>
          <w:rFonts w:hint="eastAsia" w:ascii="宋体" w:hAnsi="宋体" w:eastAsia="宋体" w:cs="宋体"/>
          <w:bCs/>
          <w:color w:val="auto"/>
          <w:sz w:val="24"/>
          <w:szCs w:val="24"/>
          <w:highlight w:val="none"/>
          <w:lang w:val="en-US" w:eastAsia="zh-CN"/>
        </w:rPr>
        <w:t>8</w:t>
      </w:r>
      <w:r>
        <w:rPr>
          <w:rFonts w:hint="eastAsia" w:ascii="宋体" w:hAnsi="宋体" w:eastAsia="宋体" w:cs="宋体"/>
          <w:color w:val="auto"/>
          <w:sz w:val="24"/>
          <w:szCs w:val="24"/>
          <w:highlight w:val="none"/>
        </w:rPr>
        <w:t>.1采购代理机构按“投标人须知前附表”规定的方式和标准收取采购代理服务费。</w:t>
      </w:r>
    </w:p>
    <w:p w14:paraId="3ED844E1">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23" w:name="_Toc163492872"/>
      <w:bookmarkStart w:id="424" w:name="_Toc19682"/>
      <w:bookmarkStart w:id="425" w:name="_Toc7566"/>
      <w:bookmarkStart w:id="426" w:name="_Toc155185883"/>
      <w:bookmarkStart w:id="427" w:name="_Toc15853"/>
      <w:bookmarkStart w:id="428" w:name="_Toc26455"/>
      <w:bookmarkStart w:id="429" w:name="_Toc140132805"/>
      <w:r>
        <w:rPr>
          <w:rFonts w:hint="eastAsia" w:ascii="宋体" w:hAnsi="宋体" w:eastAsia="宋体" w:cs="宋体"/>
          <w:b/>
          <w:bCs/>
          <w:color w:val="auto"/>
          <w:kern w:val="2"/>
          <w:sz w:val="24"/>
          <w:szCs w:val="24"/>
          <w:highlight w:val="none"/>
          <w:lang w:val="en-US" w:eastAsia="zh-CN" w:bidi="ar-SA"/>
        </w:rPr>
        <w:t>（十二）无效投标和废标</w:t>
      </w:r>
      <w:bookmarkEnd w:id="423"/>
      <w:bookmarkEnd w:id="424"/>
      <w:bookmarkEnd w:id="425"/>
      <w:bookmarkEnd w:id="426"/>
      <w:bookmarkEnd w:id="427"/>
      <w:bookmarkEnd w:id="428"/>
      <w:bookmarkEnd w:id="429"/>
    </w:p>
    <w:p w14:paraId="2586923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0" w:name="_Toc163492873"/>
      <w:bookmarkStart w:id="431" w:name="_Toc23298"/>
      <w:bookmarkStart w:id="432" w:name="_Toc11746"/>
      <w:bookmarkStart w:id="433" w:name="_Toc9909"/>
      <w:bookmarkStart w:id="434" w:name="_Toc140132806"/>
      <w:bookmarkStart w:id="435" w:name="_Toc32022"/>
      <w:r>
        <w:rPr>
          <w:rFonts w:hint="eastAsia" w:ascii="宋体" w:hAnsi="宋体" w:eastAsia="宋体" w:cs="宋体"/>
          <w:b/>
          <w:bCs/>
          <w:color w:val="auto"/>
          <w:kern w:val="2"/>
          <w:sz w:val="24"/>
          <w:szCs w:val="24"/>
          <w:highlight w:val="none"/>
          <w:lang w:val="en-US" w:eastAsia="zh-CN" w:bidi="ar-SA"/>
        </w:rPr>
        <w:t>39.无效投标</w:t>
      </w:r>
      <w:bookmarkEnd w:id="430"/>
      <w:bookmarkEnd w:id="431"/>
      <w:bookmarkEnd w:id="432"/>
      <w:bookmarkEnd w:id="433"/>
      <w:bookmarkEnd w:id="434"/>
      <w:bookmarkEnd w:id="435"/>
    </w:p>
    <w:p w14:paraId="0EBD1306">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39</w:t>
      </w:r>
      <w:r>
        <w:rPr>
          <w:rFonts w:hint="eastAsia" w:ascii="宋体" w:hAnsi="宋体" w:eastAsia="宋体" w:cs="宋体"/>
          <w:color w:val="auto"/>
          <w:sz w:val="24"/>
          <w:szCs w:val="24"/>
          <w:highlight w:val="none"/>
        </w:rPr>
        <w:t>.1投标文件存在“第四章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资格审查”、“第五章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及本招标文件</w:t>
      </w:r>
      <w:r>
        <w:rPr>
          <w:rFonts w:hint="eastAsia" w:ascii="宋体" w:hAnsi="宋体" w:eastAsia="宋体" w:cs="宋体"/>
          <w:color w:val="auto"/>
          <w:sz w:val="24"/>
          <w:szCs w:val="24"/>
          <w:highlight w:val="none"/>
        </w:rPr>
        <w:t>规定的投标无效情形的，其</w:t>
      </w:r>
      <w:r>
        <w:rPr>
          <w:rFonts w:hint="eastAsia" w:ascii="宋体" w:hAnsi="宋体" w:eastAsia="宋体" w:cs="宋体"/>
          <w:b/>
          <w:bCs/>
          <w:color w:val="auto"/>
          <w:sz w:val="24"/>
          <w:szCs w:val="24"/>
          <w:highlight w:val="none"/>
        </w:rPr>
        <w:t>投标无效</w:t>
      </w:r>
      <w:r>
        <w:rPr>
          <w:rFonts w:hint="eastAsia" w:ascii="宋体" w:hAnsi="宋体" w:eastAsia="宋体" w:cs="宋体"/>
          <w:color w:val="auto"/>
          <w:sz w:val="24"/>
          <w:szCs w:val="24"/>
          <w:highlight w:val="none"/>
        </w:rPr>
        <w:t>。</w:t>
      </w:r>
    </w:p>
    <w:p w14:paraId="7306E47B">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36" w:name="_Toc3107"/>
      <w:bookmarkStart w:id="437" w:name="_Toc18467"/>
      <w:bookmarkStart w:id="438" w:name="_Toc10507"/>
      <w:bookmarkStart w:id="439" w:name="_Toc163492874"/>
      <w:bookmarkStart w:id="440" w:name="_Toc15799"/>
      <w:bookmarkStart w:id="441" w:name="_Toc140132807"/>
      <w:r>
        <w:rPr>
          <w:rFonts w:hint="eastAsia" w:ascii="宋体" w:hAnsi="宋体" w:eastAsia="宋体" w:cs="宋体"/>
          <w:b/>
          <w:bCs/>
          <w:color w:val="auto"/>
          <w:kern w:val="2"/>
          <w:sz w:val="24"/>
          <w:szCs w:val="24"/>
          <w:highlight w:val="none"/>
          <w:lang w:val="en-US" w:eastAsia="zh-CN" w:bidi="ar-SA"/>
        </w:rPr>
        <w:t>40.废标</w:t>
      </w:r>
      <w:bookmarkEnd w:id="436"/>
      <w:bookmarkEnd w:id="437"/>
      <w:bookmarkEnd w:id="438"/>
      <w:bookmarkEnd w:id="439"/>
      <w:bookmarkEnd w:id="440"/>
      <w:bookmarkEnd w:id="441"/>
    </w:p>
    <w:p w14:paraId="7B56974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.1在招标采购中出现有“第五章</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评标</w:t>
      </w:r>
      <w:r>
        <w:rPr>
          <w:rFonts w:hint="eastAsia" w:ascii="宋体" w:hAnsi="宋体" w:eastAsia="宋体" w:cs="宋体"/>
          <w:color w:val="auto"/>
          <w:sz w:val="24"/>
          <w:szCs w:val="24"/>
          <w:highlight w:val="none"/>
          <w:lang w:val="en-US" w:eastAsia="zh-CN"/>
        </w:rPr>
        <w:t>方</w:t>
      </w:r>
      <w:r>
        <w:rPr>
          <w:rFonts w:hint="eastAsia" w:ascii="宋体" w:hAnsi="宋体" w:eastAsia="宋体" w:cs="宋体"/>
          <w:color w:val="auto"/>
          <w:sz w:val="24"/>
          <w:szCs w:val="24"/>
          <w:highlight w:val="none"/>
        </w:rPr>
        <w:t>法及标准”</w:t>
      </w:r>
      <w:r>
        <w:rPr>
          <w:rFonts w:hint="eastAsia" w:ascii="宋体" w:hAnsi="宋体" w:eastAsia="宋体" w:cs="宋体"/>
          <w:color w:val="auto"/>
          <w:sz w:val="24"/>
          <w:szCs w:val="24"/>
          <w:highlight w:val="none"/>
          <w:lang w:val="en-US" w:eastAsia="zh-CN"/>
        </w:rPr>
        <w:t>及本招标文件</w:t>
      </w:r>
      <w:r>
        <w:rPr>
          <w:rFonts w:hint="eastAsia" w:ascii="宋体" w:hAnsi="宋体" w:eastAsia="宋体" w:cs="宋体"/>
          <w:color w:val="auto"/>
          <w:sz w:val="24"/>
          <w:szCs w:val="24"/>
          <w:highlight w:val="none"/>
        </w:rPr>
        <w:t>规定的废标情形的，应予以</w:t>
      </w:r>
      <w:r>
        <w:rPr>
          <w:rFonts w:hint="eastAsia" w:ascii="宋体" w:hAnsi="宋体" w:eastAsia="宋体" w:cs="宋体"/>
          <w:b/>
          <w:bCs/>
          <w:color w:val="auto"/>
          <w:sz w:val="24"/>
          <w:szCs w:val="24"/>
          <w:highlight w:val="none"/>
        </w:rPr>
        <w:t>废标</w:t>
      </w:r>
      <w:r>
        <w:rPr>
          <w:rFonts w:hint="eastAsia" w:ascii="宋体" w:hAnsi="宋体" w:eastAsia="宋体" w:cs="宋体"/>
          <w:color w:val="auto"/>
          <w:sz w:val="24"/>
          <w:szCs w:val="24"/>
          <w:highlight w:val="none"/>
          <w:lang w:eastAsia="zh-CN"/>
        </w:rPr>
        <w:t>。</w:t>
      </w:r>
    </w:p>
    <w:p w14:paraId="0C4DEC92">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42" w:name="_Toc163492875"/>
      <w:bookmarkStart w:id="443" w:name="_Toc140132766"/>
      <w:bookmarkStart w:id="444" w:name="_Toc16271"/>
      <w:bookmarkStart w:id="445" w:name="_Toc22480"/>
      <w:bookmarkStart w:id="446" w:name="_Toc3516"/>
      <w:bookmarkStart w:id="447" w:name="_Toc584"/>
      <w:bookmarkStart w:id="448" w:name="_Toc155185884"/>
      <w:bookmarkStart w:id="449" w:name="_Toc140132808"/>
      <w:r>
        <w:rPr>
          <w:rFonts w:hint="eastAsia" w:ascii="宋体" w:hAnsi="宋体" w:eastAsia="宋体" w:cs="宋体"/>
          <w:b/>
          <w:bCs/>
          <w:color w:val="auto"/>
          <w:kern w:val="2"/>
          <w:sz w:val="24"/>
          <w:szCs w:val="24"/>
          <w:highlight w:val="none"/>
          <w:lang w:val="en-US" w:eastAsia="zh-CN" w:bidi="ar-SA"/>
        </w:rPr>
        <w:t>（十三）落实政府采购政策</w:t>
      </w:r>
      <w:bookmarkEnd w:id="442"/>
      <w:bookmarkEnd w:id="443"/>
      <w:r>
        <w:rPr>
          <w:rFonts w:hint="eastAsia" w:ascii="宋体" w:hAnsi="宋体" w:eastAsia="宋体" w:cs="宋体"/>
          <w:b/>
          <w:bCs/>
          <w:color w:val="auto"/>
          <w:kern w:val="2"/>
          <w:sz w:val="24"/>
          <w:szCs w:val="24"/>
          <w:highlight w:val="none"/>
          <w:lang w:val="en-US" w:eastAsia="zh-CN" w:bidi="ar-SA"/>
        </w:rPr>
        <w:t>（包括但不限于下列具体政策要求）</w:t>
      </w:r>
      <w:bookmarkEnd w:id="444"/>
      <w:bookmarkEnd w:id="445"/>
      <w:bookmarkEnd w:id="446"/>
      <w:bookmarkEnd w:id="447"/>
    </w:p>
    <w:p w14:paraId="59F3A450">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bookmarkStart w:id="450" w:name="_Toc26324"/>
      <w:bookmarkStart w:id="451" w:name="_Toc12045"/>
      <w:bookmarkStart w:id="452" w:name="_Toc21216"/>
      <w:bookmarkStart w:id="453" w:name="_Toc163492876"/>
      <w:bookmarkStart w:id="454" w:name="_Toc23969"/>
      <w:r>
        <w:rPr>
          <w:rFonts w:hint="eastAsia"/>
          <w:snapToGrid w:val="0"/>
          <w:color w:val="auto"/>
          <w:sz w:val="24"/>
          <w:highlight w:val="none"/>
          <w:lang w:val="en-US" w:eastAsia="zh-CN"/>
        </w:rPr>
        <w:t>41.1本国产品标准及支持政策</w:t>
      </w:r>
    </w:p>
    <w:p w14:paraId="441816D7">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3EE734F">
      <w:pPr>
        <w:pStyle w:val="39"/>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41.1.2产品在境内生产的组件成本应达到财政部会同相关部门确定的总成本规定比例(具体产品目录及比例标准按国家后续发布的规定执行)。在分产品目</w:t>
      </w:r>
      <w:r>
        <w:rPr>
          <w:rFonts w:hint="eastAsia"/>
          <w:iCs/>
          <w:snapToGrid w:val="0"/>
          <w:color w:val="auto"/>
          <w:spacing w:val="-6"/>
          <w:sz w:val="24"/>
          <w:highlight w:val="none"/>
          <w:lang w:val="en-US" w:eastAsia="zh-CN"/>
        </w:rPr>
        <w:t>录及比例标准正式实施前的过渡期内，符合境内生产条件的产品，可视同本国产</w:t>
      </w:r>
      <w:r>
        <w:rPr>
          <w:rFonts w:hint="eastAsia"/>
          <w:snapToGrid w:val="0"/>
          <w:color w:val="auto"/>
          <w:sz w:val="24"/>
          <w:highlight w:val="none"/>
          <w:lang w:val="en-US" w:eastAsia="zh-CN"/>
        </w:rPr>
        <w:t>品。</w:t>
      </w:r>
    </w:p>
    <w:p w14:paraId="19E87B7B">
      <w:pPr>
        <w:pStyle w:val="39"/>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41.1.3对国家相关部门后续发布的特定产品清单内的产品，除满足上述条件外，还需同时满足关键组件境内生产、关键工序境内完成等特定要求。</w:t>
      </w:r>
    </w:p>
    <w:p w14:paraId="33FDC980">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41.1.4</w:t>
      </w:r>
      <w:r>
        <w:rPr>
          <w:rFonts w:hint="eastAsia" w:eastAsia="宋体"/>
          <w:snapToGrid w:val="0"/>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BE7BA04">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41.1.5供应商对其提供的产品出具《关于符合本国产品标准的声明函》或财政部会同有关部门规定的有关证明文件。出具符合要求的《声明函》或有关证明文件的，该产品视为本国产品。</w:t>
      </w:r>
    </w:p>
    <w:p w14:paraId="6DF0CD5C">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医疗器械产品，取得药品监督管理部门授予的准字号医疗器械注册证的，</w:t>
      </w:r>
      <w:r>
        <w:rPr>
          <w:rFonts w:hint="eastAsia"/>
          <w:snapToGrid w:val="0"/>
          <w:color w:val="auto"/>
          <w:sz w:val="24"/>
          <w:highlight w:val="none"/>
          <w:lang w:val="en-US" w:eastAsia="zh-CN"/>
        </w:rPr>
        <w:t>视为符合本国产品标准。</w:t>
      </w:r>
    </w:p>
    <w:p w14:paraId="1BEE03C4">
      <w:pPr>
        <w:pStyle w:val="39"/>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r>
        <w:rPr>
          <w:rFonts w:hint="eastAsia"/>
          <w:snapToGrid w:val="0"/>
          <w:color w:val="auto"/>
          <w:sz w:val="24"/>
          <w:highlight w:val="none"/>
          <w:lang w:val="en-US" w:eastAsia="zh-CN"/>
        </w:rPr>
        <w:t>。</w:t>
      </w:r>
    </w:p>
    <w:p w14:paraId="1759E4C5">
      <w:pPr>
        <w:pStyle w:val="39"/>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04145148">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41.1.8对于仅有本国产品参与竞争的政府采购项目，本国产品不享受价格扣除评审优惠。</w:t>
      </w:r>
    </w:p>
    <w:p w14:paraId="2B40C7E8">
      <w:pPr>
        <w:pStyle w:val="39"/>
        <w:keepNext w:val="0"/>
        <w:keepLines w:val="0"/>
        <w:pageBreakBefore w:val="0"/>
        <w:widowControl w:val="0"/>
        <w:kinsoku/>
        <w:overflowPunct/>
        <w:topLinePunct w:val="0"/>
        <w:autoSpaceDE/>
        <w:autoSpaceDN/>
        <w:bidi w:val="0"/>
        <w:adjustRightInd/>
        <w:jc w:val="both"/>
        <w:textAlignment w:val="auto"/>
        <w:rPr>
          <w:rFonts w:hint="default" w:eastAsia="宋体"/>
          <w:snapToGrid w:val="0"/>
          <w:color w:val="auto"/>
          <w:sz w:val="24"/>
          <w:highlight w:val="none"/>
          <w:lang w:val="en-US" w:eastAsia="zh-CN"/>
        </w:rPr>
      </w:pPr>
      <w:r>
        <w:rPr>
          <w:rFonts w:hint="eastAsia"/>
          <w:snapToGrid w:val="0"/>
          <w:color w:val="auto"/>
          <w:sz w:val="24"/>
          <w:highlight w:val="none"/>
          <w:lang w:val="en-US" w:eastAsia="zh-CN"/>
        </w:rPr>
        <w:t>41.2进口产品</w:t>
      </w:r>
    </w:p>
    <w:p w14:paraId="26D924D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b w:val="0"/>
          <w:bCs w:val="0"/>
          <w:iCs/>
          <w:snapToGrid w:val="0"/>
          <w:color w:val="auto"/>
          <w:sz w:val="24"/>
          <w:szCs w:val="24"/>
          <w:highlight w:val="none"/>
          <w:shd w:val="clear" w:color="auto" w:fill="FFFFFF" w:themeFill="background1"/>
          <w:lang w:val="zh-CN" w:eastAsia="zh-CN"/>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w:t>
      </w:r>
      <w:bookmarkEnd w:id="450"/>
      <w:bookmarkEnd w:id="451"/>
      <w:bookmarkEnd w:id="452"/>
      <w:bookmarkEnd w:id="453"/>
      <w:bookmarkEnd w:id="454"/>
      <w:r>
        <w:rPr>
          <w:rFonts w:hint="eastAsia" w:ascii="宋体" w:hAnsi="宋体" w:eastAsia="宋体" w:cs="宋体"/>
          <w:snapToGrid w:val="0"/>
          <w:color w:val="auto"/>
          <w:sz w:val="24"/>
          <w:szCs w:val="24"/>
          <w:highlight w:val="none"/>
        </w:rPr>
        <w:t>项目若涉及采购进口产品的，具体要求详见“第三章 采购需求”。</w:t>
      </w:r>
    </w:p>
    <w:p w14:paraId="201F13F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b w:val="0"/>
          <w:bCs w:val="0"/>
          <w:iCs/>
          <w:snapToGrid w:val="0"/>
          <w:color w:val="auto"/>
          <w:sz w:val="24"/>
          <w:szCs w:val="24"/>
          <w:highlight w:val="none"/>
          <w:shd w:val="clear" w:color="auto" w:fill="FFFFFF" w:themeFill="background1"/>
          <w:lang w:val="zh-CN" w:eastAsia="zh-CN"/>
        </w:rPr>
        <w:t>41.2.</w:t>
      </w:r>
      <w:r>
        <w:rPr>
          <w:rFonts w:hint="eastAsia" w:ascii="宋体" w:hAnsi="宋体" w:eastAsia="宋体" w:cs="宋体"/>
          <w:b w:val="0"/>
          <w:bCs w:val="0"/>
          <w:iCs/>
          <w:snapToGrid w:val="0"/>
          <w:color w:val="auto"/>
          <w:sz w:val="24"/>
          <w:szCs w:val="24"/>
          <w:highlight w:val="none"/>
          <w:shd w:val="clear" w:color="auto" w:fill="FFFFFF" w:themeFill="background1"/>
          <w:lang w:val="en-US" w:eastAsia="zh-CN"/>
        </w:rPr>
        <w:t>2</w:t>
      </w:r>
      <w:r>
        <w:rPr>
          <w:rFonts w:hint="eastAsia" w:ascii="宋体" w:hAnsi="宋体" w:eastAsia="宋体" w:cs="宋体"/>
          <w:snapToGrid w:val="0"/>
          <w:color w:val="auto"/>
          <w:sz w:val="24"/>
          <w:szCs w:val="24"/>
          <w:highlight w:val="none"/>
          <w:lang w:val="en-US" w:eastAsia="zh-CN"/>
        </w:rPr>
        <w:t xml:space="preserve">进口产品指通过中国海关报关验放进入中国境内且产自关境外的产品，包括已经进入中国境内的进口产品。 </w:t>
      </w:r>
    </w:p>
    <w:p w14:paraId="0C404CE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b w:val="0"/>
          <w:bCs w:val="0"/>
          <w:iCs/>
          <w:snapToGrid w:val="0"/>
          <w:color w:val="auto"/>
          <w:sz w:val="24"/>
          <w:szCs w:val="24"/>
          <w:highlight w:val="none"/>
          <w:shd w:val="clear" w:color="auto" w:fill="FFFFFF" w:themeFill="background1"/>
          <w:lang w:val="zh-CN" w:eastAsia="zh-CN"/>
        </w:rPr>
        <w:t>41.2.</w:t>
      </w:r>
      <w:r>
        <w:rPr>
          <w:rFonts w:hint="eastAsia" w:ascii="宋体" w:hAnsi="宋体" w:eastAsia="宋体" w:cs="宋体"/>
          <w:b w:val="0"/>
          <w:bCs w:val="0"/>
          <w:iCs/>
          <w:snapToGrid w:val="0"/>
          <w:color w:val="auto"/>
          <w:sz w:val="24"/>
          <w:szCs w:val="24"/>
          <w:highlight w:val="none"/>
          <w:shd w:val="clear" w:color="auto" w:fill="FFFFFF" w:themeFill="background1"/>
          <w:lang w:val="en-US" w:eastAsia="zh-CN"/>
        </w:rPr>
        <w:t>3</w:t>
      </w:r>
      <w:r>
        <w:rPr>
          <w:rFonts w:hint="eastAsia" w:ascii="宋体" w:hAnsi="宋体" w:eastAsia="宋体" w:cs="宋体"/>
          <w:snapToGrid w:val="0"/>
          <w:color w:val="auto"/>
          <w:sz w:val="24"/>
          <w:szCs w:val="24"/>
          <w:highlight w:val="none"/>
          <w:lang w:val="en-US" w:eastAsia="zh-CN"/>
        </w:rPr>
        <w:t>若采购需求中写明允许采购进口产品，投标人应保证所投产品可履行合法报通关手续进入中国关境内。</w:t>
      </w:r>
    </w:p>
    <w:p w14:paraId="50A8DE9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b w:val="0"/>
          <w:bCs w:val="0"/>
          <w:iCs/>
          <w:snapToGrid w:val="0"/>
          <w:color w:val="auto"/>
          <w:sz w:val="24"/>
          <w:szCs w:val="24"/>
          <w:highlight w:val="none"/>
          <w:shd w:val="clear" w:color="auto" w:fill="FFFFFF" w:themeFill="background1"/>
          <w:lang w:val="zh-CN" w:eastAsia="zh-CN"/>
        </w:rPr>
        <w:t>41.2.</w:t>
      </w:r>
      <w:r>
        <w:rPr>
          <w:rFonts w:hint="eastAsia" w:ascii="宋体" w:hAnsi="宋体" w:eastAsia="宋体" w:cs="宋体"/>
          <w:b w:val="0"/>
          <w:bCs w:val="0"/>
          <w:iCs/>
          <w:snapToGrid w:val="0"/>
          <w:color w:val="auto"/>
          <w:sz w:val="24"/>
          <w:szCs w:val="24"/>
          <w:highlight w:val="none"/>
          <w:shd w:val="clear" w:color="auto" w:fill="FFFFFF" w:themeFill="background1"/>
          <w:lang w:val="en-US" w:eastAsia="zh-CN"/>
        </w:rPr>
        <w:t>4</w:t>
      </w:r>
      <w:r>
        <w:rPr>
          <w:rFonts w:hint="eastAsia" w:ascii="宋体" w:hAnsi="宋体" w:eastAsia="宋体" w:cs="宋体"/>
          <w:snapToGrid w:val="0"/>
          <w:color w:val="auto"/>
          <w:sz w:val="24"/>
          <w:szCs w:val="24"/>
          <w:highlight w:val="none"/>
          <w:lang w:val="en-US" w:eastAsia="zh-CN"/>
        </w:rPr>
        <w:t>若采购需求中未写明允许采购进口产品，如投标人所投产品为进口产品，其投标将被认定为</w:t>
      </w:r>
      <w:r>
        <w:rPr>
          <w:rFonts w:hint="eastAsia" w:ascii="宋体" w:hAnsi="宋体" w:eastAsia="宋体" w:cs="宋体"/>
          <w:b/>
          <w:bCs/>
          <w:snapToGrid w:val="0"/>
          <w:color w:val="auto"/>
          <w:sz w:val="24"/>
          <w:szCs w:val="24"/>
          <w:highlight w:val="none"/>
          <w:lang w:val="en-US" w:eastAsia="zh-CN"/>
        </w:rPr>
        <w:t>投标无效</w:t>
      </w:r>
      <w:r>
        <w:rPr>
          <w:rFonts w:hint="eastAsia" w:ascii="宋体" w:hAnsi="宋体" w:eastAsia="宋体" w:cs="宋体"/>
          <w:snapToGrid w:val="0"/>
          <w:color w:val="auto"/>
          <w:sz w:val="24"/>
          <w:szCs w:val="24"/>
          <w:highlight w:val="none"/>
          <w:lang w:val="en-US" w:eastAsia="zh-CN"/>
        </w:rPr>
        <w:t>。</w:t>
      </w:r>
    </w:p>
    <w:p w14:paraId="6764F88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55" w:name="_Toc14102"/>
      <w:bookmarkStart w:id="456" w:name="_Toc163492877"/>
      <w:bookmarkStart w:id="457" w:name="_Toc17933"/>
      <w:bookmarkStart w:id="458" w:name="_Toc13373"/>
      <w:bookmarkStart w:id="459" w:name="_Toc3349"/>
      <w:r>
        <w:rPr>
          <w:rFonts w:hint="eastAsia" w:ascii="宋体" w:hAnsi="宋体" w:eastAsia="宋体" w:cs="宋体"/>
          <w:b/>
          <w:bCs/>
          <w:color w:val="auto"/>
          <w:kern w:val="2"/>
          <w:sz w:val="24"/>
          <w:szCs w:val="24"/>
          <w:highlight w:val="none"/>
          <w:lang w:val="en-US" w:eastAsia="zh-CN" w:bidi="ar-SA"/>
        </w:rPr>
        <w:t>42.中小企业、监狱企业及残疾人福利性单位</w:t>
      </w:r>
      <w:bookmarkEnd w:id="455"/>
      <w:bookmarkEnd w:id="456"/>
      <w:bookmarkEnd w:id="457"/>
      <w:bookmarkEnd w:id="458"/>
      <w:bookmarkEnd w:id="459"/>
    </w:p>
    <w:p w14:paraId="6CF3C24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775C315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42</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2</w:t>
      </w:r>
      <w:r>
        <w:rPr>
          <w:rFonts w:hint="eastAsia" w:ascii="宋体" w:hAnsi="宋体" w:eastAsia="宋体" w:cs="宋体"/>
          <w:snapToGrid w:val="0"/>
          <w:color w:val="auto"/>
          <w:sz w:val="24"/>
          <w:szCs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ascii="宋体" w:hAnsi="宋体" w:eastAsia="宋体" w:cs="宋体"/>
          <w:snapToGrid w:val="0"/>
          <w:color w:val="auto"/>
          <w:sz w:val="24"/>
          <w:szCs w:val="24"/>
          <w:highlight w:val="none"/>
          <w:lang w:eastAsia="zh-CN"/>
        </w:rPr>
        <w:t>需享受中小企业相关政策的，且</w:t>
      </w:r>
      <w:r>
        <w:rPr>
          <w:rFonts w:hint="eastAsia" w:ascii="宋体" w:hAnsi="宋体" w:eastAsia="宋体" w:cs="宋体"/>
          <w:snapToGrid w:val="0"/>
          <w:color w:val="auto"/>
          <w:sz w:val="24"/>
          <w:szCs w:val="24"/>
          <w:highlight w:val="none"/>
        </w:rPr>
        <w:t>符合上述文件规定的，</w:t>
      </w:r>
      <w:r>
        <w:rPr>
          <w:rFonts w:hint="eastAsia" w:ascii="宋体" w:hAnsi="宋体" w:eastAsia="宋体" w:cs="宋体"/>
          <w:snapToGrid w:val="0"/>
          <w:color w:val="auto"/>
          <w:sz w:val="24"/>
          <w:szCs w:val="24"/>
          <w:highlight w:val="none"/>
          <w:lang w:eastAsia="zh-CN"/>
        </w:rPr>
        <w:t>应按本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文件规定格式</w:t>
      </w:r>
      <w:r>
        <w:rPr>
          <w:rFonts w:hint="eastAsia" w:ascii="宋体" w:hAnsi="宋体" w:eastAsia="宋体" w:cs="宋体"/>
          <w:snapToGrid w:val="0"/>
          <w:color w:val="auto"/>
          <w:sz w:val="24"/>
          <w:szCs w:val="24"/>
          <w:highlight w:val="none"/>
        </w:rPr>
        <w:t>提供</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rPr>
        <w:t>监狱企业证明文件</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残疾人福利性单位声明函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，评审时，</w:t>
      </w:r>
      <w:r>
        <w:rPr>
          <w:rFonts w:hint="eastAsia" w:ascii="宋体" w:hAnsi="宋体" w:eastAsia="宋体" w:cs="宋体"/>
          <w:snapToGrid w:val="0"/>
          <w:color w:val="auto"/>
          <w:sz w:val="24"/>
          <w:szCs w:val="24"/>
          <w:highlight w:val="none"/>
          <w:lang w:val="en-US" w:eastAsia="zh-CN"/>
        </w:rPr>
        <w:t>评标委员会</w:t>
      </w:r>
      <w:r>
        <w:rPr>
          <w:rFonts w:hint="eastAsia" w:ascii="宋体" w:hAnsi="宋体" w:eastAsia="宋体" w:cs="宋体"/>
          <w:snapToGrid w:val="0"/>
          <w:color w:val="auto"/>
          <w:sz w:val="24"/>
          <w:szCs w:val="24"/>
          <w:highlight w:val="none"/>
        </w:rPr>
        <w:t>将依据</w:t>
      </w:r>
      <w:r>
        <w:rPr>
          <w:rFonts w:hint="eastAsia" w:ascii="宋体" w:hAnsi="宋体" w:eastAsia="宋体" w:cs="宋体"/>
          <w:snapToGrid w:val="0"/>
          <w:color w:val="auto"/>
          <w:sz w:val="24"/>
          <w:szCs w:val="24"/>
          <w:highlight w:val="none"/>
          <w:lang w:eastAsia="zh-CN"/>
        </w:rPr>
        <w:t>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w:t>
      </w:r>
      <w:r>
        <w:rPr>
          <w:rFonts w:hint="eastAsia" w:ascii="宋体" w:hAnsi="宋体" w:eastAsia="宋体" w:cs="宋体"/>
          <w:snapToGrid w:val="0"/>
          <w:color w:val="auto"/>
          <w:sz w:val="24"/>
          <w:szCs w:val="24"/>
          <w:highlight w:val="none"/>
        </w:rPr>
        <w:t>“</w:t>
      </w:r>
      <w:r>
        <w:rPr>
          <w:rFonts w:hint="eastAsia" w:ascii="宋体" w:hAnsi="宋体" w:eastAsia="宋体" w:cs="宋体"/>
          <w:snapToGrid w:val="0"/>
          <w:color w:val="auto"/>
          <w:sz w:val="24"/>
          <w:szCs w:val="24"/>
          <w:highlight w:val="none"/>
          <w:lang w:val="en-US" w:eastAsia="zh-CN"/>
        </w:rPr>
        <w:t>投标人</w:t>
      </w:r>
      <w:r>
        <w:rPr>
          <w:rFonts w:hint="eastAsia" w:ascii="宋体" w:hAnsi="宋体" w:eastAsia="宋体" w:cs="宋体"/>
          <w:snapToGrid w:val="0"/>
          <w:color w:val="auto"/>
          <w:sz w:val="24"/>
          <w:szCs w:val="24"/>
          <w:highlight w:val="none"/>
        </w:rPr>
        <w:t>须知前附表”规定的报价扣除比例，对供应商报价进行价格扣除，用扣除后的价格参与评审</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公告中明确项目专门面向中小企业采购的，“</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”为资格要求文件，</w:t>
      </w:r>
      <w:r>
        <w:rPr>
          <w:rFonts w:hint="eastAsia" w:ascii="宋体" w:hAnsi="宋体" w:eastAsia="宋体" w:cs="宋体"/>
          <w:snapToGrid w:val="0"/>
          <w:color w:val="auto"/>
          <w:sz w:val="24"/>
          <w:szCs w:val="24"/>
          <w:highlight w:val="none"/>
        </w:rPr>
        <w:t>供应商</w:t>
      </w:r>
      <w:r>
        <w:rPr>
          <w:rFonts w:hint="eastAsia" w:ascii="宋体" w:hAnsi="宋体" w:eastAsia="宋体" w:cs="宋体"/>
          <w:snapToGrid w:val="0"/>
          <w:color w:val="auto"/>
          <w:sz w:val="24"/>
          <w:szCs w:val="24"/>
          <w:highlight w:val="none"/>
          <w:lang w:eastAsia="zh-CN"/>
        </w:rPr>
        <w:t>参与</w:t>
      </w:r>
      <w:r>
        <w:rPr>
          <w:rFonts w:hint="eastAsia" w:ascii="宋体" w:hAnsi="宋体" w:eastAsia="宋体" w:cs="宋体"/>
          <w:snapToGrid w:val="0"/>
          <w:color w:val="auto"/>
          <w:sz w:val="24"/>
          <w:szCs w:val="24"/>
          <w:highlight w:val="none"/>
          <w:lang w:val="en-US" w:eastAsia="zh-CN"/>
        </w:rPr>
        <w:t>投标</w:t>
      </w:r>
      <w:r>
        <w:rPr>
          <w:rFonts w:hint="eastAsia" w:ascii="宋体" w:hAnsi="宋体" w:eastAsia="宋体" w:cs="宋体"/>
          <w:snapToGrid w:val="0"/>
          <w:color w:val="auto"/>
          <w:sz w:val="24"/>
          <w:szCs w:val="24"/>
          <w:highlight w:val="none"/>
          <w:lang w:eastAsia="zh-CN"/>
        </w:rPr>
        <w:t>须按本</w:t>
      </w:r>
      <w:r>
        <w:rPr>
          <w:rFonts w:hint="eastAsia" w:ascii="宋体" w:hAnsi="宋体" w:eastAsia="宋体" w:cs="宋体"/>
          <w:snapToGrid w:val="0"/>
          <w:color w:val="auto"/>
          <w:sz w:val="24"/>
          <w:szCs w:val="24"/>
          <w:highlight w:val="none"/>
          <w:lang w:val="en-US" w:eastAsia="zh-CN"/>
        </w:rPr>
        <w:t>招标</w:t>
      </w:r>
      <w:r>
        <w:rPr>
          <w:rFonts w:hint="eastAsia" w:ascii="宋体" w:hAnsi="宋体" w:eastAsia="宋体" w:cs="宋体"/>
          <w:snapToGrid w:val="0"/>
          <w:color w:val="auto"/>
          <w:sz w:val="24"/>
          <w:szCs w:val="24"/>
          <w:highlight w:val="none"/>
          <w:lang w:eastAsia="zh-CN"/>
        </w:rPr>
        <w:t>文件规定格式</w:t>
      </w:r>
      <w:r>
        <w:rPr>
          <w:rFonts w:hint="eastAsia" w:ascii="宋体" w:hAnsi="宋体" w:eastAsia="宋体" w:cs="宋体"/>
          <w:snapToGrid w:val="0"/>
          <w:color w:val="auto"/>
          <w:sz w:val="24"/>
          <w:szCs w:val="24"/>
          <w:highlight w:val="none"/>
        </w:rPr>
        <w:t>提供</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中小企业声明函</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rPr>
        <w:t>监狱企业证明文件</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或</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rPr>
        <w:t>残疾人福利性单位声明函</w:t>
      </w:r>
      <w:r>
        <w:rPr>
          <w:rFonts w:hint="eastAsia" w:ascii="宋体" w:hAnsi="宋体" w:eastAsia="宋体" w:cs="宋体"/>
          <w:snapToGrid w:val="0"/>
          <w:color w:val="auto"/>
          <w:sz w:val="24"/>
          <w:szCs w:val="24"/>
          <w:highlight w:val="none"/>
          <w:lang w:eastAsia="zh-CN"/>
        </w:rPr>
        <w:t>”等作为资格证明文件。</w:t>
      </w:r>
      <w:r>
        <w:rPr>
          <w:rFonts w:hint="eastAsia" w:ascii="宋体" w:hAnsi="宋体" w:eastAsia="宋体" w:cs="宋体"/>
          <w:snapToGrid w:val="0"/>
          <w:color w:val="auto"/>
          <w:sz w:val="24"/>
          <w:szCs w:val="24"/>
          <w:highlight w:val="none"/>
          <w:lang w:val="en-US" w:eastAsia="zh-CN"/>
        </w:rPr>
        <w:t xml:space="preserve"> </w:t>
      </w:r>
    </w:p>
    <w:p w14:paraId="743E5E0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42.3 供应商提供的货物、工程或者服务符合下列情形的，享受中小企业扶持政策： </w:t>
      </w:r>
    </w:p>
    <w:p w14:paraId="07E7A00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（1）在货物采购项目中，货物由中小企业制造，即货物由中小企业生产且使用该中小企业商号或者注册商标； </w:t>
      </w:r>
    </w:p>
    <w:p w14:paraId="128FB5A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（2）在工程采购项目中，工程由中小企业承建，即工程施工单位为中小企业； </w:t>
      </w:r>
    </w:p>
    <w:p w14:paraId="4557B965">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（3）在服务采购项目中，服务由中小企业承接，即提供服务的人员为中小企业依照《中华人民共和国劳动合同法》订立劳动合同的从业人员。</w:t>
      </w:r>
    </w:p>
    <w:p w14:paraId="5C38B69F">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42.4 在服务采购项目中，供应商提供的服务既有中小企业承接，也有大型企业承接的，不享受中小企业扶持政策。 </w:t>
      </w:r>
    </w:p>
    <w:p w14:paraId="31F905A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42.5 以联合体形式参加政府采购活动，联合体各方均为中小企业的，联合体视同中小企业。其中，联合体各方均为小微企业的，联合体视同小微企业。</w:t>
      </w:r>
    </w:p>
    <w:p w14:paraId="589A89E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1EF9D90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2EADF7DB">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42.7.1 安置的残疾人占本单位在职职工人数的比例不低于 25% （含 25%），并且安置的残疾人人数不少于 10 人（含 10人）； </w:t>
      </w:r>
    </w:p>
    <w:p w14:paraId="5B128E6C">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42.7.2 依法与安置的每位残疾人签订了1年以上（含1年）的劳动合同或服务协议； </w:t>
      </w:r>
    </w:p>
    <w:p w14:paraId="750299D4">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42.7.3 为安置的每位残疾人按月足额缴纳了基本养老保险、基本医疗保险、失业保险、工伤保险和生育保险等社会保险费； </w:t>
      </w:r>
    </w:p>
    <w:p w14:paraId="5494926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42.7.4 通过银行等金融机构向安置的每位残疾人，按月支付了不低于单位所在区县适用的经省级人民政府批准的月最低工资标准的工资； </w:t>
      </w:r>
    </w:p>
    <w:p w14:paraId="6AD696D2">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42.7.5 提供本单位制造的货物、承担的工程或者服务（以下简称产品），或者提供其他残疾人福利性单位制造的货物（不包括使用非残疾人福利性单位注册商标的货物）； </w:t>
      </w:r>
    </w:p>
    <w:p w14:paraId="6F6930A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50A69BF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42.8 本项目是否专门面向中小企业预留采购份额见“第一章 </w:t>
      </w:r>
      <w:r>
        <w:rPr>
          <w:rFonts w:hint="eastAsia" w:ascii="宋体" w:hAnsi="宋体" w:eastAsia="宋体" w:cs="宋体"/>
          <w:color w:val="auto"/>
          <w:sz w:val="24"/>
          <w:szCs w:val="24"/>
          <w:highlight w:val="none"/>
          <w:lang w:val="en-US" w:eastAsia="zh-CN"/>
        </w:rPr>
        <w:t>招标公告</w:t>
      </w:r>
      <w:r>
        <w:rPr>
          <w:rFonts w:hint="eastAsia" w:ascii="宋体" w:hAnsi="宋体" w:eastAsia="宋体" w:cs="宋体"/>
          <w:snapToGrid w:val="0"/>
          <w:color w:val="auto"/>
          <w:sz w:val="24"/>
          <w:szCs w:val="24"/>
          <w:highlight w:val="none"/>
          <w:lang w:val="en-US" w:eastAsia="zh-CN"/>
        </w:rPr>
        <w:t>”。    42.9 采购标的对应的中小企业划分标准所属行业见“投标人须知前附表”。    42.10 小微企业价格评审优惠的政策调整：见“投标人须知前附表”及“第五章 评标方法及标准”。</w:t>
      </w:r>
    </w:p>
    <w:p w14:paraId="17DD5FF7">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60" w:name="_Toc8338"/>
      <w:bookmarkStart w:id="461" w:name="_Toc5861"/>
      <w:bookmarkStart w:id="462" w:name="_Toc15890"/>
      <w:bookmarkStart w:id="463" w:name="_Toc163492878"/>
      <w:bookmarkStart w:id="464" w:name="_Toc23996"/>
      <w:r>
        <w:rPr>
          <w:rFonts w:hint="eastAsia" w:ascii="宋体" w:hAnsi="宋体" w:eastAsia="宋体" w:cs="宋体"/>
          <w:b/>
          <w:bCs/>
          <w:color w:val="auto"/>
          <w:kern w:val="2"/>
          <w:sz w:val="24"/>
          <w:szCs w:val="24"/>
          <w:highlight w:val="none"/>
          <w:lang w:val="en-US" w:eastAsia="zh-CN" w:bidi="ar-SA"/>
        </w:rPr>
        <w:t>43.政府采购节能产品、环境标志产品</w:t>
      </w:r>
      <w:bookmarkEnd w:id="460"/>
      <w:bookmarkEnd w:id="461"/>
      <w:bookmarkEnd w:id="462"/>
      <w:bookmarkEnd w:id="463"/>
      <w:bookmarkEnd w:id="464"/>
    </w:p>
    <w:p w14:paraId="741E7E7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2EC4C51A">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25CFE0EE">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43.3 如本项目采购产品属于实施政府强制采购品目清单范围的节能产品，则投标人所报产品必须获得国家确定的认证机构出具的、处于有效期之内的节能产品认证证书，否则</w:t>
      </w:r>
      <w:r>
        <w:rPr>
          <w:rFonts w:hint="eastAsia" w:ascii="宋体" w:hAnsi="宋体" w:eastAsia="宋体" w:cs="宋体"/>
          <w:b/>
          <w:bCs/>
          <w:snapToGrid w:val="0"/>
          <w:color w:val="auto"/>
          <w:sz w:val="24"/>
          <w:szCs w:val="24"/>
          <w:highlight w:val="none"/>
          <w:lang w:val="en-US" w:eastAsia="zh-CN"/>
        </w:rPr>
        <w:t>投标无效</w:t>
      </w:r>
      <w:r>
        <w:rPr>
          <w:rFonts w:hint="eastAsia" w:ascii="宋体" w:hAnsi="宋体" w:eastAsia="宋体" w:cs="宋体"/>
          <w:snapToGrid w:val="0"/>
          <w:color w:val="auto"/>
          <w:sz w:val="24"/>
          <w:szCs w:val="24"/>
          <w:highlight w:val="none"/>
          <w:lang w:val="en-US" w:eastAsia="zh-CN"/>
        </w:rPr>
        <w:t xml:space="preserve">。 </w:t>
      </w:r>
    </w:p>
    <w:p w14:paraId="04E599F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43.4 非政府强制采购的节能产品或环境标志产品，依据品目清单和认证证书实施政府优先采购。优先采购的具体规定见“第五章 评标方法及标准”（如涉及）。</w:t>
      </w:r>
    </w:p>
    <w:p w14:paraId="51B3D92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zh-CN"/>
        </w:rPr>
        <w:t xml:space="preserve">43.5 </w:t>
      </w:r>
      <w:r>
        <w:rPr>
          <w:rFonts w:hint="eastAsia" w:ascii="宋体" w:hAnsi="宋体" w:eastAsia="宋体" w:cs="宋体"/>
          <w:snapToGrid w:val="0"/>
          <w:color w:val="auto"/>
          <w:sz w:val="24"/>
          <w:szCs w:val="24"/>
          <w:highlight w:val="none"/>
        </w:rPr>
        <w:t>投标人所投产品如属于节能产品政府采购品目清单、环境标志产品政府采购品目清单范围的，须提供国家确定的认证机构出具的、处于有效期内的产品认证证书，认证证书的产品型号与所投产品不一致的，视为未提供。属于政府强制采购产品的，已作为投标时强制性要求不再给予</w:t>
      </w:r>
      <w:r>
        <w:rPr>
          <w:rFonts w:hint="eastAsia" w:ascii="宋体" w:hAnsi="宋体" w:eastAsia="宋体" w:cs="宋体"/>
          <w:snapToGrid w:val="0"/>
          <w:color w:val="auto"/>
          <w:sz w:val="24"/>
          <w:szCs w:val="24"/>
          <w:highlight w:val="none"/>
          <w:lang w:val="en-US" w:eastAsia="zh-CN"/>
        </w:rPr>
        <w:t>评审优惠</w:t>
      </w:r>
      <w:r>
        <w:rPr>
          <w:rFonts w:hint="eastAsia" w:ascii="宋体" w:hAnsi="宋体" w:eastAsia="宋体" w:cs="宋体"/>
          <w:snapToGrid w:val="0"/>
          <w:color w:val="auto"/>
          <w:sz w:val="24"/>
          <w:szCs w:val="24"/>
          <w:highlight w:val="none"/>
        </w:rPr>
        <w:t>，未提供认证证书的视为</w:t>
      </w:r>
      <w:r>
        <w:rPr>
          <w:rFonts w:hint="eastAsia" w:ascii="宋体" w:hAnsi="宋体" w:eastAsia="宋体" w:cs="宋体"/>
          <w:b/>
          <w:bCs/>
          <w:snapToGrid w:val="0"/>
          <w:color w:val="auto"/>
          <w:sz w:val="24"/>
          <w:szCs w:val="24"/>
          <w:highlight w:val="none"/>
          <w:lang w:val="en-US" w:eastAsia="zh-CN"/>
        </w:rPr>
        <w:t>投标</w:t>
      </w:r>
      <w:r>
        <w:rPr>
          <w:rFonts w:hint="eastAsia" w:ascii="宋体" w:hAnsi="宋体" w:eastAsia="宋体" w:cs="宋体"/>
          <w:b/>
          <w:bCs/>
          <w:snapToGrid w:val="0"/>
          <w:color w:val="auto"/>
          <w:sz w:val="24"/>
          <w:szCs w:val="24"/>
          <w:highlight w:val="none"/>
        </w:rPr>
        <w:t>无效</w:t>
      </w:r>
      <w:r>
        <w:rPr>
          <w:rFonts w:hint="eastAsia" w:ascii="宋体" w:hAnsi="宋体" w:eastAsia="宋体" w:cs="宋体"/>
          <w:snapToGrid w:val="0"/>
          <w:color w:val="auto"/>
          <w:sz w:val="24"/>
          <w:szCs w:val="24"/>
          <w:highlight w:val="none"/>
        </w:rPr>
        <w:t>。属于</w:t>
      </w:r>
      <w:r>
        <w:rPr>
          <w:rFonts w:hint="eastAsia" w:ascii="宋体" w:hAnsi="宋体" w:eastAsia="宋体" w:cs="宋体"/>
          <w:snapToGrid w:val="0"/>
          <w:color w:val="auto"/>
          <w:sz w:val="24"/>
          <w:szCs w:val="24"/>
          <w:highlight w:val="none"/>
          <w:lang w:val="en-US" w:eastAsia="zh-CN"/>
        </w:rPr>
        <w:t>优先采购</w:t>
      </w:r>
      <w:r>
        <w:rPr>
          <w:rFonts w:hint="eastAsia" w:ascii="宋体" w:hAnsi="宋体" w:eastAsia="宋体" w:cs="宋体"/>
          <w:snapToGrid w:val="0"/>
          <w:color w:val="auto"/>
          <w:sz w:val="24"/>
          <w:szCs w:val="24"/>
          <w:highlight w:val="none"/>
        </w:rPr>
        <w:t>节能产品政府采购品目清单、环境标志产品政府采购品目清单</w:t>
      </w:r>
      <w:r>
        <w:rPr>
          <w:rFonts w:hint="eastAsia" w:ascii="宋体" w:hAnsi="宋体" w:eastAsia="宋体" w:cs="宋体"/>
          <w:snapToGrid w:val="0"/>
          <w:color w:val="auto"/>
          <w:sz w:val="24"/>
          <w:szCs w:val="24"/>
          <w:highlight w:val="none"/>
          <w:lang w:eastAsia="zh-CN"/>
        </w:rPr>
        <w:t>、</w:t>
      </w:r>
      <w:r>
        <w:rPr>
          <w:rFonts w:hint="eastAsia" w:ascii="宋体" w:hAnsi="宋体" w:eastAsia="宋体" w:cs="宋体"/>
          <w:snapToGrid w:val="0"/>
          <w:color w:val="auto"/>
          <w:sz w:val="24"/>
          <w:szCs w:val="24"/>
          <w:highlight w:val="none"/>
          <w:lang w:val="en-US" w:eastAsia="zh-CN"/>
        </w:rPr>
        <w:t>创新产品</w:t>
      </w:r>
      <w:r>
        <w:rPr>
          <w:rFonts w:hint="eastAsia" w:ascii="宋体" w:hAnsi="宋体" w:eastAsia="宋体" w:cs="宋体"/>
          <w:snapToGrid w:val="0"/>
          <w:color w:val="auto"/>
          <w:sz w:val="24"/>
          <w:szCs w:val="24"/>
          <w:highlight w:val="none"/>
        </w:rPr>
        <w:t>范围的，按照“</w:t>
      </w:r>
      <w:r>
        <w:rPr>
          <w:rFonts w:hint="eastAsia" w:ascii="宋体" w:hAnsi="宋体" w:eastAsia="宋体" w:cs="宋体"/>
          <w:color w:val="auto"/>
          <w:sz w:val="24"/>
          <w:szCs w:val="24"/>
          <w:highlight w:val="none"/>
          <w:lang w:val="en-US" w:eastAsia="zh-CN"/>
        </w:rPr>
        <w:t>第五章 评标方法及标准</w:t>
      </w:r>
      <w:r>
        <w:rPr>
          <w:rFonts w:hint="eastAsia" w:ascii="宋体" w:hAnsi="宋体" w:eastAsia="宋体" w:cs="宋体"/>
          <w:snapToGrid w:val="0"/>
          <w:color w:val="auto"/>
          <w:sz w:val="24"/>
          <w:szCs w:val="24"/>
          <w:highlight w:val="none"/>
        </w:rPr>
        <w:t>”中相关规定</w:t>
      </w:r>
      <w:r>
        <w:rPr>
          <w:rFonts w:hint="eastAsia" w:ascii="宋体" w:hAnsi="宋体" w:eastAsia="宋体" w:cs="宋体"/>
          <w:color w:val="auto"/>
          <w:sz w:val="24"/>
          <w:szCs w:val="24"/>
          <w:highlight w:val="none"/>
          <w:lang w:val="en-US" w:eastAsia="zh-CN"/>
        </w:rPr>
        <w:t>在评审时给予评审优惠，具体详见</w:t>
      </w:r>
      <w:r>
        <w:rPr>
          <w:rFonts w:hint="eastAsia" w:ascii="宋体" w:hAnsi="宋体" w:eastAsia="宋体" w:cs="宋体"/>
          <w:snapToGrid w:val="0"/>
          <w:color w:val="auto"/>
          <w:sz w:val="24"/>
          <w:szCs w:val="24"/>
          <w:highlight w:val="none"/>
          <w:lang w:val="en-US" w:eastAsia="zh-CN"/>
        </w:rPr>
        <w:t>“投标人须知前附表”及</w:t>
      </w:r>
      <w:r>
        <w:rPr>
          <w:rFonts w:hint="eastAsia" w:ascii="宋体" w:hAnsi="宋体" w:eastAsia="宋体" w:cs="宋体"/>
          <w:color w:val="auto"/>
          <w:sz w:val="24"/>
          <w:szCs w:val="24"/>
          <w:highlight w:val="none"/>
          <w:lang w:val="en-US" w:eastAsia="zh-CN"/>
        </w:rPr>
        <w:t>“第五章 评标方法及标准”</w:t>
      </w:r>
      <w:r>
        <w:rPr>
          <w:rFonts w:hint="eastAsia" w:ascii="宋体" w:hAnsi="宋体" w:eastAsia="宋体" w:cs="宋体"/>
          <w:color w:val="auto"/>
          <w:sz w:val="24"/>
          <w:szCs w:val="24"/>
          <w:highlight w:val="none"/>
        </w:rPr>
        <w:t>。</w:t>
      </w:r>
    </w:p>
    <w:p w14:paraId="5F04C72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65" w:name="_Toc22896"/>
      <w:bookmarkStart w:id="466" w:name="_Toc5777"/>
      <w:bookmarkStart w:id="467" w:name="_Toc8054"/>
      <w:bookmarkStart w:id="468" w:name="_Toc6531"/>
      <w:bookmarkStart w:id="469" w:name="_Toc163492879"/>
      <w:r>
        <w:rPr>
          <w:rFonts w:hint="eastAsia" w:ascii="宋体" w:hAnsi="宋体" w:eastAsia="宋体" w:cs="宋体"/>
          <w:b/>
          <w:bCs/>
          <w:color w:val="auto"/>
          <w:kern w:val="2"/>
          <w:sz w:val="24"/>
          <w:szCs w:val="24"/>
          <w:highlight w:val="none"/>
          <w:lang w:val="en-US" w:eastAsia="zh-CN" w:bidi="ar-SA"/>
        </w:rPr>
        <w:t>44.正版软件</w:t>
      </w:r>
      <w:bookmarkEnd w:id="465"/>
      <w:bookmarkEnd w:id="466"/>
      <w:bookmarkEnd w:id="467"/>
      <w:bookmarkEnd w:id="468"/>
      <w:r>
        <w:rPr>
          <w:rFonts w:hint="eastAsia" w:ascii="宋体" w:hAnsi="宋体" w:eastAsia="宋体" w:cs="宋体"/>
          <w:b/>
          <w:bCs/>
          <w:color w:val="auto"/>
          <w:kern w:val="2"/>
          <w:sz w:val="24"/>
          <w:szCs w:val="24"/>
          <w:highlight w:val="none"/>
          <w:lang w:val="en-US" w:eastAsia="zh-CN" w:bidi="ar-SA"/>
        </w:rPr>
        <w:t xml:space="preserve">  </w:t>
      </w:r>
    </w:p>
    <w:p w14:paraId="415973C1">
      <w:pPr>
        <w:pStyle w:val="39"/>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44.1 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宋体" w:hAnsi="宋体" w:eastAsia="宋体" w:cs="宋体"/>
          <w:b/>
          <w:bCs/>
          <w:snapToGrid w:val="0"/>
          <w:color w:val="auto"/>
          <w:sz w:val="24"/>
          <w:szCs w:val="24"/>
          <w:highlight w:val="none"/>
          <w:lang w:val="en-US" w:eastAsia="zh-CN"/>
        </w:rPr>
        <w:t>投标无效</w:t>
      </w:r>
      <w:r>
        <w:rPr>
          <w:rFonts w:hint="eastAsia" w:ascii="宋体" w:hAnsi="宋体" w:eastAsia="宋体" w:cs="宋体"/>
          <w:snapToGrid w:val="0"/>
          <w:color w:val="auto"/>
          <w:sz w:val="24"/>
          <w:szCs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7504E40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139B1CB1">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70" w:name="_Toc15694"/>
      <w:bookmarkStart w:id="471" w:name="_Toc495"/>
      <w:bookmarkStart w:id="472" w:name="_Toc7834"/>
      <w:bookmarkStart w:id="473" w:name="_Toc27611"/>
      <w:r>
        <w:rPr>
          <w:rFonts w:hint="eastAsia" w:ascii="宋体" w:hAnsi="宋体" w:eastAsia="宋体" w:cs="宋体"/>
          <w:b/>
          <w:bCs/>
          <w:color w:val="auto"/>
          <w:kern w:val="2"/>
          <w:sz w:val="24"/>
          <w:szCs w:val="24"/>
          <w:highlight w:val="none"/>
          <w:lang w:val="en-US" w:eastAsia="zh-CN" w:bidi="ar-SA"/>
        </w:rPr>
        <w:t>45.网络安全专用产品</w:t>
      </w:r>
      <w:bookmarkEnd w:id="470"/>
      <w:bookmarkEnd w:id="471"/>
      <w:bookmarkEnd w:id="472"/>
      <w:bookmarkEnd w:id="473"/>
      <w:r>
        <w:rPr>
          <w:rFonts w:hint="eastAsia" w:ascii="宋体" w:hAnsi="宋体" w:eastAsia="宋体" w:cs="宋体"/>
          <w:b/>
          <w:bCs/>
          <w:color w:val="auto"/>
          <w:kern w:val="2"/>
          <w:sz w:val="24"/>
          <w:szCs w:val="24"/>
          <w:highlight w:val="none"/>
          <w:lang w:val="en-US" w:eastAsia="zh-CN" w:bidi="ar-SA"/>
        </w:rPr>
        <w:t xml:space="preserve">   </w:t>
      </w:r>
    </w:p>
    <w:p w14:paraId="13C08773">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575DAF11">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 xml:space="preserve">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 </w:t>
      </w:r>
    </w:p>
    <w:p w14:paraId="567E703D">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74" w:name="_Toc5974"/>
      <w:bookmarkStart w:id="475" w:name="_Toc13473"/>
      <w:bookmarkStart w:id="476" w:name="_Toc11862"/>
      <w:bookmarkStart w:id="477" w:name="_Toc27892"/>
      <w:r>
        <w:rPr>
          <w:rFonts w:hint="eastAsia" w:ascii="宋体" w:hAnsi="宋体" w:eastAsia="宋体" w:cs="宋体"/>
          <w:b/>
          <w:bCs/>
          <w:color w:val="auto"/>
          <w:kern w:val="2"/>
          <w:sz w:val="24"/>
          <w:szCs w:val="24"/>
          <w:highlight w:val="none"/>
          <w:lang w:val="en-US" w:eastAsia="zh-CN" w:bidi="ar-SA"/>
        </w:rPr>
        <w:t>46.采购需求标准</w:t>
      </w:r>
      <w:bookmarkEnd w:id="474"/>
      <w:bookmarkEnd w:id="475"/>
      <w:bookmarkEnd w:id="476"/>
      <w:bookmarkEnd w:id="477"/>
      <w:r>
        <w:rPr>
          <w:rFonts w:hint="eastAsia" w:ascii="宋体" w:hAnsi="宋体" w:eastAsia="宋体" w:cs="宋体"/>
          <w:b/>
          <w:bCs/>
          <w:color w:val="auto"/>
          <w:kern w:val="2"/>
          <w:sz w:val="24"/>
          <w:szCs w:val="24"/>
          <w:highlight w:val="none"/>
          <w:lang w:val="en-US" w:eastAsia="zh-CN" w:bidi="ar-SA"/>
        </w:rPr>
        <w:t xml:space="preserve">   </w:t>
      </w:r>
    </w:p>
    <w:p w14:paraId="3DA94789">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lang w:val="en-US" w:eastAsia="zh-CN"/>
        </w:rPr>
      </w:pPr>
      <w:r>
        <w:rPr>
          <w:rFonts w:hint="eastAsia" w:cs="宋体"/>
          <w:snapToGrid w:val="0"/>
          <w:color w:val="auto"/>
          <w:sz w:val="24"/>
          <w:szCs w:val="24"/>
          <w:highlight w:val="none"/>
          <w:lang w:val="en-US" w:eastAsia="zh-CN"/>
        </w:rPr>
        <w:t>以财政部发布的最新版采购需求标准为依据</w:t>
      </w:r>
      <w:r>
        <w:rPr>
          <w:rFonts w:hint="eastAsia" w:ascii="宋体" w:hAnsi="宋体" w:eastAsia="宋体" w:cs="宋体"/>
          <w:snapToGrid w:val="0"/>
          <w:color w:val="auto"/>
          <w:sz w:val="24"/>
          <w:szCs w:val="24"/>
          <w:highlight w:val="none"/>
          <w:lang w:val="en-US" w:eastAsia="zh-CN"/>
        </w:rPr>
        <w:t>，本项目如涉及</w:t>
      </w:r>
      <w:r>
        <w:rPr>
          <w:rFonts w:hint="eastAsia" w:cs="宋体"/>
          <w:snapToGrid w:val="0"/>
          <w:color w:val="auto"/>
          <w:sz w:val="24"/>
          <w:szCs w:val="24"/>
          <w:highlight w:val="none"/>
          <w:lang w:val="en-US" w:eastAsia="zh-CN"/>
        </w:rPr>
        <w:t>已制定标准的采购内容</w:t>
      </w:r>
      <w:r>
        <w:rPr>
          <w:rFonts w:hint="eastAsia" w:ascii="宋体" w:hAnsi="宋体" w:eastAsia="宋体" w:cs="宋体"/>
          <w:snapToGrid w:val="0"/>
          <w:color w:val="auto"/>
          <w:sz w:val="24"/>
          <w:szCs w:val="24"/>
          <w:highlight w:val="none"/>
          <w:lang w:val="en-US" w:eastAsia="zh-CN"/>
        </w:rPr>
        <w:t xml:space="preserve">，则其具体要求见第三章《采购需求》。 </w:t>
      </w:r>
    </w:p>
    <w:p w14:paraId="07C1DA2C">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78" w:name="_Toc18589"/>
      <w:bookmarkStart w:id="479" w:name="_Toc17357"/>
      <w:bookmarkStart w:id="480" w:name="_Toc26518"/>
      <w:bookmarkStart w:id="481" w:name="_Toc27566"/>
      <w:r>
        <w:rPr>
          <w:rFonts w:hint="eastAsia" w:ascii="宋体" w:hAnsi="宋体" w:eastAsia="宋体" w:cs="宋体"/>
          <w:b/>
          <w:bCs/>
          <w:color w:val="auto"/>
          <w:kern w:val="2"/>
          <w:sz w:val="24"/>
          <w:szCs w:val="24"/>
          <w:highlight w:val="none"/>
          <w:lang w:val="en-US" w:eastAsia="zh-CN" w:bidi="ar-SA"/>
        </w:rPr>
        <w:t>（十四）政府采购合同融资政策</w:t>
      </w:r>
      <w:bookmarkEnd w:id="448"/>
      <w:bookmarkEnd w:id="449"/>
      <w:bookmarkEnd w:id="469"/>
      <w:bookmarkEnd w:id="478"/>
      <w:bookmarkEnd w:id="479"/>
      <w:bookmarkEnd w:id="480"/>
      <w:bookmarkEnd w:id="481"/>
    </w:p>
    <w:p w14:paraId="7CF3274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82" w:name="_Toc10372"/>
      <w:bookmarkStart w:id="483" w:name="_Toc10283"/>
      <w:bookmarkStart w:id="484" w:name="_Toc163492880"/>
      <w:bookmarkStart w:id="485" w:name="_Toc16609"/>
      <w:bookmarkStart w:id="486" w:name="_Toc200"/>
      <w:r>
        <w:rPr>
          <w:rFonts w:hint="eastAsia" w:ascii="宋体" w:hAnsi="宋体" w:eastAsia="宋体" w:cs="宋体"/>
          <w:b/>
          <w:bCs/>
          <w:color w:val="auto"/>
          <w:kern w:val="2"/>
          <w:sz w:val="24"/>
          <w:szCs w:val="24"/>
          <w:highlight w:val="none"/>
          <w:lang w:val="en-US" w:eastAsia="zh-CN" w:bidi="ar-SA"/>
        </w:rPr>
        <w:t>47.政府采购合同融资政策</w:t>
      </w:r>
      <w:bookmarkEnd w:id="482"/>
      <w:bookmarkEnd w:id="483"/>
      <w:bookmarkEnd w:id="484"/>
      <w:bookmarkEnd w:id="485"/>
      <w:bookmarkEnd w:id="486"/>
    </w:p>
    <w:p w14:paraId="2F90869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rPr>
        <w:t>.1政府采购合同融资政策：见投标人须知前附表。</w:t>
      </w:r>
    </w:p>
    <w:p w14:paraId="198FC626">
      <w:pPr>
        <w:pStyle w:val="4"/>
        <w:keepNext w:val="0"/>
        <w:keepLines w:val="0"/>
        <w:pageBreakBefore w:val="0"/>
        <w:widowControl w:val="0"/>
        <w:numPr>
          <w:ilvl w:val="0"/>
          <w:numId w:val="0"/>
        </w:numPr>
        <w:kinsoku/>
        <w:wordWrap/>
        <w:overflowPunct/>
        <w:topLinePunct w:val="0"/>
        <w:autoSpaceDE/>
        <w:autoSpaceDN/>
        <w:bidi w:val="0"/>
        <w:adjustRightInd/>
        <w:snapToGrid/>
        <w:spacing w:before="120" w:after="12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87" w:name="_Toc163492881"/>
      <w:bookmarkStart w:id="488" w:name="_Toc6921"/>
      <w:bookmarkStart w:id="489" w:name="_Toc25511"/>
      <w:bookmarkStart w:id="490" w:name="_Toc21672"/>
      <w:bookmarkStart w:id="491" w:name="_Toc9588"/>
      <w:r>
        <w:rPr>
          <w:rFonts w:hint="eastAsia" w:ascii="宋体" w:hAnsi="宋体" w:eastAsia="宋体" w:cs="宋体"/>
          <w:b/>
          <w:bCs/>
          <w:color w:val="auto"/>
          <w:kern w:val="2"/>
          <w:sz w:val="24"/>
          <w:szCs w:val="24"/>
          <w:highlight w:val="none"/>
          <w:lang w:val="en-US" w:eastAsia="zh-CN" w:bidi="ar-SA"/>
        </w:rPr>
        <w:t>（十五）其他</w:t>
      </w:r>
      <w:bookmarkEnd w:id="487"/>
      <w:bookmarkEnd w:id="488"/>
      <w:bookmarkEnd w:id="489"/>
      <w:bookmarkEnd w:id="490"/>
      <w:bookmarkEnd w:id="491"/>
    </w:p>
    <w:p w14:paraId="370F802C">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92" w:name="_Toc1148"/>
      <w:bookmarkStart w:id="493" w:name="_Toc163492882"/>
      <w:bookmarkStart w:id="494" w:name="_Toc4950"/>
      <w:bookmarkStart w:id="495" w:name="_Toc28158"/>
      <w:bookmarkStart w:id="496" w:name="_Toc19852"/>
      <w:r>
        <w:rPr>
          <w:rFonts w:hint="eastAsia" w:ascii="宋体" w:hAnsi="宋体" w:eastAsia="宋体" w:cs="宋体"/>
          <w:b/>
          <w:bCs/>
          <w:color w:val="auto"/>
          <w:kern w:val="2"/>
          <w:sz w:val="24"/>
          <w:szCs w:val="24"/>
          <w:highlight w:val="none"/>
          <w:lang w:val="en-US" w:eastAsia="zh-CN" w:bidi="ar-SA"/>
        </w:rPr>
        <w:t>48.需要补充的其他内容</w:t>
      </w:r>
      <w:bookmarkEnd w:id="492"/>
      <w:bookmarkEnd w:id="493"/>
      <w:bookmarkEnd w:id="494"/>
      <w:bookmarkEnd w:id="495"/>
      <w:bookmarkEnd w:id="496"/>
    </w:p>
    <w:p w14:paraId="3251640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.1需要补充的其他内容：见投标人须知前附表。</w:t>
      </w:r>
    </w:p>
    <w:p w14:paraId="1BD29CBA">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497" w:name="_Toc24080"/>
      <w:bookmarkStart w:id="498" w:name="_Toc11583"/>
      <w:bookmarkStart w:id="499" w:name="_Toc163492883"/>
      <w:bookmarkStart w:id="500" w:name="_Toc155185886"/>
      <w:bookmarkStart w:id="501" w:name="_Toc140132810"/>
      <w:bookmarkStart w:id="502" w:name="_Toc28655"/>
      <w:bookmarkStart w:id="503" w:name="_Toc746"/>
      <w:r>
        <w:rPr>
          <w:rFonts w:hint="eastAsia" w:ascii="宋体" w:hAnsi="宋体" w:eastAsia="宋体" w:cs="宋体"/>
          <w:b/>
          <w:bCs/>
          <w:color w:val="auto"/>
          <w:kern w:val="2"/>
          <w:sz w:val="24"/>
          <w:szCs w:val="24"/>
          <w:highlight w:val="none"/>
          <w:lang w:val="en-US" w:eastAsia="zh-CN" w:bidi="ar-SA"/>
        </w:rPr>
        <w:t>49.适用法律</w:t>
      </w:r>
      <w:bookmarkEnd w:id="497"/>
      <w:bookmarkEnd w:id="498"/>
      <w:bookmarkEnd w:id="499"/>
      <w:bookmarkEnd w:id="500"/>
      <w:bookmarkEnd w:id="501"/>
      <w:bookmarkEnd w:id="502"/>
      <w:bookmarkEnd w:id="503"/>
    </w:p>
    <w:p w14:paraId="0953B8AD">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49</w:t>
      </w:r>
      <w:r>
        <w:rPr>
          <w:rFonts w:hint="eastAsia" w:ascii="宋体" w:hAnsi="宋体" w:eastAsia="宋体" w:cs="宋体"/>
          <w:snapToGrid w:val="0"/>
          <w:color w:val="auto"/>
          <w:sz w:val="24"/>
          <w:szCs w:val="24"/>
          <w:highlight w:val="none"/>
        </w:rPr>
        <w:t>.1采购人、采购代理机构及投标人的一切采购活动均适用《中华人民共和国政府采购法》、《中华人民共和国政府采购法实施条例》、《政府采购货物和服务招标投标管理办法》（财政部令第87号）及相关法律法规。</w:t>
      </w:r>
    </w:p>
    <w:p w14:paraId="6AD32247">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color w:val="auto"/>
          <w:sz w:val="24"/>
          <w:szCs w:val="24"/>
          <w:highlight w:val="none"/>
        </w:rPr>
      </w:pPr>
      <w:r>
        <w:rPr>
          <w:rFonts w:hint="eastAsia" w:ascii="宋体" w:hAnsi="宋体" w:eastAsia="宋体" w:cs="宋体"/>
          <w:snapToGrid w:val="0"/>
          <w:color w:val="auto"/>
          <w:sz w:val="24"/>
          <w:szCs w:val="24"/>
          <w:highlight w:val="none"/>
          <w:lang w:val="en-US" w:eastAsia="zh-CN"/>
        </w:rPr>
        <w:t>49</w:t>
      </w:r>
      <w:r>
        <w:rPr>
          <w:rFonts w:hint="eastAsia" w:ascii="宋体" w:hAnsi="宋体" w:eastAsia="宋体" w:cs="宋体"/>
          <w:snapToGrid w:val="0"/>
          <w:color w:val="auto"/>
          <w:sz w:val="24"/>
          <w:szCs w:val="24"/>
          <w:highlight w:val="none"/>
        </w:rPr>
        <w:t>.2政府采购合同的履行、违约责任和解决争议的方法等适用《中华人民共和国民法典》。</w:t>
      </w:r>
    </w:p>
    <w:p w14:paraId="468836B9">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eastAsia" w:ascii="宋体" w:hAnsi="宋体" w:eastAsia="宋体" w:cs="宋体"/>
          <w:b/>
          <w:bCs/>
          <w:color w:val="auto"/>
          <w:kern w:val="2"/>
          <w:sz w:val="24"/>
          <w:szCs w:val="24"/>
          <w:highlight w:val="none"/>
          <w:lang w:val="en-US" w:eastAsia="zh-CN" w:bidi="ar-SA"/>
        </w:rPr>
      </w:pPr>
      <w:bookmarkStart w:id="504" w:name="_Toc7856"/>
      <w:bookmarkStart w:id="505" w:name="_Toc31128"/>
      <w:bookmarkStart w:id="506" w:name="_Toc17601"/>
      <w:bookmarkStart w:id="507" w:name="_Toc163492884"/>
      <w:bookmarkStart w:id="508" w:name="_Toc155185887"/>
      <w:bookmarkStart w:id="509" w:name="_Toc17546"/>
      <w:r>
        <w:rPr>
          <w:rFonts w:hint="eastAsia" w:ascii="宋体" w:hAnsi="宋体" w:eastAsia="宋体" w:cs="宋体"/>
          <w:b/>
          <w:bCs/>
          <w:color w:val="auto"/>
          <w:kern w:val="2"/>
          <w:sz w:val="24"/>
          <w:szCs w:val="24"/>
          <w:highlight w:val="none"/>
          <w:lang w:val="en-US" w:eastAsia="zh-CN" w:bidi="ar-SA"/>
        </w:rPr>
        <w:t>50.解释权</w:t>
      </w:r>
      <w:bookmarkEnd w:id="504"/>
      <w:bookmarkEnd w:id="505"/>
      <w:bookmarkEnd w:id="506"/>
      <w:bookmarkEnd w:id="507"/>
      <w:bookmarkEnd w:id="508"/>
      <w:bookmarkEnd w:id="509"/>
    </w:p>
    <w:p w14:paraId="5C6D27F8">
      <w:pPr>
        <w:pStyle w:val="39"/>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auto"/>
          <w:sz w:val="24"/>
          <w:szCs w:val="24"/>
          <w:highlight w:val="none"/>
        </w:rPr>
      </w:pPr>
      <w:r>
        <w:rPr>
          <w:rFonts w:hint="eastAsia" w:ascii="宋体" w:hAnsi="宋体" w:eastAsia="宋体" w:cs="宋体"/>
          <w:snapToGrid w:val="0"/>
          <w:color w:val="auto"/>
          <w:sz w:val="24"/>
          <w:szCs w:val="24"/>
          <w:highlight w:val="none"/>
          <w:lang w:val="en-US" w:eastAsia="zh-CN"/>
        </w:rPr>
        <w:t>50</w:t>
      </w:r>
      <w:r>
        <w:rPr>
          <w:rFonts w:hint="eastAsia" w:ascii="宋体" w:hAnsi="宋体" w:eastAsia="宋体" w:cs="宋体"/>
          <w:snapToGrid w:val="0"/>
          <w:color w:val="auto"/>
          <w:sz w:val="24"/>
          <w:szCs w:val="24"/>
          <w:highlight w:val="none"/>
        </w:rPr>
        <w:t>.1本招标文件最终解释权归采购人或采购代理机构所有。</w:t>
      </w:r>
    </w:p>
    <w:p w14:paraId="3C497DAE">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5FD6489E">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53956D8C">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76853F8C">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4B168E8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334BC83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5833B9FA">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7F68D20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highlight w:val="none"/>
        </w:rPr>
      </w:pPr>
    </w:p>
    <w:p w14:paraId="764FB4B8">
      <w:pPr>
        <w:rPr>
          <w:rFonts w:hint="eastAsia" w:ascii="宋体" w:hAnsi="宋体" w:eastAsia="宋体" w:cs="宋体"/>
          <w:b/>
          <w:bCs/>
          <w:color w:val="auto"/>
          <w:kern w:val="44"/>
          <w:sz w:val="36"/>
          <w:szCs w:val="36"/>
          <w:highlight w:val="none"/>
          <w:lang w:val="en-US" w:eastAsia="zh-CN" w:bidi="ar-SA"/>
        </w:rPr>
      </w:pPr>
      <w:bookmarkStart w:id="510" w:name="_Toc155185888"/>
      <w:r>
        <w:rPr>
          <w:rFonts w:hint="eastAsia" w:ascii="宋体" w:hAnsi="宋体" w:eastAsia="宋体" w:cs="宋体"/>
          <w:b/>
          <w:bCs/>
          <w:color w:val="auto"/>
          <w:kern w:val="44"/>
          <w:sz w:val="36"/>
          <w:szCs w:val="36"/>
          <w:highlight w:val="none"/>
          <w:lang w:val="en-US" w:eastAsia="zh-CN" w:bidi="ar-SA"/>
        </w:rPr>
        <w:br w:type="page"/>
      </w:r>
    </w:p>
    <w:p w14:paraId="70704BD1">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11" w:name="_Toc1969"/>
      <w:r>
        <w:rPr>
          <w:rFonts w:hint="eastAsia" w:ascii="宋体" w:hAnsi="宋体" w:eastAsia="宋体" w:cs="宋体"/>
          <w:b/>
          <w:bCs/>
          <w:color w:val="auto"/>
          <w:kern w:val="44"/>
          <w:sz w:val="36"/>
          <w:szCs w:val="36"/>
          <w:highlight w:val="none"/>
          <w:lang w:val="en-US" w:eastAsia="zh-CN" w:bidi="ar-SA"/>
        </w:rPr>
        <w:t>第三章 采购需求</w:t>
      </w:r>
      <w:bookmarkEnd w:id="510"/>
      <w:bookmarkEnd w:id="511"/>
    </w:p>
    <w:p w14:paraId="74BCECBF">
      <w:pPr>
        <w:pStyle w:val="3"/>
        <w:bidi w:val="0"/>
        <w:ind w:firstLine="281" w:firstLineChars="100"/>
        <w:rPr>
          <w:rFonts w:hint="eastAsia"/>
          <w:color w:val="auto"/>
          <w:sz w:val="28"/>
          <w:szCs w:val="28"/>
          <w:highlight w:val="none"/>
          <w:lang w:val="en-US" w:eastAsia="zh-CN"/>
        </w:rPr>
      </w:pPr>
      <w:bookmarkStart w:id="512" w:name="_Toc32728"/>
      <w:bookmarkStart w:id="513" w:name="_Toc155185889"/>
      <w:bookmarkStart w:id="514" w:name="_Toc140132812"/>
      <w:r>
        <w:rPr>
          <w:rFonts w:hint="eastAsia"/>
          <w:color w:val="auto"/>
          <w:sz w:val="28"/>
          <w:szCs w:val="28"/>
          <w:highlight w:val="none"/>
          <w:lang w:val="en-US" w:eastAsia="zh-CN"/>
        </w:rPr>
        <w:t>一、采购标的</w:t>
      </w:r>
      <w:bookmarkEnd w:id="512"/>
      <w:r>
        <w:rPr>
          <w:rFonts w:hint="eastAsia"/>
          <w:color w:val="auto"/>
          <w:sz w:val="28"/>
          <w:szCs w:val="28"/>
          <w:highlight w:val="none"/>
          <w:lang w:val="en-US" w:eastAsia="zh-CN"/>
        </w:rPr>
        <w:t xml:space="preserve"> </w:t>
      </w:r>
    </w:p>
    <w:p w14:paraId="366DD99F">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项目名称：哈密市伊州区吐哈石油基地“市政、园林 、环卫一体化”（2026-2028年）第三方采购项目。 </w:t>
      </w:r>
    </w:p>
    <w:p w14:paraId="23DE7D09">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采购数量：</w:t>
      </w:r>
      <w:r>
        <w:rPr>
          <w:rFonts w:hint="eastAsia" w:cs="宋体"/>
          <w:color w:val="auto"/>
          <w:sz w:val="24"/>
          <w:szCs w:val="24"/>
          <w:highlight w:val="none"/>
          <w:u w:val="none"/>
          <w:lang w:val="en-US" w:eastAsia="zh-CN"/>
        </w:rPr>
        <w:t>哈密市伊州区吐哈石油基地“市政、园林 、环卫一体化”（2026-2028年）第三方采购项目包含哈密伊州区石油基地由采购人管理并面向社会开放、提供公共服务的全部市政公用设施、环卫保洁、园林绿化及公园管理，具体数量详见</w:t>
      </w:r>
      <w:r>
        <w:rPr>
          <w:rFonts w:hint="eastAsia"/>
          <w:snapToGrid w:val="0"/>
          <w:color w:val="auto"/>
          <w:sz w:val="24"/>
          <w:szCs w:val="24"/>
          <w:highlight w:val="none"/>
          <w:lang w:val="en-US" w:eastAsia="zh-CN"/>
        </w:rPr>
        <w:t>附件《哈密市伊州区吐哈石油基地“市政、园林 、环卫一体化”（2026-2028年）第三方采购项目年度工程量清单》。</w:t>
      </w:r>
    </w:p>
    <w:p w14:paraId="5A95B58E">
      <w:pPr>
        <w:pStyle w:val="39"/>
        <w:keepNext w:val="0"/>
        <w:keepLines w:val="0"/>
        <w:pageBreakBefore w:val="0"/>
        <w:widowControl w:val="0"/>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预算金额：2720.20万元</w:t>
      </w:r>
      <w:r>
        <w:rPr>
          <w:rFonts w:hint="eastAsia"/>
          <w:snapToGrid w:val="0"/>
          <w:color w:val="auto"/>
          <w:sz w:val="24"/>
          <w:szCs w:val="24"/>
          <w:highlight w:val="none"/>
          <w:lang w:val="en-US" w:eastAsia="zh-CN"/>
        </w:rPr>
        <w:t>/年</w:t>
      </w:r>
    </w:p>
    <w:p w14:paraId="04A9C4C1">
      <w:pPr>
        <w:pStyle w:val="39"/>
        <w:keepNext w:val="0"/>
        <w:keepLines w:val="0"/>
        <w:pageBreakBefore w:val="0"/>
        <w:widowControl w:val="0"/>
        <w:kinsoku/>
        <w:overflowPunct/>
        <w:topLinePunct w:val="0"/>
        <w:autoSpaceDE/>
        <w:autoSpaceDN/>
        <w:bidi w:val="0"/>
        <w:adjustRightInd/>
        <w:textAlignment w:val="auto"/>
        <w:rPr>
          <w:rFonts w:hint="default"/>
          <w:snapToGrid w:val="0"/>
          <w:color w:val="auto"/>
          <w:sz w:val="24"/>
          <w:szCs w:val="24"/>
          <w:highlight w:val="none"/>
          <w:lang w:val="en-US" w:eastAsia="zh-CN"/>
        </w:rPr>
      </w:pPr>
      <w:r>
        <w:rPr>
          <w:rFonts w:hint="default"/>
          <w:snapToGrid w:val="0"/>
          <w:color w:val="auto"/>
          <w:sz w:val="24"/>
          <w:szCs w:val="24"/>
          <w:highlight w:val="none"/>
          <w:lang w:val="en-US" w:eastAsia="zh-CN"/>
        </w:rPr>
        <w:t>最高限价：2720.20万元</w:t>
      </w:r>
      <w:r>
        <w:rPr>
          <w:rFonts w:hint="eastAsia"/>
          <w:snapToGrid w:val="0"/>
          <w:color w:val="auto"/>
          <w:sz w:val="24"/>
          <w:szCs w:val="24"/>
          <w:highlight w:val="none"/>
          <w:lang w:val="en-US" w:eastAsia="zh-CN"/>
        </w:rPr>
        <w:t>/年</w:t>
      </w:r>
    </w:p>
    <w:p w14:paraId="6D523F8D">
      <w:pPr>
        <w:pStyle w:val="3"/>
        <w:bidi w:val="0"/>
        <w:ind w:firstLine="281" w:firstLineChars="100"/>
        <w:rPr>
          <w:rFonts w:hint="eastAsia"/>
          <w:color w:val="auto"/>
          <w:sz w:val="28"/>
          <w:szCs w:val="28"/>
          <w:highlight w:val="none"/>
          <w:lang w:val="en-US" w:eastAsia="zh-CN"/>
        </w:rPr>
      </w:pPr>
      <w:bookmarkStart w:id="515" w:name="_Toc1282"/>
      <w:r>
        <w:rPr>
          <w:rFonts w:hint="eastAsia"/>
          <w:color w:val="auto"/>
          <w:sz w:val="28"/>
          <w:szCs w:val="28"/>
          <w:highlight w:val="none"/>
          <w:lang w:val="en-US" w:eastAsia="zh-CN"/>
        </w:rPr>
        <w:t>二、商务要求</w:t>
      </w:r>
      <w:bookmarkEnd w:id="515"/>
      <w:r>
        <w:rPr>
          <w:rFonts w:hint="eastAsia"/>
          <w:color w:val="auto"/>
          <w:sz w:val="28"/>
          <w:szCs w:val="28"/>
          <w:highlight w:val="none"/>
          <w:lang w:val="en-US" w:eastAsia="zh-CN"/>
        </w:rPr>
        <w:t xml:space="preserve"> </w:t>
      </w:r>
    </w:p>
    <w:p w14:paraId="0BA73EE6">
      <w:pPr>
        <w:pStyle w:val="39"/>
        <w:keepNext w:val="0"/>
        <w:keepLines w:val="0"/>
        <w:pageBreakBefore w:val="0"/>
        <w:widowControl w:val="0"/>
        <w:kinsoku/>
        <w:overflowPunct/>
        <w:topLinePunct w:val="0"/>
        <w:autoSpaceDE/>
        <w:autoSpaceDN/>
        <w:bidi w:val="0"/>
        <w:adjustRightInd/>
        <w:ind w:firstLine="482"/>
        <w:textAlignment w:val="auto"/>
        <w:rPr>
          <w:rFonts w:hint="default"/>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w:t>
      </w:r>
      <w:r>
        <w:rPr>
          <w:rFonts w:hint="default"/>
          <w:snapToGrid w:val="0"/>
          <w:color w:val="auto"/>
          <w:sz w:val="24"/>
          <w:szCs w:val="24"/>
          <w:highlight w:val="none"/>
          <w:lang w:val="en-US" w:eastAsia="zh-CN"/>
        </w:rPr>
        <w:t>1.</w:t>
      </w:r>
      <w:r>
        <w:rPr>
          <w:rFonts w:hint="eastAsia"/>
          <w:snapToGrid w:val="0"/>
          <w:color w:val="auto"/>
          <w:sz w:val="24"/>
          <w:szCs w:val="24"/>
          <w:highlight w:val="none"/>
          <w:lang w:val="en-US" w:eastAsia="zh-CN"/>
        </w:rPr>
        <w:t>服务期限：3年</w:t>
      </w:r>
    </w:p>
    <w:p w14:paraId="58669F18">
      <w:pPr>
        <w:pStyle w:val="39"/>
        <w:keepNext w:val="0"/>
        <w:keepLines w:val="0"/>
        <w:pageBreakBefore w:val="0"/>
        <w:widowControl w:val="0"/>
        <w:kinsoku/>
        <w:overflowPunct/>
        <w:topLinePunct w:val="0"/>
        <w:autoSpaceDE/>
        <w:autoSpaceDN/>
        <w:bidi w:val="0"/>
        <w:adjustRightInd/>
        <w:ind w:firstLine="482"/>
        <w:textAlignment w:val="auto"/>
        <w:rPr>
          <w:rFonts w:hint="default"/>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w:t>
      </w:r>
      <w:r>
        <w:rPr>
          <w:rFonts w:hint="default"/>
          <w:snapToGrid w:val="0"/>
          <w:color w:val="auto"/>
          <w:sz w:val="24"/>
          <w:szCs w:val="24"/>
          <w:highlight w:val="none"/>
          <w:lang w:val="en-US" w:eastAsia="zh-CN"/>
        </w:rPr>
        <w:t>2.</w:t>
      </w:r>
      <w:r>
        <w:rPr>
          <w:rFonts w:hint="eastAsia"/>
          <w:snapToGrid w:val="0"/>
          <w:color w:val="auto"/>
          <w:sz w:val="24"/>
          <w:szCs w:val="24"/>
          <w:highlight w:val="none"/>
          <w:lang w:val="en-US" w:eastAsia="zh-CN"/>
        </w:rPr>
        <w:t>实施地点：哈密市伊州区吐哈石油基地</w:t>
      </w:r>
    </w:p>
    <w:p w14:paraId="2017E928">
      <w:pPr>
        <w:pStyle w:val="39"/>
        <w:keepNext w:val="0"/>
        <w:keepLines w:val="0"/>
        <w:pageBreakBefore w:val="0"/>
        <w:widowControl w:val="0"/>
        <w:kinsoku/>
        <w:overflowPunct/>
        <w:topLinePunct w:val="0"/>
        <w:autoSpaceDE/>
        <w:autoSpaceDN/>
        <w:bidi w:val="0"/>
        <w:adjustRightInd/>
        <w:ind w:firstLine="482"/>
        <w:textAlignment w:val="auto"/>
        <w:rPr>
          <w:rFonts w:hint="default"/>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w:t>
      </w:r>
      <w:r>
        <w:rPr>
          <w:rFonts w:hint="eastAsia"/>
          <w:snapToGrid w:val="0"/>
          <w:color w:val="auto"/>
          <w:sz w:val="24"/>
          <w:szCs w:val="24"/>
          <w:highlight w:val="none"/>
          <w:lang w:val="en-US" w:eastAsia="zh-CN"/>
        </w:rPr>
        <w:t xml:space="preserve">3.付款条件：完成月度考核并确认当月结算金额后的三个工作日内，中标人向采购人提交结算报告以及符合采购人财务规定的合法有效增值税普通发票。采购人在收到中标人提交的上述资料后的七个工作日内，经审核确认无误且考核结果符合付费条件后，支付月度运维服务费。 </w:t>
      </w:r>
    </w:p>
    <w:p w14:paraId="68249201">
      <w:pPr>
        <w:pStyle w:val="39"/>
        <w:keepNext w:val="0"/>
        <w:keepLines w:val="0"/>
        <w:pageBreakBefore w:val="0"/>
        <w:widowControl w:val="0"/>
        <w:kinsoku/>
        <w:overflowPunct/>
        <w:topLinePunct w:val="0"/>
        <w:autoSpaceDE/>
        <w:autoSpaceDN/>
        <w:bidi w:val="0"/>
        <w:adjustRightInd/>
        <w:ind w:firstLine="482"/>
        <w:textAlignment w:val="auto"/>
        <w:rPr>
          <w:rFonts w:hint="eastAsia"/>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w:t>
      </w:r>
      <w:r>
        <w:rPr>
          <w:rFonts w:hint="default"/>
          <w:snapToGrid w:val="0"/>
          <w:color w:val="auto"/>
          <w:sz w:val="24"/>
          <w:szCs w:val="24"/>
          <w:highlight w:val="none"/>
          <w:lang w:val="en-US" w:eastAsia="zh-CN"/>
        </w:rPr>
        <w:t>4.服务费用</w:t>
      </w:r>
      <w:r>
        <w:rPr>
          <w:rFonts w:hint="eastAsia"/>
          <w:snapToGrid w:val="0"/>
          <w:color w:val="auto"/>
          <w:sz w:val="24"/>
          <w:szCs w:val="24"/>
          <w:highlight w:val="none"/>
          <w:lang w:val="en-US" w:eastAsia="zh-CN"/>
        </w:rPr>
        <w:t>：本项目服务费用包含完成服务工作的全部费用，</w:t>
      </w:r>
      <w:r>
        <w:rPr>
          <w:rFonts w:hint="default"/>
          <w:snapToGrid w:val="0"/>
          <w:color w:val="auto"/>
          <w:sz w:val="24"/>
          <w:szCs w:val="24"/>
          <w:highlight w:val="none"/>
          <w:lang w:val="en-US" w:eastAsia="zh-CN"/>
        </w:rPr>
        <w:t>涵盖但不限于人员工资（扣除社会保险后的月工资不得低于人民币 2100 元）、社会保险、公积金、加班费、绩效、福利、项目运维所需的水、电、气、网络、材料费、设施设备的日常维护保养、维修、检测及办公费用、固定资产折旧费、管理费分摊、设施设备及公众责任保险、税金等各项费用</w:t>
      </w:r>
      <w:r>
        <w:rPr>
          <w:rFonts w:hint="eastAsia"/>
          <w:snapToGrid w:val="0"/>
          <w:color w:val="auto"/>
          <w:sz w:val="24"/>
          <w:szCs w:val="24"/>
          <w:highlight w:val="none"/>
          <w:lang w:val="en-US" w:eastAsia="zh-CN"/>
        </w:rPr>
        <w:t>。</w:t>
      </w:r>
    </w:p>
    <w:p w14:paraId="4566701F">
      <w:pPr>
        <w:pStyle w:val="39"/>
        <w:keepNext w:val="0"/>
        <w:keepLines w:val="0"/>
        <w:pageBreakBefore w:val="0"/>
        <w:widowControl w:val="0"/>
        <w:numPr>
          <w:ilvl w:val="0"/>
          <w:numId w:val="3"/>
        </w:numP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人员配置要求：</w:t>
      </w:r>
    </w:p>
    <w:p w14:paraId="61FDB1EC">
      <w:pPr>
        <w:ind w:firstLine="560"/>
        <w:rPr>
          <w:rFonts w:hint="eastAsia" w:cs="Times New Roman"/>
          <w:color w:val="auto"/>
          <w:highlight w:val="none"/>
          <w:lang w:eastAsia="zh-CN"/>
        </w:rPr>
      </w:pPr>
      <w:r>
        <w:rPr>
          <w:rFonts w:hint="eastAsia" w:cs="Times New Roman"/>
          <w:color w:val="auto"/>
          <w:highlight w:val="none"/>
          <w:lang w:eastAsia="zh-CN"/>
        </w:rPr>
        <w:t>本项目</w:t>
      </w:r>
      <w:r>
        <w:rPr>
          <w:rFonts w:hint="eastAsia" w:cs="Times New Roman"/>
          <w:color w:val="auto"/>
          <w:highlight w:val="none"/>
          <w:lang w:val="en-US" w:eastAsia="zh-CN"/>
        </w:rPr>
        <w:t>计划</w:t>
      </w:r>
      <w:r>
        <w:rPr>
          <w:rFonts w:hint="eastAsia" w:cs="Times New Roman"/>
          <w:color w:val="auto"/>
          <w:highlight w:val="none"/>
          <w:lang w:eastAsia="zh-CN"/>
        </w:rPr>
        <w:t>配置人员共计</w:t>
      </w:r>
      <w:r>
        <w:rPr>
          <w:rFonts w:hint="eastAsia" w:cs="Times New Roman"/>
          <w:color w:val="auto"/>
          <w:highlight w:val="none"/>
          <w:lang w:val="en-US" w:eastAsia="zh-CN"/>
        </w:rPr>
        <w:t>282</w:t>
      </w:r>
      <w:r>
        <w:rPr>
          <w:rFonts w:hint="eastAsia" w:cs="Times New Roman"/>
          <w:color w:val="auto"/>
          <w:highlight w:val="none"/>
          <w:lang w:eastAsia="zh-CN"/>
        </w:rPr>
        <w:t>人，包括一线作业人员、驾驶员，具体如下：</w:t>
      </w:r>
    </w:p>
    <w:p w14:paraId="7AA3E365">
      <w:pPr>
        <w:widowControl/>
        <w:adjustRightInd/>
        <w:snapToGrid/>
        <w:spacing w:before="0" w:line="240" w:lineRule="auto"/>
        <w:ind w:firstLine="0" w:firstLineChars="0"/>
        <w:jc w:val="left"/>
        <w:rPr>
          <w:rFonts w:hint="eastAsia" w:ascii="宋体" w:hAnsi="宋体" w:eastAsia="宋体" w:cs="宋体"/>
          <w:bCs/>
          <w:color w:val="auto"/>
          <w:sz w:val="28"/>
          <w:szCs w:val="32"/>
          <w:highlight w:val="none"/>
        </w:rPr>
      </w:pPr>
      <w:bookmarkStart w:id="516" w:name="_Hlk52090045"/>
      <w:r>
        <w:rPr>
          <w:rFonts w:hint="eastAsia" w:ascii="宋体" w:hAnsi="宋体" w:eastAsia="宋体" w:cs="宋体"/>
          <w:bCs/>
          <w:color w:val="auto"/>
          <w:sz w:val="28"/>
          <w:szCs w:val="32"/>
          <w:highlight w:val="none"/>
        </w:rPr>
        <w:br w:type="page"/>
      </w:r>
    </w:p>
    <w:p w14:paraId="21742175">
      <w:pPr>
        <w:widowControl/>
        <w:adjustRightInd w:val="0"/>
        <w:snapToGrid w:val="0"/>
        <w:spacing w:before="120" w:line="360" w:lineRule="auto"/>
        <w:ind w:firstLine="480" w:firstLineChars="200"/>
        <w:jc w:val="center"/>
        <w:rPr>
          <w:rFonts w:hint="eastAsia" w:ascii="宋体" w:hAnsi="宋体" w:eastAsia="宋体" w:cs="宋体"/>
          <w:bCs/>
          <w:color w:val="auto"/>
          <w:sz w:val="24"/>
          <w:szCs w:val="28"/>
          <w:highlight w:val="none"/>
        </w:rPr>
      </w:pPr>
      <w:r>
        <w:rPr>
          <w:rFonts w:hint="eastAsia" w:ascii="宋体" w:hAnsi="宋体" w:eastAsia="宋体" w:cs="宋体"/>
          <w:bCs/>
          <w:color w:val="auto"/>
          <w:sz w:val="24"/>
          <w:szCs w:val="28"/>
          <w:highlight w:val="none"/>
        </w:rPr>
        <w:t>表2-1人员配置表</w:t>
      </w:r>
    </w:p>
    <w:bookmarkEnd w:id="516"/>
    <w:tbl>
      <w:tblPr>
        <w:tblStyle w:val="31"/>
        <w:tblW w:w="8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3235"/>
        <w:gridCol w:w="1937"/>
        <w:gridCol w:w="1977"/>
      </w:tblGrid>
      <w:tr w14:paraId="4B2AF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889" w:type="dxa"/>
            <w:shd w:val="clear" w:color="auto" w:fill="63B86C"/>
            <w:vAlign w:val="center"/>
          </w:tcPr>
          <w:p w14:paraId="6EBAD965">
            <w:pPr>
              <w:spacing w:line="240" w:lineRule="auto"/>
              <w:ind w:firstLine="0" w:firstLineChars="0"/>
              <w:jc w:val="center"/>
              <w:rPr>
                <w:rFonts w:hint="eastAsia" w:ascii="宋体" w:hAnsi="宋体" w:eastAsia="宋体" w:cs="宋体"/>
                <w:b/>
                <w:bCs/>
                <w:color w:val="auto"/>
                <w:spacing w:val="-3"/>
                <w:sz w:val="24"/>
                <w:szCs w:val="24"/>
                <w:highlight w:val="none"/>
                <w:lang w:eastAsia="zh-CN"/>
              </w:rPr>
            </w:pPr>
            <w:r>
              <w:rPr>
                <w:rFonts w:hint="eastAsia" w:ascii="宋体" w:hAnsi="宋体" w:eastAsia="宋体" w:cs="宋体"/>
                <w:b/>
                <w:bCs/>
                <w:color w:val="auto"/>
                <w:spacing w:val="-3"/>
                <w:sz w:val="24"/>
                <w:szCs w:val="24"/>
                <w:highlight w:val="none"/>
                <w:lang w:eastAsia="zh-CN"/>
              </w:rPr>
              <w:t>序号</w:t>
            </w:r>
          </w:p>
        </w:tc>
        <w:tc>
          <w:tcPr>
            <w:tcW w:w="3235" w:type="dxa"/>
            <w:shd w:val="clear" w:color="auto" w:fill="63B86C"/>
            <w:vAlign w:val="center"/>
          </w:tcPr>
          <w:p w14:paraId="3C8A04A3">
            <w:pPr>
              <w:spacing w:line="240" w:lineRule="auto"/>
              <w:ind w:firstLine="0" w:firstLineChars="0"/>
              <w:jc w:val="center"/>
              <w:rPr>
                <w:rFonts w:hint="eastAsia" w:ascii="宋体" w:hAnsi="宋体" w:eastAsia="宋体" w:cs="宋体"/>
                <w:b/>
                <w:bCs/>
                <w:color w:val="auto"/>
                <w:spacing w:val="-3"/>
                <w:sz w:val="24"/>
                <w:szCs w:val="24"/>
                <w:highlight w:val="none"/>
                <w:lang w:eastAsia="zh-CN"/>
              </w:rPr>
            </w:pPr>
            <w:r>
              <w:rPr>
                <w:rFonts w:hint="eastAsia" w:ascii="宋体" w:hAnsi="宋体" w:eastAsia="宋体" w:cs="宋体"/>
                <w:b/>
                <w:bCs/>
                <w:color w:val="auto"/>
                <w:spacing w:val="-3"/>
                <w:sz w:val="24"/>
                <w:szCs w:val="24"/>
                <w:highlight w:val="none"/>
                <w:lang w:eastAsia="zh-CN"/>
              </w:rPr>
              <w:t>名称</w:t>
            </w:r>
          </w:p>
        </w:tc>
        <w:tc>
          <w:tcPr>
            <w:tcW w:w="1937" w:type="dxa"/>
            <w:shd w:val="clear" w:color="auto" w:fill="63B86C"/>
            <w:vAlign w:val="center"/>
          </w:tcPr>
          <w:p w14:paraId="3BDFC404">
            <w:pPr>
              <w:spacing w:line="240" w:lineRule="auto"/>
              <w:ind w:firstLine="0" w:firstLineChars="0"/>
              <w:jc w:val="center"/>
              <w:rPr>
                <w:rFonts w:hint="eastAsia" w:ascii="宋体" w:hAnsi="宋体" w:eastAsia="宋体" w:cs="宋体"/>
                <w:b/>
                <w:bCs/>
                <w:color w:val="auto"/>
                <w:spacing w:val="-3"/>
                <w:sz w:val="24"/>
                <w:szCs w:val="24"/>
                <w:highlight w:val="none"/>
                <w:lang w:eastAsia="zh-CN"/>
              </w:rPr>
            </w:pPr>
            <w:r>
              <w:rPr>
                <w:rFonts w:hint="eastAsia" w:ascii="宋体" w:hAnsi="宋体" w:eastAsia="宋体" w:cs="宋体"/>
                <w:b/>
                <w:bCs/>
                <w:color w:val="auto"/>
                <w:spacing w:val="-3"/>
                <w:sz w:val="24"/>
                <w:szCs w:val="24"/>
                <w:highlight w:val="none"/>
                <w:lang w:eastAsia="zh-CN"/>
              </w:rPr>
              <w:t>数量（人）</w:t>
            </w:r>
          </w:p>
        </w:tc>
        <w:tc>
          <w:tcPr>
            <w:tcW w:w="1977" w:type="dxa"/>
            <w:shd w:val="clear" w:color="auto" w:fill="63B86C"/>
            <w:vAlign w:val="center"/>
          </w:tcPr>
          <w:p w14:paraId="2AD655C4">
            <w:pPr>
              <w:spacing w:line="240" w:lineRule="auto"/>
              <w:ind w:firstLine="0" w:firstLineChars="0"/>
              <w:jc w:val="center"/>
              <w:rPr>
                <w:rFonts w:hint="eastAsia" w:ascii="宋体" w:hAnsi="宋体" w:eastAsia="宋体" w:cs="宋体"/>
                <w:b/>
                <w:bCs/>
                <w:color w:val="auto"/>
                <w:spacing w:val="-3"/>
                <w:sz w:val="24"/>
                <w:szCs w:val="24"/>
                <w:highlight w:val="none"/>
                <w:lang w:eastAsia="zh-CN"/>
              </w:rPr>
            </w:pPr>
            <w:r>
              <w:rPr>
                <w:rFonts w:hint="eastAsia" w:ascii="宋体" w:hAnsi="宋体" w:eastAsia="宋体" w:cs="宋体"/>
                <w:b/>
                <w:bCs/>
                <w:color w:val="auto"/>
                <w:spacing w:val="-3"/>
                <w:sz w:val="24"/>
                <w:szCs w:val="24"/>
                <w:highlight w:val="none"/>
                <w:lang w:eastAsia="zh-CN"/>
              </w:rPr>
              <w:t>备注</w:t>
            </w:r>
          </w:p>
        </w:tc>
      </w:tr>
      <w:tr w14:paraId="51E6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467277CE">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1</w:t>
            </w:r>
          </w:p>
        </w:tc>
        <w:tc>
          <w:tcPr>
            <w:tcW w:w="3235" w:type="dxa"/>
            <w:vAlign w:val="center"/>
          </w:tcPr>
          <w:p w14:paraId="7953C2D9">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道路清扫保洁员</w:t>
            </w:r>
          </w:p>
        </w:tc>
        <w:tc>
          <w:tcPr>
            <w:tcW w:w="1937" w:type="dxa"/>
            <w:vAlign w:val="center"/>
          </w:tcPr>
          <w:p w14:paraId="4B4E201A">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87</w:t>
            </w:r>
          </w:p>
        </w:tc>
        <w:tc>
          <w:tcPr>
            <w:tcW w:w="1977" w:type="dxa"/>
            <w:vMerge w:val="restart"/>
            <w:vAlign w:val="center"/>
          </w:tcPr>
          <w:p w14:paraId="176EE5F5">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道路清扫保洁</w:t>
            </w:r>
          </w:p>
        </w:tc>
      </w:tr>
      <w:tr w14:paraId="0411E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7D3BB1F3">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2</w:t>
            </w:r>
          </w:p>
        </w:tc>
        <w:tc>
          <w:tcPr>
            <w:tcW w:w="3235" w:type="dxa"/>
            <w:vAlign w:val="center"/>
          </w:tcPr>
          <w:p w14:paraId="685455B4">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车辆驾驶员</w:t>
            </w:r>
          </w:p>
        </w:tc>
        <w:tc>
          <w:tcPr>
            <w:tcW w:w="1937" w:type="dxa"/>
            <w:vAlign w:val="center"/>
          </w:tcPr>
          <w:p w14:paraId="61E36106">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10</w:t>
            </w:r>
          </w:p>
        </w:tc>
        <w:tc>
          <w:tcPr>
            <w:tcW w:w="1977" w:type="dxa"/>
            <w:vMerge w:val="continue"/>
            <w:vAlign w:val="center"/>
          </w:tcPr>
          <w:p w14:paraId="345FAB2C">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p>
        </w:tc>
      </w:tr>
      <w:tr w14:paraId="27750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889" w:type="dxa"/>
            <w:vAlign w:val="center"/>
          </w:tcPr>
          <w:p w14:paraId="44F28F01">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3</w:t>
            </w:r>
          </w:p>
        </w:tc>
        <w:tc>
          <w:tcPr>
            <w:tcW w:w="3235" w:type="dxa"/>
            <w:vAlign w:val="center"/>
          </w:tcPr>
          <w:p w14:paraId="34E8CDD2">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绿化带与防风林</w:t>
            </w:r>
            <w:r>
              <w:rPr>
                <w:rFonts w:hint="eastAsia" w:ascii="宋体" w:hAnsi="宋体" w:cs="宋体"/>
                <w:color w:val="auto"/>
                <w:spacing w:val="-5"/>
                <w:sz w:val="24"/>
                <w:szCs w:val="28"/>
                <w:highlight w:val="none"/>
                <w:lang w:val="en-US" w:eastAsia="zh-CN"/>
              </w:rPr>
              <w:t>清扫保洁员</w:t>
            </w:r>
          </w:p>
        </w:tc>
        <w:tc>
          <w:tcPr>
            <w:tcW w:w="1937" w:type="dxa"/>
            <w:vAlign w:val="center"/>
          </w:tcPr>
          <w:p w14:paraId="0E46C545">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52</w:t>
            </w:r>
          </w:p>
        </w:tc>
        <w:tc>
          <w:tcPr>
            <w:tcW w:w="1977" w:type="dxa"/>
            <w:vAlign w:val="center"/>
          </w:tcPr>
          <w:p w14:paraId="6AFECD4B">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绿化带与防风林</w:t>
            </w:r>
            <w:r>
              <w:rPr>
                <w:rFonts w:hint="eastAsia" w:ascii="宋体" w:hAnsi="宋体" w:cs="宋体"/>
                <w:color w:val="auto"/>
                <w:spacing w:val="-5"/>
                <w:sz w:val="24"/>
                <w:szCs w:val="28"/>
                <w:highlight w:val="none"/>
                <w:lang w:val="en-US" w:eastAsia="zh-CN"/>
              </w:rPr>
              <w:t>清扫保洁</w:t>
            </w:r>
          </w:p>
        </w:tc>
      </w:tr>
      <w:tr w14:paraId="59573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647A1284">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4</w:t>
            </w:r>
          </w:p>
        </w:tc>
        <w:tc>
          <w:tcPr>
            <w:tcW w:w="3235" w:type="dxa"/>
            <w:vAlign w:val="center"/>
          </w:tcPr>
          <w:p w14:paraId="687CBCB0">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垃圾收运工作人员</w:t>
            </w:r>
          </w:p>
        </w:tc>
        <w:tc>
          <w:tcPr>
            <w:tcW w:w="1937" w:type="dxa"/>
            <w:vAlign w:val="center"/>
          </w:tcPr>
          <w:p w14:paraId="0F189288">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6</w:t>
            </w:r>
          </w:p>
        </w:tc>
        <w:tc>
          <w:tcPr>
            <w:tcW w:w="1977" w:type="dxa"/>
            <w:vMerge w:val="restart"/>
            <w:vAlign w:val="center"/>
          </w:tcPr>
          <w:p w14:paraId="433FA472">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垃圾收运</w:t>
            </w:r>
          </w:p>
        </w:tc>
      </w:tr>
      <w:tr w14:paraId="5A827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596E407C">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5</w:t>
            </w:r>
          </w:p>
        </w:tc>
        <w:tc>
          <w:tcPr>
            <w:tcW w:w="3235" w:type="dxa"/>
            <w:vAlign w:val="center"/>
          </w:tcPr>
          <w:p w14:paraId="3949043E">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车辆驾驶员</w:t>
            </w:r>
          </w:p>
        </w:tc>
        <w:tc>
          <w:tcPr>
            <w:tcW w:w="1937" w:type="dxa"/>
            <w:vAlign w:val="center"/>
          </w:tcPr>
          <w:p w14:paraId="6AD0FB99">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7</w:t>
            </w:r>
          </w:p>
        </w:tc>
        <w:tc>
          <w:tcPr>
            <w:tcW w:w="1977" w:type="dxa"/>
            <w:vMerge w:val="continue"/>
            <w:vAlign w:val="center"/>
          </w:tcPr>
          <w:p w14:paraId="5C685E79">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p>
        </w:tc>
      </w:tr>
      <w:tr w14:paraId="7F9C1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08008900">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6</w:t>
            </w:r>
          </w:p>
        </w:tc>
        <w:tc>
          <w:tcPr>
            <w:tcW w:w="3235" w:type="dxa"/>
            <w:vAlign w:val="center"/>
          </w:tcPr>
          <w:p w14:paraId="11DD0633">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转运站操作人员</w:t>
            </w:r>
          </w:p>
        </w:tc>
        <w:tc>
          <w:tcPr>
            <w:tcW w:w="1937" w:type="dxa"/>
            <w:vAlign w:val="center"/>
          </w:tcPr>
          <w:p w14:paraId="7EC611D8">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4</w:t>
            </w:r>
          </w:p>
        </w:tc>
        <w:tc>
          <w:tcPr>
            <w:tcW w:w="1977" w:type="dxa"/>
            <w:vAlign w:val="center"/>
          </w:tcPr>
          <w:p w14:paraId="29F55A65">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转运站管理</w:t>
            </w:r>
          </w:p>
        </w:tc>
      </w:tr>
      <w:tr w14:paraId="5669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15E115F5">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7</w:t>
            </w:r>
          </w:p>
        </w:tc>
        <w:tc>
          <w:tcPr>
            <w:tcW w:w="3235" w:type="dxa"/>
            <w:vAlign w:val="center"/>
          </w:tcPr>
          <w:p w14:paraId="392CD0A8">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公厕保洁员</w:t>
            </w:r>
          </w:p>
        </w:tc>
        <w:tc>
          <w:tcPr>
            <w:tcW w:w="1937" w:type="dxa"/>
            <w:vAlign w:val="center"/>
          </w:tcPr>
          <w:p w14:paraId="791B9DA7">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13</w:t>
            </w:r>
          </w:p>
        </w:tc>
        <w:tc>
          <w:tcPr>
            <w:tcW w:w="1977" w:type="dxa"/>
            <w:vAlign w:val="center"/>
          </w:tcPr>
          <w:p w14:paraId="2A662985">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公厕保洁</w:t>
            </w:r>
          </w:p>
        </w:tc>
      </w:tr>
      <w:tr w14:paraId="10B245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4" w:hRule="atLeast"/>
          <w:jc w:val="center"/>
        </w:trPr>
        <w:tc>
          <w:tcPr>
            <w:tcW w:w="889" w:type="dxa"/>
            <w:vAlign w:val="center"/>
          </w:tcPr>
          <w:p w14:paraId="2FA28B6E">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8</w:t>
            </w:r>
          </w:p>
        </w:tc>
        <w:tc>
          <w:tcPr>
            <w:tcW w:w="3235" w:type="dxa"/>
            <w:vAlign w:val="center"/>
          </w:tcPr>
          <w:p w14:paraId="595F0166">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绿化</w:t>
            </w:r>
            <w:r>
              <w:rPr>
                <w:rFonts w:hint="eastAsia" w:ascii="宋体" w:hAnsi="宋体" w:cs="宋体"/>
                <w:color w:val="auto"/>
                <w:spacing w:val="-5"/>
                <w:sz w:val="24"/>
                <w:szCs w:val="28"/>
                <w:highlight w:val="none"/>
                <w:lang w:val="en-US" w:eastAsia="zh-CN"/>
              </w:rPr>
              <w:t>养护人员（含作业人员和驾驶员）</w:t>
            </w:r>
          </w:p>
        </w:tc>
        <w:tc>
          <w:tcPr>
            <w:tcW w:w="1937" w:type="dxa"/>
            <w:vAlign w:val="center"/>
          </w:tcPr>
          <w:p w14:paraId="493C2ECD">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98</w:t>
            </w:r>
          </w:p>
        </w:tc>
        <w:tc>
          <w:tcPr>
            <w:tcW w:w="1977" w:type="dxa"/>
            <w:vAlign w:val="center"/>
          </w:tcPr>
          <w:p w14:paraId="7F9FC419">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绿化</w:t>
            </w:r>
            <w:r>
              <w:rPr>
                <w:rFonts w:hint="eastAsia" w:ascii="宋体" w:hAnsi="宋体" w:cs="宋体"/>
                <w:color w:val="auto"/>
                <w:spacing w:val="-5"/>
                <w:sz w:val="24"/>
                <w:szCs w:val="28"/>
                <w:highlight w:val="none"/>
                <w:lang w:val="en-US" w:eastAsia="zh-CN"/>
              </w:rPr>
              <w:t>养护</w:t>
            </w:r>
          </w:p>
        </w:tc>
      </w:tr>
      <w:tr w14:paraId="680FF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1B5F349C">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9</w:t>
            </w:r>
          </w:p>
        </w:tc>
        <w:tc>
          <w:tcPr>
            <w:tcW w:w="3235" w:type="dxa"/>
            <w:vAlign w:val="center"/>
          </w:tcPr>
          <w:p w14:paraId="2109C041">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市政设施养护人员</w:t>
            </w:r>
          </w:p>
        </w:tc>
        <w:tc>
          <w:tcPr>
            <w:tcW w:w="1937" w:type="dxa"/>
            <w:vAlign w:val="center"/>
          </w:tcPr>
          <w:p w14:paraId="2C061185">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2</w:t>
            </w:r>
          </w:p>
        </w:tc>
        <w:tc>
          <w:tcPr>
            <w:tcW w:w="1977" w:type="dxa"/>
            <w:vAlign w:val="center"/>
          </w:tcPr>
          <w:p w14:paraId="35E3FD27">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市政设施</w:t>
            </w:r>
          </w:p>
        </w:tc>
      </w:tr>
      <w:tr w14:paraId="7708C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304B9954">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10</w:t>
            </w:r>
          </w:p>
        </w:tc>
        <w:tc>
          <w:tcPr>
            <w:tcW w:w="3235" w:type="dxa"/>
            <w:vAlign w:val="center"/>
          </w:tcPr>
          <w:p w14:paraId="634FEBAF">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路灯养护人员</w:t>
            </w:r>
          </w:p>
        </w:tc>
        <w:tc>
          <w:tcPr>
            <w:tcW w:w="1937" w:type="dxa"/>
            <w:vAlign w:val="center"/>
          </w:tcPr>
          <w:p w14:paraId="3547A5E2">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2</w:t>
            </w:r>
          </w:p>
        </w:tc>
        <w:tc>
          <w:tcPr>
            <w:tcW w:w="1977" w:type="dxa"/>
            <w:vMerge w:val="restart"/>
            <w:vAlign w:val="center"/>
          </w:tcPr>
          <w:p w14:paraId="08A45D24">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路灯照明养护</w:t>
            </w:r>
          </w:p>
        </w:tc>
      </w:tr>
      <w:tr w14:paraId="28923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889" w:type="dxa"/>
            <w:vAlign w:val="center"/>
          </w:tcPr>
          <w:p w14:paraId="0E645F85">
            <w:pPr>
              <w:kinsoku/>
              <w:autoSpaceDE/>
              <w:autoSpaceDN/>
              <w:adjustRightInd/>
              <w:snapToGrid/>
              <w:spacing w:line="240" w:lineRule="auto"/>
              <w:ind w:firstLine="0" w:firstLineChars="0"/>
              <w:jc w:val="center"/>
              <w:textAlignment w:val="auto"/>
              <w:rPr>
                <w:rFonts w:hint="eastAsia" w:cs="宋体"/>
                <w:color w:val="auto"/>
                <w:spacing w:val="-5"/>
                <w:sz w:val="24"/>
                <w:szCs w:val="28"/>
                <w:highlight w:val="none"/>
                <w:lang w:val="en-US" w:eastAsia="zh-CN"/>
              </w:rPr>
            </w:pPr>
            <w:r>
              <w:rPr>
                <w:rFonts w:hint="eastAsia" w:cs="宋体"/>
                <w:color w:val="auto"/>
                <w:spacing w:val="-5"/>
                <w:sz w:val="24"/>
                <w:szCs w:val="28"/>
                <w:highlight w:val="none"/>
                <w:lang w:val="en-US" w:eastAsia="zh-CN"/>
              </w:rPr>
              <w:t>11</w:t>
            </w:r>
          </w:p>
        </w:tc>
        <w:tc>
          <w:tcPr>
            <w:tcW w:w="3235" w:type="dxa"/>
            <w:vAlign w:val="center"/>
          </w:tcPr>
          <w:p w14:paraId="1C5A377D">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车辆</w:t>
            </w:r>
            <w:r>
              <w:rPr>
                <w:rFonts w:hint="eastAsia" w:ascii="宋体" w:hAnsi="宋体" w:cs="宋体"/>
                <w:color w:val="auto"/>
                <w:spacing w:val="-5"/>
                <w:sz w:val="24"/>
                <w:szCs w:val="28"/>
                <w:highlight w:val="none"/>
                <w:lang w:val="en-US" w:eastAsia="zh-CN"/>
              </w:rPr>
              <w:t>驾驶员</w:t>
            </w:r>
          </w:p>
        </w:tc>
        <w:tc>
          <w:tcPr>
            <w:tcW w:w="1937" w:type="dxa"/>
            <w:vAlign w:val="center"/>
          </w:tcPr>
          <w:p w14:paraId="2462D592">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1</w:t>
            </w:r>
          </w:p>
        </w:tc>
        <w:tc>
          <w:tcPr>
            <w:tcW w:w="1977" w:type="dxa"/>
            <w:vMerge w:val="continue"/>
            <w:vAlign w:val="center"/>
          </w:tcPr>
          <w:p w14:paraId="1FAD28B5">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p>
        </w:tc>
      </w:tr>
      <w:tr w14:paraId="24C0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89" w:type="dxa"/>
            <w:vAlign w:val="center"/>
          </w:tcPr>
          <w:p w14:paraId="39C840BD">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p>
        </w:tc>
        <w:tc>
          <w:tcPr>
            <w:tcW w:w="3235" w:type="dxa"/>
            <w:vAlign w:val="center"/>
          </w:tcPr>
          <w:p w14:paraId="4EE974DF">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ascii="宋体" w:hAnsi="宋体" w:cs="宋体"/>
                <w:color w:val="auto"/>
                <w:spacing w:val="-5"/>
                <w:sz w:val="24"/>
                <w:szCs w:val="28"/>
                <w:highlight w:val="none"/>
                <w:lang w:val="en-US" w:eastAsia="zh-CN"/>
              </w:rPr>
              <w:t>合计</w:t>
            </w:r>
          </w:p>
        </w:tc>
        <w:tc>
          <w:tcPr>
            <w:tcW w:w="1937" w:type="dxa"/>
            <w:vAlign w:val="center"/>
          </w:tcPr>
          <w:p w14:paraId="4783A25E">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r>
              <w:rPr>
                <w:rFonts w:hint="eastAsia" w:cs="宋体"/>
                <w:color w:val="auto"/>
                <w:spacing w:val="-5"/>
                <w:sz w:val="24"/>
                <w:szCs w:val="28"/>
                <w:highlight w:val="none"/>
                <w:lang w:val="en-US" w:eastAsia="zh-CN"/>
              </w:rPr>
              <w:t>282</w:t>
            </w:r>
          </w:p>
        </w:tc>
        <w:tc>
          <w:tcPr>
            <w:tcW w:w="1977" w:type="dxa"/>
            <w:vAlign w:val="center"/>
          </w:tcPr>
          <w:p w14:paraId="459F3484">
            <w:pPr>
              <w:kinsoku/>
              <w:autoSpaceDE/>
              <w:autoSpaceDN/>
              <w:adjustRightInd/>
              <w:snapToGrid/>
              <w:spacing w:line="240" w:lineRule="auto"/>
              <w:ind w:firstLine="0" w:firstLineChars="0"/>
              <w:jc w:val="center"/>
              <w:textAlignment w:val="auto"/>
              <w:rPr>
                <w:rFonts w:hint="eastAsia" w:ascii="宋体" w:hAnsi="宋体" w:cs="宋体"/>
                <w:color w:val="auto"/>
                <w:spacing w:val="-5"/>
                <w:sz w:val="24"/>
                <w:szCs w:val="28"/>
                <w:highlight w:val="none"/>
                <w:lang w:val="en-US" w:eastAsia="zh-CN"/>
              </w:rPr>
            </w:pPr>
          </w:p>
        </w:tc>
      </w:tr>
    </w:tbl>
    <w:p w14:paraId="22CEE6F7">
      <w:pPr>
        <w:pStyle w:val="39"/>
        <w:keepNext w:val="0"/>
        <w:keepLines w:val="0"/>
        <w:pageBreakBefore w:val="0"/>
        <w:widowControl w:val="0"/>
        <w:numPr>
          <w:ilvl w:val="-1"/>
          <w:numId w:val="0"/>
        </w:numPr>
        <w:kinsoku/>
        <w:overflowPunct/>
        <w:topLinePunct w:val="0"/>
        <w:autoSpaceDE/>
        <w:autoSpaceDN/>
        <w:bidi w:val="0"/>
        <w:adjustRightInd/>
        <w:ind w:firstLine="0"/>
        <w:textAlignment w:val="auto"/>
        <w:rPr>
          <w:rFonts w:hint="eastAsia"/>
          <w:snapToGrid w:val="0"/>
          <w:color w:val="auto"/>
          <w:sz w:val="24"/>
          <w:szCs w:val="24"/>
          <w:highlight w:val="none"/>
          <w:lang w:val="en-US" w:eastAsia="zh-CN"/>
        </w:rPr>
      </w:pPr>
    </w:p>
    <w:p w14:paraId="79175967">
      <w:pPr>
        <w:pStyle w:val="39"/>
        <w:keepNext w:val="0"/>
        <w:keepLines w:val="0"/>
        <w:pageBreakBefore w:val="0"/>
        <w:widowControl w:val="0"/>
        <w:numPr>
          <w:ilvl w:val="0"/>
          <w:numId w:val="3"/>
        </w:numPr>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设备配置要求：本项目车辆设备包括保洁车、冲洗车、抑尘车、洗扫车、作业机动车、作业设备等。投标单位自行考虑满足项目要求的车辆配置和使用方案。</w:t>
      </w:r>
    </w:p>
    <w:p w14:paraId="3F90EB44">
      <w:pPr>
        <w:pStyle w:val="3"/>
        <w:bidi w:val="0"/>
        <w:ind w:firstLine="281" w:firstLineChars="100"/>
        <w:rPr>
          <w:rFonts w:hint="eastAsia"/>
          <w:color w:val="auto"/>
          <w:sz w:val="28"/>
          <w:szCs w:val="28"/>
          <w:highlight w:val="none"/>
          <w:lang w:val="en-US" w:eastAsia="zh-CN"/>
        </w:rPr>
      </w:pPr>
      <w:bookmarkStart w:id="517" w:name="_Toc28120"/>
      <w:r>
        <w:rPr>
          <w:rFonts w:hint="eastAsia"/>
          <w:color w:val="auto"/>
          <w:sz w:val="28"/>
          <w:szCs w:val="28"/>
          <w:highlight w:val="none"/>
          <w:lang w:val="en-US" w:eastAsia="zh-CN"/>
        </w:rPr>
        <w:t>三、技术要求</w:t>
      </w:r>
      <w:bookmarkEnd w:id="517"/>
      <w:r>
        <w:rPr>
          <w:rFonts w:hint="eastAsia"/>
          <w:color w:val="auto"/>
          <w:sz w:val="28"/>
          <w:szCs w:val="28"/>
          <w:highlight w:val="none"/>
          <w:lang w:val="en-US" w:eastAsia="zh-CN"/>
        </w:rPr>
        <w:t xml:space="preserve"> </w:t>
      </w:r>
    </w:p>
    <w:p w14:paraId="1CCCD90C">
      <w:pPr>
        <w:pStyle w:val="39"/>
        <w:keepNext w:val="0"/>
        <w:keepLines w:val="0"/>
        <w:pageBreakBefore w:val="0"/>
        <w:widowControl w:val="0"/>
        <w:kinsoku/>
        <w:overflowPunct/>
        <w:topLinePunct w:val="0"/>
        <w:autoSpaceDE/>
        <w:autoSpaceDN/>
        <w:bidi w:val="0"/>
        <w:adjustRightInd/>
        <w:textAlignment w:val="auto"/>
        <w:rPr>
          <w:rFonts w:hint="eastAsia"/>
          <w:b/>
          <w:bCs/>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w:t>
      </w:r>
      <w:r>
        <w:rPr>
          <w:rFonts w:hint="default"/>
          <w:b/>
          <w:bCs/>
          <w:snapToGrid w:val="0"/>
          <w:color w:val="auto"/>
          <w:sz w:val="24"/>
          <w:szCs w:val="24"/>
          <w:highlight w:val="none"/>
          <w:lang w:val="en-US" w:eastAsia="zh-CN"/>
        </w:rPr>
        <w:t xml:space="preserve">1. </w:t>
      </w:r>
      <w:r>
        <w:rPr>
          <w:rFonts w:hint="eastAsia"/>
          <w:b/>
          <w:bCs/>
          <w:snapToGrid w:val="0"/>
          <w:color w:val="auto"/>
          <w:sz w:val="24"/>
          <w:szCs w:val="24"/>
          <w:highlight w:val="none"/>
          <w:lang w:val="en-US" w:eastAsia="zh-CN"/>
        </w:rPr>
        <w:t xml:space="preserve">服务内容 </w:t>
      </w:r>
    </w:p>
    <w:p w14:paraId="00DE84D7">
      <w:pPr>
        <w:ind w:firstLine="560"/>
        <w:rPr>
          <w:rFonts w:cs="Times New Roman"/>
          <w:color w:val="auto"/>
          <w:highlight w:val="none"/>
          <w:lang w:eastAsia="zh-CN"/>
        </w:rPr>
      </w:pPr>
      <w:bookmarkStart w:id="518" w:name="_Hlk149074080"/>
      <w:r>
        <w:rPr>
          <w:rFonts w:cs="Times New Roman"/>
          <w:color w:val="auto"/>
          <w:highlight w:val="none"/>
          <w:lang w:eastAsia="zh-CN"/>
        </w:rPr>
        <w:t>本项目</w:t>
      </w:r>
      <w:r>
        <w:rPr>
          <w:rFonts w:hint="eastAsia" w:cs="Times New Roman"/>
          <w:color w:val="auto"/>
          <w:highlight w:val="none"/>
          <w:lang w:eastAsia="zh-CN"/>
        </w:rPr>
        <w:t>服务</w:t>
      </w:r>
      <w:r>
        <w:rPr>
          <w:rFonts w:cs="Times New Roman"/>
          <w:color w:val="auto"/>
          <w:highlight w:val="none"/>
          <w:lang w:eastAsia="zh-CN"/>
        </w:rPr>
        <w:t>范围包含</w:t>
      </w:r>
      <w:r>
        <w:rPr>
          <w:rFonts w:hint="eastAsia" w:cs="Times New Roman"/>
          <w:color w:val="auto"/>
          <w:highlight w:val="none"/>
          <w:lang w:eastAsia="zh-CN"/>
        </w:rPr>
        <w:t>城乡环卫保洁</w:t>
      </w:r>
      <w:r>
        <w:rPr>
          <w:rFonts w:cs="Times New Roman"/>
          <w:color w:val="auto"/>
          <w:highlight w:val="none"/>
          <w:lang w:eastAsia="zh-CN"/>
        </w:rPr>
        <w:t>、</w:t>
      </w:r>
      <w:r>
        <w:rPr>
          <w:rFonts w:hint="eastAsia" w:cs="Times New Roman"/>
          <w:color w:val="auto"/>
          <w:highlight w:val="none"/>
          <w:lang w:eastAsia="zh-CN"/>
        </w:rPr>
        <w:t>园林绿化及公园管理</w:t>
      </w:r>
      <w:r>
        <w:rPr>
          <w:rFonts w:cs="Times New Roman"/>
          <w:color w:val="auto"/>
          <w:highlight w:val="none"/>
          <w:lang w:eastAsia="zh-CN"/>
        </w:rPr>
        <w:t>、</w:t>
      </w:r>
      <w:r>
        <w:rPr>
          <w:rFonts w:hint="eastAsia" w:cs="Times New Roman"/>
          <w:color w:val="auto"/>
          <w:highlight w:val="none"/>
          <w:lang w:eastAsia="zh-CN"/>
        </w:rPr>
        <w:t>市政设施养护</w:t>
      </w:r>
      <w:r>
        <w:rPr>
          <w:rFonts w:cs="Times New Roman"/>
          <w:color w:val="auto"/>
          <w:highlight w:val="none"/>
          <w:lang w:eastAsia="zh-CN"/>
        </w:rPr>
        <w:t>三部分</w:t>
      </w:r>
      <w:bookmarkEnd w:id="518"/>
      <w:r>
        <w:rPr>
          <w:rFonts w:cs="Times New Roman"/>
          <w:color w:val="auto"/>
          <w:highlight w:val="none"/>
          <w:lang w:eastAsia="zh-CN"/>
        </w:rPr>
        <w:t>，具体内容如下：</w:t>
      </w:r>
    </w:p>
    <w:p w14:paraId="7C34F8FC">
      <w:pPr>
        <w:ind w:firstLine="562"/>
        <w:rPr>
          <w:rFonts w:cs="Times New Roman"/>
          <w:b w:val="0"/>
          <w:bCs w:val="0"/>
          <w:color w:val="auto"/>
          <w:highlight w:val="none"/>
          <w:lang w:eastAsia="zh-CN"/>
        </w:rPr>
      </w:pPr>
      <w:r>
        <w:rPr>
          <w:rFonts w:hint="eastAsia" w:cs="Times New Roman"/>
          <w:b w:val="0"/>
          <w:bCs w:val="0"/>
          <w:color w:val="auto"/>
          <w:highlight w:val="none"/>
          <w:lang w:val="en-US" w:eastAsia="zh-CN"/>
        </w:rPr>
        <w:t>1.1</w:t>
      </w:r>
      <w:r>
        <w:rPr>
          <w:rFonts w:hint="eastAsia" w:cs="Times New Roman"/>
          <w:b w:val="0"/>
          <w:bCs w:val="0"/>
          <w:color w:val="auto"/>
          <w:highlight w:val="none"/>
          <w:lang w:eastAsia="zh-CN"/>
        </w:rPr>
        <w:t>城乡环卫保洁</w:t>
      </w:r>
    </w:p>
    <w:p w14:paraId="74FA1B39">
      <w:pPr>
        <w:ind w:firstLine="560"/>
        <w:rPr>
          <w:rFonts w:cs="Times New Roman"/>
          <w:color w:val="auto"/>
          <w:highlight w:val="none"/>
          <w:lang w:eastAsia="zh-CN"/>
        </w:rPr>
      </w:pPr>
      <w:bookmarkStart w:id="519" w:name="_Hlk149074119"/>
      <w:r>
        <w:rPr>
          <w:rFonts w:hint="eastAsia" w:cs="Times New Roman"/>
          <w:color w:val="auto"/>
          <w:highlight w:val="none"/>
          <w:lang w:eastAsia="zh-CN"/>
        </w:rPr>
        <w:t>城乡环卫保洁</w:t>
      </w:r>
      <w:r>
        <w:rPr>
          <w:rFonts w:cs="Times New Roman"/>
          <w:color w:val="auto"/>
          <w:highlight w:val="none"/>
          <w:lang w:eastAsia="zh-CN"/>
        </w:rPr>
        <w:t>运营维护内容包含道路综合清扫保洁、</w:t>
      </w:r>
      <w:r>
        <w:rPr>
          <w:rFonts w:hint="eastAsia" w:cs="Times New Roman"/>
          <w:color w:val="auto"/>
          <w:highlight w:val="none"/>
          <w:lang w:val="en-US" w:eastAsia="zh-CN"/>
        </w:rPr>
        <w:t>绿化带及防风林清扫保洁、</w:t>
      </w:r>
      <w:r>
        <w:rPr>
          <w:rFonts w:cs="Times New Roman"/>
          <w:color w:val="auto"/>
          <w:highlight w:val="none"/>
          <w:lang w:eastAsia="zh-CN"/>
        </w:rPr>
        <w:t>垃圾清运、中转站管理、公厕保洁、冬季除雪等内容。</w:t>
      </w:r>
      <w:bookmarkEnd w:id="519"/>
    </w:p>
    <w:p w14:paraId="606A6963">
      <w:pPr>
        <w:ind w:firstLine="560"/>
        <w:rPr>
          <w:rFonts w:hint="eastAsia" w:cs="Times New Roman"/>
          <w:color w:val="auto"/>
          <w:highlight w:val="none"/>
          <w:lang w:val="en-US" w:eastAsia="zh-CN"/>
        </w:rPr>
      </w:pPr>
      <w:r>
        <w:rPr>
          <w:rFonts w:cs="Times New Roman"/>
          <w:color w:val="auto"/>
          <w:highlight w:val="none"/>
          <w:lang w:eastAsia="zh-CN"/>
        </w:rPr>
        <w:t>区域划分</w:t>
      </w:r>
      <w:r>
        <w:rPr>
          <w:rFonts w:hint="eastAsia" w:cs="Times New Roman"/>
          <w:color w:val="auto"/>
          <w:highlight w:val="none"/>
          <w:lang w:val="en-US" w:eastAsia="zh-CN"/>
        </w:rPr>
        <w:t>：迎宾东路</w:t>
      </w:r>
      <w:r>
        <w:rPr>
          <w:rFonts w:cs="Times New Roman"/>
          <w:color w:val="auto"/>
          <w:highlight w:val="none"/>
          <w:lang w:eastAsia="zh-CN"/>
        </w:rPr>
        <w:t>、</w:t>
      </w:r>
      <w:r>
        <w:rPr>
          <w:rFonts w:hint="eastAsia" w:cs="Times New Roman"/>
          <w:color w:val="auto"/>
          <w:highlight w:val="none"/>
          <w:lang w:val="en-US" w:eastAsia="zh-CN"/>
        </w:rPr>
        <w:t>迎宾西路</w:t>
      </w:r>
      <w:r>
        <w:rPr>
          <w:rFonts w:cs="Times New Roman"/>
          <w:color w:val="auto"/>
          <w:highlight w:val="none"/>
          <w:lang w:eastAsia="zh-CN"/>
        </w:rPr>
        <w:t>、</w:t>
      </w:r>
      <w:r>
        <w:rPr>
          <w:rFonts w:hint="eastAsia" w:cs="Times New Roman"/>
          <w:color w:val="auto"/>
          <w:highlight w:val="none"/>
          <w:lang w:val="en-US" w:eastAsia="zh-CN"/>
        </w:rPr>
        <w:t>外环南路</w:t>
      </w:r>
      <w:r>
        <w:rPr>
          <w:rFonts w:cs="Times New Roman"/>
          <w:color w:val="auto"/>
          <w:highlight w:val="none"/>
          <w:lang w:eastAsia="zh-CN"/>
        </w:rPr>
        <w:t>、</w:t>
      </w:r>
      <w:r>
        <w:rPr>
          <w:rFonts w:hint="eastAsia" w:cs="Times New Roman"/>
          <w:color w:val="auto"/>
          <w:highlight w:val="none"/>
          <w:lang w:val="en-US" w:eastAsia="zh-CN"/>
        </w:rPr>
        <w:t>内环南路、商业南路</w:t>
      </w:r>
      <w:r>
        <w:rPr>
          <w:rFonts w:cs="Times New Roman"/>
          <w:color w:val="auto"/>
          <w:highlight w:val="none"/>
          <w:lang w:eastAsia="zh-CN"/>
        </w:rPr>
        <w:t>，</w:t>
      </w:r>
      <w:r>
        <w:rPr>
          <w:rFonts w:hint="eastAsia" w:cs="Times New Roman"/>
          <w:color w:val="auto"/>
          <w:highlight w:val="none"/>
          <w:lang w:eastAsia="zh-CN"/>
        </w:rPr>
        <w:t>商业北路，内环北路，外环北路，广场南路，广场北路，购物中心与建行门前路段，公园南路，公园北路，公园路，校园路，外环东路，内环东路，商业西路（商贸邮局物业），内环西路，外环西路，科技路，外环西一路 （练车场西侧），工业区水电处门前路，工业区维修中心门前路</w:t>
      </w:r>
      <w:r>
        <w:rPr>
          <w:rFonts w:hint="eastAsia" w:cs="Times New Roman"/>
          <w:color w:val="auto"/>
          <w:highlight w:val="none"/>
          <w:lang w:val="en-US" w:eastAsia="zh-CN"/>
        </w:rPr>
        <w:t>。</w:t>
      </w:r>
    </w:p>
    <w:p w14:paraId="7C37BBD5">
      <w:pPr>
        <w:ind w:firstLine="560"/>
        <w:rPr>
          <w:rFonts w:cs="Times New Roman"/>
          <w:color w:val="auto"/>
          <w:highlight w:val="none"/>
          <w:lang w:eastAsia="zh-CN"/>
        </w:rPr>
      </w:pPr>
      <w:r>
        <w:rPr>
          <w:rFonts w:cs="Times New Roman"/>
          <w:color w:val="auto"/>
          <w:highlight w:val="none"/>
          <w:lang w:eastAsia="zh-CN"/>
        </w:rPr>
        <w:t>注：道路综合清扫保洁包括</w:t>
      </w:r>
      <w:r>
        <w:rPr>
          <w:rFonts w:hint="eastAsia" w:cs="Times New Roman"/>
          <w:color w:val="auto"/>
          <w:highlight w:val="none"/>
          <w:lang w:val="en-US" w:eastAsia="zh-CN"/>
        </w:rPr>
        <w:t>城乡</w:t>
      </w:r>
      <w:r>
        <w:rPr>
          <w:rFonts w:cs="Times New Roman"/>
          <w:color w:val="auto"/>
          <w:highlight w:val="none"/>
          <w:lang w:eastAsia="zh-CN"/>
        </w:rPr>
        <w:t>区域范围内</w:t>
      </w:r>
      <w:r>
        <w:rPr>
          <w:rFonts w:hint="eastAsia" w:cs="Times New Roman"/>
          <w:color w:val="auto"/>
          <w:highlight w:val="none"/>
          <w:lang w:eastAsia="zh-CN"/>
        </w:rPr>
        <w:t>拓展500米之内</w:t>
      </w:r>
      <w:r>
        <w:rPr>
          <w:rFonts w:cs="Times New Roman"/>
          <w:color w:val="auto"/>
          <w:highlight w:val="none"/>
          <w:lang w:eastAsia="zh-CN"/>
        </w:rPr>
        <w:t>、垃圾收集容器配置、无主垃圾清理、可视范围内的白色污染捡拾等。</w:t>
      </w:r>
    </w:p>
    <w:p w14:paraId="384FB394">
      <w:pPr>
        <w:ind w:left="0" w:leftChars="0" w:firstLine="480" w:firstLineChars="200"/>
        <w:rPr>
          <w:rFonts w:cs="Times New Roman"/>
          <w:color w:val="auto"/>
          <w:highlight w:val="none"/>
          <w:lang w:eastAsia="zh-CN"/>
        </w:rPr>
      </w:pPr>
      <w:r>
        <w:rPr>
          <w:rFonts w:cs="Times New Roman"/>
          <w:color w:val="auto"/>
          <w:highlight w:val="none"/>
          <w:lang w:eastAsia="zh-CN"/>
        </w:rPr>
        <w:t>垃圾清运工程量生活垃圾</w:t>
      </w:r>
      <w:r>
        <w:rPr>
          <w:rFonts w:hint="default" w:cs="Times New Roman"/>
          <w:color w:val="auto"/>
          <w:highlight w:val="none"/>
          <w:lang w:val="en-US" w:eastAsia="zh-CN"/>
        </w:rPr>
        <w:t>3650</w:t>
      </w:r>
      <w:r>
        <w:rPr>
          <w:rFonts w:cs="Times New Roman"/>
          <w:color w:val="auto"/>
          <w:highlight w:val="none"/>
          <w:lang w:eastAsia="zh-CN"/>
        </w:rPr>
        <w:t>吨/年运距如下表所示1-1所示。</w:t>
      </w:r>
    </w:p>
    <w:p w14:paraId="6EE53100">
      <w:pPr>
        <w:pStyle w:val="30"/>
        <w:spacing w:before="157" w:beforeLines="50" w:after="157" w:afterLines="50"/>
        <w:ind w:left="0" w:leftChars="0" w:firstLine="361" w:firstLineChars="150"/>
        <w:jc w:val="center"/>
        <w:rPr>
          <w:rFonts w:cs="Times New Roman"/>
          <w:b/>
          <w:bCs/>
          <w:color w:val="auto"/>
          <w:sz w:val="24"/>
          <w:szCs w:val="32"/>
          <w:highlight w:val="none"/>
          <w:lang w:eastAsia="zh-CN"/>
        </w:rPr>
      </w:pPr>
      <w:r>
        <w:rPr>
          <w:rFonts w:cs="Times New Roman"/>
          <w:b/>
          <w:bCs/>
          <w:color w:val="auto"/>
          <w:sz w:val="24"/>
          <w:szCs w:val="32"/>
          <w:highlight w:val="none"/>
          <w:lang w:eastAsia="zh-CN"/>
        </w:rPr>
        <w:t>表1-1垃圾清运运距信息表</w:t>
      </w:r>
    </w:p>
    <w:tbl>
      <w:tblPr>
        <w:tblStyle w:val="3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90"/>
        <w:gridCol w:w="2697"/>
        <w:gridCol w:w="2129"/>
      </w:tblGrid>
      <w:tr w14:paraId="1A92D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199" w:type="pct"/>
            <w:shd w:val="clear" w:color="auto" w:fill="63B86C"/>
            <w:noWrap/>
            <w:vAlign w:val="center"/>
          </w:tcPr>
          <w:p w14:paraId="0FF916B1">
            <w:pPr>
              <w:spacing w:line="240" w:lineRule="auto"/>
              <w:ind w:firstLine="0" w:firstLineChars="0"/>
              <w:jc w:val="center"/>
              <w:rPr>
                <w:rFonts w:hint="eastAsia" w:ascii="仿宋" w:hAnsi="仿宋" w:eastAsia="仿宋" w:cs="仿宋"/>
                <w:b/>
                <w:bCs/>
                <w:color w:val="auto"/>
                <w:spacing w:val="-3"/>
                <w:sz w:val="22"/>
                <w:szCs w:val="22"/>
                <w:highlight w:val="none"/>
                <w:lang w:eastAsia="zh-CN"/>
              </w:rPr>
            </w:pPr>
            <w:r>
              <w:rPr>
                <w:rFonts w:hint="eastAsia" w:ascii="仿宋" w:hAnsi="仿宋" w:eastAsia="仿宋" w:cs="仿宋"/>
                <w:b/>
                <w:bCs/>
                <w:color w:val="auto"/>
                <w:spacing w:val="-3"/>
                <w:sz w:val="22"/>
                <w:szCs w:val="22"/>
                <w:highlight w:val="none"/>
                <w:lang w:eastAsia="zh-CN"/>
              </w:rPr>
              <w:t>中转站名称</w:t>
            </w:r>
          </w:p>
        </w:tc>
        <w:tc>
          <w:tcPr>
            <w:tcW w:w="1565" w:type="pct"/>
            <w:shd w:val="clear" w:color="auto" w:fill="63B86C"/>
            <w:noWrap/>
            <w:vAlign w:val="center"/>
          </w:tcPr>
          <w:p w14:paraId="2F9F9F55">
            <w:pPr>
              <w:spacing w:line="240" w:lineRule="auto"/>
              <w:ind w:firstLine="0" w:firstLineChars="0"/>
              <w:jc w:val="center"/>
              <w:rPr>
                <w:rFonts w:hint="eastAsia" w:ascii="仿宋" w:hAnsi="仿宋" w:eastAsia="仿宋" w:cs="仿宋"/>
                <w:b/>
                <w:bCs/>
                <w:color w:val="auto"/>
                <w:spacing w:val="-3"/>
                <w:sz w:val="22"/>
                <w:szCs w:val="22"/>
                <w:highlight w:val="none"/>
                <w:lang w:eastAsia="zh-CN"/>
              </w:rPr>
            </w:pPr>
            <w:r>
              <w:rPr>
                <w:rFonts w:hint="eastAsia" w:ascii="仿宋" w:hAnsi="仿宋" w:eastAsia="仿宋" w:cs="仿宋"/>
                <w:b/>
                <w:bCs/>
                <w:color w:val="auto"/>
                <w:spacing w:val="-3"/>
                <w:sz w:val="22"/>
                <w:szCs w:val="22"/>
                <w:highlight w:val="none"/>
                <w:lang w:eastAsia="zh-CN"/>
              </w:rPr>
              <w:t>单程运距</w:t>
            </w:r>
          </w:p>
        </w:tc>
        <w:tc>
          <w:tcPr>
            <w:tcW w:w="1235" w:type="pct"/>
            <w:shd w:val="clear" w:color="auto" w:fill="63B86C"/>
            <w:noWrap/>
            <w:vAlign w:val="bottom"/>
          </w:tcPr>
          <w:p w14:paraId="7F509024">
            <w:pPr>
              <w:spacing w:line="240" w:lineRule="auto"/>
              <w:ind w:firstLine="0" w:firstLineChars="0"/>
              <w:jc w:val="center"/>
              <w:rPr>
                <w:rFonts w:hint="eastAsia" w:ascii="仿宋" w:hAnsi="仿宋" w:eastAsia="仿宋" w:cs="仿宋"/>
                <w:b/>
                <w:bCs/>
                <w:color w:val="auto"/>
                <w:spacing w:val="-3"/>
                <w:sz w:val="22"/>
                <w:szCs w:val="22"/>
                <w:highlight w:val="none"/>
                <w:lang w:eastAsia="zh-CN"/>
              </w:rPr>
            </w:pPr>
            <w:r>
              <w:rPr>
                <w:rFonts w:hint="eastAsia" w:ascii="仿宋" w:hAnsi="仿宋" w:eastAsia="仿宋" w:cs="仿宋"/>
                <w:b/>
                <w:bCs/>
                <w:color w:val="auto"/>
                <w:spacing w:val="-3"/>
                <w:sz w:val="22"/>
                <w:szCs w:val="22"/>
                <w:highlight w:val="none"/>
                <w:lang w:eastAsia="zh-CN"/>
              </w:rPr>
              <w:t>往返运距</w:t>
            </w:r>
          </w:p>
        </w:tc>
      </w:tr>
      <w:tr w14:paraId="78190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2199" w:type="pct"/>
            <w:shd w:val="clear" w:color="auto" w:fill="auto"/>
            <w:noWrap/>
            <w:vAlign w:val="center"/>
          </w:tcPr>
          <w:p w14:paraId="1FF7BDAD">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2"/>
                <w:szCs w:val="24"/>
                <w:highlight w:val="none"/>
                <w:lang w:val="en-US" w:eastAsia="zh-CN"/>
              </w:rPr>
            </w:pPr>
            <w:r>
              <w:rPr>
                <w:rFonts w:hint="eastAsia" w:cs="Times New Roman"/>
                <w:color w:val="auto"/>
                <w:spacing w:val="-5"/>
                <w:sz w:val="22"/>
                <w:szCs w:val="24"/>
                <w:highlight w:val="none"/>
                <w:lang w:val="en-US" w:eastAsia="zh-CN"/>
              </w:rPr>
              <w:t>石油基地</w:t>
            </w:r>
            <w:r>
              <w:rPr>
                <w:rFonts w:hint="eastAsia" w:ascii="Times New Roman" w:hAnsi="Times New Roman" w:cs="Times New Roman"/>
                <w:color w:val="auto"/>
                <w:spacing w:val="-5"/>
                <w:sz w:val="22"/>
                <w:szCs w:val="24"/>
                <w:highlight w:val="none"/>
                <w:lang w:val="en-US" w:eastAsia="zh-CN"/>
              </w:rPr>
              <w:t>转运站到垃圾填埋场</w:t>
            </w:r>
          </w:p>
        </w:tc>
        <w:tc>
          <w:tcPr>
            <w:tcW w:w="1565" w:type="pct"/>
            <w:shd w:val="clear" w:color="auto" w:fill="auto"/>
            <w:noWrap/>
            <w:vAlign w:val="center"/>
          </w:tcPr>
          <w:p w14:paraId="05C5AE96">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2"/>
                <w:szCs w:val="24"/>
                <w:highlight w:val="none"/>
                <w:lang w:val="en-US" w:eastAsia="zh-CN"/>
              </w:rPr>
            </w:pPr>
            <w:r>
              <w:rPr>
                <w:rFonts w:hint="eastAsia" w:cs="Times New Roman"/>
                <w:color w:val="auto"/>
                <w:spacing w:val="-5"/>
                <w:sz w:val="22"/>
                <w:szCs w:val="24"/>
                <w:highlight w:val="none"/>
                <w:lang w:val="en-US" w:eastAsia="zh-CN"/>
              </w:rPr>
              <w:t>40</w:t>
            </w:r>
          </w:p>
        </w:tc>
        <w:tc>
          <w:tcPr>
            <w:tcW w:w="1235" w:type="pct"/>
            <w:shd w:val="clear" w:color="auto" w:fill="auto"/>
            <w:noWrap/>
            <w:vAlign w:val="center"/>
          </w:tcPr>
          <w:p w14:paraId="5297635E">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2"/>
                <w:szCs w:val="24"/>
                <w:highlight w:val="none"/>
                <w:lang w:val="en-US" w:eastAsia="zh-CN"/>
              </w:rPr>
            </w:pPr>
            <w:r>
              <w:rPr>
                <w:rFonts w:hint="eastAsia" w:cs="Times New Roman"/>
                <w:color w:val="auto"/>
                <w:spacing w:val="-5"/>
                <w:sz w:val="22"/>
                <w:szCs w:val="24"/>
                <w:highlight w:val="none"/>
                <w:lang w:val="en-US" w:eastAsia="zh-CN"/>
              </w:rPr>
              <w:t>80</w:t>
            </w:r>
          </w:p>
        </w:tc>
      </w:tr>
    </w:tbl>
    <w:p w14:paraId="1FBC0218">
      <w:pPr>
        <w:ind w:left="0" w:leftChars="0" w:firstLine="442" w:firstLineChars="200"/>
        <w:rPr>
          <w:rFonts w:hint="default" w:cs="Times New Roman"/>
          <w:b/>
          <w:bCs/>
          <w:color w:val="auto"/>
          <w:sz w:val="22"/>
          <w:szCs w:val="22"/>
          <w:highlight w:val="none"/>
          <w:lang w:val="en-US" w:eastAsia="zh-CN"/>
        </w:rPr>
      </w:pPr>
      <w:r>
        <w:rPr>
          <w:rFonts w:hint="eastAsia" w:cs="Times New Roman"/>
          <w:b/>
          <w:bCs/>
          <w:color w:val="auto"/>
          <w:sz w:val="22"/>
          <w:szCs w:val="22"/>
          <w:highlight w:val="none"/>
          <w:lang w:val="en-US" w:eastAsia="zh-CN"/>
        </w:rPr>
        <w:t>注：直运距离由投标单位自行规划设计，考虑入投标报价中。</w:t>
      </w:r>
    </w:p>
    <w:p w14:paraId="18A1C14C">
      <w:pPr>
        <w:ind w:firstLine="560"/>
        <w:rPr>
          <w:rFonts w:cs="Times New Roman"/>
          <w:color w:val="auto"/>
          <w:highlight w:val="none"/>
          <w:lang w:eastAsia="zh-CN"/>
        </w:rPr>
      </w:pPr>
      <w:r>
        <w:rPr>
          <w:rFonts w:cs="Times New Roman"/>
          <w:color w:val="auto"/>
          <w:highlight w:val="none"/>
          <w:lang w:eastAsia="zh-CN"/>
        </w:rPr>
        <w:t>城乡垃圾转运包含生活垃圾转运和中转站管理，中转站管理共</w:t>
      </w:r>
      <w:r>
        <w:rPr>
          <w:rFonts w:hint="eastAsia" w:cs="Times New Roman"/>
          <w:color w:val="auto"/>
          <w:highlight w:val="none"/>
          <w:lang w:val="en-US" w:eastAsia="zh-CN"/>
        </w:rPr>
        <w:t>1</w:t>
      </w:r>
      <w:r>
        <w:rPr>
          <w:rFonts w:cs="Times New Roman"/>
          <w:color w:val="auto"/>
          <w:highlight w:val="none"/>
          <w:lang w:eastAsia="zh-CN"/>
        </w:rPr>
        <w:t>个。</w:t>
      </w:r>
    </w:p>
    <w:p w14:paraId="1197DC86">
      <w:pPr>
        <w:ind w:firstLine="560"/>
        <w:rPr>
          <w:rFonts w:cs="Times New Roman"/>
          <w:color w:val="auto"/>
          <w:highlight w:val="none"/>
          <w:lang w:eastAsia="zh-CN"/>
        </w:rPr>
      </w:pPr>
      <w:r>
        <w:rPr>
          <w:rFonts w:cs="Times New Roman"/>
          <w:color w:val="auto"/>
          <w:highlight w:val="none"/>
          <w:lang w:eastAsia="zh-CN"/>
        </w:rPr>
        <w:t>公厕保洁二类公厕</w:t>
      </w:r>
      <w:r>
        <w:rPr>
          <w:rFonts w:hint="eastAsia" w:cs="Times New Roman"/>
          <w:color w:val="auto"/>
          <w:highlight w:val="none"/>
          <w:lang w:val="en-US" w:eastAsia="zh-CN"/>
        </w:rPr>
        <w:t>5</w:t>
      </w:r>
      <w:r>
        <w:rPr>
          <w:rFonts w:cs="Times New Roman"/>
          <w:color w:val="auto"/>
          <w:highlight w:val="none"/>
          <w:lang w:eastAsia="zh-CN"/>
        </w:rPr>
        <w:t>座。</w:t>
      </w:r>
    </w:p>
    <w:p w14:paraId="4424EF4C">
      <w:pPr>
        <w:kinsoku/>
        <w:autoSpaceDE/>
        <w:autoSpaceDN/>
        <w:adjustRightInd/>
        <w:snapToGrid/>
        <w:ind w:firstLine="560"/>
        <w:textAlignment w:val="auto"/>
        <w:rPr>
          <w:rFonts w:cs="Times New Roman"/>
          <w:color w:val="auto"/>
          <w:highlight w:val="none"/>
          <w:lang w:eastAsia="zh-CN"/>
        </w:rPr>
      </w:pPr>
      <w:r>
        <w:rPr>
          <w:rFonts w:cs="Times New Roman"/>
          <w:color w:val="auto"/>
          <w:highlight w:val="none"/>
          <w:lang w:eastAsia="zh-CN"/>
        </w:rPr>
        <w:t>冬季除雪范围为</w:t>
      </w:r>
      <w:r>
        <w:rPr>
          <w:rFonts w:hint="eastAsia" w:cs="Times New Roman"/>
          <w:color w:val="auto"/>
          <w:highlight w:val="none"/>
          <w:lang w:eastAsia="zh-CN"/>
        </w:rPr>
        <w:t>石油基地</w:t>
      </w:r>
      <w:r>
        <w:rPr>
          <w:rFonts w:cs="Times New Roman"/>
          <w:color w:val="auto"/>
          <w:highlight w:val="none"/>
          <w:lang w:eastAsia="zh-CN"/>
        </w:rPr>
        <w:t>道路</w:t>
      </w:r>
      <w:r>
        <w:rPr>
          <w:rFonts w:hint="eastAsia" w:cs="Times New Roman"/>
          <w:color w:val="auto"/>
          <w:highlight w:val="none"/>
          <w:lang w:eastAsia="zh-CN"/>
        </w:rPr>
        <w:t>。</w:t>
      </w:r>
    </w:p>
    <w:p w14:paraId="10897407">
      <w:pPr>
        <w:ind w:firstLine="562"/>
        <w:rPr>
          <w:rFonts w:cs="Times New Roman"/>
          <w:b w:val="0"/>
          <w:bCs w:val="0"/>
          <w:color w:val="auto"/>
          <w:highlight w:val="none"/>
          <w:lang w:eastAsia="zh-CN"/>
        </w:rPr>
      </w:pPr>
      <w:r>
        <w:rPr>
          <w:rFonts w:hint="eastAsia" w:cs="Times New Roman"/>
          <w:b w:val="0"/>
          <w:bCs w:val="0"/>
          <w:color w:val="auto"/>
          <w:highlight w:val="none"/>
          <w:lang w:val="en-US" w:eastAsia="zh-CN"/>
        </w:rPr>
        <w:t>1.2</w:t>
      </w:r>
      <w:r>
        <w:rPr>
          <w:rFonts w:cs="Times New Roman"/>
          <w:b w:val="0"/>
          <w:bCs w:val="0"/>
          <w:color w:val="auto"/>
          <w:highlight w:val="none"/>
          <w:lang w:eastAsia="zh-CN"/>
        </w:rPr>
        <w:t>园林绿化及公园管理</w:t>
      </w:r>
    </w:p>
    <w:p w14:paraId="055CCA4A">
      <w:pPr>
        <w:ind w:firstLine="560"/>
        <w:rPr>
          <w:rFonts w:cs="Times New Roman"/>
          <w:color w:val="auto"/>
          <w:highlight w:val="none"/>
          <w:lang w:eastAsia="zh-CN"/>
        </w:rPr>
      </w:pPr>
      <w:bookmarkStart w:id="520" w:name="_Hlk149074173"/>
      <w:r>
        <w:rPr>
          <w:rFonts w:hint="eastAsia" w:cs="Times New Roman"/>
          <w:color w:val="auto"/>
          <w:highlight w:val="none"/>
          <w:lang w:val="en-US" w:eastAsia="zh-CN"/>
        </w:rPr>
        <w:t>园林绿化及公园管理包含石油基地</w:t>
      </w:r>
      <w:r>
        <w:rPr>
          <w:rFonts w:cs="Times New Roman"/>
          <w:color w:val="auto"/>
          <w:highlight w:val="none"/>
          <w:lang w:eastAsia="zh-CN"/>
        </w:rPr>
        <w:t>公共区域内的园林</w:t>
      </w:r>
      <w:r>
        <w:rPr>
          <w:rFonts w:hint="eastAsia" w:cs="Times New Roman"/>
          <w:color w:val="auto"/>
          <w:highlight w:val="none"/>
          <w:lang w:eastAsia="zh-CN"/>
        </w:rPr>
        <w:t>绿化</w:t>
      </w:r>
      <w:r>
        <w:rPr>
          <w:rFonts w:cs="Times New Roman"/>
          <w:color w:val="auto"/>
          <w:highlight w:val="none"/>
          <w:lang w:eastAsia="zh-CN"/>
        </w:rPr>
        <w:t>、行道树养护</w:t>
      </w:r>
      <w:r>
        <w:rPr>
          <w:rFonts w:hint="eastAsia" w:cs="Times New Roman"/>
          <w:color w:val="auto"/>
          <w:highlight w:val="none"/>
          <w:lang w:eastAsia="zh-CN"/>
        </w:rPr>
        <w:t>和</w:t>
      </w:r>
      <w:r>
        <w:rPr>
          <w:rFonts w:cs="Times New Roman"/>
          <w:color w:val="auto"/>
          <w:highlight w:val="none"/>
          <w:lang w:eastAsia="zh-CN"/>
        </w:rPr>
        <w:t>公园管理</w:t>
      </w:r>
      <w:bookmarkEnd w:id="520"/>
      <w:r>
        <w:rPr>
          <w:rFonts w:cs="Times New Roman"/>
          <w:color w:val="auto"/>
          <w:highlight w:val="none"/>
          <w:lang w:eastAsia="zh-CN"/>
        </w:rPr>
        <w:t>。</w:t>
      </w:r>
    </w:p>
    <w:p w14:paraId="7E7276A6">
      <w:pPr>
        <w:ind w:firstLine="560"/>
        <w:rPr>
          <w:color w:val="auto"/>
          <w:highlight w:val="none"/>
          <w:lang w:eastAsia="zh-CN"/>
        </w:rPr>
      </w:pPr>
      <w:r>
        <w:rPr>
          <w:rFonts w:cs="Times New Roman"/>
          <w:color w:val="auto"/>
          <w:highlight w:val="none"/>
          <w:lang w:eastAsia="zh-CN"/>
        </w:rPr>
        <w:t>注：</w:t>
      </w:r>
      <w:r>
        <w:rPr>
          <w:rFonts w:hint="eastAsia" w:cs="Times New Roman"/>
          <w:color w:val="auto"/>
          <w:highlight w:val="none"/>
          <w:lang w:eastAsia="zh-CN"/>
        </w:rPr>
        <w:t>园林绿化及公园管理</w:t>
      </w:r>
      <w:r>
        <w:rPr>
          <w:rFonts w:hint="eastAsia"/>
          <w:color w:val="auto"/>
          <w:highlight w:val="none"/>
          <w:lang w:eastAsia="zh-CN"/>
        </w:rPr>
        <w:t>包含植物养护、绿化管理和公园管理的全要素（人工、材料、水电、机械、综合管理等），包括园林建筑（厕所）、园林小品（园灯、导游牌、果皮箱、园桌椅、栏杆、健身器材、井盖）、园路及铺装场地（包括木质栈道）、园艺设施（主要为喷灌、喷泉）、园林电气设备（主要为广播、电视监控系统、景观照明，以及电子屏、水泵、配电箱、变压器、电动门、派接柜等）的维护、维修，裸土补植和每年不少于</w:t>
      </w:r>
      <w:r>
        <w:rPr>
          <w:rFonts w:hint="eastAsia"/>
          <w:color w:val="auto"/>
          <w:highlight w:val="none"/>
          <w:lang w:val="en-US" w:eastAsia="zh-CN"/>
        </w:rPr>
        <w:t>3</w:t>
      </w:r>
      <w:r>
        <w:rPr>
          <w:rFonts w:hint="eastAsia"/>
          <w:color w:val="auto"/>
          <w:highlight w:val="none"/>
          <w:lang w:eastAsia="zh-CN"/>
        </w:rPr>
        <w:t>次应时花卉种植、节日摆花等，苗圃养护，园林绿化应急抢险及防治危险性有害生物、普查等应急处置、</w:t>
      </w:r>
      <w:r>
        <w:rPr>
          <w:rFonts w:hint="eastAsia"/>
          <w:color w:val="auto"/>
          <w:highlight w:val="none"/>
          <w:lang w:val="en-US" w:eastAsia="zh-CN"/>
        </w:rPr>
        <w:t>现未达到绿化养护标准的区域，由中标单位完善至现确定标准</w:t>
      </w:r>
      <w:r>
        <w:rPr>
          <w:rFonts w:hint="eastAsia"/>
          <w:color w:val="auto"/>
          <w:highlight w:val="none"/>
          <w:lang w:eastAsia="zh-CN"/>
        </w:rPr>
        <w:t>。</w:t>
      </w:r>
    </w:p>
    <w:p w14:paraId="111ED847">
      <w:pPr>
        <w:ind w:firstLine="562"/>
        <w:rPr>
          <w:rFonts w:cs="Times New Roman"/>
          <w:b w:val="0"/>
          <w:bCs w:val="0"/>
          <w:color w:val="auto"/>
          <w:highlight w:val="none"/>
          <w:lang w:eastAsia="zh-CN"/>
        </w:rPr>
      </w:pPr>
      <w:r>
        <w:rPr>
          <w:rFonts w:hint="eastAsia" w:cs="Times New Roman"/>
          <w:b w:val="0"/>
          <w:bCs w:val="0"/>
          <w:color w:val="auto"/>
          <w:highlight w:val="none"/>
          <w:lang w:val="en-US" w:eastAsia="zh-CN"/>
        </w:rPr>
        <w:t>1.3</w:t>
      </w:r>
      <w:r>
        <w:rPr>
          <w:rFonts w:cs="Times New Roman"/>
          <w:b w:val="0"/>
          <w:bCs w:val="0"/>
          <w:color w:val="auto"/>
          <w:highlight w:val="none"/>
          <w:lang w:eastAsia="zh-CN"/>
        </w:rPr>
        <w:t>市政设施养护</w:t>
      </w:r>
    </w:p>
    <w:p w14:paraId="59013FBD">
      <w:pPr>
        <w:ind w:firstLine="560"/>
        <w:rPr>
          <w:rFonts w:hint="eastAsia" w:cs="Times New Roman"/>
          <w:color w:val="auto"/>
          <w:highlight w:val="none"/>
          <w:lang w:eastAsia="zh-CN"/>
        </w:rPr>
      </w:pPr>
      <w:bookmarkStart w:id="521" w:name="_Hlk149074215"/>
      <w:r>
        <w:rPr>
          <w:rFonts w:cs="Times New Roman"/>
          <w:color w:val="auto"/>
          <w:highlight w:val="none"/>
          <w:lang w:eastAsia="zh-CN"/>
        </w:rPr>
        <w:t>市政设施养护，具体包括</w:t>
      </w:r>
      <w:r>
        <w:rPr>
          <w:rFonts w:hint="eastAsia" w:cs="Times New Roman"/>
          <w:color w:val="auto"/>
          <w:highlight w:val="none"/>
          <w:lang w:eastAsia="zh-CN"/>
        </w:rPr>
        <w:t>市政道路：主车道、慢车道、人行道（包括</w:t>
      </w:r>
      <w:r>
        <w:rPr>
          <w:rFonts w:hint="eastAsia" w:cs="Times New Roman"/>
          <w:color w:val="auto"/>
          <w:highlight w:val="none"/>
          <w:lang w:val="en-US" w:eastAsia="zh-CN"/>
        </w:rPr>
        <w:t>护栏、</w:t>
      </w:r>
      <w:r>
        <w:rPr>
          <w:rFonts w:hint="eastAsia" w:cs="Times New Roman"/>
          <w:color w:val="auto"/>
          <w:highlight w:val="none"/>
          <w:lang w:eastAsia="zh-CN"/>
        </w:rPr>
        <w:t>路沿石、路平石、镶边石、树穴石等）</w:t>
      </w:r>
      <w:r>
        <w:rPr>
          <w:rFonts w:cs="Times New Roman"/>
          <w:color w:val="auto"/>
          <w:highlight w:val="none"/>
          <w:lang w:eastAsia="zh-CN"/>
        </w:rPr>
        <w:t>、排水管网、路灯照明</w:t>
      </w:r>
      <w:bookmarkEnd w:id="521"/>
      <w:r>
        <w:rPr>
          <w:rFonts w:hint="eastAsia" w:cs="Times New Roman"/>
          <w:color w:val="auto"/>
          <w:highlight w:val="none"/>
          <w:lang w:eastAsia="zh-CN"/>
        </w:rPr>
        <w:t>。</w:t>
      </w:r>
    </w:p>
    <w:p w14:paraId="5E56F9D9">
      <w:pPr>
        <w:ind w:firstLine="560"/>
        <w:rPr>
          <w:rFonts w:hint="eastAsia" w:cs="Times New Roman"/>
          <w:color w:val="auto"/>
          <w:highlight w:val="none"/>
          <w:lang w:val="en-US" w:eastAsia="zh-CN"/>
        </w:rPr>
      </w:pPr>
      <w:r>
        <w:rPr>
          <w:rFonts w:hint="eastAsia" w:cs="Times New Roman"/>
          <w:color w:val="auto"/>
          <w:highlight w:val="none"/>
          <w:lang w:eastAsia="zh-CN"/>
        </w:rPr>
        <w:t>排水管网养护，</w:t>
      </w:r>
      <w:r>
        <w:rPr>
          <w:rFonts w:hint="eastAsia" w:cs="Times New Roman"/>
          <w:color w:val="auto"/>
          <w:highlight w:val="none"/>
          <w:lang w:val="en-US" w:eastAsia="zh-CN"/>
        </w:rPr>
        <w:t>路面积水处理。</w:t>
      </w:r>
    </w:p>
    <w:p w14:paraId="79D49EC5">
      <w:pPr>
        <w:keepNext w:val="0"/>
        <w:keepLines w:val="0"/>
        <w:pageBreakBefore w:val="0"/>
        <w:widowControl w:val="0"/>
        <w:kinsoku/>
        <w:overflowPunct/>
        <w:topLinePunct w:val="0"/>
        <w:autoSpaceDE/>
        <w:autoSpaceDN/>
        <w:bidi w:val="0"/>
        <w:adjustRightInd/>
        <w:ind w:firstLine="560"/>
        <w:textAlignment w:val="auto"/>
        <w:rPr>
          <w:rFonts w:hint="eastAsia"/>
          <w:snapToGrid w:val="0"/>
          <w:color w:val="auto"/>
          <w:sz w:val="24"/>
          <w:szCs w:val="24"/>
          <w:highlight w:val="none"/>
          <w:lang w:val="en-US" w:eastAsia="zh-CN"/>
        </w:rPr>
      </w:pPr>
      <w:r>
        <w:rPr>
          <w:rFonts w:hint="eastAsia" w:cs="Times New Roman"/>
          <w:color w:val="auto"/>
          <w:highlight w:val="none"/>
          <w:lang w:eastAsia="zh-CN"/>
        </w:rPr>
        <w:t>路灯照明养护，包括路灯，路灯箱变、路灯电缆、路灯检查井、路灯配电柜等。</w:t>
      </w:r>
      <w:r>
        <w:rPr>
          <w:rFonts w:cs="Times New Roman"/>
          <w:color w:val="auto"/>
          <w:highlight w:val="none"/>
          <w:lang w:eastAsia="zh-CN"/>
        </w:rPr>
        <w:t xml:space="preserve"> </w:t>
      </w:r>
    </w:p>
    <w:p w14:paraId="1A6EE5CB">
      <w:pPr>
        <w:pStyle w:val="39"/>
        <w:keepNext w:val="0"/>
        <w:keepLines w:val="0"/>
        <w:pageBreakBefore w:val="0"/>
        <w:widowControl w:val="0"/>
        <w:kinsoku/>
        <w:overflowPunct/>
        <w:topLinePunct w:val="0"/>
        <w:autoSpaceDE/>
        <w:autoSpaceDN/>
        <w:bidi w:val="0"/>
        <w:adjustRightInd/>
        <w:textAlignment w:val="auto"/>
        <w:rPr>
          <w:rFonts w:hint="eastAsia"/>
          <w:b/>
          <w:bCs/>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w:t>
      </w:r>
      <w:r>
        <w:rPr>
          <w:rFonts w:hint="eastAsia"/>
          <w:b/>
          <w:bCs/>
          <w:snapToGrid w:val="0"/>
          <w:color w:val="auto"/>
          <w:sz w:val="24"/>
          <w:szCs w:val="24"/>
          <w:highlight w:val="none"/>
          <w:lang w:val="en-US" w:eastAsia="zh-CN"/>
        </w:rPr>
        <w:t>2</w:t>
      </w:r>
      <w:r>
        <w:rPr>
          <w:rFonts w:hint="default"/>
          <w:b/>
          <w:bCs/>
          <w:snapToGrid w:val="0"/>
          <w:color w:val="auto"/>
          <w:sz w:val="24"/>
          <w:szCs w:val="24"/>
          <w:highlight w:val="none"/>
          <w:lang w:val="en-US" w:eastAsia="zh-CN"/>
        </w:rPr>
        <w:t xml:space="preserve">. </w:t>
      </w:r>
      <w:r>
        <w:rPr>
          <w:rFonts w:hint="eastAsia"/>
          <w:b/>
          <w:bCs/>
          <w:snapToGrid w:val="0"/>
          <w:color w:val="auto"/>
          <w:sz w:val="24"/>
          <w:szCs w:val="24"/>
          <w:highlight w:val="none"/>
          <w:lang w:val="en-US" w:eastAsia="zh-CN"/>
        </w:rPr>
        <w:t>服务标准依据</w:t>
      </w:r>
    </w:p>
    <w:p w14:paraId="35CCE055">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《生活垃圾转运站技术规范》(CJJ/T47-2016)《城市市容标准 》(GB 50449-2008)《城市道路清扫保洁与质量评价标准》(CJJ/T 126-2022)《城市垃圾卫生填埋处理技术标准》(GB/T 50869-2025)《园林绿化养护标准》(CJJ/T 287-2018)《城市光环境景观照明设施运行维护服务规范》(GB/T 43637-2024)以及合同履行过程中涉及的其他相关法律法规及技术标准。</w:t>
      </w:r>
    </w:p>
    <w:p w14:paraId="40B8123E">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如国家、自治区或地方相关标准发生调整，双方应协商更新本协议所适用的标准。</w:t>
      </w:r>
    </w:p>
    <w:p w14:paraId="0B62BECD">
      <w:pPr>
        <w:pStyle w:val="39"/>
        <w:keepNext w:val="0"/>
        <w:keepLines w:val="0"/>
        <w:pageBreakBefore w:val="0"/>
        <w:widowControl w:val="0"/>
        <w:kinsoku/>
        <w:overflowPunct/>
        <w:topLinePunct w:val="0"/>
        <w:autoSpaceDE/>
        <w:autoSpaceDN/>
        <w:bidi w:val="0"/>
        <w:adjustRightInd/>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★3.验收标准</w:t>
      </w:r>
    </w:p>
    <w:p w14:paraId="414EBA36">
      <w:pPr>
        <w:pStyle w:val="39"/>
        <w:keepNext w:val="0"/>
        <w:keepLines w:val="0"/>
        <w:pageBreakBefore w:val="0"/>
        <w:widowControl w:val="0"/>
        <w:kinsoku/>
        <w:overflowPunct/>
        <w:topLinePunct w:val="0"/>
        <w:autoSpaceDE/>
        <w:autoSpaceDN/>
        <w:bidi w:val="0"/>
        <w:adjustRightInd/>
        <w:textAlignment w:val="auto"/>
        <w:rPr>
          <w:rFonts w:hint="eastAsia"/>
          <w:b w:val="0"/>
          <w:bCs w:val="0"/>
          <w:snapToGrid w:val="0"/>
          <w:color w:val="auto"/>
          <w:sz w:val="24"/>
          <w:szCs w:val="24"/>
          <w:highlight w:val="none"/>
          <w:lang w:val="en-US" w:eastAsia="zh-CN"/>
        </w:rPr>
      </w:pPr>
      <w:r>
        <w:rPr>
          <w:rFonts w:hint="eastAsia"/>
          <w:b w:val="0"/>
          <w:bCs w:val="0"/>
          <w:snapToGrid w:val="0"/>
          <w:color w:val="auto"/>
          <w:sz w:val="24"/>
          <w:szCs w:val="24"/>
          <w:highlight w:val="none"/>
          <w:lang w:val="en-US" w:eastAsia="zh-CN"/>
        </w:rPr>
        <w:t>现行有效的法律法规、标准及附件《石油基地“市政、园林、环卫一体化”项目考核评价办法（试行）》及考核细则</w:t>
      </w:r>
    </w:p>
    <w:p w14:paraId="6C9C7BC5">
      <w:pPr>
        <w:pStyle w:val="39"/>
        <w:keepNext w:val="0"/>
        <w:keepLines w:val="0"/>
        <w:pageBreakBefore w:val="0"/>
        <w:widowControl w:val="0"/>
        <w:kinsoku/>
        <w:overflowPunct/>
        <w:topLinePunct w:val="0"/>
        <w:autoSpaceDE/>
        <w:autoSpaceDN/>
        <w:bidi w:val="0"/>
        <w:adjustRightInd/>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4.服务总体要求</w:t>
      </w:r>
    </w:p>
    <w:p w14:paraId="57DAB0A4">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供应商应严格遵循国家及自治区现行与“市政－环卫－园林”管理有关的法律法规，并依照国家、行业标准以及技术规范所规定的准则，全面落实采购人所制定的各项运维服务管理规定及考核细则，从而确保运维服务质量能够持续符合以下要求： </w:t>
      </w:r>
    </w:p>
    <w:p w14:paraId="377B8099">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1.市政设施设备：</w:t>
      </w:r>
    </w:p>
    <w:p w14:paraId="1F75E2F3">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应确保各类设施设备均维持正常运行状态，其完好率不得低于95%，重点区域不低于98%。若完好率低于规定比例，则依据考核细则给予相应扣分处理。</w:t>
      </w:r>
    </w:p>
    <w:p w14:paraId="66836F1D">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除上述日常运行要求之外，设施设备出现故障后，按照以下流程进行处置：1. 对于一般故障，应在4小时内排除，使其恢复至正常使用状态；对于复杂故障，需在发现故障后8小时内向采购人提交书面报告及详细维修方案，明确修复期限，及时修复至正常使用状态。若未按照上述流程进行处置，则按照未达到完好率的考核标准予以处理。 </w:t>
      </w:r>
    </w:p>
    <w:p w14:paraId="38C2E3FF">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2. 卫生保洁：</w:t>
      </w:r>
    </w:p>
    <w:p w14:paraId="2FA898F1">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（1）机动车道清扫：每日凌晨（夏季凌晨4点前，冬季凌晨5点前）全面清扫一次，日间进行动态巡回保洁，确保路面无积尘、无飘浮物、无废弃物，路面见本色。清扫等级达到二级要求。</w:t>
      </w:r>
    </w:p>
    <w:p w14:paraId="12F42CE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（2）非机动车道及人行道清扫：每日进行人工全面清扫至少一次，并实施动态巡回保洁，确保无垃圾、无杂物、无污渍、无积水。对重点商业街区、人流密集区域增加保洁频次。清扫等级达到二级要求。</w:t>
      </w:r>
    </w:p>
    <w:p w14:paraId="0CF1A21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注：清扫保洁责任区域涵盖上述所有道路，以及自道路边界线起算、向外辐射 500 米范围内的全部公共空间区域。 </w:t>
      </w:r>
    </w:p>
    <w:p w14:paraId="2B75B524">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3）垃圾清运工作：严格落实生活垃圾“日产日清、密闭运输”的作业要求。垃圾桶及果皮箱需每日进行清掏，不定期进行擦拭，确保垃圾桶及果皮箱的内部与外部均保持洁净，周边无垃圾散落、无污渍残留。垃圾清运车辆应保持外观整洁，在运输过程中杜绝出现洒漏、遗弃垃圾等情况。 </w:t>
      </w:r>
    </w:p>
    <w:p w14:paraId="3F873EFF">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（4）公厕保洁维护工作：采取 24 小时免费开放模式，并由专人负责管理。每日需对公厕进行不少于两次的全面冲洗与消毒，做到随脏随清洁。应确保公厕设施完好无损，水电供应畅通，无异味散发，无蚊蝇滋生，地面保持干燥且洁净。   （5）绿化带/防风林带清扫保洁工作：需每日对绿地、林带开展巡回清理作业，清除其中的白色垃圾、枯枝败叶以及各类杂物，确保在可见范围内无暴露垃圾。严禁将道路垃圾扫入绿化带。 </w:t>
      </w:r>
    </w:p>
    <w:p w14:paraId="12C1D48E">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（6）冬季冰雪清理工作：制定应急预案，及时组织开展清雪除冰作业。主干道及坡道需在雪停后 6小时内完成清理并保障通行通畅；次干道及支路应在雪停后12小时内完成清理并保障通行通畅；人行道及背街小巷应在雪停后48小时内完成清理并保障通行通畅，以保障道路通行的安全与顺畅。所使用的融雪剂必须符合环保标准。 </w:t>
      </w:r>
    </w:p>
    <w:p w14:paraId="3E29C966">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7）垃圾中转站运维工作要求如下：对站内及周边方圆50米范围内的区域进行每日冲洗与消杀作业，以确保站体保持整洁，无异味散发，且无蚊蝇滋生。需严格按照规范操作压缩设备，并及时开展垃圾转运工作，保证站内垃圾不出现积压情况。同时，要对渗滤液进行规范收集与处理，并确保相关台账记录完整。 </w:t>
      </w:r>
    </w:p>
    <w:p w14:paraId="46D4ADDB">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3. 园林绿化及公园管理：</w:t>
      </w:r>
    </w:p>
    <w:p w14:paraId="7F417F11">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乙方须对责任区域内所有园林绿化及公园实施科学、规范的养护管理，具体如下：</w:t>
      </w:r>
    </w:p>
    <w:p w14:paraId="5230AD4F">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（1）道路绿化及防风林带养护：</w:t>
      </w:r>
    </w:p>
    <w:p w14:paraId="30B290AE">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灌溉：依据季节、气候以及植物的需水特性，开展科学灌溉工作，以保证植物不缺水。</w:t>
      </w:r>
    </w:p>
    <w:p w14:paraId="61E64F78">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修剪：对乔木、灌木和绿篱进行定期的整形修剪，维持景观的优美，确保通风透光，且不影响交通视线和公共安全。</w:t>
      </w:r>
    </w:p>
    <w:p w14:paraId="4D25E011">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施肥：每年至少开展春秋两季的全面施肥工作，并根据植物的生长状况追施专项肥料。</w:t>
      </w:r>
    </w:p>
    <w:p w14:paraId="551C8535">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病虫害防治：秉持“预防为主，综合防治”的方针，进行定期巡查，一旦发现病虫害，及时采用环保且有效的方法加以治理，无病虫害的发生。</w:t>
      </w:r>
    </w:p>
    <w:p w14:paraId="41082B0D">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补植更新：针对缺株、死株以及黄土裸露区域，需在发现后3个工作日内制定补植方案并报采购人确认，在下一个适宜种植的季节（春秋季）内完成补植工作，以确保绿地的完整性，行道树无缺株情况，同时保证新栽植及现有绿植的成活率不低于98 %。绿化（林带）灌溉管网等设施需进行定期巡检和维护，保证设施随时处于正常使用状态。确有故障发生，按市政设施故障处置的流程处理。</w:t>
      </w:r>
    </w:p>
    <w:p w14:paraId="28858B16">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（2）公园管理：</w:t>
      </w:r>
    </w:p>
    <w:p w14:paraId="291FDA49">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园容保洁：按照道路清扫的高标准严格执行，着重强化对广场、园路、水面、座椅以及健身设施的清洁工作。</w:t>
      </w:r>
    </w:p>
    <w:p w14:paraId="26491DB6">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设施维护：每日对园内建（构）筑物、园灯、水电系统、标识系统等进行巡查，并定期开展保养工作，以确保其安全、完好且可正常使用。一旦发现设施损坏，须立即设置警示标识，并根据轻重缓急在规定期限内进行修复。</w:t>
      </w:r>
    </w:p>
    <w:p w14:paraId="0AA9F7B8">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秩序与安全：设置文明、安全游园提示标识，定时开展巡查工作，及时对不文明及危险行为进行劝阻。制定防火、防汛、人员疏散等安全应急预案，并组织开展演练活动。</w:t>
      </w:r>
    </w:p>
    <w:p w14:paraId="18C07445">
      <w:pPr>
        <w:pStyle w:val="39"/>
        <w:keepNext w:val="0"/>
        <w:keepLines w:val="0"/>
        <w:pageBreakBefore w:val="0"/>
        <w:widowControl w:val="0"/>
        <w:kinsoku/>
        <w:overflowPunct/>
        <w:topLinePunct w:val="0"/>
        <w:autoSpaceDE/>
        <w:autoSpaceDN/>
        <w:bidi w:val="0"/>
        <w:adjustRightInd/>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 xml:space="preserve">绿化专项养护：在通用养护标准的基础上，对公园内的重点景观植物、花坛、草坪实施更为精细化的养护措施。 </w:t>
      </w:r>
    </w:p>
    <w:p w14:paraId="1FA77AB8">
      <w:pPr>
        <w:widowControl/>
        <w:ind w:firstLine="0"/>
        <w:rPr>
          <w:rFonts w:hint="eastAsia"/>
          <w:b/>
          <w:bCs/>
          <w:snapToGrid w:val="0"/>
          <w:color w:val="auto"/>
          <w:sz w:val="24"/>
          <w:szCs w:val="24"/>
          <w:highlight w:val="none"/>
          <w:lang w:val="en-US" w:eastAsia="zh-CN"/>
        </w:rPr>
      </w:pPr>
      <w:r>
        <w:rPr>
          <w:rFonts w:hint="eastAsia"/>
          <w:snapToGrid w:val="0"/>
          <w:color w:val="auto"/>
          <w:sz w:val="24"/>
          <w:szCs w:val="24"/>
          <w:highlight w:val="none"/>
          <w:lang w:val="en-US" w:eastAsia="zh-CN"/>
        </w:rPr>
        <w:t xml:space="preserve"> </w:t>
      </w:r>
      <w:r>
        <w:rPr>
          <w:rFonts w:hint="eastAsia"/>
          <w:b/>
          <w:bCs/>
          <w:snapToGrid w:val="0"/>
          <w:color w:val="auto"/>
          <w:sz w:val="24"/>
          <w:szCs w:val="24"/>
          <w:highlight w:val="none"/>
          <w:lang w:val="en-US" w:eastAsia="zh-CN"/>
        </w:rPr>
        <w:t xml:space="preserve">   5.服务标准：</w:t>
      </w:r>
    </w:p>
    <w:p w14:paraId="442CBA5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（一）道路清扫保洁要求</w:t>
      </w:r>
    </w:p>
    <w:p w14:paraId="3434426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1、</w:t>
      </w:r>
      <w:r>
        <w:rPr>
          <w:rFonts w:hint="eastAsia" w:eastAsia="宋体" w:cs="宋体"/>
          <w:b/>
          <w:bCs/>
          <w:color w:val="auto"/>
          <w:spacing w:val="-5"/>
          <w:sz w:val="24"/>
          <w:szCs w:val="24"/>
          <w:highlight w:val="none"/>
          <w:lang w:eastAsia="zh-CN"/>
        </w:rPr>
        <w:t>石油基地</w:t>
      </w:r>
      <w:r>
        <w:rPr>
          <w:rFonts w:hint="eastAsia" w:ascii="宋体" w:hAnsi="宋体" w:eastAsia="宋体" w:cs="宋体"/>
          <w:b/>
          <w:bCs/>
          <w:color w:val="auto"/>
          <w:spacing w:val="-5"/>
          <w:sz w:val="24"/>
          <w:szCs w:val="24"/>
          <w:highlight w:val="none"/>
        </w:rPr>
        <w:t>道路清扫保洁</w:t>
      </w:r>
    </w:p>
    <w:p w14:paraId="7A61155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snapToGrid w:val="0"/>
          <w:color w:val="auto"/>
          <w:sz w:val="24"/>
          <w:szCs w:val="24"/>
          <w:highlight w:val="none"/>
          <w:lang w:val="en-US" w:eastAsia="zh-CN"/>
        </w:rPr>
      </w:pPr>
      <w:r>
        <w:rPr>
          <w:rFonts w:hint="eastAsia" w:ascii="宋体" w:hAnsi="宋体" w:eastAsia="宋体" w:cs="宋体"/>
          <w:snapToGrid w:val="0"/>
          <w:color w:val="auto"/>
          <w:sz w:val="24"/>
          <w:szCs w:val="24"/>
          <w:highlight w:val="none"/>
          <w:lang w:val="en-US" w:eastAsia="zh-CN"/>
        </w:rPr>
        <w:t>1）管理规范</w:t>
      </w:r>
    </w:p>
    <w:p w14:paraId="50B6BE6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①所有工作人员须严格遵守各项规章制度，严格按操作规程作业，工作时间及上下班期间必须穿工作服。严禁翻越护栏、坐在路沿石上休息、聚众围观等高危违规行为。须随时以自身安全为第一要务。</w:t>
      </w:r>
    </w:p>
    <w:p w14:paraId="0264F56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②保洁车辆须外观干净整齐统一、标识清晰，无破损、无脱漆、无锈蚀、无乱贴画、无广告。</w:t>
      </w:r>
    </w:p>
    <w:p w14:paraId="258F00D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mc:AlternateContent>
          <mc:Choice Requires="wps">
            <w:drawing>
              <wp:anchor distT="0" distB="0" distL="114300" distR="114300" simplePos="0" relativeHeight="251667456"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8" name="任意多边形 88"/>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67456;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CjenZeFQIAAH0E&#10;AAAOAAAAAAAAAAEAIAAAACkBAABkcnMvZTJvRG9jLnhtbFBLBQYAAAAABgAGAFkBAACwBQAAAAA=&#10;" path="m0,0l8374,0,8374,14,0,14,0,0xe">
                <v:fill on="t" focussize="0,0"/>
                <v:stroke on="f"/>
                <v:imagedata o:title=""/>
                <o:lock v:ext="edit" aspectratio="f"/>
              </v:shape>
            </w:pict>
          </mc:Fallback>
        </mc:AlternateContent>
      </w:r>
      <w:r>
        <w:rPr>
          <w:rFonts w:hint="eastAsia"/>
          <w:snapToGrid w:val="0"/>
          <w:color w:val="auto"/>
          <w:sz w:val="24"/>
          <w:szCs w:val="24"/>
          <w:highlight w:val="none"/>
          <w:lang w:val="en-US" w:eastAsia="zh-CN"/>
        </w:rPr>
        <w:t>③保洁工具与保洁车辆在不使用时须妥善放置，不得妨碍车辆行人的正常通行，不得在绿化带、人行道、车行道等地随意停放。</w:t>
      </w:r>
    </w:p>
    <w:p w14:paraId="78D4A37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2）清扫保洁质量标准</w:t>
      </w:r>
    </w:p>
    <w:p w14:paraId="25C755F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全部道路达到“六净六无”标准。“六净”即：路面净、边角路沿石净、立物根净、绿化树穴净、下水口净、果皮箱净。“六无”即：无烟头痰迹、无瓜果皮核、无白色污染、无灰土砖石杂物、无粪便、无积水污泥。</w:t>
      </w:r>
    </w:p>
    <w:p w14:paraId="22ECB592">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深度保洁质量要求。可见垃圾（包括纸屑、烟头、果皮核、塑料袋、砖石及其他杂物等，不包括树叶，下同）停留时间不超过 5 分钟，无积水、无油污；路面积水、油污须在 6 小时内清理完毕。</w:t>
      </w:r>
    </w:p>
    <w:p w14:paraId="6441C6F9">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3）清扫保洁方式及要求</w:t>
      </w:r>
    </w:p>
    <w:p w14:paraId="36B52F83">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①道路清扫保洁按“一日一扫、全天保洁”模式进行，早普扫 8:00前完成,5-10 月提前一小时完成；午普扫 14:30 前完成，气温超过 35°时，可适当后延。</w:t>
      </w:r>
    </w:p>
    <w:p w14:paraId="619CE8D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snapToGrid w:val="0"/>
          <w:color w:val="auto"/>
          <w:sz w:val="24"/>
          <w:szCs w:val="24"/>
          <w:highlight w:val="none"/>
          <w:lang w:val="en-US" w:eastAsia="zh-CN"/>
        </w:rPr>
      </w:pPr>
      <w:r>
        <w:rPr>
          <w:rFonts w:hint="eastAsia"/>
          <w:snapToGrid w:val="0"/>
          <w:color w:val="auto"/>
          <w:sz w:val="24"/>
          <w:szCs w:val="24"/>
          <w:highlight w:val="none"/>
          <w:lang w:val="en-US" w:eastAsia="zh-CN"/>
        </w:rPr>
        <w:t>②巡回保洁时长：如遇重大活动、迎评迎创等应急性工作，严格按采购人要求相应延长保洁时间。</w:t>
      </w:r>
    </w:p>
    <w:p w14:paraId="6CBC088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③清扫道路时保洁人员应逆向普扫，不得出现漏扫、花扫、扬扫等二次扬尘出现；巡回保洁要及时清除责任范围内的路面垃圾、杂草、积水，及时将责任范围内垃圾收集容器周围的散落垃圾捡入容器中，确保道路干净整洁。不得随意脱岗。</w:t>
      </w:r>
    </w:p>
    <w:p w14:paraId="1B9EACE6">
      <w:pPr>
        <w:keepNext w:val="0"/>
        <w:keepLines w:val="0"/>
        <w:pageBreakBefore w:val="0"/>
        <w:widowControl w:val="0"/>
        <w:kinsoku/>
        <w:wordWrap/>
        <w:overflowPunct/>
        <w:topLinePunct w:val="0"/>
        <w:autoSpaceDE/>
        <w:autoSpaceDN/>
        <w:bidi w:val="0"/>
        <w:adjustRightInd/>
        <w:snapToGrid/>
        <w:spacing w:after="0"/>
        <w:ind w:left="0" w:right="0" w:firstLineChars="200"/>
        <w:textAlignment w:val="auto"/>
        <w:rPr>
          <w:rFonts w:hint="eastAsia" w:ascii="宋体" w:hAnsi="宋体" w:eastAsia="宋体" w:cs="宋体"/>
          <w:b/>
          <w:bCs/>
          <w:color w:val="auto"/>
          <w:spacing w:val="-11"/>
          <w:highlight w:val="none"/>
        </w:rPr>
      </w:pPr>
      <w:r>
        <w:rPr>
          <w:rFonts w:hint="eastAsia" w:ascii="宋体" w:hAnsi="宋体" w:eastAsia="宋体" w:cs="宋体"/>
          <w:b/>
          <w:bCs/>
          <w:color w:val="auto"/>
          <w:spacing w:val="-11"/>
          <w:highlight w:val="none"/>
        </w:rPr>
        <w:br w:type="page"/>
      </w:r>
    </w:p>
    <w:p w14:paraId="65FE5F4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378" w:firstLineChars="200"/>
        <w:textAlignment w:val="auto"/>
        <w:rPr>
          <w:rFonts w:hint="eastAsia" w:ascii="宋体" w:hAnsi="宋体" w:eastAsia="宋体" w:cs="宋体"/>
          <w:color w:val="auto"/>
          <w:highlight w:val="none"/>
        </w:rPr>
      </w:pPr>
      <w:r>
        <w:rPr>
          <w:rFonts w:hint="eastAsia" w:ascii="宋体" w:hAnsi="宋体" w:eastAsia="宋体" w:cs="宋体"/>
          <w:b/>
          <w:bCs/>
          <w:color w:val="auto"/>
          <w:spacing w:val="-11"/>
          <w:highlight w:val="none"/>
        </w:rPr>
        <w:t>表</w:t>
      </w:r>
      <w:r>
        <w:rPr>
          <w:rFonts w:hint="eastAsia" w:ascii="宋体" w:hAnsi="宋体" w:eastAsia="宋体" w:cs="宋体"/>
          <w:color w:val="auto"/>
          <w:spacing w:val="-42"/>
          <w:highlight w:val="none"/>
        </w:rPr>
        <w:t xml:space="preserve"> </w:t>
      </w:r>
      <w:r>
        <w:rPr>
          <w:rFonts w:hint="eastAsia" w:ascii="宋体" w:hAnsi="宋体" w:eastAsia="宋体" w:cs="宋体"/>
          <w:b/>
          <w:bCs/>
          <w:color w:val="auto"/>
          <w:spacing w:val="-11"/>
          <w:highlight w:val="none"/>
        </w:rPr>
        <w:t>1-4</w:t>
      </w:r>
      <w:r>
        <w:rPr>
          <w:rFonts w:hint="eastAsia" w:ascii="宋体" w:hAnsi="宋体" w:eastAsia="宋体" w:cs="宋体"/>
          <w:color w:val="auto"/>
          <w:spacing w:val="-66"/>
          <w:highlight w:val="none"/>
        </w:rPr>
        <w:t xml:space="preserve"> </w:t>
      </w:r>
      <w:r>
        <w:rPr>
          <w:rFonts w:hint="eastAsia" w:ascii="宋体" w:hAnsi="宋体" w:eastAsia="宋体" w:cs="宋体"/>
          <w:b/>
          <w:bCs/>
          <w:color w:val="auto"/>
          <w:spacing w:val="-11"/>
          <w:highlight w:val="none"/>
        </w:rPr>
        <w:t>清扫保洁质量标准、保洁方式及要求</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47"/>
        <w:gridCol w:w="4017"/>
        <w:gridCol w:w="3330"/>
      </w:tblGrid>
      <w:tr w14:paraId="6B5AF7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1247" w:type="dxa"/>
            <w:shd w:val="clear" w:color="auto" w:fill="63B86C"/>
            <w:vAlign w:val="center"/>
          </w:tcPr>
          <w:p w14:paraId="64DA1E44">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1"/>
                <w:highlight w:val="none"/>
              </w:rPr>
              <w:t>保洁等</w:t>
            </w:r>
            <w:r>
              <w:rPr>
                <w:rFonts w:hint="eastAsia" w:ascii="宋体" w:hAnsi="宋体" w:eastAsia="宋体" w:cs="宋体"/>
                <w:b/>
                <w:bCs/>
                <w:color w:val="auto"/>
                <w:spacing w:val="-3"/>
                <w:highlight w:val="none"/>
              </w:rPr>
              <w:t>级</w:t>
            </w:r>
          </w:p>
        </w:tc>
        <w:tc>
          <w:tcPr>
            <w:tcW w:w="4017" w:type="dxa"/>
            <w:shd w:val="clear" w:color="auto" w:fill="63B86C"/>
            <w:vAlign w:val="center"/>
          </w:tcPr>
          <w:p w14:paraId="739BBDE1">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8"/>
                <w:highlight w:val="none"/>
              </w:rPr>
              <w:t>道路保洁质量要求</w:t>
            </w:r>
          </w:p>
        </w:tc>
        <w:tc>
          <w:tcPr>
            <w:tcW w:w="3330" w:type="dxa"/>
            <w:shd w:val="clear" w:color="auto" w:fill="63B86C"/>
            <w:vAlign w:val="center"/>
          </w:tcPr>
          <w:p w14:paraId="64235346">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8"/>
                <w:highlight w:val="none"/>
              </w:rPr>
              <w:t>本项目</w:t>
            </w:r>
          </w:p>
        </w:tc>
      </w:tr>
      <w:tr w14:paraId="7E066F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9" w:hRule="atLeast"/>
        </w:trPr>
        <w:tc>
          <w:tcPr>
            <w:tcW w:w="1247" w:type="dxa"/>
            <w:vAlign w:val="center"/>
          </w:tcPr>
          <w:p w14:paraId="2641546F">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一级道</w:t>
            </w:r>
            <w:r>
              <w:rPr>
                <w:rFonts w:hint="eastAsia" w:ascii="宋体" w:hAnsi="宋体" w:eastAsia="宋体" w:cs="宋体"/>
                <w:color w:val="auto"/>
                <w:highlight w:val="none"/>
              </w:rPr>
              <w:t>路</w:t>
            </w:r>
          </w:p>
        </w:tc>
        <w:tc>
          <w:tcPr>
            <w:tcW w:w="4017" w:type="dxa"/>
            <w:vAlign w:val="top"/>
          </w:tcPr>
          <w:p w14:paraId="4578DF99">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（1）对人流量大的繁华路段，</w:t>
            </w:r>
            <w:r>
              <w:rPr>
                <w:rFonts w:hint="eastAsia" w:ascii="宋体" w:hAnsi="宋体" w:eastAsia="宋体" w:cs="宋体"/>
                <w:color w:val="auto"/>
                <w:spacing w:val="-1"/>
                <w:highlight w:val="none"/>
              </w:rPr>
              <w:t>应全天巡回保洁，路面应见本</w:t>
            </w:r>
            <w:r>
              <w:rPr>
                <w:rFonts w:hint="eastAsia" w:ascii="宋体" w:hAnsi="宋体" w:eastAsia="宋体" w:cs="宋体"/>
                <w:color w:val="auto"/>
                <w:spacing w:val="-5"/>
                <w:highlight w:val="none"/>
              </w:rPr>
              <w:t>色。</w:t>
            </w:r>
          </w:p>
          <w:p w14:paraId="52A54E1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（2）大城市、特大城市的路面</w:t>
            </w:r>
            <w:r>
              <w:rPr>
                <w:rFonts w:hint="eastAsia" w:ascii="宋体" w:hAnsi="宋体" w:eastAsia="宋体" w:cs="宋体"/>
                <w:color w:val="auto"/>
                <w:spacing w:val="-13"/>
                <w:highlight w:val="none"/>
              </w:rPr>
              <w:t>冲洗，每日应不少于</w:t>
            </w:r>
            <w:r>
              <w:rPr>
                <w:rFonts w:hint="eastAsia" w:ascii="宋体" w:hAnsi="宋体" w:eastAsia="宋体" w:cs="宋体"/>
                <w:color w:val="auto"/>
                <w:spacing w:val="-31"/>
                <w:highlight w:val="none"/>
              </w:rPr>
              <w:t xml:space="preserve"> </w:t>
            </w:r>
            <w:r>
              <w:rPr>
                <w:rFonts w:hint="eastAsia" w:ascii="宋体" w:hAnsi="宋体" w:eastAsia="宋体" w:cs="宋体"/>
                <w:color w:val="auto"/>
                <w:spacing w:val="-13"/>
                <w:highlight w:val="none"/>
              </w:rPr>
              <w:t>1</w:t>
            </w:r>
            <w:r>
              <w:rPr>
                <w:rFonts w:hint="eastAsia" w:ascii="宋体" w:hAnsi="宋体" w:eastAsia="宋体" w:cs="宋体"/>
                <w:color w:val="auto"/>
                <w:spacing w:val="-53"/>
                <w:highlight w:val="none"/>
              </w:rPr>
              <w:t xml:space="preserve"> </w:t>
            </w:r>
            <w:r>
              <w:rPr>
                <w:rFonts w:hint="eastAsia" w:ascii="宋体" w:hAnsi="宋体" w:eastAsia="宋体" w:cs="宋体"/>
                <w:color w:val="auto"/>
                <w:spacing w:val="-13"/>
                <w:highlight w:val="none"/>
              </w:rPr>
              <w:t>次，其它</w:t>
            </w:r>
            <w:r>
              <w:rPr>
                <w:rFonts w:hint="eastAsia" w:ascii="宋体" w:hAnsi="宋体" w:eastAsia="宋体" w:cs="宋体"/>
                <w:color w:val="auto"/>
                <w:spacing w:val="3"/>
                <w:highlight w:val="none"/>
              </w:rPr>
              <w:t>城市，每周可冲洗3～5</w:t>
            </w:r>
            <w:r>
              <w:rPr>
                <w:rFonts w:hint="eastAsia" w:ascii="宋体" w:hAnsi="宋体" w:eastAsia="宋体" w:cs="宋体"/>
                <w:color w:val="auto"/>
                <w:spacing w:val="-50"/>
                <w:highlight w:val="none"/>
              </w:rPr>
              <w:t xml:space="preserve"> </w:t>
            </w:r>
            <w:r>
              <w:rPr>
                <w:rFonts w:hint="eastAsia" w:ascii="宋体" w:hAnsi="宋体" w:eastAsia="宋体" w:cs="宋体"/>
                <w:color w:val="auto"/>
                <w:spacing w:val="3"/>
                <w:highlight w:val="none"/>
              </w:rPr>
              <w:t>次。</w:t>
            </w:r>
          </w:p>
          <w:p w14:paraId="49749993">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17"/>
                <w:highlight w:val="none"/>
              </w:rPr>
              <w:t>（3）气温</w:t>
            </w:r>
            <w:r>
              <w:rPr>
                <w:rFonts w:hint="eastAsia" w:ascii="宋体" w:hAnsi="宋体" w:eastAsia="宋体" w:cs="宋体"/>
                <w:color w:val="auto"/>
                <w:spacing w:val="-44"/>
                <w:highlight w:val="none"/>
              </w:rPr>
              <w:t xml:space="preserve"> </w:t>
            </w:r>
            <w:r>
              <w:rPr>
                <w:rFonts w:hint="eastAsia" w:ascii="宋体" w:hAnsi="宋体" w:eastAsia="宋体" w:cs="宋体"/>
                <w:color w:val="auto"/>
                <w:spacing w:val="-17"/>
                <w:highlight w:val="none"/>
              </w:rPr>
              <w:t>30℃以上时，大城市、</w:t>
            </w:r>
            <w:r>
              <w:rPr>
                <w:rFonts w:hint="eastAsia" w:ascii="宋体" w:hAnsi="宋体" w:eastAsia="宋体" w:cs="宋体"/>
                <w:color w:val="auto"/>
                <w:spacing w:val="-1"/>
                <w:highlight w:val="none"/>
              </w:rPr>
              <w:t>特大城市平均每天洒水应不少</w:t>
            </w:r>
            <w:r>
              <w:rPr>
                <w:rFonts w:hint="eastAsia" w:ascii="宋体" w:hAnsi="宋体" w:eastAsia="宋体" w:cs="宋体"/>
                <w:color w:val="auto"/>
                <w:spacing w:val="-12"/>
                <w:highlight w:val="none"/>
              </w:rPr>
              <w:t>于</w:t>
            </w:r>
            <w:r>
              <w:rPr>
                <w:rFonts w:hint="eastAsia" w:ascii="宋体" w:hAnsi="宋体" w:eastAsia="宋体" w:cs="宋体"/>
                <w:color w:val="auto"/>
                <w:spacing w:val="-47"/>
                <w:highlight w:val="none"/>
              </w:rPr>
              <w:t xml:space="preserve"> </w:t>
            </w:r>
            <w:r>
              <w:rPr>
                <w:rFonts w:hint="eastAsia" w:ascii="宋体" w:hAnsi="宋体" w:eastAsia="宋体" w:cs="宋体"/>
                <w:color w:val="auto"/>
                <w:spacing w:val="-12"/>
                <w:highlight w:val="none"/>
              </w:rPr>
              <w:t>3</w:t>
            </w:r>
            <w:r>
              <w:rPr>
                <w:rFonts w:hint="eastAsia" w:ascii="宋体" w:hAnsi="宋体" w:eastAsia="宋体" w:cs="宋体"/>
                <w:color w:val="auto"/>
                <w:spacing w:val="-53"/>
                <w:highlight w:val="none"/>
              </w:rPr>
              <w:t xml:space="preserve"> </w:t>
            </w:r>
            <w:r>
              <w:rPr>
                <w:rFonts w:hint="eastAsia" w:ascii="宋体" w:hAnsi="宋体" w:eastAsia="宋体" w:cs="宋体"/>
                <w:color w:val="auto"/>
                <w:spacing w:val="-12"/>
                <w:highlight w:val="none"/>
              </w:rPr>
              <w:t>次，其它城市可按实际情况</w:t>
            </w:r>
            <w:r>
              <w:rPr>
                <w:rFonts w:hint="eastAsia" w:ascii="宋体" w:hAnsi="宋体" w:eastAsia="宋体" w:cs="宋体"/>
                <w:color w:val="auto"/>
                <w:spacing w:val="-4"/>
                <w:highlight w:val="none"/>
              </w:rPr>
              <w:t>决定。</w:t>
            </w:r>
          </w:p>
        </w:tc>
        <w:tc>
          <w:tcPr>
            <w:tcW w:w="3330" w:type="dxa"/>
            <w:vAlign w:val="top"/>
          </w:tcPr>
          <w:p w14:paraId="3354BBB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sz w:val="21"/>
                <w:highlight w:val="none"/>
              </w:rPr>
            </w:pPr>
          </w:p>
          <w:p w14:paraId="7809D29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sz w:val="21"/>
                <w:highlight w:val="none"/>
              </w:rPr>
            </w:pPr>
          </w:p>
          <w:p w14:paraId="4E829779">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每日</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7"/>
                <w:highlight w:val="none"/>
                <w:u w:val="single" w:color="auto"/>
              </w:rPr>
              <w:t>不少于</w:t>
            </w:r>
            <w:r>
              <w:rPr>
                <w:rFonts w:hint="eastAsia" w:ascii="宋体" w:hAnsi="宋体" w:eastAsia="宋体" w:cs="宋体"/>
                <w:color w:val="auto"/>
                <w:spacing w:val="-37"/>
                <w:highlight w:val="none"/>
                <w:u w:val="single" w:color="auto"/>
              </w:rPr>
              <w:t xml:space="preserve"> </w:t>
            </w:r>
            <w:r>
              <w:rPr>
                <w:rFonts w:hint="eastAsia" w:ascii="宋体" w:hAnsi="宋体" w:eastAsia="宋体" w:cs="宋体"/>
                <w:color w:val="auto"/>
                <w:spacing w:val="-7"/>
                <w:highlight w:val="none"/>
                <w:u w:val="single" w:color="auto"/>
              </w:rPr>
              <w:t xml:space="preserve">1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7"/>
                <w:highlight w:val="none"/>
              </w:rPr>
              <w:t>次洗扫，</w:t>
            </w:r>
          </w:p>
          <w:p w14:paraId="59EF5C5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每周</w:t>
            </w:r>
            <w:r>
              <w:rPr>
                <w:rFonts w:hint="eastAsia" w:ascii="宋体" w:hAnsi="宋体" w:eastAsia="宋体" w:cs="宋体"/>
                <w:color w:val="auto"/>
                <w:spacing w:val="7"/>
                <w:highlight w:val="none"/>
                <w:u w:val="single" w:color="auto"/>
              </w:rPr>
              <w:t xml:space="preserve">   </w:t>
            </w:r>
            <w:r>
              <w:rPr>
                <w:rFonts w:hint="eastAsia" w:ascii="宋体" w:hAnsi="宋体" w:eastAsia="宋体" w:cs="宋体"/>
                <w:color w:val="auto"/>
                <w:spacing w:val="-6"/>
                <w:highlight w:val="none"/>
                <w:u w:val="single" w:color="auto"/>
              </w:rPr>
              <w:t>不少于</w:t>
            </w:r>
            <w:r>
              <w:rPr>
                <w:rFonts w:hint="eastAsia" w:ascii="宋体" w:hAnsi="宋体" w:eastAsia="宋体" w:cs="宋体"/>
                <w:color w:val="auto"/>
                <w:spacing w:val="-54"/>
                <w:highlight w:val="none"/>
                <w:u w:val="single" w:color="auto"/>
              </w:rPr>
              <w:t xml:space="preserve"> </w:t>
            </w:r>
            <w:r>
              <w:rPr>
                <w:rFonts w:hint="eastAsia" w:ascii="宋体" w:hAnsi="宋体" w:eastAsia="宋体" w:cs="宋体"/>
                <w:color w:val="auto"/>
                <w:spacing w:val="-6"/>
                <w:highlight w:val="none"/>
                <w:u w:val="single" w:color="auto"/>
              </w:rPr>
              <w:t xml:space="preserve">3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6"/>
                <w:highlight w:val="none"/>
              </w:rPr>
              <w:t>次冲</w:t>
            </w:r>
            <w:r>
              <w:rPr>
                <w:rFonts w:hint="eastAsia" w:ascii="宋体" w:hAnsi="宋体" w:eastAsia="宋体" w:cs="宋体"/>
                <w:color w:val="auto"/>
                <w:spacing w:val="-5"/>
                <w:highlight w:val="none"/>
              </w:rPr>
              <w:t>洗，</w:t>
            </w:r>
          </w:p>
          <w:p w14:paraId="07259904">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每日</w:t>
            </w:r>
            <w:r>
              <w:rPr>
                <w:rFonts w:hint="eastAsia" w:ascii="宋体" w:hAnsi="宋体" w:eastAsia="宋体" w:cs="宋体"/>
                <w:color w:val="auto"/>
                <w:spacing w:val="12"/>
                <w:highlight w:val="none"/>
                <w:u w:val="single" w:color="auto"/>
              </w:rPr>
              <w:t xml:space="preserve">  </w:t>
            </w:r>
            <w:r>
              <w:rPr>
                <w:rFonts w:hint="eastAsia" w:ascii="宋体" w:hAnsi="宋体" w:eastAsia="宋体" w:cs="宋体"/>
                <w:color w:val="auto"/>
                <w:spacing w:val="-6"/>
                <w:highlight w:val="none"/>
                <w:u w:val="single" w:color="auto"/>
              </w:rPr>
              <w:t xml:space="preserve">5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6"/>
                <w:highlight w:val="none"/>
              </w:rPr>
              <w:t>次洒水，</w:t>
            </w:r>
            <w:r>
              <w:rPr>
                <w:rFonts w:hint="eastAsia" w:ascii="宋体" w:hAnsi="宋体" w:eastAsia="宋体" w:cs="宋体"/>
                <w:color w:val="auto"/>
                <w:spacing w:val="8"/>
                <w:highlight w:val="none"/>
                <w:u w:val="single" w:color="auto"/>
              </w:rPr>
              <w:t xml:space="preserve">  </w:t>
            </w:r>
            <w:r>
              <w:rPr>
                <w:rFonts w:hint="eastAsia" w:ascii="宋体" w:hAnsi="宋体" w:eastAsia="宋体" w:cs="宋体"/>
                <w:color w:val="auto"/>
                <w:spacing w:val="-6"/>
                <w:highlight w:val="none"/>
                <w:u w:val="single" w:color="auto"/>
              </w:rPr>
              <w:t xml:space="preserve">5  </w:t>
            </w:r>
            <w:r>
              <w:rPr>
                <w:rFonts w:hint="eastAsia" w:ascii="宋体" w:hAnsi="宋体" w:eastAsia="宋体" w:cs="宋体"/>
                <w:color w:val="auto"/>
                <w:spacing w:val="-6"/>
                <w:highlight w:val="none"/>
              </w:rPr>
              <w:t>次雾炮</w:t>
            </w:r>
          </w:p>
        </w:tc>
      </w:tr>
      <w:tr w14:paraId="26C3E3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7" w:hRule="atLeast"/>
        </w:trPr>
        <w:tc>
          <w:tcPr>
            <w:tcW w:w="1247" w:type="dxa"/>
            <w:vAlign w:val="center"/>
          </w:tcPr>
          <w:p w14:paraId="6D71ED89">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二级道</w:t>
            </w:r>
            <w:r>
              <w:rPr>
                <w:rFonts w:hint="eastAsia" w:ascii="宋体" w:hAnsi="宋体" w:eastAsia="宋体" w:cs="宋体"/>
                <w:color w:val="auto"/>
                <w:highlight w:val="none"/>
              </w:rPr>
              <w:t>路</w:t>
            </w:r>
          </w:p>
        </w:tc>
        <w:tc>
          <w:tcPr>
            <w:tcW w:w="4017" w:type="dxa"/>
            <w:vAlign w:val="top"/>
          </w:tcPr>
          <w:p w14:paraId="0A7FA23A">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（1）主要路段应巡回保洁，路面基本见本色。</w:t>
            </w:r>
          </w:p>
          <w:p w14:paraId="20E7767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（2）大城市、特大城市的路面</w:t>
            </w:r>
            <w:r>
              <w:rPr>
                <w:rFonts w:hint="eastAsia" w:ascii="宋体" w:hAnsi="宋体" w:eastAsia="宋体" w:cs="宋体"/>
                <w:color w:val="auto"/>
                <w:spacing w:val="-12"/>
                <w:highlight w:val="none"/>
              </w:rPr>
              <w:t>冲洗，每周应不少于</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12"/>
                <w:highlight w:val="none"/>
              </w:rPr>
              <w:t>3</w:t>
            </w:r>
            <w:r>
              <w:rPr>
                <w:rFonts w:hint="eastAsia" w:ascii="宋体" w:hAnsi="宋体" w:eastAsia="宋体" w:cs="宋体"/>
                <w:color w:val="auto"/>
                <w:spacing w:val="-53"/>
                <w:highlight w:val="none"/>
              </w:rPr>
              <w:t xml:space="preserve"> </w:t>
            </w:r>
            <w:r>
              <w:rPr>
                <w:rFonts w:hint="eastAsia" w:ascii="宋体" w:hAnsi="宋体" w:eastAsia="宋体" w:cs="宋体"/>
                <w:color w:val="auto"/>
                <w:spacing w:val="-12"/>
                <w:highlight w:val="none"/>
              </w:rPr>
              <w:t>次，其它</w:t>
            </w:r>
            <w:r>
              <w:rPr>
                <w:rFonts w:hint="eastAsia" w:ascii="宋体" w:hAnsi="宋体" w:eastAsia="宋体" w:cs="宋体"/>
                <w:color w:val="auto"/>
                <w:spacing w:val="-6"/>
                <w:highlight w:val="none"/>
              </w:rPr>
              <w:t>城市每周应不少于</w:t>
            </w:r>
            <w:r>
              <w:rPr>
                <w:rFonts w:hint="eastAsia" w:ascii="宋体" w:hAnsi="宋体" w:eastAsia="宋体" w:cs="宋体"/>
                <w:color w:val="auto"/>
                <w:spacing w:val="-35"/>
                <w:highlight w:val="none"/>
              </w:rPr>
              <w:t xml:space="preserve"> </w:t>
            </w:r>
            <w:r>
              <w:rPr>
                <w:rFonts w:hint="eastAsia" w:ascii="宋体" w:hAnsi="宋体" w:eastAsia="宋体" w:cs="宋体"/>
                <w:color w:val="auto"/>
                <w:spacing w:val="-6"/>
                <w:highlight w:val="none"/>
              </w:rPr>
              <w:t>1</w:t>
            </w:r>
            <w:r>
              <w:rPr>
                <w:rFonts w:hint="eastAsia" w:ascii="宋体" w:hAnsi="宋体" w:eastAsia="宋体" w:cs="宋体"/>
                <w:color w:val="auto"/>
                <w:spacing w:val="-50"/>
                <w:highlight w:val="none"/>
              </w:rPr>
              <w:t xml:space="preserve"> </w:t>
            </w:r>
            <w:r>
              <w:rPr>
                <w:rFonts w:hint="eastAsia" w:ascii="宋体" w:hAnsi="宋体" w:eastAsia="宋体" w:cs="宋体"/>
                <w:color w:val="auto"/>
                <w:spacing w:val="-6"/>
                <w:highlight w:val="none"/>
              </w:rPr>
              <w:t>次。</w:t>
            </w:r>
          </w:p>
          <w:p w14:paraId="0D5B6B41">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17"/>
                <w:highlight w:val="none"/>
              </w:rPr>
              <w:t>（3）气温</w:t>
            </w:r>
            <w:r>
              <w:rPr>
                <w:rFonts w:hint="eastAsia" w:ascii="宋体" w:hAnsi="宋体" w:eastAsia="宋体" w:cs="宋体"/>
                <w:color w:val="auto"/>
                <w:spacing w:val="-44"/>
                <w:highlight w:val="none"/>
              </w:rPr>
              <w:t xml:space="preserve"> </w:t>
            </w:r>
            <w:r>
              <w:rPr>
                <w:rFonts w:hint="eastAsia" w:ascii="宋体" w:hAnsi="宋体" w:eastAsia="宋体" w:cs="宋体"/>
                <w:color w:val="auto"/>
                <w:spacing w:val="-17"/>
                <w:highlight w:val="none"/>
              </w:rPr>
              <w:t>30℃以上时，大城市、</w:t>
            </w:r>
            <w:r>
              <w:rPr>
                <w:rFonts w:hint="eastAsia" w:ascii="宋体" w:hAnsi="宋体" w:eastAsia="宋体" w:cs="宋体"/>
                <w:color w:val="auto"/>
                <w:spacing w:val="-1"/>
                <w:highlight w:val="none"/>
              </w:rPr>
              <w:t>特大城市平均每天洒水应不少</w:t>
            </w:r>
            <w:r>
              <w:rPr>
                <w:rFonts w:hint="eastAsia" w:ascii="宋体" w:hAnsi="宋体" w:eastAsia="宋体" w:cs="宋体"/>
                <w:color w:val="auto"/>
                <w:spacing w:val="-12"/>
                <w:highlight w:val="none"/>
              </w:rPr>
              <w:t>于</w:t>
            </w:r>
            <w:r>
              <w:rPr>
                <w:rFonts w:hint="eastAsia" w:ascii="宋体" w:hAnsi="宋体" w:eastAsia="宋体" w:cs="宋体"/>
                <w:color w:val="auto"/>
                <w:spacing w:val="-47"/>
                <w:highlight w:val="none"/>
              </w:rPr>
              <w:t xml:space="preserve"> </w:t>
            </w:r>
            <w:r>
              <w:rPr>
                <w:rFonts w:hint="eastAsia" w:ascii="宋体" w:hAnsi="宋体" w:eastAsia="宋体" w:cs="宋体"/>
                <w:color w:val="auto"/>
                <w:spacing w:val="-12"/>
                <w:highlight w:val="none"/>
              </w:rPr>
              <w:t>2</w:t>
            </w:r>
            <w:r>
              <w:rPr>
                <w:rFonts w:hint="eastAsia" w:ascii="宋体" w:hAnsi="宋体" w:eastAsia="宋体" w:cs="宋体"/>
                <w:color w:val="auto"/>
                <w:spacing w:val="-53"/>
                <w:highlight w:val="none"/>
              </w:rPr>
              <w:t xml:space="preserve"> </w:t>
            </w:r>
            <w:r>
              <w:rPr>
                <w:rFonts w:hint="eastAsia" w:ascii="宋体" w:hAnsi="宋体" w:eastAsia="宋体" w:cs="宋体"/>
                <w:color w:val="auto"/>
                <w:spacing w:val="-12"/>
                <w:highlight w:val="none"/>
              </w:rPr>
              <w:t>次，其它城市可按实际情况</w:t>
            </w:r>
            <w:r>
              <w:rPr>
                <w:rFonts w:hint="eastAsia" w:ascii="宋体" w:hAnsi="宋体" w:eastAsia="宋体" w:cs="宋体"/>
                <w:color w:val="auto"/>
                <w:spacing w:val="-4"/>
                <w:highlight w:val="none"/>
              </w:rPr>
              <w:t>决定。</w:t>
            </w:r>
          </w:p>
        </w:tc>
        <w:tc>
          <w:tcPr>
            <w:tcW w:w="3330" w:type="dxa"/>
            <w:vAlign w:val="top"/>
          </w:tcPr>
          <w:p w14:paraId="56AC895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sz w:val="21"/>
                <w:highlight w:val="none"/>
              </w:rPr>
            </w:pPr>
          </w:p>
          <w:p w14:paraId="7725149A">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sz w:val="21"/>
                <w:highlight w:val="none"/>
              </w:rPr>
            </w:pPr>
          </w:p>
          <w:p w14:paraId="279C80AD">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每日</w:t>
            </w:r>
            <w:r>
              <w:rPr>
                <w:rFonts w:hint="eastAsia" w:ascii="宋体" w:hAnsi="宋体" w:eastAsia="宋体" w:cs="宋体"/>
                <w:color w:val="auto"/>
                <w:spacing w:val="4"/>
                <w:highlight w:val="none"/>
                <w:u w:val="single" w:color="auto"/>
              </w:rPr>
              <w:t xml:space="preserve">   不少于2</w:t>
            </w:r>
            <w:r>
              <w:rPr>
                <w:rFonts w:hint="eastAsia" w:ascii="宋体" w:hAnsi="宋体" w:eastAsia="宋体" w:cs="宋体"/>
                <w:color w:val="auto"/>
                <w:spacing w:val="46"/>
                <w:highlight w:val="none"/>
                <w:u w:val="single" w:color="auto"/>
              </w:rPr>
              <w:t xml:space="preserve">   </w:t>
            </w:r>
            <w:r>
              <w:rPr>
                <w:rFonts w:hint="eastAsia" w:ascii="宋体" w:hAnsi="宋体" w:eastAsia="宋体" w:cs="宋体"/>
                <w:color w:val="auto"/>
                <w:spacing w:val="-120"/>
                <w:highlight w:val="none"/>
              </w:rPr>
              <w:t xml:space="preserve"> </w:t>
            </w:r>
            <w:r>
              <w:rPr>
                <w:rFonts w:hint="eastAsia" w:ascii="宋体" w:hAnsi="宋体" w:eastAsia="宋体" w:cs="宋体"/>
                <w:color w:val="auto"/>
                <w:spacing w:val="4"/>
                <w:highlight w:val="none"/>
              </w:rPr>
              <w:t>次</w:t>
            </w:r>
            <w:r>
              <w:rPr>
                <w:rFonts w:hint="eastAsia" w:ascii="宋体" w:hAnsi="宋体" w:eastAsia="宋体" w:cs="宋体"/>
                <w:color w:val="auto"/>
                <w:spacing w:val="-3"/>
                <w:highlight w:val="none"/>
              </w:rPr>
              <w:t>机扫，</w:t>
            </w:r>
          </w:p>
          <w:p w14:paraId="577E078E">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每周</w:t>
            </w:r>
            <w:r>
              <w:rPr>
                <w:rFonts w:hint="eastAsia" w:ascii="宋体" w:hAnsi="宋体" w:eastAsia="宋体" w:cs="宋体"/>
                <w:color w:val="auto"/>
                <w:spacing w:val="6"/>
                <w:highlight w:val="none"/>
                <w:u w:val="single" w:color="auto"/>
              </w:rPr>
              <w:t xml:space="preserve">   </w:t>
            </w:r>
            <w:r>
              <w:rPr>
                <w:rFonts w:hint="eastAsia" w:ascii="宋体" w:hAnsi="宋体" w:eastAsia="宋体" w:cs="宋体"/>
                <w:color w:val="auto"/>
                <w:spacing w:val="-6"/>
                <w:highlight w:val="none"/>
                <w:u w:val="single" w:color="auto"/>
              </w:rPr>
              <w:t>不少于</w:t>
            </w:r>
            <w:r>
              <w:rPr>
                <w:rFonts w:hint="eastAsia" w:ascii="宋体" w:hAnsi="宋体" w:eastAsia="宋体" w:cs="宋体"/>
                <w:color w:val="auto"/>
                <w:spacing w:val="-53"/>
                <w:highlight w:val="none"/>
                <w:u w:val="single" w:color="auto"/>
              </w:rPr>
              <w:t xml:space="preserve"> </w:t>
            </w:r>
            <w:r>
              <w:rPr>
                <w:rFonts w:hint="eastAsia" w:ascii="宋体" w:hAnsi="宋体" w:eastAsia="宋体" w:cs="宋体"/>
                <w:color w:val="auto"/>
                <w:spacing w:val="-6"/>
                <w:highlight w:val="none"/>
                <w:u w:val="single" w:color="auto"/>
              </w:rPr>
              <w:t xml:space="preserve">3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6"/>
                <w:highlight w:val="none"/>
              </w:rPr>
              <w:t>次</w:t>
            </w:r>
            <w:r>
              <w:rPr>
                <w:rFonts w:hint="eastAsia" w:ascii="宋体" w:hAnsi="宋体" w:eastAsia="宋体" w:cs="宋体"/>
                <w:color w:val="auto"/>
                <w:spacing w:val="-4"/>
                <w:highlight w:val="none"/>
              </w:rPr>
              <w:t>冲刷，</w:t>
            </w:r>
          </w:p>
          <w:p w14:paraId="3E9ED038">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每日</w:t>
            </w:r>
            <w:r>
              <w:rPr>
                <w:rFonts w:hint="eastAsia" w:ascii="宋体" w:hAnsi="宋体" w:eastAsia="宋体" w:cs="宋体"/>
                <w:color w:val="auto"/>
                <w:spacing w:val="12"/>
                <w:highlight w:val="none"/>
                <w:u w:val="single" w:color="auto"/>
              </w:rPr>
              <w:t xml:space="preserve">  </w:t>
            </w:r>
            <w:r>
              <w:rPr>
                <w:rFonts w:hint="eastAsia" w:ascii="宋体" w:hAnsi="宋体" w:eastAsia="宋体" w:cs="宋体"/>
                <w:color w:val="auto"/>
                <w:spacing w:val="-6"/>
                <w:highlight w:val="none"/>
                <w:u w:val="single" w:color="auto"/>
              </w:rPr>
              <w:t xml:space="preserve">5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6"/>
                <w:highlight w:val="none"/>
              </w:rPr>
              <w:t>次洒水，</w:t>
            </w:r>
            <w:r>
              <w:rPr>
                <w:rFonts w:hint="eastAsia" w:ascii="宋体" w:hAnsi="宋体" w:eastAsia="宋体" w:cs="宋体"/>
                <w:color w:val="auto"/>
                <w:spacing w:val="8"/>
                <w:highlight w:val="none"/>
                <w:u w:val="single" w:color="auto"/>
              </w:rPr>
              <w:t xml:space="preserve">  </w:t>
            </w:r>
            <w:r>
              <w:rPr>
                <w:rFonts w:hint="eastAsia" w:ascii="宋体" w:hAnsi="宋体" w:eastAsia="宋体" w:cs="宋体"/>
                <w:color w:val="auto"/>
                <w:spacing w:val="-6"/>
                <w:highlight w:val="none"/>
                <w:u w:val="single" w:color="auto"/>
              </w:rPr>
              <w:t xml:space="preserve">5  </w:t>
            </w:r>
            <w:r>
              <w:rPr>
                <w:rFonts w:hint="eastAsia" w:ascii="宋体" w:hAnsi="宋体" w:eastAsia="宋体" w:cs="宋体"/>
                <w:color w:val="auto"/>
                <w:spacing w:val="-6"/>
                <w:highlight w:val="none"/>
              </w:rPr>
              <w:t>次雾炮</w:t>
            </w:r>
          </w:p>
        </w:tc>
      </w:tr>
      <w:tr w14:paraId="04B19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1247" w:type="dxa"/>
            <w:vAlign w:val="top"/>
          </w:tcPr>
          <w:p w14:paraId="73ED62B9">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1127F5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524D2C96">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三级道</w:t>
            </w:r>
            <w:r>
              <w:rPr>
                <w:rFonts w:hint="eastAsia" w:ascii="宋体" w:hAnsi="宋体" w:eastAsia="宋体" w:cs="宋体"/>
                <w:color w:val="auto"/>
                <w:highlight w:val="none"/>
              </w:rPr>
              <w:t>路</w:t>
            </w:r>
          </w:p>
        </w:tc>
        <w:tc>
          <w:tcPr>
            <w:tcW w:w="4017" w:type="dxa"/>
            <w:vAlign w:val="top"/>
          </w:tcPr>
          <w:p w14:paraId="07D75AC6">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（1）应定时保洁，各地可按实</w:t>
            </w:r>
            <w:r>
              <w:rPr>
                <w:rFonts w:hint="eastAsia" w:ascii="宋体" w:hAnsi="宋体" w:eastAsia="宋体" w:cs="宋体"/>
                <w:color w:val="auto"/>
                <w:spacing w:val="-3"/>
                <w:highlight w:val="none"/>
              </w:rPr>
              <w:t>际情况决定路面是否需要冲洗</w:t>
            </w:r>
            <w:r>
              <w:rPr>
                <w:rFonts w:hint="eastAsia" w:ascii="宋体" w:hAnsi="宋体" w:eastAsia="宋体" w:cs="宋体"/>
                <w:color w:val="auto"/>
                <w:spacing w:val="-5"/>
                <w:highlight w:val="none"/>
              </w:rPr>
              <w:t>以及冲洗次数。</w:t>
            </w:r>
          </w:p>
          <w:p w14:paraId="039DC05C">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17"/>
                <w:highlight w:val="none"/>
              </w:rPr>
              <w:t>（2）气温</w:t>
            </w:r>
            <w:r>
              <w:rPr>
                <w:rFonts w:hint="eastAsia" w:ascii="宋体" w:hAnsi="宋体" w:eastAsia="宋体" w:cs="宋体"/>
                <w:color w:val="auto"/>
                <w:spacing w:val="-44"/>
                <w:highlight w:val="none"/>
              </w:rPr>
              <w:t xml:space="preserve"> </w:t>
            </w:r>
            <w:r>
              <w:rPr>
                <w:rFonts w:hint="eastAsia" w:ascii="宋体" w:hAnsi="宋体" w:eastAsia="宋体" w:cs="宋体"/>
                <w:color w:val="auto"/>
                <w:spacing w:val="-17"/>
                <w:highlight w:val="none"/>
              </w:rPr>
              <w:t>30℃以上时，大城市、</w:t>
            </w:r>
            <w:r>
              <w:rPr>
                <w:rFonts w:hint="eastAsia" w:ascii="宋体" w:hAnsi="宋体" w:eastAsia="宋体" w:cs="宋体"/>
                <w:color w:val="auto"/>
                <w:spacing w:val="-4"/>
                <w:highlight w:val="none"/>
              </w:rPr>
              <w:t>特大城市每天洒水应不少于</w:t>
            </w:r>
            <w:r>
              <w:rPr>
                <w:rFonts w:hint="eastAsia" w:ascii="宋体" w:hAnsi="宋体" w:eastAsia="宋体" w:cs="宋体"/>
                <w:color w:val="auto"/>
                <w:spacing w:val="-30"/>
                <w:highlight w:val="none"/>
              </w:rPr>
              <w:t xml:space="preserve"> </w:t>
            </w:r>
            <w:r>
              <w:rPr>
                <w:rFonts w:hint="eastAsia" w:ascii="宋体" w:hAnsi="宋体" w:eastAsia="宋体" w:cs="宋体"/>
                <w:color w:val="auto"/>
                <w:spacing w:val="-4"/>
                <w:highlight w:val="none"/>
              </w:rPr>
              <w:t>1</w:t>
            </w:r>
            <w:r>
              <w:rPr>
                <w:rFonts w:hint="eastAsia" w:ascii="宋体" w:hAnsi="宋体" w:eastAsia="宋体" w:cs="宋体"/>
                <w:color w:val="auto"/>
                <w:highlight w:val="none"/>
              </w:rPr>
              <w:t xml:space="preserve"> </w:t>
            </w:r>
            <w:r>
              <w:rPr>
                <w:rFonts w:hint="eastAsia" w:ascii="宋体" w:hAnsi="宋体" w:eastAsia="宋体" w:cs="宋体"/>
                <w:color w:val="auto"/>
                <w:spacing w:val="-10"/>
                <w:highlight w:val="none"/>
              </w:rPr>
              <w:t>次，其它城市可根据实际情况决</w:t>
            </w:r>
            <w:r>
              <w:rPr>
                <w:rFonts w:hint="eastAsia" w:ascii="宋体" w:hAnsi="宋体" w:eastAsia="宋体" w:cs="宋体"/>
                <w:color w:val="auto"/>
                <w:spacing w:val="-5"/>
                <w:highlight w:val="none"/>
              </w:rPr>
              <w:t>定。</w:t>
            </w:r>
          </w:p>
        </w:tc>
        <w:tc>
          <w:tcPr>
            <w:tcW w:w="3330" w:type="dxa"/>
            <w:vAlign w:val="top"/>
          </w:tcPr>
          <w:p w14:paraId="761D51DB">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每日</w:t>
            </w:r>
            <w:r>
              <w:rPr>
                <w:rFonts w:hint="eastAsia" w:ascii="宋体" w:hAnsi="宋体" w:eastAsia="宋体" w:cs="宋体"/>
                <w:color w:val="auto"/>
                <w:spacing w:val="4"/>
                <w:highlight w:val="none"/>
                <w:u w:val="single" w:color="auto"/>
              </w:rPr>
              <w:t xml:space="preserve">  不少于2    </w:t>
            </w:r>
            <w:r>
              <w:rPr>
                <w:rFonts w:hint="eastAsia" w:ascii="宋体" w:hAnsi="宋体" w:eastAsia="宋体" w:cs="宋体"/>
                <w:color w:val="auto"/>
                <w:spacing w:val="4"/>
                <w:highlight w:val="none"/>
              </w:rPr>
              <w:t xml:space="preserve"> 次</w:t>
            </w:r>
            <w:r>
              <w:rPr>
                <w:rFonts w:hint="eastAsia" w:ascii="宋体" w:hAnsi="宋体" w:eastAsia="宋体" w:cs="宋体"/>
                <w:color w:val="auto"/>
                <w:spacing w:val="-3"/>
                <w:highlight w:val="none"/>
              </w:rPr>
              <w:t>机扫，</w:t>
            </w:r>
          </w:p>
          <w:p w14:paraId="32B6B82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每周</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7"/>
                <w:highlight w:val="none"/>
                <w:u w:val="single" w:color="auto"/>
              </w:rPr>
              <w:t>不少于</w:t>
            </w:r>
            <w:r>
              <w:rPr>
                <w:rFonts w:hint="eastAsia" w:ascii="宋体" w:hAnsi="宋体" w:eastAsia="宋体" w:cs="宋体"/>
                <w:color w:val="auto"/>
                <w:spacing w:val="-37"/>
                <w:highlight w:val="none"/>
                <w:u w:val="single" w:color="auto"/>
              </w:rPr>
              <w:t xml:space="preserve"> </w:t>
            </w:r>
            <w:r>
              <w:rPr>
                <w:rFonts w:hint="eastAsia" w:ascii="宋体" w:hAnsi="宋体" w:eastAsia="宋体" w:cs="宋体"/>
                <w:color w:val="auto"/>
                <w:spacing w:val="-7"/>
                <w:highlight w:val="none"/>
                <w:u w:val="single" w:color="auto"/>
              </w:rPr>
              <w:t xml:space="preserve">1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7"/>
                <w:highlight w:val="none"/>
              </w:rPr>
              <w:t>次冲</w:t>
            </w:r>
            <w:r>
              <w:rPr>
                <w:rFonts w:hint="eastAsia" w:ascii="宋体" w:hAnsi="宋体" w:eastAsia="宋体" w:cs="宋体"/>
                <w:color w:val="auto"/>
                <w:spacing w:val="-5"/>
                <w:highlight w:val="none"/>
              </w:rPr>
              <w:t>刷，</w:t>
            </w:r>
          </w:p>
          <w:p w14:paraId="2E716011">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每日</w:t>
            </w:r>
            <w:r>
              <w:rPr>
                <w:rFonts w:hint="eastAsia" w:ascii="宋体" w:hAnsi="宋体" w:eastAsia="宋体" w:cs="宋体"/>
                <w:color w:val="auto"/>
                <w:spacing w:val="12"/>
                <w:highlight w:val="none"/>
                <w:u w:val="single" w:color="auto"/>
              </w:rPr>
              <w:t xml:space="preserve">  </w:t>
            </w:r>
            <w:r>
              <w:rPr>
                <w:rFonts w:hint="eastAsia" w:ascii="宋体" w:hAnsi="宋体" w:eastAsia="宋体" w:cs="宋体"/>
                <w:color w:val="auto"/>
                <w:spacing w:val="-6"/>
                <w:highlight w:val="none"/>
                <w:u w:val="single" w:color="auto"/>
              </w:rPr>
              <w:t xml:space="preserve">3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6"/>
                <w:highlight w:val="none"/>
              </w:rPr>
              <w:t>次洒水，</w:t>
            </w:r>
            <w:r>
              <w:rPr>
                <w:rFonts w:hint="eastAsia" w:ascii="宋体" w:hAnsi="宋体" w:eastAsia="宋体" w:cs="宋体"/>
                <w:color w:val="auto"/>
                <w:spacing w:val="8"/>
                <w:highlight w:val="none"/>
                <w:u w:val="single" w:color="auto"/>
              </w:rPr>
              <w:t xml:space="preserve">  </w:t>
            </w:r>
            <w:r>
              <w:rPr>
                <w:rFonts w:hint="eastAsia" w:ascii="宋体" w:hAnsi="宋体" w:eastAsia="宋体" w:cs="宋体"/>
                <w:color w:val="auto"/>
                <w:spacing w:val="-6"/>
                <w:highlight w:val="none"/>
                <w:u w:val="single" w:color="auto"/>
              </w:rPr>
              <w:t xml:space="preserve">3  </w:t>
            </w:r>
            <w:r>
              <w:rPr>
                <w:rFonts w:hint="eastAsia" w:ascii="宋体" w:hAnsi="宋体" w:eastAsia="宋体" w:cs="宋体"/>
                <w:color w:val="auto"/>
                <w:spacing w:val="-6"/>
                <w:highlight w:val="none"/>
              </w:rPr>
              <w:t>次雾炮</w:t>
            </w:r>
          </w:p>
        </w:tc>
      </w:tr>
      <w:tr w14:paraId="36E64E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1247" w:type="dxa"/>
            <w:vAlign w:val="top"/>
          </w:tcPr>
          <w:p w14:paraId="58733E4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43B40445">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3"/>
                <w:highlight w:val="none"/>
              </w:rPr>
              <w:t>四级道</w:t>
            </w:r>
            <w:r>
              <w:rPr>
                <w:rFonts w:hint="eastAsia" w:ascii="宋体" w:hAnsi="宋体" w:eastAsia="宋体" w:cs="宋体"/>
                <w:color w:val="auto"/>
                <w:highlight w:val="none"/>
              </w:rPr>
              <w:t>路</w:t>
            </w:r>
          </w:p>
        </w:tc>
        <w:tc>
          <w:tcPr>
            <w:tcW w:w="4017" w:type="dxa"/>
            <w:vAlign w:val="top"/>
          </w:tcPr>
          <w:p w14:paraId="0E047D8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sz w:val="21"/>
                <w:highlight w:val="none"/>
              </w:rPr>
            </w:pPr>
          </w:p>
          <w:p w14:paraId="756A8CF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sz w:val="21"/>
                <w:highlight w:val="none"/>
              </w:rPr>
            </w:pPr>
          </w:p>
          <w:p w14:paraId="6BA750BD">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（1）每天应清扫</w:t>
            </w:r>
            <w:r>
              <w:rPr>
                <w:rFonts w:hint="eastAsia" w:ascii="宋体" w:hAnsi="宋体" w:eastAsia="宋体" w:cs="宋体"/>
                <w:color w:val="auto"/>
                <w:spacing w:val="-30"/>
                <w:highlight w:val="none"/>
              </w:rPr>
              <w:t xml:space="preserve"> </w:t>
            </w:r>
            <w:r>
              <w:rPr>
                <w:rFonts w:hint="eastAsia" w:ascii="宋体" w:hAnsi="宋体" w:eastAsia="宋体" w:cs="宋体"/>
                <w:color w:val="auto"/>
                <w:spacing w:val="-6"/>
                <w:highlight w:val="none"/>
              </w:rPr>
              <w:t>1～2</w:t>
            </w:r>
            <w:r>
              <w:rPr>
                <w:rFonts w:hint="eastAsia" w:ascii="宋体" w:hAnsi="宋体" w:eastAsia="宋体" w:cs="宋体"/>
                <w:color w:val="auto"/>
                <w:spacing w:val="-51"/>
                <w:highlight w:val="none"/>
              </w:rPr>
              <w:t xml:space="preserve"> </w:t>
            </w:r>
            <w:r>
              <w:rPr>
                <w:rFonts w:hint="eastAsia" w:ascii="宋体" w:hAnsi="宋体" w:eastAsia="宋体" w:cs="宋体"/>
                <w:color w:val="auto"/>
                <w:spacing w:val="-6"/>
                <w:highlight w:val="none"/>
              </w:rPr>
              <w:t>次。</w:t>
            </w:r>
          </w:p>
          <w:p w14:paraId="63A3257D">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both"/>
              <w:textAlignment w:val="auto"/>
              <w:rPr>
                <w:rFonts w:hint="eastAsia" w:ascii="宋体" w:hAnsi="宋体" w:eastAsia="宋体" w:cs="宋体"/>
                <w:color w:val="auto"/>
                <w:highlight w:val="none"/>
              </w:rPr>
            </w:pPr>
            <w:r>
              <w:rPr>
                <w:rFonts w:hint="eastAsia" w:ascii="宋体" w:hAnsi="宋体" w:eastAsia="宋体" w:cs="宋体"/>
                <w:color w:val="auto"/>
                <w:spacing w:val="-12"/>
                <w:highlight w:val="none"/>
              </w:rPr>
              <w:t>（2）部分路段应实行定时保洁。</w:t>
            </w:r>
          </w:p>
        </w:tc>
        <w:tc>
          <w:tcPr>
            <w:tcW w:w="3330" w:type="dxa"/>
            <w:vAlign w:val="top"/>
          </w:tcPr>
          <w:p w14:paraId="68299D84">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每日</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7"/>
                <w:highlight w:val="none"/>
                <w:u w:val="single" w:color="auto"/>
              </w:rPr>
              <w:t>不少于</w:t>
            </w:r>
            <w:r>
              <w:rPr>
                <w:rFonts w:hint="eastAsia" w:ascii="宋体" w:hAnsi="宋体" w:eastAsia="宋体" w:cs="宋体"/>
                <w:color w:val="auto"/>
                <w:spacing w:val="-37"/>
                <w:highlight w:val="none"/>
                <w:u w:val="single" w:color="auto"/>
              </w:rPr>
              <w:t xml:space="preserve"> </w:t>
            </w:r>
            <w:r>
              <w:rPr>
                <w:rFonts w:hint="eastAsia" w:ascii="宋体" w:hAnsi="宋体" w:eastAsia="宋体" w:cs="宋体"/>
                <w:color w:val="auto"/>
                <w:spacing w:val="-7"/>
                <w:highlight w:val="none"/>
                <w:u w:val="single" w:color="auto"/>
              </w:rPr>
              <w:t xml:space="preserve">1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7"/>
                <w:highlight w:val="none"/>
              </w:rPr>
              <w:t>次机扫，</w:t>
            </w:r>
          </w:p>
          <w:p w14:paraId="19B94F32">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每周</w:t>
            </w:r>
            <w:r>
              <w:rPr>
                <w:rFonts w:hint="eastAsia" w:ascii="宋体" w:hAnsi="宋体" w:eastAsia="宋体" w:cs="宋体"/>
                <w:color w:val="auto"/>
                <w:spacing w:val="5"/>
                <w:highlight w:val="none"/>
                <w:u w:val="single" w:color="auto"/>
              </w:rPr>
              <w:t xml:space="preserve">   </w:t>
            </w:r>
            <w:r>
              <w:rPr>
                <w:rFonts w:hint="eastAsia" w:ascii="宋体" w:hAnsi="宋体" w:eastAsia="宋体" w:cs="宋体"/>
                <w:color w:val="auto"/>
                <w:spacing w:val="-7"/>
                <w:highlight w:val="none"/>
                <w:u w:val="single" w:color="auto"/>
              </w:rPr>
              <w:t>不少于</w:t>
            </w:r>
            <w:r>
              <w:rPr>
                <w:rFonts w:hint="eastAsia" w:ascii="宋体" w:hAnsi="宋体" w:eastAsia="宋体" w:cs="宋体"/>
                <w:color w:val="auto"/>
                <w:spacing w:val="-37"/>
                <w:highlight w:val="none"/>
                <w:u w:val="single" w:color="auto"/>
              </w:rPr>
              <w:t xml:space="preserve"> </w:t>
            </w:r>
            <w:r>
              <w:rPr>
                <w:rFonts w:hint="eastAsia" w:ascii="宋体" w:hAnsi="宋体" w:eastAsia="宋体" w:cs="宋体"/>
                <w:color w:val="auto"/>
                <w:spacing w:val="-7"/>
                <w:highlight w:val="none"/>
                <w:u w:val="single" w:color="auto"/>
              </w:rPr>
              <w:t xml:space="preserve">1   </w:t>
            </w:r>
            <w:r>
              <w:rPr>
                <w:rFonts w:hint="eastAsia" w:ascii="宋体" w:hAnsi="宋体" w:eastAsia="宋体" w:cs="宋体"/>
                <w:color w:val="auto"/>
                <w:spacing w:val="-121"/>
                <w:highlight w:val="none"/>
              </w:rPr>
              <w:t xml:space="preserve"> </w:t>
            </w:r>
            <w:r>
              <w:rPr>
                <w:rFonts w:hint="eastAsia" w:ascii="宋体" w:hAnsi="宋体" w:eastAsia="宋体" w:cs="宋体"/>
                <w:color w:val="auto"/>
                <w:spacing w:val="-7"/>
                <w:highlight w:val="none"/>
              </w:rPr>
              <w:t>次冲</w:t>
            </w:r>
            <w:r>
              <w:rPr>
                <w:rFonts w:hint="eastAsia" w:ascii="宋体" w:hAnsi="宋体" w:eastAsia="宋体" w:cs="宋体"/>
                <w:color w:val="auto"/>
                <w:spacing w:val="-5"/>
                <w:highlight w:val="none"/>
              </w:rPr>
              <w:t>刷，</w:t>
            </w:r>
          </w:p>
          <w:p w14:paraId="1B63AE31">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spacing w:val="-10"/>
                <w:highlight w:val="none"/>
              </w:rPr>
              <w:t>每日</w:t>
            </w:r>
            <w:r>
              <w:rPr>
                <w:rFonts w:hint="eastAsia" w:ascii="宋体" w:hAnsi="宋体" w:eastAsia="宋体" w:cs="宋体"/>
                <w:color w:val="auto"/>
                <w:spacing w:val="19"/>
                <w:highlight w:val="none"/>
                <w:u w:val="single" w:color="auto"/>
              </w:rPr>
              <w:t xml:space="preserve">  </w:t>
            </w:r>
            <w:r>
              <w:rPr>
                <w:rFonts w:hint="eastAsia" w:ascii="宋体" w:hAnsi="宋体" w:eastAsia="宋体" w:cs="宋体"/>
                <w:color w:val="auto"/>
                <w:spacing w:val="-10"/>
                <w:highlight w:val="none"/>
                <w:u w:val="single" w:color="auto"/>
              </w:rPr>
              <w:t xml:space="preserve">1  </w:t>
            </w:r>
            <w:r>
              <w:rPr>
                <w:rFonts w:hint="eastAsia" w:ascii="宋体" w:hAnsi="宋体" w:eastAsia="宋体" w:cs="宋体"/>
                <w:color w:val="auto"/>
                <w:spacing w:val="-122"/>
                <w:highlight w:val="none"/>
              </w:rPr>
              <w:t xml:space="preserve"> </w:t>
            </w:r>
            <w:r>
              <w:rPr>
                <w:rFonts w:hint="eastAsia" w:ascii="宋体" w:hAnsi="宋体" w:eastAsia="宋体" w:cs="宋体"/>
                <w:color w:val="auto"/>
                <w:spacing w:val="-10"/>
                <w:highlight w:val="none"/>
              </w:rPr>
              <w:t>次洒水，</w:t>
            </w:r>
            <w:r>
              <w:rPr>
                <w:rFonts w:hint="eastAsia" w:ascii="宋体" w:hAnsi="宋体" w:eastAsia="宋体" w:cs="宋体"/>
                <w:color w:val="auto"/>
                <w:spacing w:val="15"/>
                <w:highlight w:val="none"/>
                <w:u w:val="single" w:color="auto"/>
              </w:rPr>
              <w:t xml:space="preserve">  </w:t>
            </w:r>
            <w:r>
              <w:rPr>
                <w:rFonts w:hint="eastAsia" w:ascii="宋体" w:hAnsi="宋体" w:eastAsia="宋体" w:cs="宋体"/>
                <w:color w:val="auto"/>
                <w:spacing w:val="-10"/>
                <w:highlight w:val="none"/>
                <w:u w:val="single" w:color="auto"/>
              </w:rPr>
              <w:t>1</w:t>
            </w:r>
            <w:r>
              <w:rPr>
                <w:rFonts w:hint="eastAsia" w:ascii="宋体" w:hAnsi="宋体" w:eastAsia="宋体" w:cs="宋体"/>
                <w:color w:val="auto"/>
                <w:spacing w:val="141"/>
                <w:highlight w:val="none"/>
                <w:u w:val="single" w:color="auto"/>
              </w:rPr>
              <w:t xml:space="preserve"> </w:t>
            </w:r>
            <w:r>
              <w:rPr>
                <w:rFonts w:hint="eastAsia" w:ascii="宋体" w:hAnsi="宋体" w:eastAsia="宋体" w:cs="宋体"/>
                <w:color w:val="auto"/>
                <w:spacing w:val="-6"/>
                <w:highlight w:val="none"/>
              </w:rPr>
              <w:t>次雾炮</w:t>
            </w:r>
          </w:p>
        </w:tc>
      </w:tr>
    </w:tbl>
    <w:p w14:paraId="79750BD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注：洗扫冲洗带机扫，机扫只是机械化清扫，不冲洗路面。</w:t>
      </w:r>
    </w:p>
    <w:p w14:paraId="03008F5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4）道路两侧主路面、人行道保洁</w:t>
      </w:r>
    </w:p>
    <w:p w14:paraId="74F1EB5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mc:AlternateContent>
          <mc:Choice Requires="wps">
            <w:drawing>
              <wp:anchor distT="0" distB="0" distL="114300" distR="114300" simplePos="0" relativeHeight="251668480"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02" name="任意多边形 102"/>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68480;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wehj2gAAAAwBAAAP&#10;AAAAAAAAAAEAIAAAACIAAABkcnMvZG93bnJldi54bWxQSwECFAAUAAAACACHTuJAKG/y6xYCAAB/&#10;BAAADgAAAAAAAAABACAAAAApAQAAZHJzL2Uyb0RvYy54bWxQSwUGAAAAAAYABgBZAQAAsQUAAAAA&#10;" path="m0,0l8374,0,8374,14,0,14,0,0xe">
                <v:fill on="t" focussize="0,0"/>
                <v:stroke on="f"/>
                <v:imagedata o:title=""/>
                <o:lock v:ext="edit" aspectratio="f"/>
              </v:shape>
            </w:pict>
          </mc:Fallback>
        </mc:AlternateContent>
      </w:r>
      <w:r>
        <w:rPr>
          <w:rFonts w:hint="eastAsia" w:ascii="宋体" w:hAnsi="宋体" w:eastAsia="宋体" w:cs="宋体"/>
          <w:snapToGrid w:val="0"/>
          <w:color w:val="auto"/>
          <w:kern w:val="2"/>
          <w:sz w:val="24"/>
          <w:szCs w:val="24"/>
          <w:highlight w:val="none"/>
          <w:lang w:val="en-US" w:eastAsia="zh-CN" w:bidi="ar-SA"/>
        </w:rPr>
        <w:t>①道路两侧主路面、人行道以捡拾保洁为主，每日普扫一遍。</w:t>
      </w:r>
    </w:p>
    <w:p w14:paraId="56F881C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②达到“六无”标准，即：无白色污染、无乱丢垃圾、无砖石瓦块、无积存枯枝落叶、无粪便、无积水污泥。</w:t>
      </w:r>
    </w:p>
    <w:p w14:paraId="5367E30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5）果皮箱保洁维护</w:t>
      </w:r>
    </w:p>
    <w:p w14:paraId="0844DDA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①每日对果皮箱擦洗清掏两遍, 垃圾量大时随满随掏，保持内外整洁。</w:t>
      </w:r>
    </w:p>
    <w:p w14:paraId="4F0C818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②果皮箱应按照相关标准配齐并保持功能良好，做到无破损、无锈蚀、无丢失内胆、底座牢固、外形完好，发现破损丢失时应在两个工作日内完成维修、补充或更换。</w:t>
      </w:r>
    </w:p>
    <w:p w14:paraId="484D367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③专人负责对果皮箱进行消毒，每周至少消杀一次。疫情期间，按采购人或有关部门规定消杀。</w:t>
      </w:r>
    </w:p>
    <w:p w14:paraId="58B7622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6）护栏清洗</w:t>
      </w:r>
    </w:p>
    <w:p w14:paraId="7E0840D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每周对道路护栏清洗作业应当在保障道路安全的前提下安排人员及护栏清洗车辆，对道路停车站点、路障墩柱、扶手等道路隔离和公共服务设施清洗、擦拭至少一次，无明显灰尘污物。</w:t>
      </w:r>
    </w:p>
    <w:p w14:paraId="64A1F54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7）立面保洁</w:t>
      </w:r>
    </w:p>
    <w:p w14:paraId="32D8C47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①道路各类公共设施（包含但不限于交通护栏、公交站亭、路灯、指示牌、交通 信号灯等）及两侧建筑物立面 2.2 米以下部位，应定期擦洗保洁，停车站亭每日擦拭，做到干净整洁，无明显灰尘污物、无乱涂乱画和各类小广告。</w:t>
      </w:r>
    </w:p>
    <w:p w14:paraId="08DBB36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②发现乱涂乱画和各类小广告时，各级道路应在 30 分钟内彻底清除。对难以清除的乱喷涂采取粉饰覆盖处理时，需采用与墙体（箱体、柱体等）颜色一致或相近、无明显色差的涂料进行整齐粉饰，覆盖彻底。</w:t>
      </w:r>
    </w:p>
    <w:p w14:paraId="3589C2C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8）马路市场保洁及沿路垃圾收集</w:t>
      </w:r>
    </w:p>
    <w:p w14:paraId="47042D1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①沿路摊点的清扫保洁必须在摊点撤离后半小时内清理完毕，如有污水油渍的须及时刷洗干净。②商铺摊点产生的垃圾及保洁收集的垃圾须由专人收集，及时密闭运往指定地点。③严禁焚烧各类垃圾、落叶，</w:t>
      </w:r>
      <w:r>
        <w:rPr>
          <w:rFonts w:hint="eastAsia" w:ascii="宋体" w:hAnsi="宋体" w:eastAsia="宋体" w:cs="宋体"/>
          <w:snapToGrid w:val="0"/>
          <w:color w:val="auto"/>
          <w:kern w:val="2"/>
          <w:sz w:val="24"/>
          <w:szCs w:val="24"/>
          <w:highlight w:val="none"/>
          <w:lang w:val="en-US" w:eastAsia="zh-CN" w:bidi="ar-SA"/>
        </w:rPr>
        <mc:AlternateContent>
          <mc:Choice Requires="wps">
            <w:drawing>
              <wp:anchor distT="0" distB="0" distL="114300" distR="114300" simplePos="0" relativeHeight="251669504"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5" name="任意多边形 85"/>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69504;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cHoY9oAAAAMAQAADwAA&#10;AAAAAAABACAAAAAiAAAAZHJzL2Rvd25yZXYueG1sUEsBAhQAFAAAAAgAh07iQAKs33wUAgAAfQQA&#10;AA4AAAAAAAAAAQAgAAAAKQEAAGRycy9lMm9Eb2MueG1sUEsFBgAAAAAGAAYAWQEAAK8FAAAAAA==&#10;" path="m0,0l8374,0,8374,14,0,14,0,0xe">
                <v:fill on="t" focussize="0,0"/>
                <v:stroke on="f"/>
                <v:imagedata o:title=""/>
                <o:lock v:ext="edit" aspectratio="f"/>
              </v:shape>
            </w:pict>
          </mc:Fallback>
        </mc:AlternateContent>
      </w:r>
      <w:r>
        <w:rPr>
          <w:rFonts w:hint="eastAsia" w:ascii="宋体" w:hAnsi="宋体" w:eastAsia="宋体" w:cs="宋体"/>
          <w:snapToGrid w:val="0"/>
          <w:color w:val="auto"/>
          <w:kern w:val="2"/>
          <w:sz w:val="24"/>
          <w:szCs w:val="24"/>
          <w:highlight w:val="none"/>
          <w:lang w:val="en-US" w:eastAsia="zh-CN" w:bidi="ar-SA"/>
        </w:rPr>
        <w:t>严禁将各类垃圾、废弃物倒入绿化带或下水井等设施内，严禁将生活垃圾、建筑垃圾混装。</w:t>
      </w:r>
    </w:p>
    <w:p w14:paraId="456164F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9）道路遗撒保洁</w:t>
      </w:r>
    </w:p>
    <w:p w14:paraId="2CB08A7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①遇有拖带、撒漏或交通事故等其它污染保洁区域的情况，要及时组织清扫、清刷至路面原色。</w:t>
      </w:r>
    </w:p>
    <w:p w14:paraId="454CDEC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②清扫清刷时限不得超过 2 小时。</w:t>
      </w:r>
    </w:p>
    <w:p w14:paraId="2D20D12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textAlignment w:val="auto"/>
        <w:rPr>
          <w:rFonts w:hint="eastAsia" w:ascii="宋体" w:hAnsi="宋体" w:eastAsia="宋体" w:cs="宋体"/>
          <w:b/>
          <w:bCs/>
          <w:color w:val="auto"/>
          <w:spacing w:val="-4"/>
          <w:sz w:val="24"/>
          <w:szCs w:val="24"/>
          <w:highlight w:val="none"/>
        </w:rPr>
      </w:pPr>
      <w:r>
        <w:rPr>
          <w:rFonts w:hint="eastAsia" w:eastAsia="宋体" w:cs="宋体"/>
          <w:b/>
          <w:bCs/>
          <w:color w:val="auto"/>
          <w:spacing w:val="-4"/>
          <w:sz w:val="24"/>
          <w:szCs w:val="24"/>
          <w:highlight w:val="none"/>
          <w:lang w:val="en-US" w:eastAsia="zh-CN"/>
        </w:rPr>
        <w:t>2</w:t>
      </w:r>
      <w:r>
        <w:rPr>
          <w:rFonts w:hint="eastAsia" w:ascii="宋体" w:hAnsi="宋体" w:eastAsia="宋体" w:cs="宋体"/>
          <w:b/>
          <w:bCs/>
          <w:color w:val="auto"/>
          <w:spacing w:val="-4"/>
          <w:sz w:val="24"/>
          <w:szCs w:val="24"/>
          <w:highlight w:val="none"/>
        </w:rPr>
        <w:t>、机扫车作业管理</w:t>
      </w:r>
    </w:p>
    <w:p w14:paraId="7A7ABD9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1）安全文明驾驶：驾驶员须持有与准驾车型相符的驾照，在作业过程中严格遵守各项操作规程，严禁出现酒后驾车、违章行驶、乱停乱放等违规现象。作业过程中需对行人和车辆进行有效避让，减少扰民，避免投诉。</w:t>
      </w:r>
    </w:p>
    <w:p w14:paraId="3E62A36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2）车况及车容车貌：保持日常车容车貌干净整洁，定期维护和保养，确保各项装备齐全有效、工作正常，严禁故障隐患车辆上路。</w:t>
      </w:r>
    </w:p>
    <w:p w14:paraId="3E15970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3）作业时间与频次：所有道路每日早8：00 前完成全覆盖作业至少 1 次，白天作业 应当避开交通高峰时段，作业结束后做好设备保养、检修等工作。无法满足大型设备作业的路段须采用小型冲洗、机扫设备开展机械化作业。合同期间，政府方如有特殊要求，按政府方要求办理；如需调整频次，按照政府方要求，迅速落实到位。</w:t>
      </w:r>
    </w:p>
    <w:p w14:paraId="438A1E6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4）作业要求及质量标准 ：</w:t>
      </w:r>
    </w:p>
    <w:p w14:paraId="67996A6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宋体"/>
          <w:snapToGrid w:val="0"/>
          <w:color w:val="auto"/>
          <w:kern w:val="2"/>
          <w:sz w:val="24"/>
          <w:szCs w:val="24"/>
          <w:highlight w:val="none"/>
          <w:lang w:val="en-US" w:eastAsia="zh-CN" w:bidi="ar-SA"/>
        </w:rPr>
        <w:t>①每周开展一次人行道、慢车道冲刷，直</w:t>
      </w:r>
      <w:r>
        <w:rPr>
          <w:rFonts w:hint="eastAsia" w:ascii="宋体" w:hAnsi="宋体" w:eastAsia="宋体" w:cstheme="minorBidi"/>
          <w:snapToGrid w:val="0"/>
          <w:color w:val="auto"/>
          <w:kern w:val="2"/>
          <w:sz w:val="24"/>
          <w:szCs w:val="24"/>
          <w:highlight w:val="none"/>
          <w:lang w:val="en-US" w:eastAsia="zh-CN" w:bidi="ar-SA"/>
        </w:rPr>
        <w:t>至路面见本色。</w:t>
      </w:r>
    </w:p>
    <w:p w14:paraId="6790687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②机动车道：路面净、路沿石净、无死角、漏段、无砂石、尘土、污物。洗扫车、 冲洗车常规作业不得超于 15 公里/小时，路面状况差时不得超过 10 公里/小时。</w:t>
      </w:r>
    </w:p>
    <w:p w14:paraId="440EF00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③护栏：护栏清洗车对中心护栏进行擦洗作业后达到护栏及其底部无明显积尘和污渍，作业时速不超过 5 公里/小时。</w:t>
      </w:r>
    </w:p>
    <w:p w14:paraId="491837E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theme="minorBidi"/>
          <w:snapToGrid w:val="0"/>
          <w:color w:val="auto"/>
          <w:kern w:val="2"/>
          <w:sz w:val="24"/>
          <w:szCs w:val="24"/>
          <w:highlight w:val="none"/>
          <w:lang w:val="en-US" w:eastAsia="zh-CN" w:bidi="ar-SA"/>
        </w:rPr>
      </w:pPr>
      <w:r>
        <w:rPr>
          <w:rFonts w:hint="eastAsia" w:ascii="宋体" w:hAnsi="宋体" w:eastAsia="宋体" w:cstheme="minorBidi"/>
          <w:snapToGrid w:val="0"/>
          <w:color w:val="auto"/>
          <w:kern w:val="2"/>
          <w:sz w:val="24"/>
          <w:szCs w:val="24"/>
          <w:highlight w:val="none"/>
          <w:lang w:val="en-US" w:eastAsia="zh-CN" w:bidi="ar-SA"/>
        </w:rPr>
        <w:t>④带水作业质量标准：水洗作业后要达到无明显泥沙、土绺、无漏洗痕迹、无积水，路沿石净、雨水口净、路面见本色，洒水作业要喷洒均匀、路面无积水，喷雾降尘要达到一定雾化效果。</w:t>
      </w:r>
    </w:p>
    <w:p w14:paraId="630D110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70528"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0" name="任意多边形 90"/>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0528;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A5E+cq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1"/>
          <w:sz w:val="24"/>
          <w:szCs w:val="24"/>
          <w:highlight w:val="none"/>
        </w:rPr>
        <w:t>⑤业务台账：按照管理部门关于统计报表要求的格式</w:t>
      </w:r>
      <w:r>
        <w:rPr>
          <w:rFonts w:hint="eastAsia" w:ascii="宋体" w:hAnsi="宋体" w:eastAsia="宋体" w:cs="宋体"/>
          <w:color w:val="auto"/>
          <w:spacing w:val="-2"/>
          <w:sz w:val="24"/>
          <w:szCs w:val="24"/>
          <w:highlight w:val="none"/>
        </w:rPr>
        <w:t>和内容，建</w:t>
      </w:r>
      <w:r>
        <w:rPr>
          <w:rFonts w:hint="eastAsia" w:ascii="宋体" w:hAnsi="宋体" w:eastAsia="宋体" w:cs="宋体"/>
          <w:color w:val="auto"/>
          <w:spacing w:val="-1"/>
          <w:sz w:val="24"/>
          <w:szCs w:val="24"/>
          <w:highlight w:val="none"/>
        </w:rPr>
        <w:t>立环卫作业台账， 做好分级管理，并及时上报。</w:t>
      </w:r>
    </w:p>
    <w:p w14:paraId="0225A72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⑥</w:t>
      </w:r>
      <w:r>
        <w:rPr>
          <w:rFonts w:hint="eastAsia" w:ascii="宋体" w:hAnsi="宋体" w:eastAsia="宋体" w:cs="宋体"/>
          <w:color w:val="auto"/>
          <w:sz w:val="24"/>
          <w:szCs w:val="24"/>
          <w:highlight w:val="none"/>
        </w:rPr>
        <w:t>GPS</w:t>
      </w:r>
      <w:r>
        <w:rPr>
          <w:rFonts w:hint="eastAsia" w:ascii="宋体" w:hAnsi="宋体" w:eastAsia="宋体" w:cs="宋体"/>
          <w:color w:val="auto"/>
          <w:spacing w:val="4"/>
          <w:sz w:val="24"/>
          <w:szCs w:val="24"/>
          <w:highlight w:val="none"/>
        </w:rPr>
        <w:t xml:space="preserve"> 车辆监控系统：应安装卫星定位系统，保</w:t>
      </w:r>
      <w:r>
        <w:rPr>
          <w:rFonts w:hint="eastAsia" w:ascii="宋体" w:hAnsi="宋体" w:eastAsia="宋体" w:cs="宋体"/>
          <w:color w:val="auto"/>
          <w:spacing w:val="3"/>
          <w:sz w:val="24"/>
          <w:szCs w:val="24"/>
          <w:highlight w:val="none"/>
        </w:rPr>
        <w:t>存 6 个月的电</w:t>
      </w:r>
      <w:r>
        <w:rPr>
          <w:rFonts w:hint="eastAsia" w:ascii="宋体" w:hAnsi="宋体" w:eastAsia="宋体" w:cs="宋体"/>
          <w:color w:val="auto"/>
          <w:spacing w:val="-7"/>
          <w:sz w:val="24"/>
          <w:szCs w:val="24"/>
          <w:highlight w:val="none"/>
        </w:rPr>
        <w:t>子轨迹记录。记录应包括作业人员、作业时间、作业车辆、作业路</w:t>
      </w:r>
      <w:r>
        <w:rPr>
          <w:rFonts w:hint="eastAsia" w:ascii="宋体" w:hAnsi="宋体" w:eastAsia="宋体" w:cs="宋体"/>
          <w:color w:val="auto"/>
          <w:spacing w:val="-8"/>
          <w:sz w:val="24"/>
          <w:szCs w:val="24"/>
          <w:highlight w:val="none"/>
        </w:rPr>
        <w:t>段、</w:t>
      </w:r>
      <w:r>
        <w:rPr>
          <w:rFonts w:hint="eastAsia" w:ascii="宋体" w:hAnsi="宋体" w:eastAsia="宋体" w:cs="宋体"/>
          <w:color w:val="auto"/>
          <w:spacing w:val="-1"/>
          <w:sz w:val="24"/>
          <w:szCs w:val="24"/>
          <w:highlight w:val="none"/>
        </w:rPr>
        <w:t>作业情况、作业里程、行驶里程，以及作业用</w:t>
      </w:r>
      <w:r>
        <w:rPr>
          <w:rFonts w:hint="eastAsia" w:ascii="宋体" w:hAnsi="宋体" w:eastAsia="宋体" w:cs="宋体"/>
          <w:color w:val="auto"/>
          <w:spacing w:val="-2"/>
          <w:sz w:val="24"/>
          <w:szCs w:val="24"/>
          <w:highlight w:val="none"/>
        </w:rPr>
        <w:t>油及用水等物料消耗情</w:t>
      </w:r>
      <w:r>
        <w:rPr>
          <w:rFonts w:hint="eastAsia" w:ascii="宋体" w:hAnsi="宋体" w:eastAsia="宋体" w:cs="宋体"/>
          <w:color w:val="auto"/>
          <w:spacing w:val="-7"/>
          <w:sz w:val="24"/>
          <w:szCs w:val="24"/>
          <w:highlight w:val="none"/>
        </w:rPr>
        <w:t>况、道路环境突发事件与处理措施等信息，记录应完整、清晰、及</w:t>
      </w:r>
      <w:r>
        <w:rPr>
          <w:rFonts w:hint="eastAsia" w:ascii="宋体" w:hAnsi="宋体" w:eastAsia="宋体" w:cs="宋体"/>
          <w:color w:val="auto"/>
          <w:spacing w:val="-8"/>
          <w:sz w:val="24"/>
          <w:szCs w:val="24"/>
          <w:highlight w:val="none"/>
        </w:rPr>
        <w:t>时、</w:t>
      </w:r>
      <w:r>
        <w:rPr>
          <w:rFonts w:hint="eastAsia" w:ascii="宋体" w:hAnsi="宋体" w:eastAsia="宋体" w:cs="宋体"/>
          <w:color w:val="auto"/>
          <w:spacing w:val="-4"/>
          <w:sz w:val="24"/>
          <w:szCs w:val="24"/>
          <w:highlight w:val="none"/>
        </w:rPr>
        <w:t>准确。</w:t>
      </w:r>
    </w:p>
    <w:p w14:paraId="02C9D76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⑦特殊要求：冬季温度在三摄氏度以下时停止</w:t>
      </w:r>
      <w:r>
        <w:rPr>
          <w:rFonts w:hint="eastAsia" w:ascii="宋体" w:hAnsi="宋体" w:eastAsia="宋体" w:cs="宋体"/>
          <w:color w:val="auto"/>
          <w:spacing w:val="-2"/>
          <w:sz w:val="24"/>
          <w:szCs w:val="24"/>
          <w:highlight w:val="none"/>
        </w:rPr>
        <w:t>带水作业；冬季中</w:t>
      </w:r>
      <w:r>
        <w:rPr>
          <w:rFonts w:hint="eastAsia" w:ascii="宋体" w:hAnsi="宋体" w:eastAsia="宋体" w:cs="宋体"/>
          <w:color w:val="auto"/>
          <w:spacing w:val="-1"/>
          <w:sz w:val="24"/>
          <w:szCs w:val="24"/>
          <w:highlight w:val="none"/>
        </w:rPr>
        <w:t>午时段气温回升须组织机扫和洒水作业；当遇中雨(含)以上</w:t>
      </w:r>
      <w:r>
        <w:rPr>
          <w:rFonts w:hint="eastAsia" w:ascii="宋体" w:hAnsi="宋体" w:eastAsia="宋体" w:cs="宋体"/>
          <w:color w:val="auto"/>
          <w:spacing w:val="-2"/>
          <w:sz w:val="24"/>
          <w:szCs w:val="24"/>
          <w:highlight w:val="none"/>
        </w:rPr>
        <w:t>天气时，</w:t>
      </w:r>
      <w:r>
        <w:rPr>
          <w:rFonts w:hint="eastAsia" w:ascii="宋体" w:hAnsi="宋体" w:eastAsia="宋体" w:cs="宋体"/>
          <w:color w:val="auto"/>
          <w:spacing w:val="-1"/>
          <w:sz w:val="24"/>
          <w:szCs w:val="24"/>
          <w:highlight w:val="none"/>
        </w:rPr>
        <w:t>应暂停全部作业；如遇重大活动、迎评迎创等应急</w:t>
      </w:r>
      <w:r>
        <w:rPr>
          <w:rFonts w:hint="eastAsia" w:ascii="宋体" w:hAnsi="宋体" w:eastAsia="宋体" w:cs="宋体"/>
          <w:color w:val="auto"/>
          <w:spacing w:val="-2"/>
          <w:sz w:val="24"/>
          <w:szCs w:val="24"/>
          <w:highlight w:val="none"/>
        </w:rPr>
        <w:t>性工作，严格遵照</w:t>
      </w:r>
      <w:r>
        <w:rPr>
          <w:rFonts w:hint="eastAsia" w:ascii="宋体" w:hAnsi="宋体" w:eastAsia="宋体" w:cs="宋体"/>
          <w:color w:val="auto"/>
          <w:spacing w:val="-1"/>
          <w:sz w:val="24"/>
          <w:szCs w:val="24"/>
          <w:highlight w:val="none"/>
        </w:rPr>
        <w:t>采购人要求调整作业频次、作业路线；洒水车承担消防应</w:t>
      </w:r>
      <w:r>
        <w:rPr>
          <w:rFonts w:hint="eastAsia" w:ascii="宋体" w:hAnsi="宋体" w:eastAsia="宋体" w:cs="宋体"/>
          <w:color w:val="auto"/>
          <w:spacing w:val="-2"/>
          <w:sz w:val="24"/>
          <w:szCs w:val="24"/>
          <w:highlight w:val="none"/>
        </w:rPr>
        <w:t>急保障车辆和居民紧急供水。</w:t>
      </w:r>
    </w:p>
    <w:p w14:paraId="0B5D43C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textAlignment w:val="auto"/>
        <w:rPr>
          <w:rFonts w:hint="eastAsia" w:ascii="宋体" w:hAnsi="宋体" w:eastAsia="宋体" w:cs="宋体"/>
          <w:color w:val="auto"/>
          <w:sz w:val="24"/>
          <w:szCs w:val="24"/>
          <w:highlight w:val="none"/>
        </w:rPr>
      </w:pPr>
      <w:r>
        <w:rPr>
          <w:rFonts w:hint="eastAsia" w:eastAsia="宋体" w:cs="宋体"/>
          <w:b/>
          <w:bCs/>
          <w:color w:val="auto"/>
          <w:spacing w:val="-4"/>
          <w:sz w:val="24"/>
          <w:szCs w:val="24"/>
          <w:highlight w:val="none"/>
          <w:lang w:val="en-US" w:eastAsia="zh-CN"/>
        </w:rPr>
        <w:t>3</w:t>
      </w:r>
      <w:r>
        <w:rPr>
          <w:rFonts w:hint="eastAsia" w:ascii="宋体" w:hAnsi="宋体" w:eastAsia="宋体" w:cs="宋体"/>
          <w:b/>
          <w:bCs/>
          <w:color w:val="auto"/>
          <w:spacing w:val="-4"/>
          <w:sz w:val="24"/>
          <w:szCs w:val="24"/>
          <w:highlight w:val="none"/>
        </w:rPr>
        <w:t>、量化标准</w:t>
      </w:r>
    </w:p>
    <w:p w14:paraId="7DDDAC9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pacing w:val="-1"/>
          <w:sz w:val="24"/>
          <w:szCs w:val="24"/>
          <w:highlight w:val="none"/>
          <w:lang w:val="en-US" w:eastAsia="zh-CN"/>
        </w:rPr>
      </w:pPr>
      <w:r>
        <w:rPr>
          <w:rFonts w:hint="eastAsia" w:ascii="宋体" w:hAnsi="宋体" w:eastAsia="宋体" w:cs="宋体"/>
          <w:color w:val="auto"/>
          <w:spacing w:val="-1"/>
          <w:sz w:val="24"/>
          <w:szCs w:val="24"/>
          <w:highlight w:val="none"/>
          <w:lang w:val="en-US" w:eastAsia="zh-CN"/>
        </w:rPr>
        <w:t>地面尘土量：道路长度小于 1 千米抽测 2 个点，大于等于 1 千米小于 3 千米抽测 3 个点，大于等于 3 千米抽测 4 个点。按照“主次干道机动车道地面尘土量不超 10 克/平方米、非机动车道不超 15 克/平方米、人行道不超 20 克/平方米，外环路不超 20 克/平方米。”沙尘天气发生后一个星期除外。</w:t>
      </w:r>
    </w:p>
    <w:p w14:paraId="5A96811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textAlignment w:val="auto"/>
        <w:rPr>
          <w:rFonts w:hint="eastAsia" w:ascii="宋体" w:hAnsi="宋体" w:eastAsia="宋体" w:cs="宋体"/>
          <w:color w:val="auto"/>
          <w:sz w:val="24"/>
          <w:szCs w:val="24"/>
          <w:highlight w:val="none"/>
        </w:rPr>
      </w:pPr>
      <w:r>
        <w:rPr>
          <w:rFonts w:hint="eastAsia" w:eastAsia="宋体" w:cs="宋体"/>
          <w:b/>
          <w:bCs/>
          <w:color w:val="auto"/>
          <w:spacing w:val="-4"/>
          <w:sz w:val="24"/>
          <w:szCs w:val="24"/>
          <w:highlight w:val="none"/>
          <w:lang w:val="en-US" w:eastAsia="zh-CN"/>
        </w:rPr>
        <w:t>4</w:t>
      </w:r>
      <w:r>
        <w:rPr>
          <w:rFonts w:hint="eastAsia" w:ascii="宋体" w:hAnsi="宋体" w:eastAsia="宋体" w:cs="宋体"/>
          <w:b/>
          <w:bCs/>
          <w:color w:val="auto"/>
          <w:spacing w:val="-4"/>
          <w:sz w:val="24"/>
          <w:szCs w:val="24"/>
          <w:highlight w:val="none"/>
        </w:rPr>
        <w:t>、作业人员配备标准</w:t>
      </w:r>
    </w:p>
    <w:p w14:paraId="2609AE5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（1）保洁人员需保证具备正常劳动能力。</w:t>
      </w:r>
    </w:p>
    <w:p w14:paraId="725C3E1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（2）管理、保洁人员配备专用电动车辆。</w:t>
      </w:r>
    </w:p>
    <w:p w14:paraId="61385F9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w:t>
      </w:r>
      <w:r>
        <w:rPr>
          <w:rFonts w:hint="eastAsia" w:eastAsia="宋体" w:cs="宋体"/>
          <w:color w:val="auto"/>
          <w:spacing w:val="-2"/>
          <w:sz w:val="24"/>
          <w:szCs w:val="24"/>
          <w:highlight w:val="none"/>
          <w:lang w:eastAsia="zh-CN"/>
        </w:rPr>
        <w:t>石油基地</w:t>
      </w:r>
      <w:r>
        <w:rPr>
          <w:rFonts w:hint="eastAsia" w:ascii="宋体" w:hAnsi="宋体" w:eastAsia="宋体" w:cs="宋体"/>
          <w:color w:val="auto"/>
          <w:spacing w:val="-2"/>
          <w:sz w:val="24"/>
          <w:szCs w:val="24"/>
          <w:highlight w:val="none"/>
        </w:rPr>
        <w:t>保洁人员按照人均保洁面积</w:t>
      </w:r>
      <w:r>
        <w:rPr>
          <w:rFonts w:hint="eastAsia" w:ascii="宋体" w:hAnsi="宋体" w:eastAsia="宋体" w:cs="宋体"/>
          <w:color w:val="auto"/>
          <w:spacing w:val="-61"/>
          <w:sz w:val="24"/>
          <w:szCs w:val="24"/>
          <w:highlight w:val="none"/>
        </w:rPr>
        <w:t xml:space="preserve"> </w:t>
      </w:r>
      <w:r>
        <w:rPr>
          <w:rFonts w:hint="eastAsia" w:ascii="宋体" w:hAnsi="宋体" w:eastAsia="宋体" w:cs="宋体"/>
          <w:color w:val="auto"/>
          <w:spacing w:val="-2"/>
          <w:sz w:val="24"/>
          <w:szCs w:val="24"/>
          <w:highlight w:val="none"/>
        </w:rPr>
        <w:t>8500</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2"/>
          <w:sz w:val="24"/>
          <w:szCs w:val="24"/>
          <w:highlight w:val="none"/>
        </w:rPr>
        <w:t>㎡</w:t>
      </w:r>
      <w:r>
        <w:rPr>
          <w:rFonts w:hint="eastAsia" w:ascii="宋体" w:hAnsi="宋体" w:eastAsia="宋体" w:cs="宋体"/>
          <w:color w:val="auto"/>
          <w:spacing w:val="-3"/>
          <w:sz w:val="24"/>
          <w:szCs w:val="24"/>
          <w:highlight w:val="none"/>
        </w:rPr>
        <w:t>进行配备，配齐相</w:t>
      </w:r>
      <w:r>
        <w:rPr>
          <w:rFonts w:hint="eastAsia" w:ascii="宋体" w:hAnsi="宋体" w:eastAsia="宋体" w:cs="宋体"/>
          <w:color w:val="auto"/>
          <w:spacing w:val="-1"/>
          <w:sz w:val="24"/>
          <w:szCs w:val="24"/>
          <w:highlight w:val="none"/>
        </w:rPr>
        <w:t>应的生活垃圾收集容器，分工明确，统一服装。</w:t>
      </w:r>
    </w:p>
    <w:p w14:paraId="33A5009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（二）垃圾清运要求</w:t>
      </w:r>
    </w:p>
    <w:p w14:paraId="04CB5D6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城乡生活垃圾实行“一日两清，日产日清</w:t>
      </w:r>
      <w:r>
        <w:rPr>
          <w:rFonts w:hint="eastAsia" w:ascii="宋体" w:hAnsi="宋体" w:eastAsia="宋体" w:cs="宋体"/>
          <w:color w:val="auto"/>
          <w:spacing w:val="-94"/>
          <w:sz w:val="24"/>
          <w:szCs w:val="24"/>
          <w:highlight w:val="none"/>
        </w:rPr>
        <w:t xml:space="preserve"> </w:t>
      </w:r>
      <w:r>
        <w:rPr>
          <w:rFonts w:hint="eastAsia" w:ascii="宋体" w:hAnsi="宋体" w:eastAsia="宋体" w:cs="宋体"/>
          <w:color w:val="auto"/>
          <w:spacing w:val="-3"/>
          <w:sz w:val="24"/>
          <w:szCs w:val="24"/>
          <w:highlight w:val="none"/>
        </w:rPr>
        <w:t>”，要根据实际情况，</w:t>
      </w:r>
      <w:r>
        <w:rPr>
          <w:rFonts w:hint="eastAsia" w:ascii="宋体" w:hAnsi="宋体" w:eastAsia="宋体" w:cs="宋体"/>
          <w:color w:val="auto"/>
          <w:spacing w:val="-1"/>
          <w:sz w:val="24"/>
          <w:szCs w:val="24"/>
          <w:highlight w:val="none"/>
        </w:rPr>
        <w:t>合理制定清运时间、路线，实行定点定线收运。垃</w:t>
      </w:r>
      <w:r>
        <w:rPr>
          <w:rFonts w:hint="eastAsia" w:ascii="宋体" w:hAnsi="宋体" w:eastAsia="宋体" w:cs="宋体"/>
          <w:color w:val="auto"/>
          <w:spacing w:val="-2"/>
          <w:sz w:val="24"/>
          <w:szCs w:val="24"/>
          <w:highlight w:val="none"/>
        </w:rPr>
        <w:t>圾清运实行封闭运输，无垃圾外溢、无污水撒漏，车体外部无乱挂物品、无灰垢污物。</w:t>
      </w:r>
    </w:p>
    <w:p w14:paraId="63C090A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71552"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05" name="任意多边形 105"/>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1552;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ATUdMFFQIAAH8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1"/>
          <w:sz w:val="24"/>
          <w:szCs w:val="24"/>
          <w:highlight w:val="none"/>
        </w:rPr>
        <w:t>装运过程中撒落的垃圾，要立即收集清扫，垃圾桶（箱</w:t>
      </w:r>
      <w:r>
        <w:rPr>
          <w:rFonts w:hint="eastAsia" w:ascii="宋体" w:hAnsi="宋体" w:eastAsia="宋体" w:cs="宋体"/>
          <w:color w:val="auto"/>
          <w:spacing w:val="-2"/>
          <w:sz w:val="24"/>
          <w:szCs w:val="24"/>
          <w:highlight w:val="none"/>
        </w:rPr>
        <w:t>）装卸完毕后</w:t>
      </w:r>
      <w:r>
        <w:rPr>
          <w:rFonts w:hint="eastAsia" w:ascii="宋体" w:hAnsi="宋体" w:eastAsia="宋体" w:cs="宋体"/>
          <w:color w:val="auto"/>
          <w:spacing w:val="1"/>
          <w:sz w:val="24"/>
          <w:szCs w:val="24"/>
          <w:highlight w:val="none"/>
        </w:rPr>
        <w:t>要摆放整齐，垃圾桶（箱）底部、周边清理彻底，</w:t>
      </w:r>
      <w:r>
        <w:rPr>
          <w:rFonts w:hint="eastAsia" w:ascii="宋体" w:hAnsi="宋体" w:eastAsia="宋体" w:cs="宋体"/>
          <w:color w:val="auto"/>
          <w:sz w:val="24"/>
          <w:szCs w:val="24"/>
          <w:highlight w:val="none"/>
        </w:rPr>
        <w:t>3</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z w:val="24"/>
          <w:szCs w:val="24"/>
          <w:highlight w:val="none"/>
        </w:rPr>
        <w:t>米内保持清洁，</w:t>
      </w:r>
      <w:r>
        <w:rPr>
          <w:rFonts w:hint="eastAsia" w:ascii="宋体" w:hAnsi="宋体" w:eastAsia="宋体" w:cs="宋体"/>
          <w:color w:val="auto"/>
          <w:spacing w:val="-1"/>
          <w:sz w:val="24"/>
          <w:szCs w:val="24"/>
          <w:highlight w:val="none"/>
        </w:rPr>
        <w:t>做到车走地净、箱（桶）净，无污水、无异味。</w:t>
      </w:r>
      <w:r>
        <w:rPr>
          <w:rFonts w:hint="eastAsia" w:ascii="宋体" w:hAnsi="宋体" w:eastAsia="宋体" w:cs="宋体"/>
          <w:color w:val="auto"/>
          <w:spacing w:val="-2"/>
          <w:sz w:val="24"/>
          <w:szCs w:val="24"/>
          <w:highlight w:val="none"/>
        </w:rPr>
        <w:t>收集的垃圾送至指定</w:t>
      </w:r>
      <w:r>
        <w:rPr>
          <w:rFonts w:hint="eastAsia" w:ascii="宋体" w:hAnsi="宋体" w:eastAsia="宋体" w:cs="宋体"/>
          <w:color w:val="auto"/>
          <w:spacing w:val="-1"/>
          <w:sz w:val="24"/>
          <w:szCs w:val="24"/>
          <w:highlight w:val="none"/>
        </w:rPr>
        <w:t>的中转站，途中严禁乱倒、乱卸、乱抛垃圾，严禁乱倾乱倒。</w:t>
      </w:r>
    </w:p>
    <w:p w14:paraId="514B5D4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4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餐厨垃圾收运，每天完成餐厨垃圾收运，运至垃圾填</w:t>
      </w:r>
      <w:r>
        <w:rPr>
          <w:rFonts w:hint="eastAsia" w:ascii="宋体" w:hAnsi="宋体" w:eastAsia="宋体" w:cs="宋体"/>
          <w:color w:val="auto"/>
          <w:spacing w:val="-11"/>
          <w:sz w:val="24"/>
          <w:szCs w:val="24"/>
          <w:highlight w:val="none"/>
        </w:rPr>
        <w:t>埋场。餐厨垃</w:t>
      </w:r>
      <w:r>
        <w:rPr>
          <w:rFonts w:hint="eastAsia" w:ascii="宋体" w:hAnsi="宋体" w:eastAsia="宋体" w:cs="宋体"/>
          <w:color w:val="auto"/>
          <w:spacing w:val="-10"/>
          <w:sz w:val="24"/>
          <w:szCs w:val="24"/>
          <w:highlight w:val="none"/>
        </w:rPr>
        <w:t>圾管理规范，各项工作制度健全，严格作业人员岗前培训制度，严格按规章制度和操作规程作业。车辆管理规范,车容车貌整洁完好,定期维修</w:t>
      </w:r>
      <w:r>
        <w:rPr>
          <w:rFonts w:hint="eastAsia" w:ascii="宋体" w:hAnsi="宋体" w:eastAsia="宋体" w:cs="宋体"/>
          <w:color w:val="auto"/>
          <w:spacing w:val="-14"/>
          <w:sz w:val="24"/>
          <w:szCs w:val="24"/>
          <w:highlight w:val="none"/>
        </w:rPr>
        <w:t>保养,确保车辆正常运行。文明行车作业,统一着装上岗，遵守交通规则,</w:t>
      </w:r>
      <w:r>
        <w:rPr>
          <w:rFonts w:hint="eastAsia" w:ascii="宋体" w:hAnsi="宋体" w:eastAsia="宋体" w:cs="宋体"/>
          <w:color w:val="auto"/>
          <w:spacing w:val="-8"/>
          <w:sz w:val="24"/>
          <w:szCs w:val="24"/>
          <w:highlight w:val="none"/>
        </w:rPr>
        <w:t>防止各类事故发生。工作台账健全，按要求上报信息，确保数据真实、</w:t>
      </w:r>
      <w:r>
        <w:rPr>
          <w:rFonts w:hint="eastAsia" w:ascii="宋体" w:hAnsi="宋体" w:eastAsia="宋体" w:cs="宋体"/>
          <w:color w:val="auto"/>
          <w:spacing w:val="-10"/>
          <w:sz w:val="24"/>
          <w:szCs w:val="24"/>
          <w:highlight w:val="none"/>
        </w:rPr>
        <w:t>准确；任务要求，积极与餐饮单位签订餐厨废弃物收集、运输协议；合理安排调度车辆，收运处置量、垃圾收集覆盖率达到相关考核标准；餐厨垃圾收集，收运车辆为专业收运车辆，设置车辆统一的外观标识，车辆安装定位及视频监控系统，餐厨废弃物分类投放，收集桶标识明显规</w:t>
      </w:r>
      <w:r>
        <w:rPr>
          <w:rFonts w:hint="eastAsia" w:ascii="宋体" w:hAnsi="宋体" w:eastAsia="宋体" w:cs="宋体"/>
          <w:color w:val="auto"/>
          <w:spacing w:val="-15"/>
          <w:sz w:val="24"/>
          <w:szCs w:val="24"/>
          <w:highlight w:val="none"/>
        </w:rPr>
        <w:t>范，每周清洗一次收集桶，确保外观统一整洁、无异味，定期（半个月）</w:t>
      </w:r>
    </w:p>
    <w:p w14:paraId="2CEB517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16"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6"/>
          <w:sz w:val="24"/>
          <w:szCs w:val="24"/>
          <w:highlight w:val="none"/>
        </w:rPr>
        <w:t>维护收集桶，保持完好，无洒漏，禁止乱堆乱放、违规存放餐厨废弃物。</w:t>
      </w:r>
      <w:r>
        <w:rPr>
          <w:rFonts w:hint="eastAsia" w:ascii="宋体" w:hAnsi="宋体" w:eastAsia="宋体" w:cs="宋体"/>
          <w:color w:val="auto"/>
          <w:spacing w:val="-10"/>
          <w:sz w:val="24"/>
          <w:szCs w:val="24"/>
          <w:highlight w:val="none"/>
        </w:rPr>
        <w:t>严禁收集伊州区以外的餐厨垃圾或掺杂其他垃圾；餐厨垃圾运输，餐厨垃圾应单独收运，全程实行密闭化运输。运输设备和容器应当具有餐厨</w:t>
      </w:r>
      <w:r>
        <w:rPr>
          <w:rFonts w:hint="eastAsia" w:ascii="宋体" w:hAnsi="宋体" w:eastAsia="宋体" w:cs="宋体"/>
          <w:color w:val="auto"/>
          <w:spacing w:val="-8"/>
          <w:sz w:val="24"/>
          <w:szCs w:val="24"/>
          <w:highlight w:val="none"/>
        </w:rPr>
        <w:t>废弃物标识，整洁完好，运输中不得有“洒漏滴冒”；餐厨垃圾处置，</w:t>
      </w:r>
      <w:r>
        <w:rPr>
          <w:rFonts w:hint="eastAsia" w:ascii="宋体" w:hAnsi="宋体" w:eastAsia="宋体" w:cs="宋体"/>
          <w:color w:val="auto"/>
          <w:spacing w:val="-10"/>
          <w:sz w:val="24"/>
          <w:szCs w:val="24"/>
          <w:highlight w:val="none"/>
        </w:rPr>
        <w:t>收集得餐厨垃圾必须按照规定送往指定得处理厂，禁止违规私排。禁止将餐厨废弃物交给未经相关部门许可或备案得餐厨废弃物收运、处置单位或个人处理。垃圾收运过程中产生的渗滤液严格按照环保要求合规处</w:t>
      </w:r>
      <w:r>
        <w:rPr>
          <w:rFonts w:hint="eastAsia" w:ascii="宋体" w:hAnsi="宋体" w:eastAsia="宋体" w:cs="宋体"/>
          <w:color w:val="auto"/>
          <w:spacing w:val="-4"/>
          <w:sz w:val="24"/>
          <w:szCs w:val="24"/>
          <w:highlight w:val="none"/>
        </w:rPr>
        <w:t>置。</w:t>
      </w:r>
    </w:p>
    <w:p w14:paraId="1516FF0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（三）公厕保洁标准</w:t>
      </w:r>
    </w:p>
    <w:p w14:paraId="2722035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8"/>
          <w:sz w:val="24"/>
          <w:szCs w:val="24"/>
          <w:highlight w:val="none"/>
        </w:rPr>
        <w:t>1、规范管理</w:t>
      </w:r>
    </w:p>
    <w:p w14:paraId="5D3F39B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（1）开放及保洁时间。辖区内公厕</w:t>
      </w:r>
      <w:r>
        <w:rPr>
          <w:rFonts w:hint="eastAsia" w:ascii="宋体" w:hAnsi="宋体" w:eastAsia="宋体" w:cs="宋体"/>
          <w:color w:val="auto"/>
          <w:spacing w:val="-46"/>
          <w:sz w:val="24"/>
          <w:szCs w:val="24"/>
          <w:highlight w:val="none"/>
        </w:rPr>
        <w:t xml:space="preserve"> </w:t>
      </w:r>
      <w:r>
        <w:rPr>
          <w:rFonts w:hint="eastAsia" w:ascii="宋体" w:hAnsi="宋体" w:eastAsia="宋体" w:cs="宋体"/>
          <w:color w:val="auto"/>
          <w:spacing w:val="2"/>
          <w:sz w:val="24"/>
          <w:szCs w:val="24"/>
          <w:highlight w:val="none"/>
        </w:rPr>
        <w:t>7:00-24：0</w:t>
      </w:r>
      <w:r>
        <w:rPr>
          <w:rFonts w:hint="eastAsia" w:ascii="宋体" w:hAnsi="宋体" w:eastAsia="宋体" w:cs="宋体"/>
          <w:color w:val="auto"/>
          <w:spacing w:val="1"/>
          <w:sz w:val="24"/>
          <w:szCs w:val="24"/>
          <w:highlight w:val="none"/>
        </w:rPr>
        <w:t>0</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1"/>
          <w:sz w:val="24"/>
          <w:szCs w:val="24"/>
          <w:highlight w:val="none"/>
        </w:rPr>
        <w:t>对外开放，重点街路、繁华地区及人流量密集地区24</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1"/>
          <w:sz w:val="24"/>
          <w:szCs w:val="24"/>
          <w:highlight w:val="none"/>
        </w:rPr>
        <w:t>小时开放并做好专人值守。</w:t>
      </w:r>
    </w:p>
    <w:p w14:paraId="436038E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（2）人员规范。公厕每厕配备至少</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2</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2"/>
          <w:sz w:val="24"/>
          <w:szCs w:val="24"/>
          <w:highlight w:val="none"/>
        </w:rPr>
        <w:t>人，人流量密集地区视实</w:t>
      </w:r>
      <w:r>
        <w:rPr>
          <w:rFonts w:hint="eastAsia" w:ascii="宋体" w:hAnsi="宋体" w:eastAsia="宋体" w:cs="宋体"/>
          <w:color w:val="auto"/>
          <w:sz w:val="24"/>
          <w:szCs w:val="24"/>
          <w:highlight w:val="none"/>
        </w:rPr>
        <mc:AlternateContent>
          <mc:Choice Requires="wps">
            <w:drawing>
              <wp:anchor distT="0" distB="0" distL="114300" distR="114300" simplePos="0" relativeHeight="251672576"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2" name="任意多边形 92"/>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2576;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wehj2gAAAAwBAAAP&#10;AAAAAAAAAAEAIAAAACIAAABkcnMvZG93bnJldi54bWxQSwECFAAUAAAACACHTuJAN5cqixYCAAB9&#10;BAAADgAAAAAAAAABACAAAAApAQAAZHJzL2Uyb0RvYy54bWxQSwUGAAAAAAYABgBZAQAAsQUAAAAA&#10;" path="m0,0l8374,0,8374,14,0,14,0,0xe">
                <v:fill on="t" focussize="0,0"/>
                <v:stroke on="f"/>
                <v:imagedata o:title=""/>
                <o:lock v:ext="edit" aspectratio="f"/>
              </v:shape>
            </w:pict>
          </mc:Fallback>
        </mc:AlternateContent>
      </w:r>
      <w:r>
        <w:rPr>
          <w:rFonts w:hint="eastAsia" w:ascii="宋体" w:hAnsi="宋体" w:eastAsia="宋体" w:cs="宋体"/>
          <w:color w:val="auto"/>
          <w:spacing w:val="-2"/>
          <w:sz w:val="24"/>
          <w:szCs w:val="24"/>
          <w:highlight w:val="none"/>
        </w:rPr>
        <w:t>际情况相应增加保洁人数。保洁员要做到文明服务，统一着装，按时</w:t>
      </w:r>
      <w:r>
        <w:rPr>
          <w:rFonts w:hint="eastAsia" w:ascii="宋体" w:hAnsi="宋体" w:eastAsia="宋体" w:cs="宋体"/>
          <w:color w:val="auto"/>
          <w:spacing w:val="-1"/>
          <w:sz w:val="24"/>
          <w:szCs w:val="24"/>
          <w:highlight w:val="none"/>
        </w:rPr>
        <w:t>上岗，准点离岗，并做好交接班工作。所有公厕</w:t>
      </w:r>
      <w:r>
        <w:rPr>
          <w:rFonts w:hint="eastAsia" w:ascii="宋体" w:hAnsi="宋体" w:eastAsia="宋体" w:cs="宋体"/>
          <w:color w:val="auto"/>
          <w:spacing w:val="-2"/>
          <w:sz w:val="24"/>
          <w:szCs w:val="24"/>
          <w:highlight w:val="none"/>
        </w:rPr>
        <w:t>在开放时间内进行不</w:t>
      </w:r>
      <w:r>
        <w:rPr>
          <w:rFonts w:hint="eastAsia" w:ascii="宋体" w:hAnsi="宋体" w:eastAsia="宋体" w:cs="宋体"/>
          <w:color w:val="auto"/>
          <w:spacing w:val="-1"/>
          <w:sz w:val="24"/>
          <w:szCs w:val="24"/>
          <w:highlight w:val="none"/>
        </w:rPr>
        <w:t>间断保洁，上岗时不得从事与工作无关的事情。</w:t>
      </w:r>
    </w:p>
    <w:p w14:paraId="41EA3BF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（3）标识规范。导向标志牌明显、醒目、规范；管理制度、保</w:t>
      </w:r>
      <w:r>
        <w:rPr>
          <w:rFonts w:hint="eastAsia" w:ascii="宋体" w:hAnsi="宋体" w:eastAsia="宋体" w:cs="宋体"/>
          <w:color w:val="auto"/>
          <w:spacing w:val="-1"/>
          <w:sz w:val="24"/>
          <w:szCs w:val="24"/>
          <w:highlight w:val="none"/>
        </w:rPr>
        <w:t>洁标准、监督电话及责任人等设置在公厕墙面醒</w:t>
      </w:r>
      <w:r>
        <w:rPr>
          <w:rFonts w:hint="eastAsia" w:ascii="宋体" w:hAnsi="宋体" w:eastAsia="宋体" w:cs="宋体"/>
          <w:color w:val="auto"/>
          <w:spacing w:val="-2"/>
          <w:sz w:val="24"/>
          <w:szCs w:val="24"/>
          <w:highlight w:val="none"/>
        </w:rPr>
        <w:t>目位置，便于市民监</w:t>
      </w:r>
      <w:r>
        <w:rPr>
          <w:rFonts w:hint="eastAsia" w:ascii="宋体" w:hAnsi="宋体" w:eastAsia="宋体" w:cs="宋体"/>
          <w:color w:val="auto"/>
          <w:spacing w:val="-4"/>
          <w:sz w:val="24"/>
          <w:szCs w:val="24"/>
          <w:highlight w:val="none"/>
        </w:rPr>
        <w:t>督；公厕外墙标有 “公共卫生间</w:t>
      </w:r>
      <w:r>
        <w:rPr>
          <w:rFonts w:hint="eastAsia" w:ascii="宋体" w:hAnsi="宋体" w:eastAsia="宋体" w:cs="宋体"/>
          <w:color w:val="auto"/>
          <w:spacing w:val="-97"/>
          <w:sz w:val="24"/>
          <w:szCs w:val="24"/>
          <w:highlight w:val="none"/>
        </w:rPr>
        <w:t xml:space="preserve"> </w:t>
      </w:r>
      <w:r>
        <w:rPr>
          <w:rFonts w:hint="eastAsia" w:ascii="宋体" w:hAnsi="宋体" w:eastAsia="宋体" w:cs="宋体"/>
          <w:color w:val="auto"/>
          <w:spacing w:val="-4"/>
          <w:sz w:val="24"/>
          <w:szCs w:val="24"/>
          <w:highlight w:val="none"/>
        </w:rPr>
        <w:t>”、无障碍、禁止吸烟、免费公厕、</w:t>
      </w:r>
      <w:r>
        <w:rPr>
          <w:rFonts w:hint="eastAsia" w:ascii="宋体" w:hAnsi="宋体" w:eastAsia="宋体" w:cs="宋体"/>
          <w:color w:val="auto"/>
          <w:spacing w:val="-1"/>
          <w:sz w:val="24"/>
          <w:szCs w:val="24"/>
          <w:highlight w:val="none"/>
        </w:rPr>
        <w:t>温馨提示等标识明显。创城期间，及时补充新增标语和指示牌。</w:t>
      </w:r>
    </w:p>
    <w:p w14:paraId="26ACE4C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（4）台账管理。管理员做好台账，如实记录日常保洁、设施状</w:t>
      </w:r>
      <w:r>
        <w:rPr>
          <w:rFonts w:hint="eastAsia" w:ascii="宋体" w:hAnsi="宋体" w:eastAsia="宋体" w:cs="宋体"/>
          <w:color w:val="auto"/>
          <w:spacing w:val="-1"/>
          <w:sz w:val="24"/>
          <w:szCs w:val="24"/>
          <w:highlight w:val="none"/>
        </w:rPr>
        <w:t>况、消杀除臭作业等内容。</w:t>
      </w:r>
    </w:p>
    <w:p w14:paraId="0F0CA63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2、设施设备与维护</w:t>
      </w:r>
    </w:p>
    <w:p w14:paraId="39EF4F2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（1）工具配备。每厕配有必备的保洁工具。保洁工具使用完毕应整齐存放在工具房内；不得将保洁工具放在蹲便间、洗手盆、拖把池、残障通道扶手上等。</w:t>
      </w:r>
    </w:p>
    <w:p w14:paraId="5EDFD88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（2）物品配备。每厕配备作业提示牌、维修提示牌、防滑警示牌、防滑垫，定期配备洗手液或香皂、洁厕剂、清新剂等。</w:t>
      </w:r>
    </w:p>
    <w:p w14:paraId="6E3C6DC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（3）设施维护。设施完好、整洁，公厕内照明灯具、洗手器具、镜子、挂衣钩、烘手器、冲水设备等设施设备保持完好，发现损坏及时维修，无缺亮渗漏、无积灰、污物； 洗手液充足；无障碍公厕通道畅通。</w:t>
      </w:r>
    </w:p>
    <w:p w14:paraId="1E573FC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0"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pacing w:val="-8"/>
          <w:sz w:val="24"/>
          <w:szCs w:val="24"/>
          <w:highlight w:val="none"/>
        </w:rPr>
        <w:t>3、卫生标准</w:t>
      </w:r>
    </w:p>
    <w:p w14:paraId="669C6E3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6"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（1）内部环境。用抹布清洗门窗、洗手器具、隔断门、框、墙面</w:t>
      </w:r>
      <w:r>
        <w:rPr>
          <w:rFonts w:hint="eastAsia" w:ascii="宋体" w:hAnsi="宋体" w:eastAsia="宋体" w:cs="宋体"/>
          <w:color w:val="auto"/>
          <w:spacing w:val="-9"/>
          <w:sz w:val="24"/>
          <w:szCs w:val="24"/>
          <w:highlight w:val="none"/>
        </w:rPr>
        <w:t>等，重点对门把手和冲水开关等人员接触部位</w:t>
      </w:r>
      <w:r>
        <w:rPr>
          <w:rFonts w:hint="eastAsia" w:ascii="宋体" w:hAnsi="宋体" w:eastAsia="宋体" w:cs="宋体"/>
          <w:color w:val="auto"/>
          <w:spacing w:val="-10"/>
          <w:sz w:val="24"/>
          <w:szCs w:val="24"/>
          <w:highlight w:val="none"/>
        </w:rPr>
        <w:t>每日用消毒液擦洗多次。公厕达到“十净、十无、一整洁”，即：地面净、墙壁屋顶净、梳洗台镜子净、门窗净、隔板净、便池净、蹲台净、粪坑净、入厕标识净、内部环境净；无污物、无积水、无尿碱黄垢、无灰尘、无乱涂乱画、无乱贴广告、无垃圾烟头、无积存粪便、无设备损坏、无粪便满溢；管理间</w:t>
      </w:r>
      <w:r>
        <w:rPr>
          <w:rFonts w:hint="eastAsia" w:ascii="宋体" w:hAnsi="宋体" w:eastAsia="宋体" w:cs="宋体"/>
          <w:color w:val="auto"/>
          <w:spacing w:val="-7"/>
          <w:sz w:val="24"/>
          <w:szCs w:val="24"/>
          <w:highlight w:val="none"/>
        </w:rPr>
        <w:t>干净整洁。</w:t>
      </w:r>
    </w:p>
    <w:p w14:paraId="77415F0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73600"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1" name="任意多边形 91"/>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3600;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A+0QF6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5"/>
          <w:sz w:val="24"/>
          <w:szCs w:val="24"/>
          <w:highlight w:val="none"/>
        </w:rPr>
        <w:t>（2）周边环境。公厕周边 15 米范围内卫生要保</w:t>
      </w:r>
      <w:r>
        <w:rPr>
          <w:rFonts w:hint="eastAsia" w:ascii="宋体" w:hAnsi="宋体" w:eastAsia="宋体" w:cs="宋体"/>
          <w:color w:val="auto"/>
          <w:spacing w:val="-6"/>
          <w:sz w:val="24"/>
          <w:szCs w:val="24"/>
          <w:highlight w:val="none"/>
        </w:rPr>
        <w:t>持干净，无私自</w:t>
      </w:r>
      <w:r>
        <w:rPr>
          <w:rFonts w:hint="eastAsia" w:ascii="宋体" w:hAnsi="宋体" w:eastAsia="宋体" w:cs="宋体"/>
          <w:color w:val="auto"/>
          <w:spacing w:val="-8"/>
          <w:sz w:val="24"/>
          <w:szCs w:val="24"/>
          <w:highlight w:val="none"/>
        </w:rPr>
        <w:t>种植蔬菜、无垃圾杂物、无残枝落叶、无“小广告”、无私拉乱接。</w:t>
      </w:r>
    </w:p>
    <w:p w14:paraId="742D54C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（3）化粪池清掏。应定期维护公厕化粪池，化粪池、井口、井盖</w:t>
      </w:r>
      <w:r>
        <w:rPr>
          <w:rFonts w:hint="eastAsia" w:ascii="宋体" w:hAnsi="宋体" w:eastAsia="宋体" w:cs="宋体"/>
          <w:color w:val="auto"/>
          <w:spacing w:val="-10"/>
          <w:sz w:val="24"/>
          <w:szCs w:val="24"/>
          <w:highlight w:val="none"/>
        </w:rPr>
        <w:t>要完好无损，化粪池清掏及时，无满溢堵塞，无异味外溢；不得乱排乱卸粪便；粪车车体清洁，清运过程中无外泄；清掏后，井盖盖严，井周</w:t>
      </w:r>
      <w:r>
        <w:rPr>
          <w:rFonts w:hint="eastAsia" w:ascii="宋体" w:hAnsi="宋体" w:eastAsia="宋体" w:cs="宋体"/>
          <w:color w:val="auto"/>
          <w:spacing w:val="-8"/>
          <w:sz w:val="24"/>
          <w:szCs w:val="24"/>
          <w:highlight w:val="none"/>
        </w:rPr>
        <w:t>边清洁无粪迹、污物。</w:t>
      </w:r>
    </w:p>
    <w:p w14:paraId="448AFD3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（4）消杀作业。每周用消毒剂（液）对公厕地面及便池、便器进</w:t>
      </w:r>
      <w:r>
        <w:rPr>
          <w:rFonts w:hint="eastAsia" w:ascii="宋体" w:hAnsi="宋体" w:eastAsia="宋体" w:cs="宋体"/>
          <w:color w:val="auto"/>
          <w:spacing w:val="-4"/>
          <w:sz w:val="24"/>
          <w:szCs w:val="24"/>
          <w:highlight w:val="none"/>
        </w:rPr>
        <w:t>行消毒作业不少于3</w:t>
      </w:r>
      <w:r>
        <w:rPr>
          <w:rFonts w:hint="eastAsia" w:ascii="宋体" w:hAnsi="宋体" w:eastAsia="宋体" w:cs="宋体"/>
          <w:color w:val="auto"/>
          <w:spacing w:val="-37"/>
          <w:sz w:val="24"/>
          <w:szCs w:val="24"/>
          <w:highlight w:val="none"/>
        </w:rPr>
        <w:t xml:space="preserve"> </w:t>
      </w:r>
      <w:r>
        <w:rPr>
          <w:rFonts w:hint="eastAsia" w:ascii="宋体" w:hAnsi="宋体" w:eastAsia="宋体" w:cs="宋体"/>
          <w:color w:val="auto"/>
          <w:spacing w:val="-4"/>
          <w:sz w:val="24"/>
          <w:szCs w:val="24"/>
          <w:highlight w:val="none"/>
        </w:rPr>
        <w:t>次。每年 4-11月为蚊、蝇、蛆消杀期，每日早、</w:t>
      </w:r>
      <w:r>
        <w:rPr>
          <w:rFonts w:hint="eastAsia" w:ascii="宋体" w:hAnsi="宋体" w:eastAsia="宋体" w:cs="宋体"/>
          <w:color w:val="auto"/>
          <w:spacing w:val="-11"/>
          <w:sz w:val="24"/>
          <w:szCs w:val="24"/>
          <w:highlight w:val="none"/>
        </w:rPr>
        <w:t>中、晚</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11"/>
          <w:sz w:val="24"/>
          <w:szCs w:val="24"/>
          <w:highlight w:val="none"/>
        </w:rPr>
        <w:t>3</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11"/>
          <w:sz w:val="24"/>
          <w:szCs w:val="24"/>
          <w:highlight w:val="none"/>
        </w:rPr>
        <w:t>次定时药物消杀。门口悬挂防蝇帘,每厕悬挂</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11"/>
          <w:sz w:val="24"/>
          <w:szCs w:val="24"/>
          <w:highlight w:val="none"/>
        </w:rPr>
        <w:t>2</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11"/>
          <w:sz w:val="24"/>
          <w:szCs w:val="24"/>
          <w:highlight w:val="none"/>
        </w:rPr>
        <w:t>个以上灭蝇灯,</w:t>
      </w:r>
      <w:r>
        <w:rPr>
          <w:rFonts w:hint="eastAsia" w:ascii="宋体" w:hAnsi="宋体" w:eastAsia="宋体" w:cs="宋体"/>
          <w:color w:val="auto"/>
          <w:spacing w:val="-12"/>
          <w:sz w:val="24"/>
          <w:szCs w:val="24"/>
          <w:highlight w:val="none"/>
        </w:rPr>
        <w:t>摆</w:t>
      </w:r>
      <w:r>
        <w:rPr>
          <w:rFonts w:hint="eastAsia" w:ascii="宋体" w:hAnsi="宋体" w:eastAsia="宋体" w:cs="宋体"/>
          <w:color w:val="auto"/>
          <w:spacing w:val="-11"/>
          <w:sz w:val="24"/>
          <w:szCs w:val="24"/>
          <w:highlight w:val="none"/>
        </w:rPr>
        <w:t>放</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11"/>
          <w:sz w:val="24"/>
          <w:szCs w:val="24"/>
          <w:highlight w:val="none"/>
        </w:rPr>
        <w:t>2</w:t>
      </w:r>
      <w:r>
        <w:rPr>
          <w:rFonts w:hint="eastAsia" w:ascii="宋体" w:hAnsi="宋体" w:eastAsia="宋体" w:cs="宋体"/>
          <w:color w:val="auto"/>
          <w:spacing w:val="-66"/>
          <w:sz w:val="24"/>
          <w:szCs w:val="24"/>
          <w:highlight w:val="none"/>
        </w:rPr>
        <w:t xml:space="preserve"> </w:t>
      </w:r>
      <w:r>
        <w:rPr>
          <w:rFonts w:hint="eastAsia" w:ascii="宋体" w:hAnsi="宋体" w:eastAsia="宋体" w:cs="宋体"/>
          <w:color w:val="auto"/>
          <w:spacing w:val="-11"/>
          <w:sz w:val="24"/>
          <w:szCs w:val="24"/>
          <w:highlight w:val="none"/>
        </w:rPr>
        <w:t>个以上毒饵站，每周更换药饵</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1"/>
          <w:sz w:val="24"/>
          <w:szCs w:val="24"/>
          <w:highlight w:val="none"/>
        </w:rPr>
        <w:t>1</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11"/>
          <w:sz w:val="24"/>
          <w:szCs w:val="24"/>
          <w:highlight w:val="none"/>
        </w:rPr>
        <w:t>次，每厕</w:t>
      </w:r>
      <w:r>
        <w:rPr>
          <w:rFonts w:hint="eastAsia" w:ascii="宋体" w:hAnsi="宋体" w:eastAsia="宋体" w:cs="宋体"/>
          <w:color w:val="auto"/>
          <w:spacing w:val="-12"/>
          <w:sz w:val="24"/>
          <w:szCs w:val="24"/>
          <w:highlight w:val="none"/>
        </w:rPr>
        <w:t>视线范围内苍蝇不超</w:t>
      </w:r>
      <w:r>
        <w:rPr>
          <w:rFonts w:hint="eastAsia" w:ascii="宋体" w:hAnsi="宋体" w:eastAsia="宋体" w:cs="宋体"/>
          <w:color w:val="auto"/>
          <w:spacing w:val="-11"/>
          <w:sz w:val="24"/>
          <w:szCs w:val="24"/>
          <w:highlight w:val="none"/>
        </w:rPr>
        <w:t>过</w:t>
      </w:r>
      <w:r>
        <w:rPr>
          <w:rFonts w:hint="eastAsia" w:ascii="宋体" w:hAnsi="宋体" w:eastAsia="宋体" w:cs="宋体"/>
          <w:color w:val="auto"/>
          <w:spacing w:val="-9"/>
          <w:sz w:val="24"/>
          <w:szCs w:val="24"/>
          <w:highlight w:val="none"/>
        </w:rPr>
        <w:t>3</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9"/>
          <w:sz w:val="24"/>
          <w:szCs w:val="24"/>
          <w:highlight w:val="none"/>
        </w:rPr>
        <w:t>只。室内设置空气清新或除臭设备及物品，室内通风良好，无恶臭。</w:t>
      </w:r>
    </w:p>
    <w:p w14:paraId="261DD74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（四）城乡垃圾转运</w:t>
      </w:r>
    </w:p>
    <w:p w14:paraId="558A917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目前运行的</w:t>
      </w:r>
      <w:r>
        <w:rPr>
          <w:rFonts w:hint="eastAsia" w:ascii="宋体" w:hAnsi="宋体" w:eastAsia="宋体" w:cs="宋体"/>
          <w:color w:val="auto"/>
          <w:spacing w:val="-75"/>
          <w:sz w:val="24"/>
          <w:szCs w:val="24"/>
          <w:highlight w:val="none"/>
        </w:rPr>
        <w:t xml:space="preserve"> </w:t>
      </w:r>
      <w:r>
        <w:rPr>
          <w:rFonts w:hint="eastAsia" w:eastAsia="宋体" w:cs="宋体"/>
          <w:color w:val="auto"/>
          <w:spacing w:val="-3"/>
          <w:sz w:val="24"/>
          <w:szCs w:val="24"/>
          <w:highlight w:val="none"/>
          <w:lang w:val="en-US" w:eastAsia="zh-CN"/>
        </w:rPr>
        <w:t>1</w:t>
      </w:r>
      <w:r>
        <w:rPr>
          <w:rFonts w:hint="eastAsia" w:ascii="宋体" w:hAnsi="宋体" w:eastAsia="宋体" w:cs="宋体"/>
          <w:color w:val="auto"/>
          <w:spacing w:val="-3"/>
          <w:sz w:val="24"/>
          <w:szCs w:val="24"/>
          <w:highlight w:val="none"/>
        </w:rPr>
        <w:t>个垃圾中转站负责道路及居民生活垃圾的中</w:t>
      </w:r>
      <w:r>
        <w:rPr>
          <w:rFonts w:hint="eastAsia" w:ascii="宋体" w:hAnsi="宋体" w:eastAsia="宋体" w:cs="宋体"/>
          <w:color w:val="auto"/>
          <w:sz w:val="24"/>
          <w:szCs w:val="24"/>
          <w:highlight w:val="none"/>
        </w:rPr>
        <w:t>转工作，垃圾中转站配备至少2</w:t>
      </w:r>
      <w:r>
        <w:rPr>
          <w:rFonts w:hint="eastAsia" w:ascii="宋体" w:hAnsi="宋体" w:eastAsia="宋体" w:cs="宋体"/>
          <w:color w:val="auto"/>
          <w:spacing w:val="-40"/>
          <w:sz w:val="24"/>
          <w:szCs w:val="24"/>
          <w:highlight w:val="none"/>
        </w:rPr>
        <w:t xml:space="preserve"> </w:t>
      </w:r>
      <w:r>
        <w:rPr>
          <w:rFonts w:hint="eastAsia" w:ascii="宋体" w:hAnsi="宋体" w:eastAsia="宋体" w:cs="宋体"/>
          <w:color w:val="auto"/>
          <w:sz w:val="24"/>
          <w:szCs w:val="24"/>
          <w:highlight w:val="none"/>
        </w:rPr>
        <w:t>名管理人员，具体人员配置根据实</w:t>
      </w:r>
      <w:r>
        <w:rPr>
          <w:rFonts w:hint="eastAsia" w:ascii="宋体" w:hAnsi="宋体" w:eastAsia="宋体" w:cs="宋体"/>
          <w:color w:val="auto"/>
          <w:spacing w:val="-2"/>
          <w:sz w:val="24"/>
          <w:szCs w:val="24"/>
          <w:highlight w:val="none"/>
        </w:rPr>
        <w:t>际垃圾量进行调整。</w:t>
      </w:r>
    </w:p>
    <w:p w14:paraId="41052B0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3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1"/>
          <w:sz w:val="24"/>
          <w:szCs w:val="24"/>
          <w:highlight w:val="none"/>
        </w:rPr>
        <w:t>1、管理规范</w:t>
      </w:r>
    </w:p>
    <w:p w14:paraId="3B3BCFD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（1）制度管理。工作管理办法、工作规范、安全管理、内部检</w:t>
      </w:r>
      <w:r>
        <w:rPr>
          <w:rFonts w:hint="eastAsia" w:ascii="宋体" w:hAnsi="宋体" w:eastAsia="宋体" w:cs="宋体"/>
          <w:color w:val="auto"/>
          <w:spacing w:val="-1"/>
          <w:sz w:val="24"/>
          <w:szCs w:val="24"/>
          <w:highlight w:val="none"/>
        </w:rPr>
        <w:t>查等相关制度健全，并按要求上墙公示，设有</w:t>
      </w:r>
      <w:r>
        <w:rPr>
          <w:rFonts w:hint="eastAsia" w:ascii="宋体" w:hAnsi="宋体" w:eastAsia="宋体" w:cs="宋体"/>
          <w:color w:val="auto"/>
          <w:spacing w:val="-2"/>
          <w:sz w:val="24"/>
          <w:szCs w:val="24"/>
          <w:highlight w:val="none"/>
        </w:rPr>
        <w:t>规范标识牌，公布站点名称、作业时间、投诉电话。</w:t>
      </w:r>
    </w:p>
    <w:p w14:paraId="2E83E57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（2）人员管理。各类人员合理配置、分工明确、责任到人，岗</w:t>
      </w:r>
      <w:r>
        <w:rPr>
          <w:rFonts w:hint="eastAsia" w:ascii="宋体" w:hAnsi="宋体" w:eastAsia="宋体" w:cs="宋体"/>
          <w:color w:val="auto"/>
          <w:spacing w:val="-1"/>
          <w:sz w:val="24"/>
          <w:szCs w:val="24"/>
          <w:highlight w:val="none"/>
        </w:rPr>
        <w:t>位满足工作需要，不得缺岗、空岗、漏岗。所有</w:t>
      </w:r>
      <w:r>
        <w:rPr>
          <w:rFonts w:hint="eastAsia" w:ascii="宋体" w:hAnsi="宋体" w:eastAsia="宋体" w:cs="宋体"/>
          <w:color w:val="auto"/>
          <w:spacing w:val="-2"/>
          <w:sz w:val="24"/>
          <w:szCs w:val="24"/>
          <w:highlight w:val="none"/>
        </w:rPr>
        <w:t>工作人员上岗时，应</w:t>
      </w:r>
      <w:r>
        <w:rPr>
          <w:rFonts w:hint="eastAsia" w:ascii="宋体" w:hAnsi="宋体" w:eastAsia="宋体" w:cs="宋体"/>
          <w:color w:val="auto"/>
          <w:spacing w:val="3"/>
          <w:sz w:val="24"/>
          <w:szCs w:val="24"/>
          <w:highlight w:val="none"/>
        </w:rPr>
        <w:t>着工装并佩戴明显身份标识，严格按规章 制度和操作规程作业，严</w:t>
      </w:r>
      <w:r>
        <w:rPr>
          <w:rFonts w:hint="eastAsia" w:ascii="宋体" w:hAnsi="宋体" w:eastAsia="宋体" w:cs="宋体"/>
          <w:color w:val="auto"/>
          <w:spacing w:val="-1"/>
          <w:sz w:val="24"/>
          <w:szCs w:val="24"/>
          <w:highlight w:val="none"/>
        </w:rPr>
        <w:t>禁从事与工作无关的事情。</w:t>
      </w:r>
    </w:p>
    <w:p w14:paraId="1B99001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（3）车辆管理。车辆管理规范,车容车貌整洁，停放有序。车辆</w:t>
      </w:r>
      <w:r>
        <w:rPr>
          <w:rFonts w:hint="eastAsia" w:ascii="宋体" w:hAnsi="宋体" w:eastAsia="宋体" w:cs="宋体"/>
          <w:color w:val="auto"/>
          <w:spacing w:val="-1"/>
          <w:sz w:val="24"/>
          <w:szCs w:val="24"/>
          <w:highlight w:val="none"/>
        </w:rPr>
        <w:t>及箱（罐）体要整洁完好、标识清晰、无破损、脱漆、锈</w:t>
      </w:r>
      <w:r>
        <w:rPr>
          <w:rFonts w:hint="eastAsia" w:ascii="宋体" w:hAnsi="宋体" w:eastAsia="宋体" w:cs="宋体"/>
          <w:color w:val="auto"/>
          <w:spacing w:val="-2"/>
          <w:sz w:val="24"/>
          <w:szCs w:val="24"/>
          <w:highlight w:val="none"/>
        </w:rPr>
        <w:t>蚀等现象，</w:t>
      </w:r>
      <w:r>
        <w:rPr>
          <w:rFonts w:hint="eastAsia" w:ascii="宋体" w:hAnsi="宋体" w:eastAsia="宋体" w:cs="宋体"/>
          <w:color w:val="auto"/>
          <w:spacing w:val="3"/>
          <w:sz w:val="24"/>
          <w:szCs w:val="24"/>
          <w:highlight w:val="none"/>
        </w:rPr>
        <w:t>定期喷漆油饰，及时维修保养,确保车况良好，达到各项技术要求和</w:t>
      </w:r>
      <w:r>
        <w:rPr>
          <w:rFonts w:hint="eastAsia" w:ascii="宋体" w:hAnsi="宋体" w:eastAsia="宋体" w:cs="宋体"/>
          <w:color w:val="auto"/>
          <w:sz w:val="24"/>
          <w:szCs w:val="24"/>
          <w:highlight w:val="none"/>
        </w:rPr>
        <w:t>规定。遵守交通规则,文明行车,规范作业</w:t>
      </w:r>
      <w:r>
        <w:rPr>
          <w:rFonts w:hint="eastAsia" w:ascii="宋体" w:hAnsi="宋体" w:eastAsia="宋体" w:cs="宋体"/>
          <w:color w:val="auto"/>
          <w:spacing w:val="-1"/>
          <w:sz w:val="24"/>
          <w:szCs w:val="24"/>
          <w:highlight w:val="none"/>
        </w:rPr>
        <w:t>,防止各类事故发生。</w:t>
      </w:r>
    </w:p>
    <w:p w14:paraId="27035F8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74624"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6" name="任意多边形 96"/>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4624;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wehj2gAAAAwBAAAP&#10;AAAAAAAAAAEAIAAAACIAAABkcnMvZG93bnJldi54bWxQSwECFAAUAAAACACHTuJAapnAExYCAAB9&#10;BAAADgAAAAAAAAABACAAAAApAQAAZHJzL2Uyb0RvYy54bWxQSwUGAAAAAAYABgBZAQAAsQUAAAAA&#10;" path="m0,0l8374,0,8374,14,0,14,0,0xe">
                <v:fill on="t" focussize="0,0"/>
                <v:stroke on="f"/>
                <v:imagedata o:title=""/>
                <o:lock v:ext="edit" aspectratio="f"/>
              </v:shape>
            </w:pict>
          </mc:Fallback>
        </mc:AlternateContent>
      </w:r>
      <w:r>
        <w:rPr>
          <w:rFonts w:hint="eastAsia" w:ascii="宋体" w:hAnsi="宋体" w:eastAsia="宋体" w:cs="宋体"/>
          <w:color w:val="auto"/>
          <w:spacing w:val="-6"/>
          <w:sz w:val="24"/>
          <w:szCs w:val="24"/>
          <w:highlight w:val="none"/>
        </w:rPr>
        <w:t>（4）设施管理。各类设施外观整洁、功能齐备、工具齐全、运行</w:t>
      </w:r>
      <w:r>
        <w:rPr>
          <w:rFonts w:hint="eastAsia" w:ascii="宋体" w:hAnsi="宋体" w:eastAsia="宋体" w:cs="宋体"/>
          <w:color w:val="auto"/>
          <w:spacing w:val="-10"/>
          <w:sz w:val="24"/>
          <w:szCs w:val="24"/>
          <w:highlight w:val="none"/>
        </w:rPr>
        <w:t>正常、维护管理到位。严格保养规范，维修及时，保持设施设备完好。</w:t>
      </w:r>
    </w:p>
    <w:p w14:paraId="669A183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（5）台账管理。每日工作情况、巡查情况、问题整改情况、安全</w:t>
      </w:r>
      <w:r>
        <w:rPr>
          <w:rFonts w:hint="eastAsia" w:ascii="宋体" w:hAnsi="宋体" w:eastAsia="宋体" w:cs="宋体"/>
          <w:color w:val="auto"/>
          <w:spacing w:val="-10"/>
          <w:sz w:val="24"/>
          <w:szCs w:val="24"/>
          <w:highlight w:val="none"/>
        </w:rPr>
        <w:t>管理、消杀除臭、渗滤液处置等各项管理台账健全、更新及时，按要求</w:t>
      </w:r>
      <w:r>
        <w:rPr>
          <w:rFonts w:hint="eastAsia" w:ascii="宋体" w:hAnsi="宋体" w:eastAsia="宋体" w:cs="宋体"/>
          <w:color w:val="auto"/>
          <w:spacing w:val="-8"/>
          <w:sz w:val="24"/>
          <w:szCs w:val="24"/>
          <w:highlight w:val="none"/>
        </w:rPr>
        <w:t>上报信息，确保数据真实、准确。</w:t>
      </w:r>
    </w:p>
    <w:p w14:paraId="3D60506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2、生活垃圾转运</w:t>
      </w:r>
    </w:p>
    <w:p w14:paraId="66EBC1D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（1）“五定一包”。垃圾清运作业班次安排得当，垃圾收集站点</w:t>
      </w:r>
      <w:r>
        <w:rPr>
          <w:rFonts w:hint="eastAsia" w:ascii="宋体" w:hAnsi="宋体" w:eastAsia="宋体" w:cs="宋体"/>
          <w:color w:val="auto"/>
          <w:spacing w:val="-10"/>
          <w:sz w:val="24"/>
          <w:szCs w:val="24"/>
          <w:highlight w:val="none"/>
        </w:rPr>
        <w:t>与清运车辆衔接有序，实行定人、定车、定点、定时、定线路责任</w:t>
      </w:r>
      <w:r>
        <w:rPr>
          <w:rFonts w:hint="eastAsia" w:ascii="宋体" w:hAnsi="宋体" w:eastAsia="宋体" w:cs="宋体"/>
          <w:color w:val="auto"/>
          <w:spacing w:val="-11"/>
          <w:sz w:val="24"/>
          <w:szCs w:val="24"/>
          <w:highlight w:val="none"/>
        </w:rPr>
        <w:t>制，</w:t>
      </w:r>
      <w:r>
        <w:rPr>
          <w:rFonts w:hint="eastAsia" w:ascii="宋体" w:hAnsi="宋体" w:eastAsia="宋体" w:cs="宋体"/>
          <w:color w:val="auto"/>
          <w:spacing w:val="-8"/>
          <w:sz w:val="24"/>
          <w:szCs w:val="24"/>
          <w:highlight w:val="none"/>
        </w:rPr>
        <w:t>包日产日清。</w:t>
      </w:r>
    </w:p>
    <w:p w14:paraId="47FAD78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（2）密闭清运。垃圾转运应密闭化运输，外观干净整洁，在清运</w:t>
      </w:r>
      <w:r>
        <w:rPr>
          <w:rFonts w:hint="eastAsia" w:ascii="宋体" w:hAnsi="宋体" w:eastAsia="宋体" w:cs="宋体"/>
          <w:color w:val="auto"/>
          <w:spacing w:val="-10"/>
          <w:sz w:val="24"/>
          <w:szCs w:val="24"/>
          <w:highlight w:val="none"/>
        </w:rPr>
        <w:t>过程中无垃圾扬、撒、拖、挂和污水滴漏现象。转运车辆应密闭、无垃</w:t>
      </w:r>
      <w:r>
        <w:rPr>
          <w:rFonts w:hint="eastAsia" w:ascii="宋体" w:hAnsi="宋体" w:eastAsia="宋体" w:cs="宋体"/>
          <w:color w:val="auto"/>
          <w:spacing w:val="-8"/>
          <w:sz w:val="24"/>
          <w:szCs w:val="24"/>
          <w:highlight w:val="none"/>
        </w:rPr>
        <w:t>圾飞扬、积液遗撒和垃圾粘挂现象。</w:t>
      </w:r>
    </w:p>
    <w:p w14:paraId="57DAEAB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4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（3）定点消纳。生活垃圾应运至指定的焚烧发电厂处理</w:t>
      </w:r>
      <w:r>
        <w:rPr>
          <w:rFonts w:hint="eastAsia" w:ascii="宋体" w:hAnsi="宋体" w:eastAsia="宋体" w:cs="宋体"/>
          <w:color w:val="auto"/>
          <w:spacing w:val="-11"/>
          <w:sz w:val="24"/>
          <w:szCs w:val="24"/>
          <w:highlight w:val="none"/>
        </w:rPr>
        <w:t>，严禁私</w:t>
      </w:r>
      <w:r>
        <w:rPr>
          <w:rFonts w:hint="eastAsia" w:ascii="宋体" w:hAnsi="宋体" w:eastAsia="宋体" w:cs="宋体"/>
          <w:color w:val="auto"/>
          <w:spacing w:val="-7"/>
          <w:sz w:val="24"/>
          <w:szCs w:val="24"/>
          <w:highlight w:val="none"/>
        </w:rPr>
        <w:t>拉乱倒。</w:t>
      </w:r>
    </w:p>
    <w:p w14:paraId="466C489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3、垃圾转运站管理</w:t>
      </w:r>
    </w:p>
    <w:p w14:paraId="356B46D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（1）设施齐全。转运站要做好环评监测，各项参数应符合相应</w:t>
      </w:r>
      <w:r>
        <w:rPr>
          <w:rFonts w:hint="eastAsia" w:ascii="宋体" w:hAnsi="宋体" w:eastAsia="宋体" w:cs="宋体"/>
          <w:color w:val="auto"/>
          <w:spacing w:val="-1"/>
          <w:sz w:val="24"/>
          <w:szCs w:val="24"/>
          <w:highlight w:val="none"/>
        </w:rPr>
        <w:t>的环境保护标准，排放达到环保要求。垃圾转运站地面</w:t>
      </w:r>
      <w:r>
        <w:rPr>
          <w:rFonts w:hint="eastAsia" w:ascii="宋体" w:hAnsi="宋体" w:eastAsia="宋体" w:cs="宋体"/>
          <w:color w:val="auto"/>
          <w:spacing w:val="-2"/>
          <w:sz w:val="24"/>
          <w:szCs w:val="24"/>
          <w:highlight w:val="none"/>
        </w:rPr>
        <w:t>须硬化平整，</w:t>
      </w:r>
      <w:r>
        <w:rPr>
          <w:rFonts w:hint="eastAsia" w:ascii="宋体" w:hAnsi="宋体" w:eastAsia="宋体" w:cs="宋体"/>
          <w:color w:val="auto"/>
          <w:spacing w:val="-1"/>
          <w:sz w:val="24"/>
          <w:szCs w:val="24"/>
          <w:highlight w:val="none"/>
        </w:rPr>
        <w:t>通风良好，有给排水设施。站内有降尘、除臭措施。垃</w:t>
      </w:r>
      <w:r>
        <w:rPr>
          <w:rFonts w:hint="eastAsia" w:ascii="宋体" w:hAnsi="宋体" w:eastAsia="宋体" w:cs="宋体"/>
          <w:color w:val="auto"/>
          <w:spacing w:val="-2"/>
          <w:sz w:val="24"/>
          <w:szCs w:val="24"/>
          <w:highlight w:val="none"/>
        </w:rPr>
        <w:t>圾渗滤液收集</w:t>
      </w:r>
      <w:r>
        <w:rPr>
          <w:rFonts w:hint="eastAsia" w:ascii="宋体" w:hAnsi="宋体" w:eastAsia="宋体" w:cs="宋体"/>
          <w:color w:val="auto"/>
          <w:spacing w:val="-1"/>
          <w:sz w:val="24"/>
          <w:szCs w:val="24"/>
          <w:highlight w:val="none"/>
        </w:rPr>
        <w:t>装置应当密封完好。无杂物堆放。转运站内必须</w:t>
      </w:r>
      <w:r>
        <w:rPr>
          <w:rFonts w:hint="eastAsia" w:ascii="宋体" w:hAnsi="宋体" w:eastAsia="宋体" w:cs="宋体"/>
          <w:color w:val="auto"/>
          <w:spacing w:val="-2"/>
          <w:sz w:val="24"/>
          <w:szCs w:val="24"/>
          <w:highlight w:val="none"/>
        </w:rPr>
        <w:t>配备应急电源及相关</w:t>
      </w:r>
      <w:r>
        <w:rPr>
          <w:rFonts w:hint="eastAsia" w:ascii="宋体" w:hAnsi="宋体" w:eastAsia="宋体" w:cs="宋体"/>
          <w:color w:val="auto"/>
          <w:spacing w:val="-1"/>
          <w:sz w:val="24"/>
          <w:szCs w:val="24"/>
          <w:highlight w:val="none"/>
        </w:rPr>
        <w:t>备件，确保转运站正常运行。如因设备损坏、维修不到</w:t>
      </w:r>
      <w:r>
        <w:rPr>
          <w:rFonts w:hint="eastAsia" w:ascii="宋体" w:hAnsi="宋体" w:eastAsia="宋体" w:cs="宋体"/>
          <w:color w:val="auto"/>
          <w:spacing w:val="-2"/>
          <w:sz w:val="24"/>
          <w:szCs w:val="24"/>
          <w:highlight w:val="none"/>
        </w:rPr>
        <w:t>位，造成垃圾</w:t>
      </w:r>
      <w:r>
        <w:rPr>
          <w:rFonts w:hint="eastAsia" w:ascii="宋体" w:hAnsi="宋体" w:eastAsia="宋体" w:cs="宋体"/>
          <w:color w:val="auto"/>
          <w:spacing w:val="-1"/>
          <w:sz w:val="24"/>
          <w:szCs w:val="24"/>
          <w:highlight w:val="none"/>
        </w:rPr>
        <w:t>积压，影响垃圾收集、外运工作的，从重扣分。</w:t>
      </w:r>
    </w:p>
    <w:p w14:paraId="6A96646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（2）垃圾处置。站内垃圾确保“</w:t>
      </w:r>
      <w:r>
        <w:rPr>
          <w:rFonts w:hint="eastAsia" w:ascii="宋体" w:hAnsi="宋体" w:eastAsia="宋体" w:cs="宋体"/>
          <w:color w:val="auto"/>
          <w:spacing w:val="-83"/>
          <w:sz w:val="24"/>
          <w:szCs w:val="24"/>
          <w:highlight w:val="none"/>
        </w:rPr>
        <w:t xml:space="preserve"> </w:t>
      </w:r>
      <w:r>
        <w:rPr>
          <w:rFonts w:hint="eastAsia" w:ascii="宋体" w:hAnsi="宋体" w:eastAsia="宋体" w:cs="宋体"/>
          <w:color w:val="auto"/>
          <w:spacing w:val="-8"/>
          <w:sz w:val="24"/>
          <w:szCs w:val="24"/>
          <w:highlight w:val="none"/>
        </w:rPr>
        <w:t>日产日清</w:t>
      </w:r>
      <w:r>
        <w:rPr>
          <w:rFonts w:hint="eastAsia" w:ascii="宋体" w:hAnsi="宋体" w:eastAsia="宋体" w:cs="宋体"/>
          <w:color w:val="auto"/>
          <w:spacing w:val="-103"/>
          <w:sz w:val="24"/>
          <w:szCs w:val="24"/>
          <w:highlight w:val="none"/>
        </w:rPr>
        <w:t xml:space="preserve"> </w:t>
      </w:r>
      <w:r>
        <w:rPr>
          <w:rFonts w:hint="eastAsia" w:ascii="宋体" w:hAnsi="宋体" w:eastAsia="宋体" w:cs="宋体"/>
          <w:color w:val="auto"/>
          <w:spacing w:val="-8"/>
          <w:sz w:val="24"/>
          <w:szCs w:val="24"/>
          <w:highlight w:val="none"/>
        </w:rPr>
        <w:t>”，“垃圾不落地</w:t>
      </w:r>
      <w:r>
        <w:rPr>
          <w:rFonts w:hint="eastAsia" w:ascii="宋体" w:hAnsi="宋体" w:eastAsia="宋体" w:cs="宋体"/>
          <w:color w:val="auto"/>
          <w:spacing w:val="-105"/>
          <w:sz w:val="24"/>
          <w:szCs w:val="24"/>
          <w:highlight w:val="none"/>
        </w:rPr>
        <w:t xml:space="preserve"> </w:t>
      </w:r>
      <w:r>
        <w:rPr>
          <w:rFonts w:hint="eastAsia" w:ascii="宋体" w:hAnsi="宋体" w:eastAsia="宋体" w:cs="宋体"/>
          <w:color w:val="auto"/>
          <w:spacing w:val="-9"/>
          <w:sz w:val="24"/>
          <w:szCs w:val="24"/>
          <w:highlight w:val="none"/>
        </w:rPr>
        <w:t>”，</w:t>
      </w:r>
      <w:r>
        <w:rPr>
          <w:rFonts w:hint="eastAsia" w:ascii="宋体" w:hAnsi="宋体" w:eastAsia="宋体" w:cs="宋体"/>
          <w:color w:val="auto"/>
          <w:spacing w:val="-1"/>
          <w:sz w:val="24"/>
          <w:szCs w:val="24"/>
          <w:highlight w:val="none"/>
        </w:rPr>
        <w:t>不得在站内堆积，避免造成二次污染，严禁积压、过夜</w:t>
      </w:r>
      <w:r>
        <w:rPr>
          <w:rFonts w:hint="eastAsia" w:ascii="宋体" w:hAnsi="宋体" w:eastAsia="宋体" w:cs="宋体"/>
          <w:color w:val="auto"/>
          <w:spacing w:val="-2"/>
          <w:sz w:val="24"/>
          <w:szCs w:val="24"/>
          <w:highlight w:val="none"/>
        </w:rPr>
        <w:t>，确保站内无</w:t>
      </w:r>
      <w:r>
        <w:rPr>
          <w:rFonts w:hint="eastAsia" w:ascii="宋体" w:hAnsi="宋体" w:eastAsia="宋体" w:cs="宋体"/>
          <w:color w:val="auto"/>
          <w:spacing w:val="-1"/>
          <w:sz w:val="24"/>
          <w:szCs w:val="24"/>
          <w:highlight w:val="none"/>
        </w:rPr>
        <w:t>积存垃圾和垃圾堆积，无拾荒者。</w:t>
      </w:r>
    </w:p>
    <w:p w14:paraId="649EB27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（3）渗滤液处置。严格遵照相关法律、法规、管理规定，规范</w:t>
      </w:r>
      <w:r>
        <w:rPr>
          <w:rFonts w:hint="eastAsia" w:ascii="宋体" w:hAnsi="宋体" w:eastAsia="宋体" w:cs="宋体"/>
          <w:color w:val="auto"/>
          <w:spacing w:val="-1"/>
          <w:sz w:val="24"/>
          <w:szCs w:val="24"/>
          <w:highlight w:val="none"/>
        </w:rPr>
        <w:t>做好渗滤液外运处理工作，做好清运登记，不得积压，不得偷排。</w:t>
      </w:r>
    </w:p>
    <w:p w14:paraId="18B0081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08"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（4）内外环境。站内保洁到位，达到“六净、三无、</w:t>
      </w:r>
      <w:r>
        <w:rPr>
          <w:rFonts w:hint="eastAsia" w:ascii="宋体" w:hAnsi="宋体" w:eastAsia="宋体" w:cs="宋体"/>
          <w:color w:val="auto"/>
          <w:spacing w:val="6"/>
          <w:sz w:val="24"/>
          <w:szCs w:val="24"/>
          <w:highlight w:val="none"/>
        </w:rPr>
        <w:t>一整洁</w:t>
      </w:r>
      <w:r>
        <w:rPr>
          <w:rFonts w:hint="eastAsia" w:ascii="宋体" w:hAnsi="宋体" w:eastAsia="宋体" w:cs="宋体"/>
          <w:color w:val="auto"/>
          <w:spacing w:val="-96"/>
          <w:sz w:val="24"/>
          <w:szCs w:val="24"/>
          <w:highlight w:val="none"/>
        </w:rPr>
        <w:t xml:space="preserve"> </w:t>
      </w:r>
      <w:r>
        <w:rPr>
          <w:rFonts w:hint="eastAsia" w:ascii="宋体" w:hAnsi="宋体" w:eastAsia="宋体" w:cs="宋体"/>
          <w:color w:val="auto"/>
          <w:spacing w:val="6"/>
          <w:sz w:val="24"/>
          <w:szCs w:val="24"/>
          <w:highlight w:val="none"/>
        </w:rPr>
        <w:t>”</w:t>
      </w:r>
      <w:r>
        <w:rPr>
          <w:rFonts w:hint="eastAsia" w:ascii="宋体" w:hAnsi="宋体" w:eastAsia="宋体" w:cs="宋体"/>
          <w:color w:val="auto"/>
          <w:sz w:val="24"/>
          <w:szCs w:val="24"/>
          <w:highlight w:val="none"/>
        </w:rPr>
        <mc:AlternateContent>
          <mc:Choice Requires="wps">
            <w:drawing>
              <wp:anchor distT="0" distB="0" distL="114300" distR="114300" simplePos="0" relativeHeight="251675648"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06" name="任意多边形 106"/>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5648;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wehj2gAAAAwBAAAP&#10;AAAAAAAAAAEAIAAAACIAAABkcnMvZG93bnJldi54bWxQSwECFAAUAAAACACHTuJAiv7l6RYCAAB/&#10;BAAADgAAAAAAAAABACAAAAApAQAAZHJzL2Uyb0RvYy54bWxQSwUGAAAAAAYABgBZAQAAsQUAAAAA&#10;" path="m0,0l8374,0,8374,14,0,14,0,0xe">
                <v:fill on="t" focussize="0,0"/>
                <v:stroke on="f"/>
                <v:imagedata o:title=""/>
                <o:lock v:ext="edit" aspectratio="f"/>
              </v:shape>
            </w:pict>
          </mc:Fallback>
        </mc:AlternateContent>
      </w:r>
      <w:r>
        <w:rPr>
          <w:rFonts w:hint="eastAsia" w:ascii="宋体" w:hAnsi="宋体" w:eastAsia="宋体" w:cs="宋体"/>
          <w:color w:val="auto"/>
          <w:spacing w:val="2"/>
          <w:sz w:val="24"/>
          <w:szCs w:val="24"/>
          <w:highlight w:val="none"/>
        </w:rPr>
        <w:t>标准。“六净</w:t>
      </w:r>
      <w:r>
        <w:rPr>
          <w:rFonts w:hint="eastAsia" w:ascii="宋体" w:hAnsi="宋体" w:eastAsia="宋体" w:cs="宋体"/>
          <w:color w:val="auto"/>
          <w:spacing w:val="-97"/>
          <w:sz w:val="24"/>
          <w:szCs w:val="24"/>
          <w:highlight w:val="none"/>
        </w:rPr>
        <w:t xml:space="preserve"> </w:t>
      </w:r>
      <w:r>
        <w:rPr>
          <w:rFonts w:hint="eastAsia" w:ascii="宋体" w:hAnsi="宋体" w:eastAsia="宋体" w:cs="宋体"/>
          <w:color w:val="auto"/>
          <w:spacing w:val="2"/>
          <w:sz w:val="24"/>
          <w:szCs w:val="24"/>
          <w:highlight w:val="none"/>
        </w:rPr>
        <w:t>”即： 地面净、墙壁净、门窗净、设备净、灯具净、</w:t>
      </w:r>
      <w:r>
        <w:rPr>
          <w:rFonts w:hint="eastAsia" w:ascii="宋体" w:hAnsi="宋体" w:eastAsia="宋体" w:cs="宋体"/>
          <w:color w:val="auto"/>
          <w:spacing w:val="-2"/>
          <w:sz w:val="24"/>
          <w:szCs w:val="24"/>
          <w:highlight w:val="none"/>
        </w:rPr>
        <w:t>周边环境净。“三无</w:t>
      </w:r>
      <w:r>
        <w:rPr>
          <w:rFonts w:hint="eastAsia" w:ascii="宋体" w:hAnsi="宋体" w:eastAsia="宋体" w:cs="宋体"/>
          <w:color w:val="auto"/>
          <w:spacing w:val="-95"/>
          <w:sz w:val="24"/>
          <w:szCs w:val="24"/>
          <w:highlight w:val="none"/>
        </w:rPr>
        <w:t xml:space="preserve"> </w:t>
      </w:r>
      <w:r>
        <w:rPr>
          <w:rFonts w:hint="eastAsia" w:ascii="宋体" w:hAnsi="宋体" w:eastAsia="宋体" w:cs="宋体"/>
          <w:color w:val="auto"/>
          <w:spacing w:val="-2"/>
          <w:sz w:val="24"/>
          <w:szCs w:val="24"/>
          <w:highlight w:val="none"/>
        </w:rPr>
        <w:t>”即：无散落垃圾、无积留污水、无扬尘恶臭。</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“一整洁</w:t>
      </w:r>
      <w:r>
        <w:rPr>
          <w:rFonts w:hint="eastAsia" w:ascii="宋体" w:hAnsi="宋体" w:eastAsia="宋体" w:cs="宋体"/>
          <w:color w:val="auto"/>
          <w:spacing w:val="-95"/>
          <w:sz w:val="24"/>
          <w:szCs w:val="24"/>
          <w:highlight w:val="none"/>
        </w:rPr>
        <w:t xml:space="preserve"> </w:t>
      </w:r>
      <w:r>
        <w:rPr>
          <w:rFonts w:hint="eastAsia" w:ascii="宋体" w:hAnsi="宋体" w:eastAsia="宋体" w:cs="宋体"/>
          <w:color w:val="auto"/>
          <w:spacing w:val="-2"/>
          <w:sz w:val="24"/>
          <w:szCs w:val="24"/>
          <w:highlight w:val="none"/>
        </w:rPr>
        <w:t>”即：管理间干净整洁，周边无垃圾杂物和乱堆乱放，外墙</w:t>
      </w:r>
      <w:r>
        <w:rPr>
          <w:rFonts w:hint="eastAsia" w:ascii="宋体" w:hAnsi="宋体" w:eastAsia="宋体" w:cs="宋体"/>
          <w:color w:val="auto"/>
          <w:spacing w:val="1"/>
          <w:sz w:val="24"/>
          <w:szCs w:val="24"/>
          <w:highlight w:val="none"/>
        </w:rPr>
        <w:t>干净，无“小广告</w:t>
      </w:r>
      <w:r>
        <w:rPr>
          <w:rFonts w:hint="eastAsia" w:ascii="宋体" w:hAnsi="宋体" w:eastAsia="宋体" w:cs="宋体"/>
          <w:color w:val="auto"/>
          <w:spacing w:val="-103"/>
          <w:sz w:val="24"/>
          <w:szCs w:val="24"/>
          <w:highlight w:val="none"/>
        </w:rPr>
        <w:t xml:space="preserve"> </w:t>
      </w:r>
      <w:r>
        <w:rPr>
          <w:rFonts w:hint="eastAsia" w:ascii="宋体" w:hAnsi="宋体" w:eastAsia="宋体" w:cs="宋体"/>
          <w:color w:val="auto"/>
          <w:spacing w:val="1"/>
          <w:sz w:val="24"/>
          <w:szCs w:val="24"/>
          <w:highlight w:val="none"/>
        </w:rPr>
        <w:t>”。</w:t>
      </w:r>
    </w:p>
    <w:p w14:paraId="047DD4E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（5）工作时间。垃圾转运站离居民住宅较近时，应合理安排装</w:t>
      </w:r>
      <w:r>
        <w:rPr>
          <w:rFonts w:hint="eastAsia" w:ascii="宋体" w:hAnsi="宋体" w:eastAsia="宋体" w:cs="宋体"/>
          <w:color w:val="auto"/>
          <w:spacing w:val="-1"/>
          <w:sz w:val="24"/>
          <w:szCs w:val="24"/>
          <w:highlight w:val="none"/>
        </w:rPr>
        <w:t>运时间，避开早晨以及中午时段，减少噪声影响</w:t>
      </w:r>
      <w:r>
        <w:rPr>
          <w:rFonts w:hint="eastAsia" w:ascii="宋体" w:hAnsi="宋体" w:eastAsia="宋体" w:cs="宋体"/>
          <w:color w:val="auto"/>
          <w:spacing w:val="-2"/>
          <w:sz w:val="24"/>
          <w:szCs w:val="24"/>
          <w:highlight w:val="none"/>
        </w:rPr>
        <w:t>居民正常生活；运输</w:t>
      </w:r>
      <w:r>
        <w:rPr>
          <w:rFonts w:hint="eastAsia" w:ascii="宋体" w:hAnsi="宋体" w:eastAsia="宋体" w:cs="宋体"/>
          <w:color w:val="auto"/>
          <w:spacing w:val="1"/>
          <w:sz w:val="24"/>
          <w:szCs w:val="24"/>
          <w:highlight w:val="none"/>
        </w:rPr>
        <w:t>垃圾应尽量避开上下班高峰期。开放时间不低于</w:t>
      </w:r>
      <w:r>
        <w:rPr>
          <w:rFonts w:hint="eastAsia" w:ascii="宋体" w:hAnsi="宋体" w:eastAsia="宋体" w:cs="宋体"/>
          <w:color w:val="auto"/>
          <w:spacing w:val="-20"/>
          <w:sz w:val="24"/>
          <w:szCs w:val="24"/>
          <w:highlight w:val="none"/>
        </w:rPr>
        <w:t xml:space="preserve"> </w:t>
      </w:r>
      <w:r>
        <w:rPr>
          <w:rFonts w:hint="eastAsia" w:ascii="宋体" w:hAnsi="宋体" w:eastAsia="宋体" w:cs="宋体"/>
          <w:color w:val="auto"/>
          <w:spacing w:val="1"/>
          <w:sz w:val="24"/>
          <w:szCs w:val="24"/>
          <w:highlight w:val="none"/>
        </w:rPr>
        <w:t>11</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1"/>
          <w:sz w:val="24"/>
          <w:szCs w:val="24"/>
          <w:highlight w:val="none"/>
        </w:rPr>
        <w:t>小时，如遇重大</w:t>
      </w:r>
      <w:r>
        <w:rPr>
          <w:rFonts w:hint="eastAsia" w:ascii="宋体" w:hAnsi="宋体" w:eastAsia="宋体" w:cs="宋体"/>
          <w:color w:val="auto"/>
          <w:spacing w:val="-1"/>
          <w:sz w:val="24"/>
          <w:szCs w:val="24"/>
          <w:highlight w:val="none"/>
        </w:rPr>
        <w:t>活动、突发问题、集中整治、迎评迎创迎检等情况，根</w:t>
      </w:r>
      <w:r>
        <w:rPr>
          <w:rFonts w:hint="eastAsia" w:ascii="宋体" w:hAnsi="宋体" w:eastAsia="宋体" w:cs="宋体"/>
          <w:color w:val="auto"/>
          <w:spacing w:val="-2"/>
          <w:sz w:val="24"/>
          <w:szCs w:val="24"/>
          <w:highlight w:val="none"/>
        </w:rPr>
        <w:t>据要求延长开</w:t>
      </w:r>
      <w:r>
        <w:rPr>
          <w:rFonts w:hint="eastAsia" w:ascii="宋体" w:hAnsi="宋体" w:eastAsia="宋体" w:cs="宋体"/>
          <w:color w:val="auto"/>
          <w:spacing w:val="-1"/>
          <w:sz w:val="24"/>
          <w:szCs w:val="24"/>
          <w:highlight w:val="none"/>
        </w:rPr>
        <w:t>放时间，确保完成工作任务。</w:t>
      </w:r>
    </w:p>
    <w:p w14:paraId="10972AD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（6）降尘除臭。工作时间除臭降尘设备必须正常运行，夏季（4月-11 月）高温季节，每日早、中、晚不低于</w:t>
      </w:r>
      <w:r>
        <w:rPr>
          <w:rFonts w:hint="eastAsia" w:ascii="宋体" w:hAnsi="宋体" w:eastAsia="宋体" w:cs="宋体"/>
          <w:color w:val="auto"/>
          <w:spacing w:val="-61"/>
          <w:sz w:val="24"/>
          <w:szCs w:val="24"/>
          <w:highlight w:val="none"/>
        </w:rPr>
        <w:t xml:space="preserve"> </w:t>
      </w: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2"/>
          <w:sz w:val="24"/>
          <w:szCs w:val="24"/>
          <w:highlight w:val="none"/>
        </w:rPr>
        <w:t>次蚊蝇药物喷洒，必</w:t>
      </w:r>
      <w:r>
        <w:rPr>
          <w:rFonts w:hint="eastAsia" w:ascii="宋体" w:hAnsi="宋体" w:eastAsia="宋体" w:cs="宋体"/>
          <w:color w:val="auto"/>
          <w:spacing w:val="-1"/>
          <w:sz w:val="24"/>
          <w:szCs w:val="24"/>
          <w:highlight w:val="none"/>
        </w:rPr>
        <w:t>要时增加消杀频次，做好消杀记录；每次转运作业完成</w:t>
      </w:r>
      <w:r>
        <w:rPr>
          <w:rFonts w:hint="eastAsia" w:ascii="宋体" w:hAnsi="宋体" w:eastAsia="宋体" w:cs="宋体"/>
          <w:color w:val="auto"/>
          <w:spacing w:val="-2"/>
          <w:sz w:val="24"/>
          <w:szCs w:val="24"/>
          <w:highlight w:val="none"/>
        </w:rPr>
        <w:t>后，将设施、</w:t>
      </w:r>
      <w:r>
        <w:rPr>
          <w:rFonts w:hint="eastAsia" w:ascii="宋体" w:hAnsi="宋体" w:eastAsia="宋体" w:cs="宋体"/>
          <w:color w:val="auto"/>
          <w:spacing w:val="-1"/>
          <w:sz w:val="24"/>
          <w:szCs w:val="24"/>
          <w:highlight w:val="none"/>
        </w:rPr>
        <w:t>地面、墙壁清洗干净，做到站内外整洁，无积水</w:t>
      </w:r>
      <w:r>
        <w:rPr>
          <w:rFonts w:hint="eastAsia" w:ascii="宋体" w:hAnsi="宋体" w:eastAsia="宋体" w:cs="宋体"/>
          <w:color w:val="auto"/>
          <w:spacing w:val="-2"/>
          <w:sz w:val="24"/>
          <w:szCs w:val="24"/>
          <w:highlight w:val="none"/>
        </w:rPr>
        <w:t>、异味。夏季应增加</w:t>
      </w:r>
      <w:r>
        <w:rPr>
          <w:rFonts w:hint="eastAsia" w:ascii="宋体" w:hAnsi="宋体" w:eastAsia="宋体" w:cs="宋体"/>
          <w:color w:val="auto"/>
          <w:spacing w:val="-1"/>
          <w:sz w:val="24"/>
          <w:szCs w:val="24"/>
          <w:highlight w:val="none"/>
        </w:rPr>
        <w:t>冲洗次数，气温在零摄氏度以下时，站内不得采取水冲</w:t>
      </w:r>
      <w:r>
        <w:rPr>
          <w:rFonts w:hint="eastAsia" w:ascii="宋体" w:hAnsi="宋体" w:eastAsia="宋体" w:cs="宋体"/>
          <w:color w:val="auto"/>
          <w:spacing w:val="-2"/>
          <w:sz w:val="24"/>
          <w:szCs w:val="24"/>
          <w:highlight w:val="none"/>
        </w:rPr>
        <w:t>方式清洁站内</w:t>
      </w:r>
      <w:r>
        <w:rPr>
          <w:rFonts w:hint="eastAsia" w:ascii="宋体" w:hAnsi="宋体" w:eastAsia="宋体" w:cs="宋体"/>
          <w:color w:val="auto"/>
          <w:spacing w:val="-4"/>
          <w:sz w:val="24"/>
          <w:szCs w:val="24"/>
          <w:highlight w:val="none"/>
        </w:rPr>
        <w:t>卫生。</w:t>
      </w:r>
    </w:p>
    <w:p w14:paraId="5194DAB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（7）场地密闭。每天工作结束后，必须确保中转站、设备全密</w:t>
      </w:r>
      <w:r>
        <w:rPr>
          <w:rFonts w:hint="eastAsia" w:ascii="宋体" w:hAnsi="宋体" w:eastAsia="宋体" w:cs="宋体"/>
          <w:color w:val="auto"/>
          <w:spacing w:val="-3"/>
          <w:sz w:val="24"/>
          <w:szCs w:val="24"/>
          <w:highlight w:val="none"/>
        </w:rPr>
        <w:t>闭，切断设备电源，察看有无明暗火隐患。</w:t>
      </w:r>
    </w:p>
    <w:p w14:paraId="09B3CF5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（8）管理到位。严格做好外来进站垃圾车辆管理，要求外观整</w:t>
      </w:r>
      <w:r>
        <w:rPr>
          <w:rFonts w:hint="eastAsia" w:ascii="宋体" w:hAnsi="宋体" w:eastAsia="宋体" w:cs="宋体"/>
          <w:color w:val="auto"/>
          <w:spacing w:val="-1"/>
          <w:sz w:val="24"/>
          <w:szCs w:val="24"/>
          <w:highlight w:val="none"/>
        </w:rPr>
        <w:t>洁、密闭良好，无跑、冒、滴、漏，污染站内环境。</w:t>
      </w:r>
    </w:p>
    <w:p w14:paraId="662B735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（9）调配控制。必须合理调配垃圾收运车辆，杜绝站内外垃圾</w:t>
      </w:r>
      <w:r>
        <w:rPr>
          <w:rFonts w:hint="eastAsia" w:ascii="宋体" w:hAnsi="宋体" w:eastAsia="宋体" w:cs="宋体"/>
          <w:color w:val="auto"/>
          <w:spacing w:val="-1"/>
          <w:sz w:val="24"/>
          <w:szCs w:val="24"/>
          <w:highlight w:val="none"/>
        </w:rPr>
        <w:t>车辆长时间滞留，避免造成扰民或投诉。</w:t>
      </w:r>
    </w:p>
    <w:p w14:paraId="79EB54F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4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（10）进站垃圾管理。转运站配备专人对进出站的垃圾</w:t>
      </w:r>
      <w:r>
        <w:rPr>
          <w:rFonts w:hint="eastAsia" w:ascii="宋体" w:hAnsi="宋体" w:eastAsia="宋体" w:cs="宋体"/>
          <w:color w:val="auto"/>
          <w:spacing w:val="-9"/>
          <w:sz w:val="24"/>
          <w:szCs w:val="24"/>
          <w:highlight w:val="none"/>
        </w:rPr>
        <w:t>进行检查，</w:t>
      </w:r>
      <w:r>
        <w:rPr>
          <w:rFonts w:hint="eastAsia" w:ascii="宋体" w:hAnsi="宋体" w:eastAsia="宋体" w:cs="宋体"/>
          <w:color w:val="auto"/>
          <w:sz w:val="24"/>
          <w:szCs w:val="24"/>
          <w:highlight w:val="none"/>
        </w:rPr>
        <w:t>填写记录台账。台账必须明确记录进站垃圾来源、车次吨数等项目，</w:t>
      </w:r>
      <w:r>
        <w:rPr>
          <w:rFonts w:hint="eastAsia" w:ascii="宋体" w:hAnsi="宋体" w:eastAsia="宋体" w:cs="宋体"/>
          <w:color w:val="auto"/>
          <w:spacing w:val="-1"/>
          <w:sz w:val="24"/>
          <w:szCs w:val="24"/>
          <w:highlight w:val="none"/>
        </w:rPr>
        <w:t>只可接收生活垃圾，不得接收工业垃</w:t>
      </w:r>
      <w:r>
        <w:rPr>
          <w:rFonts w:hint="eastAsia" w:ascii="宋体" w:hAnsi="宋体" w:eastAsia="宋体" w:cs="宋体"/>
          <w:color w:val="auto"/>
          <w:spacing w:val="-2"/>
          <w:sz w:val="24"/>
          <w:szCs w:val="24"/>
          <w:highlight w:val="none"/>
        </w:rPr>
        <w:t>圾及医疗、危险、放射性</w:t>
      </w:r>
      <w:r>
        <w:rPr>
          <w:rFonts w:hint="eastAsia" w:ascii="宋体" w:hAnsi="宋体" w:eastAsia="宋体" w:cs="宋体"/>
          <w:color w:val="auto"/>
          <w:spacing w:val="-1"/>
          <w:sz w:val="24"/>
          <w:szCs w:val="24"/>
          <w:highlight w:val="none"/>
        </w:rPr>
        <w:t>等有毒有害废弃物；不得随意接收以</w:t>
      </w:r>
      <w:r>
        <w:rPr>
          <w:rFonts w:hint="eastAsia" w:ascii="宋体" w:hAnsi="宋体" w:eastAsia="宋体" w:cs="宋体"/>
          <w:color w:val="auto"/>
          <w:spacing w:val="-2"/>
          <w:sz w:val="24"/>
          <w:szCs w:val="24"/>
          <w:highlight w:val="none"/>
        </w:rPr>
        <w:t>外的任何单位及个人的生</w:t>
      </w:r>
      <w:r>
        <w:rPr>
          <w:rFonts w:hint="eastAsia" w:ascii="宋体" w:hAnsi="宋体" w:eastAsia="宋体" w:cs="宋体"/>
          <w:color w:val="auto"/>
          <w:spacing w:val="-1"/>
          <w:sz w:val="24"/>
          <w:szCs w:val="24"/>
          <w:highlight w:val="none"/>
        </w:rPr>
        <w:t>活垃圾，杜绝建筑垃圾混入生活垃圾进站。</w:t>
      </w:r>
    </w:p>
    <w:p w14:paraId="249B160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（五）园林绿化及公园管理标准</w:t>
      </w:r>
    </w:p>
    <w:p w14:paraId="5F0A887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76672"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7" name="任意多边形 87"/>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6672;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AMKBLd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2"/>
          <w:sz w:val="24"/>
          <w:szCs w:val="24"/>
          <w:highlight w:val="none"/>
        </w:rPr>
        <w:t>园林绿化及公园管理包含植物养护与绿化管理，植物养护</w:t>
      </w:r>
      <w:r>
        <w:rPr>
          <w:rFonts w:hint="eastAsia" w:ascii="宋体" w:hAnsi="宋体" w:eastAsia="宋体" w:cs="宋体"/>
          <w:color w:val="auto"/>
          <w:spacing w:val="-3"/>
          <w:sz w:val="24"/>
          <w:szCs w:val="24"/>
          <w:highlight w:val="none"/>
        </w:rPr>
        <w:t>工作主</w:t>
      </w:r>
      <w:r>
        <w:rPr>
          <w:rFonts w:hint="eastAsia" w:ascii="宋体" w:hAnsi="宋体" w:eastAsia="宋体" w:cs="宋体"/>
          <w:color w:val="auto"/>
          <w:spacing w:val="-1"/>
          <w:sz w:val="24"/>
          <w:szCs w:val="24"/>
          <w:highlight w:val="none"/>
        </w:rPr>
        <w:t>要技术内容应包括整形修剪、灌溉与排水、施肥、有害</w:t>
      </w:r>
      <w:r>
        <w:rPr>
          <w:rFonts w:hint="eastAsia" w:ascii="宋体" w:hAnsi="宋体" w:eastAsia="宋体" w:cs="宋体"/>
          <w:color w:val="auto"/>
          <w:spacing w:val="-2"/>
          <w:sz w:val="24"/>
          <w:szCs w:val="24"/>
          <w:highlight w:val="none"/>
        </w:rPr>
        <w:t>生物防治、松</w:t>
      </w:r>
      <w:r>
        <w:rPr>
          <w:rFonts w:hint="eastAsia" w:ascii="宋体" w:hAnsi="宋体" w:eastAsia="宋体" w:cs="宋体"/>
          <w:color w:val="auto"/>
          <w:spacing w:val="-1"/>
          <w:sz w:val="24"/>
          <w:szCs w:val="24"/>
          <w:highlight w:val="none"/>
        </w:rPr>
        <w:t>土除草、改植与补植及绿化防护等，绿化管理工作的主</w:t>
      </w:r>
      <w:r>
        <w:rPr>
          <w:rFonts w:hint="eastAsia" w:ascii="宋体" w:hAnsi="宋体" w:eastAsia="宋体" w:cs="宋体"/>
          <w:color w:val="auto"/>
          <w:spacing w:val="-2"/>
          <w:sz w:val="24"/>
          <w:szCs w:val="24"/>
          <w:highlight w:val="none"/>
        </w:rPr>
        <w:t>要技术内容包</w:t>
      </w:r>
      <w:r>
        <w:rPr>
          <w:rFonts w:hint="eastAsia" w:ascii="宋体" w:hAnsi="宋体" w:eastAsia="宋体" w:cs="宋体"/>
          <w:color w:val="auto"/>
          <w:spacing w:val="-1"/>
          <w:sz w:val="24"/>
          <w:szCs w:val="24"/>
          <w:highlight w:val="none"/>
        </w:rPr>
        <w:t>括绿化清理与保洁、附属设施管理、景观管理、</w:t>
      </w:r>
      <w:r>
        <w:rPr>
          <w:rFonts w:hint="eastAsia" w:ascii="宋体" w:hAnsi="宋体" w:eastAsia="宋体" w:cs="宋体"/>
          <w:color w:val="auto"/>
          <w:spacing w:val="-2"/>
          <w:sz w:val="24"/>
          <w:szCs w:val="24"/>
          <w:highlight w:val="none"/>
        </w:rPr>
        <w:t>技术档案及安全保护</w:t>
      </w:r>
      <w:r>
        <w:rPr>
          <w:rFonts w:hint="eastAsia" w:ascii="宋体" w:hAnsi="宋体" w:eastAsia="宋体" w:cs="宋体"/>
          <w:color w:val="auto"/>
          <w:spacing w:val="-1"/>
          <w:sz w:val="24"/>
          <w:szCs w:val="24"/>
          <w:highlight w:val="none"/>
        </w:rPr>
        <w:t>等，具体养护标准参照《园林绿化养护标准</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1"/>
          <w:sz w:val="24"/>
          <w:szCs w:val="24"/>
          <w:highlight w:val="none"/>
        </w:rPr>
        <w:t>CJJT 287-2018》。</w:t>
      </w:r>
    </w:p>
    <w:p w14:paraId="761A811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一、树木养护质量应达到下列标准：</w:t>
      </w:r>
    </w:p>
    <w:p w14:paraId="354787B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1.整体效果</w:t>
      </w:r>
    </w:p>
    <w:p w14:paraId="17D069F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（1）树林、树丛群落结构合理，植株疏密得当，层次分明，林</w:t>
      </w:r>
      <w:r>
        <w:rPr>
          <w:rFonts w:hint="eastAsia" w:ascii="宋体" w:hAnsi="宋体" w:eastAsia="宋体" w:cs="宋体"/>
          <w:color w:val="auto"/>
          <w:spacing w:val="-2"/>
          <w:sz w:val="24"/>
          <w:szCs w:val="24"/>
          <w:highlight w:val="none"/>
        </w:rPr>
        <w:t>冠线和林缘线清晰饱满。</w:t>
      </w:r>
    </w:p>
    <w:p w14:paraId="5B5D692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（2）孤植树树形完美，树冠饱满。</w:t>
      </w:r>
    </w:p>
    <w:p w14:paraId="42C5B56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（3）行道树树冠完整，规格整齐、一致，分枝点高度一致，无</w:t>
      </w:r>
      <w:r>
        <w:rPr>
          <w:rFonts w:hint="eastAsia" w:ascii="宋体" w:hAnsi="宋体" w:eastAsia="宋体" w:cs="宋体"/>
          <w:color w:val="auto"/>
          <w:spacing w:val="-1"/>
          <w:sz w:val="24"/>
          <w:szCs w:val="24"/>
          <w:highlight w:val="none"/>
        </w:rPr>
        <w:t>缺株，树干挺直，树池无裸露。</w:t>
      </w:r>
    </w:p>
    <w:p w14:paraId="7895CF5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（4）绿篱无缺株，修剪面平整饱满，直线处平直，曲线处弧度</w:t>
      </w:r>
      <w:r>
        <w:rPr>
          <w:rFonts w:hint="eastAsia" w:ascii="宋体" w:hAnsi="宋体" w:eastAsia="宋体" w:cs="宋体"/>
          <w:color w:val="auto"/>
          <w:spacing w:val="-11"/>
          <w:sz w:val="24"/>
          <w:szCs w:val="24"/>
          <w:highlight w:val="none"/>
        </w:rPr>
        <w:t>圆润。</w:t>
      </w:r>
    </w:p>
    <w:p w14:paraId="5207501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（5）定期冲洗，绿植表面洁净，无尘土覆盖，绿见本色。</w:t>
      </w:r>
    </w:p>
    <w:p w14:paraId="32377C7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2.枝叶生长茂盛，观花、观果树种正常开花结果，彩色树种季相特征明显，无枯枝。</w:t>
      </w:r>
    </w:p>
    <w:p w14:paraId="3863C6E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3.排灌</w:t>
      </w:r>
    </w:p>
    <w:p w14:paraId="79AD237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（1）暴雨后</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3"/>
          <w:sz w:val="24"/>
          <w:szCs w:val="24"/>
          <w:highlight w:val="none"/>
        </w:rPr>
        <w:t>0.5</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天内无积水。</w:t>
      </w:r>
    </w:p>
    <w:p w14:paraId="1320988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（2）植株未出现失水萎焉和沥滂现象。</w:t>
      </w:r>
    </w:p>
    <w:p w14:paraId="641CD77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4.病虫害情况</w:t>
      </w:r>
    </w:p>
    <w:p w14:paraId="0E55398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（1）基本无有害生物危害状。</w:t>
      </w:r>
    </w:p>
    <w:p w14:paraId="405BD7B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（2）整体枝叶受害率&lt;8%，树干受害率&lt;5%。</w:t>
      </w:r>
    </w:p>
    <w:p w14:paraId="4734C00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5.补植完成时间&lt;3</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3"/>
          <w:sz w:val="24"/>
          <w:szCs w:val="24"/>
          <w:highlight w:val="none"/>
        </w:rPr>
        <w:t>天。</w:t>
      </w:r>
    </w:p>
    <w:p w14:paraId="15725EA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二、花卉养护质量应达到下列标准：</w:t>
      </w:r>
    </w:p>
    <w:p w14:paraId="75E77C3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1.整体效果</w:t>
      </w:r>
    </w:p>
    <w:p w14:paraId="660FD63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（1）缺株倒伏的花苗&lt;3%。</w:t>
      </w:r>
    </w:p>
    <w:p w14:paraId="1472923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77696"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03" name="任意多边形 103"/>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7696;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BgCM8GFQIAAH8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2"/>
          <w:sz w:val="24"/>
          <w:szCs w:val="24"/>
          <w:highlight w:val="none"/>
        </w:rPr>
        <w:t>（2）基本无枯叶、残花。</w:t>
      </w:r>
    </w:p>
    <w:p w14:paraId="7C9A8DB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2.生长势</w:t>
      </w:r>
    </w:p>
    <w:p w14:paraId="33AC7B9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（1）植株生长健壮。</w:t>
      </w:r>
    </w:p>
    <w:p w14:paraId="566EE67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（2）茎干粗壮，基部分枝强健，蓬径饱满。</w:t>
      </w:r>
    </w:p>
    <w:p w14:paraId="315106E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（3）花型美观，花色鲜艳，株高一致。</w:t>
      </w:r>
    </w:p>
    <w:p w14:paraId="02D8B69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3.排灌</w:t>
      </w:r>
    </w:p>
    <w:p w14:paraId="2043718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（1）暴雨后</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3"/>
          <w:sz w:val="24"/>
          <w:szCs w:val="24"/>
          <w:highlight w:val="none"/>
        </w:rPr>
        <w:t>0.5</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天内无积水。</w:t>
      </w:r>
    </w:p>
    <w:p w14:paraId="329FB4D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（2）植株未出现失水萎焉现象。</w:t>
      </w:r>
    </w:p>
    <w:p w14:paraId="4940C80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4.病虫害情况</w:t>
      </w:r>
    </w:p>
    <w:p w14:paraId="1704BB6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（1）基本无有害生物危害状。</w:t>
      </w:r>
    </w:p>
    <w:p w14:paraId="013E628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（2）植株受害率&lt;5%。</w:t>
      </w:r>
    </w:p>
    <w:p w14:paraId="4135046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5.杂草覆盖率&lt;2%。</w:t>
      </w:r>
    </w:p>
    <w:p w14:paraId="34C0E22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6.补植完成时间&lt;3</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3"/>
          <w:sz w:val="24"/>
          <w:szCs w:val="24"/>
          <w:highlight w:val="none"/>
        </w:rPr>
        <w:t>天。</w:t>
      </w:r>
    </w:p>
    <w:p w14:paraId="43DCDAB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三、草坪养护质量应达到下列标准：</w:t>
      </w:r>
    </w:p>
    <w:p w14:paraId="69E36C0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1.整体效果</w:t>
      </w:r>
    </w:p>
    <w:p w14:paraId="3C246A6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（1）成坪高度&lt;6</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厘米。</w:t>
      </w:r>
    </w:p>
    <w:p w14:paraId="3219D50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（2）修剪后无残留草屑，剪口无焦枯、撕裂现象。</w:t>
      </w:r>
    </w:p>
    <w:p w14:paraId="5EFC16F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2.生长势生长茂盛。</w:t>
      </w:r>
    </w:p>
    <w:p w14:paraId="7DE13C8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3.排灌</w:t>
      </w:r>
    </w:p>
    <w:p w14:paraId="39896EA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（1）暴雨后</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3"/>
          <w:sz w:val="24"/>
          <w:szCs w:val="24"/>
          <w:highlight w:val="none"/>
        </w:rPr>
        <w:t>0.5</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天内无积水。</w:t>
      </w:r>
    </w:p>
    <w:p w14:paraId="77E0AC2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（2）草坪无失水萎焉现象。</w:t>
      </w:r>
    </w:p>
    <w:p w14:paraId="6925400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4.病虫害情况</w:t>
      </w:r>
    </w:p>
    <w:p w14:paraId="775B29D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（1）草坪病虫侵害度&lt;2%。</w:t>
      </w:r>
    </w:p>
    <w:p w14:paraId="6082DA6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（2）杂草率&lt;2%。</w:t>
      </w:r>
    </w:p>
    <w:p w14:paraId="6A9B583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5.覆盖度&gt;90%。</w:t>
      </w:r>
    </w:p>
    <w:p w14:paraId="32248D6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6.补植完成时间&lt;3</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3"/>
          <w:sz w:val="24"/>
          <w:szCs w:val="24"/>
          <w:highlight w:val="none"/>
        </w:rPr>
        <w:t>天。</w:t>
      </w:r>
    </w:p>
    <w:p w14:paraId="117B4F3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四、地被养护质量应达到下列标准：</w:t>
      </w:r>
    </w:p>
    <w:p w14:paraId="5E4C11D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78720"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0" name="任意多边形 80"/>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8720;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cHoY9oAAAAMAQAADwAA&#10;AAAAAAABACAAAAAiAAAAZHJzL2Rvd25yZXYueG1sUEsBAhQAFAAAAAgAh07iQFhg07QUAgAAfQQA&#10;AA4AAAAAAAAAAQAgAAAAKQEAAGRycy9lMm9Eb2MueG1sUEsFBgAAAAAGAAYAWQEAAK8FAAAAAA==&#10;" path="m0,0l8374,0,8374,14,0,14,0,0xe">
                <v:fill on="t" focussize="0,0"/>
                <v:stroke on="f"/>
                <v:imagedata o:title=""/>
                <o:lock v:ext="edit" aspectratio="f"/>
              </v:shape>
            </w:pict>
          </mc:Fallback>
        </mc:AlternateContent>
      </w:r>
      <w:r>
        <w:rPr>
          <w:rFonts w:hint="eastAsia" w:ascii="宋体" w:hAnsi="宋体" w:eastAsia="宋体" w:cs="宋体"/>
          <w:color w:val="auto"/>
          <w:spacing w:val="-5"/>
          <w:sz w:val="24"/>
          <w:szCs w:val="24"/>
          <w:highlight w:val="none"/>
        </w:rPr>
        <w:t>1.整体效果</w:t>
      </w:r>
    </w:p>
    <w:p w14:paraId="3341CCF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（1）植株规格一致。</w:t>
      </w:r>
    </w:p>
    <w:p w14:paraId="6E58895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（2）无死株，群体景观效果好。</w:t>
      </w:r>
    </w:p>
    <w:p w14:paraId="6EC6D63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2.生长势生长茂盛。</w:t>
      </w:r>
    </w:p>
    <w:p w14:paraId="11B84FA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3.排灌</w:t>
      </w:r>
    </w:p>
    <w:p w14:paraId="7140505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（1）木本地被暴雨后0.5</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z w:val="24"/>
          <w:szCs w:val="24"/>
          <w:highlight w:val="none"/>
        </w:rPr>
        <w:t>天内无积水；草本地被雨后</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pacing w:val="-3"/>
          <w:sz w:val="24"/>
          <w:szCs w:val="24"/>
          <w:highlight w:val="none"/>
        </w:rPr>
        <w:t>小时无积水。</w:t>
      </w:r>
    </w:p>
    <w:p w14:paraId="49B6CFF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（2）植株无失水萎焉现象。</w:t>
      </w:r>
    </w:p>
    <w:p w14:paraId="5E7B5E4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4.病虫害情况</w:t>
      </w:r>
    </w:p>
    <w:p w14:paraId="18B263F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（1）基本无有害生物危害状。</w:t>
      </w:r>
    </w:p>
    <w:p w14:paraId="785DFC6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（2）受害率&lt;10%。</w:t>
      </w:r>
    </w:p>
    <w:p w14:paraId="02359C0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（3）无影响景观杂草。</w:t>
      </w:r>
    </w:p>
    <w:p w14:paraId="442ED80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5.覆盖率&gt;95%。</w:t>
      </w:r>
    </w:p>
    <w:p w14:paraId="056D42F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6.补植完成时间&lt;3</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3"/>
          <w:sz w:val="24"/>
          <w:szCs w:val="24"/>
          <w:highlight w:val="none"/>
        </w:rPr>
        <w:t>天。</w:t>
      </w:r>
    </w:p>
    <w:p w14:paraId="1E572D2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五、水生植物养护质量应达到下列标准：</w:t>
      </w:r>
    </w:p>
    <w:p w14:paraId="0DD016D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1.整体景观效果美观，无残花败叶漂浮。</w:t>
      </w:r>
    </w:p>
    <w:p w14:paraId="30DDA0E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2.生长势</w:t>
      </w:r>
    </w:p>
    <w:p w14:paraId="3E51BEA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（1）植株生长健壮。</w:t>
      </w:r>
    </w:p>
    <w:p w14:paraId="285DB42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（2）叶色正常；观花、观果植株正常开花结果。</w:t>
      </w:r>
    </w:p>
    <w:p w14:paraId="7E6BB42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（3）枯死植株&lt;5%。</w:t>
      </w:r>
    </w:p>
    <w:p w14:paraId="3B6E68D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3.排灌</w:t>
      </w:r>
    </w:p>
    <w:p w14:paraId="6B0CC51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暴雨后</w:t>
      </w:r>
      <w:r>
        <w:rPr>
          <w:rFonts w:hint="eastAsia" w:ascii="宋体" w:hAnsi="宋体" w:eastAsia="宋体" w:cs="宋体"/>
          <w:color w:val="auto"/>
          <w:spacing w:val="-36"/>
          <w:sz w:val="24"/>
          <w:szCs w:val="24"/>
          <w:highlight w:val="none"/>
        </w:rPr>
        <w:t xml:space="preserve"> </w:t>
      </w:r>
      <w:r>
        <w:rPr>
          <w:rFonts w:hint="eastAsia" w:ascii="宋体" w:hAnsi="宋体" w:eastAsia="宋体" w:cs="宋体"/>
          <w:color w:val="auto"/>
          <w:spacing w:val="-5"/>
          <w:sz w:val="24"/>
          <w:szCs w:val="24"/>
          <w:highlight w:val="none"/>
        </w:rPr>
        <w:t>1</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5"/>
          <w:sz w:val="24"/>
          <w:szCs w:val="24"/>
          <w:highlight w:val="none"/>
        </w:rPr>
        <w:t>天内恢复常水位。</w:t>
      </w:r>
    </w:p>
    <w:p w14:paraId="0D70526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4.基本无有害生物危害状，无杂草。</w:t>
      </w:r>
    </w:p>
    <w:p w14:paraId="2A685A1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5.覆盖率&gt;95%。</w:t>
      </w:r>
    </w:p>
    <w:p w14:paraId="6583521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6.补植完成时间&lt;3</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3"/>
          <w:sz w:val="24"/>
          <w:szCs w:val="24"/>
          <w:highlight w:val="none"/>
        </w:rPr>
        <w:t>天。</w:t>
      </w:r>
    </w:p>
    <w:p w14:paraId="78C055E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六、竹类养护质量应达到下列标准：</w:t>
      </w:r>
    </w:p>
    <w:p w14:paraId="2D9DF81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1.整体效果</w:t>
      </w:r>
    </w:p>
    <w:p w14:paraId="36CB93C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79744"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01" name="任意多边形 101"/>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79744;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CxwMQHFQIAAH8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2"/>
          <w:sz w:val="24"/>
          <w:szCs w:val="24"/>
          <w:highlight w:val="none"/>
        </w:rPr>
        <w:t>（1）死竹、枯竹、破损竹&lt;3%。</w:t>
      </w:r>
    </w:p>
    <w:p w14:paraId="7CA663E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（2）有完整的林相。</w:t>
      </w:r>
    </w:p>
    <w:p w14:paraId="286492A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2.生长势</w:t>
      </w:r>
    </w:p>
    <w:p w14:paraId="24F2400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（1）竹丛通风透光，植株生长健壮。</w:t>
      </w:r>
    </w:p>
    <w:p w14:paraId="5567C9B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（2）新、老竹生长比例适当。</w:t>
      </w:r>
    </w:p>
    <w:p w14:paraId="27DB499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（3）竹鞭无裸露。</w:t>
      </w:r>
    </w:p>
    <w:p w14:paraId="4BED341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3.排灌</w:t>
      </w:r>
    </w:p>
    <w:p w14:paraId="5BA8531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（1）暴雨后</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3"/>
          <w:sz w:val="24"/>
          <w:szCs w:val="24"/>
          <w:highlight w:val="none"/>
        </w:rPr>
        <w:t>0.5</w:t>
      </w:r>
      <w:r>
        <w:rPr>
          <w:rFonts w:hint="eastAsia" w:ascii="宋体" w:hAnsi="宋体" w:eastAsia="宋体" w:cs="宋体"/>
          <w:color w:val="auto"/>
          <w:spacing w:val="-56"/>
          <w:sz w:val="24"/>
          <w:szCs w:val="24"/>
          <w:highlight w:val="none"/>
        </w:rPr>
        <w:t xml:space="preserve"> </w:t>
      </w:r>
      <w:r>
        <w:rPr>
          <w:rFonts w:hint="eastAsia" w:ascii="宋体" w:hAnsi="宋体" w:eastAsia="宋体" w:cs="宋体"/>
          <w:color w:val="auto"/>
          <w:spacing w:val="-3"/>
          <w:sz w:val="24"/>
          <w:szCs w:val="24"/>
          <w:highlight w:val="none"/>
        </w:rPr>
        <w:t>天内无积水。</w:t>
      </w:r>
    </w:p>
    <w:p w14:paraId="6DAEA12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（2）植株无失水萎焉现象。</w:t>
      </w:r>
    </w:p>
    <w:p w14:paraId="113E0BC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4.病虫害情况</w:t>
      </w:r>
    </w:p>
    <w:p w14:paraId="11B10CC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（1）基本无有害生物危害状。</w:t>
      </w:r>
    </w:p>
    <w:p w14:paraId="05516A1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（2）竹叶受害率&lt;8%。</w:t>
      </w:r>
    </w:p>
    <w:p w14:paraId="5838561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（3）竹梢、竹杆受害率&lt;5%。</w:t>
      </w:r>
    </w:p>
    <w:p w14:paraId="6504BDC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5.补植完成时间&lt;3</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pacing w:val="-3"/>
          <w:sz w:val="24"/>
          <w:szCs w:val="24"/>
          <w:highlight w:val="none"/>
        </w:rPr>
        <w:t>天。</w:t>
      </w:r>
    </w:p>
    <w:p w14:paraId="4DE8B54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七、绿化整体环境干净、整洁，垃圾及杂物随产随清。</w:t>
      </w:r>
    </w:p>
    <w:p w14:paraId="5DE5E53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八、附属设施安全、完整、维护及时。</w:t>
      </w:r>
    </w:p>
    <w:p w14:paraId="69EEC25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九、景观水体安全、清洁、驳岸完好。</w:t>
      </w:r>
    </w:p>
    <w:p w14:paraId="54736C8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十、技术档案内容完整，积极实践信息化管理体系。</w:t>
      </w:r>
    </w:p>
    <w:p w14:paraId="6847271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十一、养护人员身着规范统一的养护标志服</w:t>
      </w:r>
      <w:r>
        <w:rPr>
          <w:rFonts w:hint="eastAsia" w:ascii="宋体" w:hAnsi="宋体" w:eastAsia="宋体" w:cs="宋体"/>
          <w:color w:val="auto"/>
          <w:spacing w:val="-2"/>
          <w:sz w:val="24"/>
          <w:szCs w:val="24"/>
          <w:highlight w:val="none"/>
        </w:rPr>
        <w:t>，施工作业机具安全</w:t>
      </w:r>
      <w:r>
        <w:rPr>
          <w:rFonts w:hint="eastAsia" w:ascii="宋体" w:hAnsi="宋体" w:eastAsia="宋体" w:cs="宋体"/>
          <w:color w:val="auto"/>
          <w:spacing w:val="-1"/>
          <w:sz w:val="24"/>
          <w:szCs w:val="24"/>
          <w:highlight w:val="none"/>
        </w:rPr>
        <w:t>完好，无安全隐患，重大节日活动有应急预案。</w:t>
      </w:r>
    </w:p>
    <w:p w14:paraId="6BDCBEE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6"/>
          <w:sz w:val="24"/>
          <w:szCs w:val="24"/>
          <w:highlight w:val="none"/>
        </w:rPr>
        <w:t>（六）旱厕后续管护</w:t>
      </w:r>
    </w:p>
    <w:p w14:paraId="50B7E70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1、粪液抽吸标准</w:t>
      </w:r>
    </w:p>
    <w:p w14:paraId="4BC9235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（1）粪液抽吸为全日制，全年连续作业服务，车辆密闭运输，</w:t>
      </w:r>
      <w:r>
        <w:rPr>
          <w:rFonts w:hint="eastAsia" w:ascii="宋体" w:hAnsi="宋体" w:eastAsia="宋体" w:cs="宋体"/>
          <w:color w:val="auto"/>
          <w:spacing w:val="-1"/>
          <w:sz w:val="24"/>
          <w:szCs w:val="24"/>
          <w:highlight w:val="none"/>
        </w:rPr>
        <w:t>粪液密闭存放无污物无满溢，保持干净，运输过程中无流</w:t>
      </w:r>
      <w:r>
        <w:rPr>
          <w:rFonts w:hint="eastAsia" w:ascii="宋体" w:hAnsi="宋体" w:eastAsia="宋体" w:cs="宋体"/>
          <w:color w:val="auto"/>
          <w:spacing w:val="-2"/>
          <w:sz w:val="24"/>
          <w:szCs w:val="24"/>
          <w:highlight w:val="none"/>
        </w:rPr>
        <w:t>溢污水，在</w:t>
      </w:r>
      <w:r>
        <w:rPr>
          <w:rFonts w:hint="eastAsia" w:ascii="宋体" w:hAnsi="宋体" w:eastAsia="宋体" w:cs="宋体"/>
          <w:color w:val="auto"/>
          <w:spacing w:val="-1"/>
          <w:sz w:val="24"/>
          <w:szCs w:val="24"/>
          <w:highlight w:val="none"/>
        </w:rPr>
        <w:t>蚊蝇滋生季节应定时喷洒灭蚊蝇药物，特殊时期要定时消毒。</w:t>
      </w:r>
    </w:p>
    <w:p w14:paraId="77862EE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（2）吸污车辆司乘人员要严格遵守安全制度，确保车辆安全出</w:t>
      </w:r>
      <w:r>
        <w:rPr>
          <w:rFonts w:hint="eastAsia" w:ascii="宋体" w:hAnsi="宋体" w:eastAsia="宋体" w:cs="宋体"/>
          <w:color w:val="auto"/>
          <w:spacing w:val="-2"/>
          <w:sz w:val="24"/>
          <w:szCs w:val="24"/>
          <w:highlight w:val="none"/>
        </w:rPr>
        <w:t>行。在运输过程中严禁扬、散、拖挂、污水滴漏和超限运输，严禁乱</w:t>
      </w:r>
      <w:r>
        <w:rPr>
          <w:rFonts w:hint="eastAsia" w:ascii="宋体" w:hAnsi="宋体" w:eastAsia="宋体" w:cs="宋体"/>
          <w:color w:val="auto"/>
          <w:sz w:val="24"/>
          <w:szCs w:val="24"/>
          <w:highlight w:val="none"/>
        </w:rPr>
        <mc:AlternateContent>
          <mc:Choice Requires="wps">
            <w:drawing>
              <wp:anchor distT="0" distB="0" distL="114300" distR="114300" simplePos="0" relativeHeight="251680768"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1" name="任意多边形 81"/>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0768;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cHoY9oAAAAMAQAADwAA&#10;AAAAAAABACAAAAAiAAAAZHJzL2Rvd25yZXYueG1sUEsBAhQAFAAAAAgAh07iQF+iNeQUAgAAfQQA&#10;AA4AAAAAAAAAAQAgAAAAKQEAAGRycy9lMm9Eb2MueG1sUEsFBgAAAAAGAAYAWQEAAK8FAAAAAA==&#10;" path="m0,0l8374,0,8374,14,0,14,0,0xe">
                <v:fill on="t" focussize="0,0"/>
                <v:stroke on="f"/>
                <v:imagedata o:title=""/>
                <o:lock v:ext="edit" aspectratio="f"/>
              </v:shape>
            </w:pict>
          </mc:Fallback>
        </mc:AlternateContent>
      </w:r>
      <w:r>
        <w:rPr>
          <w:rFonts w:hint="eastAsia" w:ascii="宋体" w:hAnsi="宋体" w:eastAsia="宋体" w:cs="宋体"/>
          <w:color w:val="auto"/>
          <w:spacing w:val="-2"/>
          <w:sz w:val="24"/>
          <w:szCs w:val="24"/>
          <w:highlight w:val="none"/>
        </w:rPr>
        <w:t>倒、乱卸、乱抛垃圾。</w:t>
      </w:r>
    </w:p>
    <w:p w14:paraId="062A3BC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（3）吸污车辆运输作业结束，应将车辆清洗干净，保持车容整</w:t>
      </w:r>
      <w:r>
        <w:rPr>
          <w:rFonts w:hint="eastAsia" w:ascii="宋体" w:hAnsi="宋体" w:eastAsia="宋体" w:cs="宋体"/>
          <w:color w:val="auto"/>
          <w:spacing w:val="-1"/>
          <w:sz w:val="24"/>
          <w:szCs w:val="24"/>
          <w:highlight w:val="none"/>
        </w:rPr>
        <w:t>洁，车体外部无污物、灰垢， 车牌号码与标志应清晰。</w:t>
      </w:r>
    </w:p>
    <w:p w14:paraId="4373284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（4）收集粪液后或运至发酵池时，应及时清理设备及周边环境</w:t>
      </w:r>
      <w:r>
        <w:rPr>
          <w:rFonts w:hint="eastAsia" w:ascii="宋体" w:hAnsi="宋体" w:eastAsia="宋体" w:cs="宋体"/>
          <w:color w:val="auto"/>
          <w:spacing w:val="-1"/>
          <w:sz w:val="24"/>
          <w:szCs w:val="24"/>
          <w:highlight w:val="none"/>
        </w:rPr>
        <w:t>卫生，做到车走地面净，无抛洒、无污物积水。</w:t>
      </w:r>
    </w:p>
    <w:p w14:paraId="61834D5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2、厕具维修标准。</w:t>
      </w:r>
    </w:p>
    <w:p w14:paraId="6E6EA54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（1）建立用户标准化档案，包括厕所改造时间、类型，</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1"/>
          <w:sz w:val="24"/>
          <w:szCs w:val="24"/>
          <w:highlight w:val="none"/>
        </w:rPr>
        <w:t>日常管</w:t>
      </w:r>
      <w:r>
        <w:rPr>
          <w:rFonts w:hint="eastAsia" w:ascii="宋体" w:hAnsi="宋体" w:eastAsia="宋体" w:cs="宋体"/>
          <w:color w:val="auto"/>
          <w:spacing w:val="-2"/>
          <w:sz w:val="24"/>
          <w:szCs w:val="24"/>
          <w:highlight w:val="none"/>
        </w:rPr>
        <w:t>理与维修记录等情况。</w:t>
      </w:r>
    </w:p>
    <w:p w14:paraId="34B51A1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（2）对厕所维修器件进行集中展示，方便用户选用和咨询。</w:t>
      </w:r>
    </w:p>
    <w:p w14:paraId="10EF2D0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（3）响应用户维修需求，并对维修情况进行跟踪和监督，确保</w:t>
      </w:r>
      <w:r>
        <w:rPr>
          <w:rFonts w:hint="eastAsia" w:ascii="宋体" w:hAnsi="宋体" w:eastAsia="宋体" w:cs="宋体"/>
          <w:color w:val="auto"/>
          <w:spacing w:val="-2"/>
          <w:sz w:val="24"/>
          <w:szCs w:val="24"/>
          <w:highlight w:val="none"/>
        </w:rPr>
        <w:t>响应及时，收费合理，群众满意。</w:t>
      </w:r>
    </w:p>
    <w:p w14:paraId="01D8211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3、粪液发酵处理池及粪液无害化利用。</w:t>
      </w:r>
    </w:p>
    <w:p w14:paraId="25107E5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（1）做好发酵处理池的安全运行。</w:t>
      </w:r>
    </w:p>
    <w:p w14:paraId="47CCA51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（2）粪便清运必须全部转运至发酵处理池，不得私自处理或随</w:t>
      </w:r>
      <w:r>
        <w:rPr>
          <w:rFonts w:hint="eastAsia" w:ascii="宋体" w:hAnsi="宋体" w:eastAsia="宋体" w:cs="宋体"/>
          <w:color w:val="auto"/>
          <w:spacing w:val="-2"/>
          <w:sz w:val="24"/>
          <w:szCs w:val="24"/>
          <w:highlight w:val="none"/>
        </w:rPr>
        <w:t>意倾倒，严禁造成二次污染。</w:t>
      </w:r>
    </w:p>
    <w:p w14:paraId="15DF58D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（3）二次发酵的粪液利用于农林业种植等使用，实现资源化循</w:t>
      </w:r>
      <w:r>
        <w:rPr>
          <w:rFonts w:hint="eastAsia" w:ascii="宋体" w:hAnsi="宋体" w:eastAsia="宋体" w:cs="宋体"/>
          <w:color w:val="auto"/>
          <w:spacing w:val="-3"/>
          <w:sz w:val="24"/>
          <w:szCs w:val="24"/>
          <w:highlight w:val="none"/>
        </w:rPr>
        <w:t>环利用。</w:t>
      </w:r>
    </w:p>
    <w:p w14:paraId="372843D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4、工作人员服务标准</w:t>
      </w:r>
    </w:p>
    <w:p w14:paraId="667FCC9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（1）吸污人员作业时必须穿标志服、戴工作帽、配戴上岗证。</w:t>
      </w:r>
    </w:p>
    <w:p w14:paraId="28C6566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（2）工作中文明作业，规范操作，做到无群众投诉。</w:t>
      </w:r>
    </w:p>
    <w:p w14:paraId="4A6C43B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（3）在运输或操作过程中，提高安全意识，保证自身及他人安</w:t>
      </w:r>
      <w:r>
        <w:rPr>
          <w:rFonts w:hint="eastAsia" w:ascii="宋体" w:hAnsi="宋体" w:eastAsia="宋体" w:cs="宋体"/>
          <w:color w:val="auto"/>
          <w:spacing w:val="-5"/>
          <w:sz w:val="24"/>
          <w:szCs w:val="24"/>
          <w:highlight w:val="none"/>
        </w:rPr>
        <w:t>全。</w:t>
      </w:r>
    </w:p>
    <w:p w14:paraId="7AB5A85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（4）规范作业流程，提高管养水平，坚持高标准、高质量，实</w:t>
      </w:r>
      <w:r>
        <w:rPr>
          <w:rFonts w:hint="eastAsia" w:ascii="宋体" w:hAnsi="宋体" w:eastAsia="宋体" w:cs="宋体"/>
          <w:color w:val="auto"/>
          <w:spacing w:val="-1"/>
          <w:sz w:val="24"/>
          <w:szCs w:val="24"/>
          <w:highlight w:val="none"/>
        </w:rPr>
        <w:t>现规范化作业，推行现代化管理，要有效改善管理存在的薄</w:t>
      </w:r>
      <w:r>
        <w:rPr>
          <w:rFonts w:hint="eastAsia" w:ascii="宋体" w:hAnsi="宋体" w:eastAsia="宋体" w:cs="宋体"/>
          <w:color w:val="auto"/>
          <w:spacing w:val="-2"/>
          <w:sz w:val="24"/>
          <w:szCs w:val="24"/>
          <w:highlight w:val="none"/>
        </w:rPr>
        <w:t>弱环节，</w:t>
      </w:r>
      <w:r>
        <w:rPr>
          <w:rFonts w:hint="eastAsia" w:ascii="宋体" w:hAnsi="宋体" w:eastAsia="宋体" w:cs="宋体"/>
          <w:color w:val="auto"/>
          <w:spacing w:val="-1"/>
          <w:sz w:val="24"/>
          <w:szCs w:val="24"/>
          <w:highlight w:val="none"/>
        </w:rPr>
        <w:t>进一步提升快速反应能力和运营质量。</w:t>
      </w:r>
    </w:p>
    <w:p w14:paraId="7F45AFE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4" w:firstLineChars="200"/>
        <w:textAlignment w:val="auto"/>
        <w:rPr>
          <w:rFonts w:hint="eastAsia" w:ascii="宋体" w:hAnsi="宋体" w:eastAsia="宋体" w:cs="宋体"/>
          <w:color w:val="auto"/>
          <w:spacing w:val="-1"/>
          <w:sz w:val="24"/>
          <w:szCs w:val="24"/>
          <w:highlight w:val="none"/>
        </w:rPr>
      </w:pPr>
      <w:r>
        <w:rPr>
          <w:rFonts w:hint="eastAsia" w:ascii="宋体" w:hAnsi="宋体" w:eastAsia="宋体" w:cs="宋体"/>
          <w:color w:val="auto"/>
          <w:spacing w:val="1"/>
          <w:sz w:val="24"/>
          <w:szCs w:val="24"/>
          <w:highlight w:val="none"/>
        </w:rPr>
        <w:t>（5）须做好日常工作记录、</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1"/>
          <w:sz w:val="24"/>
          <w:szCs w:val="24"/>
          <w:highlight w:val="none"/>
        </w:rPr>
        <w:t>日常巡查记录、维修记录等各项管</w:t>
      </w:r>
      <w:r>
        <w:rPr>
          <w:rFonts w:hint="eastAsia" w:ascii="宋体" w:hAnsi="宋体" w:eastAsia="宋体" w:cs="宋体"/>
          <w:color w:val="auto"/>
          <w:spacing w:val="-1"/>
          <w:sz w:val="24"/>
          <w:szCs w:val="24"/>
          <w:highlight w:val="none"/>
        </w:rPr>
        <w:t>理记录并形成电子及文字档案，要求档案详实。</w:t>
      </w:r>
    </w:p>
    <w:p w14:paraId="6C78952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81792"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3" name="任意多边形 93"/>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1792;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AwVczb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4"/>
          <w:sz w:val="24"/>
          <w:szCs w:val="24"/>
          <w:highlight w:val="none"/>
        </w:rPr>
        <w:t>（6）新员工上岗之前，运营企业必须进行安全教育和技能培训，</w:t>
      </w:r>
      <w:r>
        <w:rPr>
          <w:rFonts w:hint="eastAsia" w:ascii="宋体" w:hAnsi="宋体" w:eastAsia="宋体" w:cs="宋体"/>
          <w:color w:val="auto"/>
          <w:spacing w:val="-1"/>
          <w:sz w:val="24"/>
          <w:szCs w:val="24"/>
          <w:highlight w:val="none"/>
        </w:rPr>
        <w:t>做到不教育不培训不能上岗。运营企业应定期对员工进</w:t>
      </w:r>
      <w:r>
        <w:rPr>
          <w:rFonts w:hint="eastAsia" w:ascii="宋体" w:hAnsi="宋体" w:eastAsia="宋体" w:cs="宋体"/>
          <w:color w:val="auto"/>
          <w:spacing w:val="-2"/>
          <w:sz w:val="24"/>
          <w:szCs w:val="24"/>
          <w:highlight w:val="none"/>
        </w:rPr>
        <w:t>行安全生产教育和培训。</w:t>
      </w:r>
    </w:p>
    <w:p w14:paraId="567878D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5、安全生产运营</w:t>
      </w:r>
    </w:p>
    <w:p w14:paraId="3ED848F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（1）运营企业应严格执行各项国家地方有关规定，应实施严格</w:t>
      </w:r>
      <w:r>
        <w:rPr>
          <w:rFonts w:hint="eastAsia" w:ascii="宋体" w:hAnsi="宋体" w:eastAsia="宋体" w:cs="宋体"/>
          <w:color w:val="auto"/>
          <w:spacing w:val="-2"/>
          <w:sz w:val="24"/>
          <w:szCs w:val="24"/>
          <w:highlight w:val="none"/>
        </w:rPr>
        <w:t>的各类安全防护保障措施，做好安全工作。</w:t>
      </w:r>
    </w:p>
    <w:p w14:paraId="546B14B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（2）运营企业在服务期间，若发生与本项目相关的安全事故、</w:t>
      </w:r>
      <w:r>
        <w:rPr>
          <w:rFonts w:hint="eastAsia" w:ascii="宋体" w:hAnsi="宋体" w:eastAsia="宋体" w:cs="宋体"/>
          <w:color w:val="auto"/>
          <w:spacing w:val="-1"/>
          <w:sz w:val="24"/>
          <w:szCs w:val="24"/>
          <w:highlight w:val="none"/>
        </w:rPr>
        <w:t>交通事故，一切法律和经济责任均由运营企业承担。</w:t>
      </w:r>
    </w:p>
    <w:p w14:paraId="131024A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（3）运营企业维护、维修不当或不及时或维修过程施工安全不</w:t>
      </w:r>
      <w:r>
        <w:rPr>
          <w:rFonts w:hint="eastAsia" w:ascii="宋体" w:hAnsi="宋体" w:eastAsia="宋体" w:cs="宋体"/>
          <w:color w:val="auto"/>
          <w:spacing w:val="8"/>
          <w:sz w:val="24"/>
          <w:szCs w:val="24"/>
          <w:highlight w:val="none"/>
        </w:rPr>
        <w:t>到位等原因所发生的安全事故及由此产生的费用完全由运营企业承</w:t>
      </w:r>
      <w:r>
        <w:rPr>
          <w:rFonts w:hint="eastAsia" w:ascii="宋体" w:hAnsi="宋体" w:eastAsia="宋体" w:cs="宋体"/>
          <w:color w:val="auto"/>
          <w:spacing w:val="-6"/>
          <w:sz w:val="24"/>
          <w:szCs w:val="24"/>
          <w:highlight w:val="none"/>
        </w:rPr>
        <w:t>担。</w:t>
      </w:r>
    </w:p>
    <w:p w14:paraId="33B855E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（4）服务期间运营企业应密切注意气象预报，及时采取防范措</w:t>
      </w:r>
      <w:r>
        <w:rPr>
          <w:rFonts w:hint="eastAsia" w:ascii="宋体" w:hAnsi="宋体" w:eastAsia="宋体" w:cs="宋体"/>
          <w:color w:val="auto"/>
          <w:spacing w:val="-1"/>
          <w:sz w:val="24"/>
          <w:szCs w:val="24"/>
          <w:highlight w:val="none"/>
        </w:rPr>
        <w:t>施，防止暴风雨、洪水、雷电、冰冻、高温等造成</w:t>
      </w:r>
      <w:r>
        <w:rPr>
          <w:rFonts w:hint="eastAsia" w:ascii="宋体" w:hAnsi="宋体" w:eastAsia="宋体" w:cs="宋体"/>
          <w:color w:val="auto"/>
          <w:spacing w:val="-2"/>
          <w:sz w:val="24"/>
          <w:szCs w:val="24"/>
          <w:highlight w:val="none"/>
        </w:rPr>
        <w:t>人身伤害，运营企</w:t>
      </w:r>
      <w:r>
        <w:rPr>
          <w:rFonts w:hint="eastAsia" w:ascii="宋体" w:hAnsi="宋体" w:eastAsia="宋体" w:cs="宋体"/>
          <w:color w:val="auto"/>
          <w:spacing w:val="-1"/>
          <w:sz w:val="24"/>
          <w:szCs w:val="24"/>
          <w:highlight w:val="none"/>
        </w:rPr>
        <w:t>业不得以除地震等不可抗力以外的自然灾害为由提出索赔要求。</w:t>
      </w:r>
    </w:p>
    <w:p w14:paraId="69B940B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4"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（七）冬季除雪</w:t>
      </w:r>
    </w:p>
    <w:p w14:paraId="5FA9EB5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1、应急队伍设置</w:t>
      </w:r>
    </w:p>
    <w:p w14:paraId="3CC8AB2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项目公司必须根据降雪量及对环境造成的影响，分级制定至少三</w:t>
      </w:r>
      <w:r>
        <w:rPr>
          <w:rFonts w:hint="eastAsia" w:ascii="宋体" w:hAnsi="宋体" w:eastAsia="宋体" w:cs="宋体"/>
          <w:color w:val="auto"/>
          <w:spacing w:val="-7"/>
          <w:sz w:val="24"/>
          <w:szCs w:val="24"/>
          <w:highlight w:val="none"/>
        </w:rPr>
        <w:t>级除雪应急预案，设置不少于 30 人的应急保障队伍，</w:t>
      </w:r>
      <w:r>
        <w:rPr>
          <w:rFonts w:hint="eastAsia" w:ascii="宋体" w:hAnsi="宋体" w:eastAsia="宋体" w:cs="宋体"/>
          <w:color w:val="auto"/>
          <w:spacing w:val="-8"/>
          <w:sz w:val="24"/>
          <w:szCs w:val="24"/>
          <w:highlight w:val="none"/>
        </w:rPr>
        <w:t>明确人员构成，</w:t>
      </w:r>
      <w:r>
        <w:rPr>
          <w:rFonts w:hint="eastAsia" w:ascii="宋体" w:hAnsi="宋体" w:eastAsia="宋体" w:cs="宋体"/>
          <w:color w:val="auto"/>
          <w:spacing w:val="-2"/>
          <w:sz w:val="24"/>
          <w:szCs w:val="24"/>
          <w:highlight w:val="none"/>
        </w:rPr>
        <w:t>配置相应装备。</w:t>
      </w:r>
    </w:p>
    <w:p w14:paraId="3489F87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2、除雪铲冰工作要求</w:t>
      </w:r>
    </w:p>
    <w:p w14:paraId="3DE1214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（1）要备足融雪物资，对融雪设施及车辆进行全面检修，并进</w:t>
      </w:r>
      <w:r>
        <w:rPr>
          <w:rFonts w:hint="eastAsia" w:ascii="宋体" w:hAnsi="宋体" w:eastAsia="宋体" w:cs="宋体"/>
          <w:color w:val="auto"/>
          <w:spacing w:val="1"/>
          <w:sz w:val="24"/>
          <w:szCs w:val="24"/>
          <w:highlight w:val="none"/>
        </w:rPr>
        <w:t>行试运转，使之处于</w:t>
      </w:r>
      <w:r>
        <w:rPr>
          <w:rFonts w:hint="eastAsia" w:ascii="宋体" w:hAnsi="宋体" w:eastAsia="宋体" w:cs="宋体"/>
          <w:color w:val="auto"/>
          <w:spacing w:val="75"/>
          <w:sz w:val="24"/>
          <w:szCs w:val="24"/>
          <w:highlight w:val="none"/>
        </w:rPr>
        <w:t xml:space="preserve"> </w:t>
      </w:r>
      <w:r>
        <w:rPr>
          <w:rFonts w:hint="eastAsia" w:ascii="宋体" w:hAnsi="宋体" w:eastAsia="宋体" w:cs="宋体"/>
          <w:color w:val="auto"/>
          <w:spacing w:val="1"/>
          <w:sz w:val="24"/>
          <w:szCs w:val="24"/>
          <w:highlight w:val="none"/>
        </w:rPr>
        <w:t>良好状态；要配足铲雪工具，一旦降雪，能够</w:t>
      </w:r>
      <w:r>
        <w:rPr>
          <w:rFonts w:hint="eastAsia" w:ascii="宋体" w:hAnsi="宋体" w:eastAsia="宋体" w:cs="宋体"/>
          <w:color w:val="auto"/>
          <w:spacing w:val="-1"/>
          <w:sz w:val="24"/>
          <w:szCs w:val="24"/>
          <w:highlight w:val="none"/>
        </w:rPr>
        <w:t>立即进行扫雪铲冰工作。</w:t>
      </w:r>
    </w:p>
    <w:p w14:paraId="75DF408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（2）除雪铲冰工作要本着先一类、后二类、三类的原则进行除雪铲冰工作。使用融 雪剂作业时，掌握好喷洒数量和浓度，合理掌</w:t>
      </w:r>
      <w:r>
        <w:rPr>
          <w:rFonts w:hint="eastAsia" w:ascii="宋体" w:hAnsi="宋体" w:eastAsia="宋体" w:cs="宋体"/>
          <w:color w:val="auto"/>
          <w:spacing w:val="-1"/>
          <w:sz w:val="24"/>
          <w:szCs w:val="24"/>
          <w:highlight w:val="none"/>
        </w:rPr>
        <w:t>握融雪车喷洒速度，做到喷洒均匀，不污染到花</w:t>
      </w:r>
      <w:r>
        <w:rPr>
          <w:rFonts w:hint="eastAsia" w:ascii="宋体" w:hAnsi="宋体" w:eastAsia="宋体" w:cs="宋体"/>
          <w:color w:val="auto"/>
          <w:spacing w:val="-2"/>
          <w:sz w:val="24"/>
          <w:szCs w:val="24"/>
          <w:highlight w:val="none"/>
        </w:rPr>
        <w:t>坛、绿化、树穴，并</w:t>
      </w:r>
      <w:r>
        <w:rPr>
          <w:rFonts w:hint="eastAsia" w:ascii="宋体" w:hAnsi="宋体" w:eastAsia="宋体" w:cs="宋体"/>
          <w:color w:val="auto"/>
          <w:spacing w:val="-1"/>
          <w:sz w:val="24"/>
          <w:szCs w:val="24"/>
          <w:highlight w:val="none"/>
        </w:rPr>
        <w:t>注意融雪作业车辆安全，无各类事故发生。</w:t>
      </w:r>
    </w:p>
    <w:p w14:paraId="2481728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82816"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3" name="任意多边形 83"/>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2816;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9cHoY9oAAAAMAQAADwAA&#10;AAAAAAABACAAAAAiAAAAZHJzL2Rvd25yZXYueG1sUEsBAhQAFAAAAAgAh07iQFEm+EUUAgAAfQQA&#10;AA4AAAAAAAAAAQAgAAAAKQEAAGRycy9lMm9Eb2MueG1sUEsFBgAAAAAGAAYAWQEAAK8FAAAAAA==&#10;" path="m0,0l8374,0,8374,14,0,14,0,0xe">
                <v:fill on="t" focussize="0,0"/>
                <v:stroke on="f"/>
                <v:imagedata o:title=""/>
                <o:lock v:ext="edit" aspectratio="f"/>
              </v:shape>
            </w:pict>
          </mc:Fallback>
        </mc:AlternateContent>
      </w:r>
      <w:r>
        <w:rPr>
          <w:rFonts w:hint="eastAsia" w:ascii="宋体" w:hAnsi="宋体" w:eastAsia="宋体" w:cs="宋体"/>
          <w:color w:val="auto"/>
          <w:spacing w:val="3"/>
          <w:sz w:val="24"/>
          <w:szCs w:val="24"/>
          <w:highlight w:val="none"/>
        </w:rPr>
        <w:t>（3）要及时对垃圾中转站、公厕门前进行除雪作业，保证生活</w:t>
      </w:r>
      <w:r>
        <w:rPr>
          <w:rFonts w:hint="eastAsia" w:ascii="宋体" w:hAnsi="宋体" w:eastAsia="宋体" w:cs="宋体"/>
          <w:color w:val="auto"/>
          <w:spacing w:val="-1"/>
          <w:sz w:val="24"/>
          <w:szCs w:val="24"/>
          <w:highlight w:val="none"/>
        </w:rPr>
        <w:t>垃圾正常清运和方便群众入厕，同时做好降雪期间垃圾</w:t>
      </w:r>
      <w:r>
        <w:rPr>
          <w:rFonts w:hint="eastAsia" w:ascii="宋体" w:hAnsi="宋体" w:eastAsia="宋体" w:cs="宋体"/>
          <w:color w:val="auto"/>
          <w:spacing w:val="-2"/>
          <w:sz w:val="24"/>
          <w:szCs w:val="24"/>
          <w:highlight w:val="none"/>
        </w:rPr>
        <w:t>运输车辆的调</w:t>
      </w:r>
      <w:r>
        <w:rPr>
          <w:rFonts w:hint="eastAsia" w:ascii="宋体" w:hAnsi="宋体" w:eastAsia="宋体" w:cs="宋体"/>
          <w:color w:val="auto"/>
          <w:spacing w:val="-1"/>
          <w:sz w:val="24"/>
          <w:szCs w:val="24"/>
          <w:highlight w:val="none"/>
        </w:rPr>
        <w:t>配，保证生活垃圾不积存。</w:t>
      </w:r>
    </w:p>
    <w:p w14:paraId="1D3C8D1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（4）道路两侧各机关、企事业单位和扫雪铲冰责任范围为：横</w:t>
      </w:r>
      <w:r>
        <w:rPr>
          <w:rFonts w:hint="eastAsia" w:ascii="宋体" w:hAnsi="宋体" w:eastAsia="宋体" w:cs="宋体"/>
          <w:color w:val="auto"/>
          <w:spacing w:val="-4"/>
          <w:sz w:val="24"/>
          <w:szCs w:val="24"/>
          <w:highlight w:val="none"/>
        </w:rPr>
        <w:t>向以该单位建筑物两 侧至相邻单位建筑分界线，纵向至道路中心线。</w:t>
      </w:r>
    </w:p>
    <w:p w14:paraId="2A4502C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3、预案执行情况</w:t>
      </w:r>
    </w:p>
    <w:p w14:paraId="27CCBC0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结合各项应急预案，根据实际执行情况和效果给予考核评定打分。</w:t>
      </w:r>
    </w:p>
    <w:p w14:paraId="3204577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4、重点工作</w:t>
      </w:r>
    </w:p>
    <w:p w14:paraId="20633A5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（1）迎评迎创迎检、重要会议活动。严格遵守相关保洁作业规</w:t>
      </w:r>
      <w:r>
        <w:rPr>
          <w:rFonts w:hint="eastAsia" w:ascii="宋体" w:hAnsi="宋体" w:eastAsia="宋体" w:cs="宋体"/>
          <w:color w:val="auto"/>
          <w:spacing w:val="-1"/>
          <w:sz w:val="24"/>
          <w:szCs w:val="24"/>
          <w:highlight w:val="none"/>
        </w:rPr>
        <w:t>范，服从临时调配安排，执行应急作业要求，按时做</w:t>
      </w:r>
      <w:r>
        <w:rPr>
          <w:rFonts w:hint="eastAsia" w:ascii="宋体" w:hAnsi="宋体" w:eastAsia="宋体" w:cs="宋体"/>
          <w:color w:val="auto"/>
          <w:spacing w:val="-2"/>
          <w:sz w:val="24"/>
          <w:szCs w:val="24"/>
          <w:highlight w:val="none"/>
        </w:rPr>
        <w:t>好问题整改，不得以任何理由推诿扯皮。</w:t>
      </w:r>
    </w:p>
    <w:p w14:paraId="711A14E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（2）考核排名。严格管理，认真履行职责，确保上级各项相关</w:t>
      </w:r>
      <w:r>
        <w:rPr>
          <w:rFonts w:hint="eastAsia" w:ascii="宋体" w:hAnsi="宋体" w:eastAsia="宋体" w:cs="宋体"/>
          <w:color w:val="auto"/>
          <w:spacing w:val="-1"/>
          <w:sz w:val="24"/>
          <w:szCs w:val="24"/>
          <w:highlight w:val="none"/>
        </w:rPr>
        <w:t>检查考核的成绩优秀、排名靠前，如因工作不到</w:t>
      </w:r>
      <w:r>
        <w:rPr>
          <w:rFonts w:hint="eastAsia" w:ascii="宋体" w:hAnsi="宋体" w:eastAsia="宋体" w:cs="宋体"/>
          <w:color w:val="auto"/>
          <w:spacing w:val="-2"/>
          <w:sz w:val="24"/>
          <w:szCs w:val="24"/>
          <w:highlight w:val="none"/>
        </w:rPr>
        <w:t>位影响考核成绩排名的，从重扣分。</w:t>
      </w:r>
    </w:p>
    <w:p w14:paraId="743F033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4"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（八）市政设施</w:t>
      </w:r>
    </w:p>
    <w:p w14:paraId="21988FE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1、本养护参考的技术标准</w:t>
      </w:r>
    </w:p>
    <w:p w14:paraId="0650CF2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（1）执行国家、省、市现行的市政养护及市政养护质量验收规</w:t>
      </w:r>
      <w:r>
        <w:rPr>
          <w:rFonts w:hint="eastAsia" w:ascii="宋体" w:hAnsi="宋体" w:eastAsia="宋体" w:cs="宋体"/>
          <w:color w:val="auto"/>
          <w:spacing w:val="-1"/>
          <w:sz w:val="24"/>
          <w:szCs w:val="24"/>
          <w:highlight w:val="none"/>
        </w:rPr>
        <w:t>范、技术标准、程序，应按《建筑施工场界环境噪声排放标</w:t>
      </w:r>
      <w:r>
        <w:rPr>
          <w:rFonts w:hint="eastAsia" w:ascii="宋体" w:hAnsi="宋体" w:eastAsia="宋体" w:cs="宋体"/>
          <w:color w:val="auto"/>
          <w:spacing w:val="-2"/>
          <w:sz w:val="24"/>
          <w:szCs w:val="24"/>
          <w:highlight w:val="none"/>
        </w:rPr>
        <w:t>准》（GB</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3"/>
          <w:sz w:val="24"/>
          <w:szCs w:val="24"/>
          <w:highlight w:val="none"/>
        </w:rPr>
        <w:t>12523-2011）、《城镇道路养护技术规范》（</w:t>
      </w:r>
      <w:r>
        <w:rPr>
          <w:rFonts w:hint="eastAsia" w:ascii="宋体" w:hAnsi="宋体" w:eastAsia="宋体" w:cs="宋体"/>
          <w:color w:val="auto"/>
          <w:sz w:val="24"/>
          <w:szCs w:val="24"/>
          <w:highlight w:val="none"/>
        </w:rPr>
        <w:t>CJJ</w:t>
      </w:r>
      <w:r>
        <w:rPr>
          <w:rFonts w:hint="eastAsia" w:ascii="宋体" w:hAnsi="宋体" w:eastAsia="宋体" w:cs="宋体"/>
          <w:color w:val="auto"/>
          <w:spacing w:val="3"/>
          <w:sz w:val="24"/>
          <w:szCs w:val="24"/>
          <w:highlight w:val="none"/>
        </w:rPr>
        <w:t xml:space="preserve"> 36</w:t>
      </w:r>
      <w:r>
        <w:rPr>
          <w:rFonts w:hint="eastAsia" w:ascii="宋体" w:hAnsi="宋体" w:eastAsia="宋体" w:cs="宋体"/>
          <w:color w:val="auto"/>
          <w:spacing w:val="2"/>
          <w:sz w:val="24"/>
          <w:szCs w:val="24"/>
          <w:highlight w:val="none"/>
        </w:rPr>
        <w:t>-2006）</w:t>
      </w:r>
      <w:r>
        <w:rPr>
          <w:rFonts w:hint="eastAsia" w:ascii="宋体" w:hAnsi="宋体" w:eastAsia="宋体" w:cs="宋体"/>
          <w:color w:val="auto"/>
          <w:spacing w:val="3"/>
          <w:sz w:val="24"/>
          <w:szCs w:val="24"/>
          <w:highlight w:val="none"/>
        </w:rPr>
        <w:t>、《城市道路和建筑物无障碍设计规范》（</w:t>
      </w:r>
      <w:r>
        <w:rPr>
          <w:rFonts w:hint="eastAsia" w:ascii="宋体" w:hAnsi="宋体" w:eastAsia="宋体" w:cs="宋体"/>
          <w:color w:val="auto"/>
          <w:sz w:val="24"/>
          <w:szCs w:val="24"/>
          <w:highlight w:val="none"/>
        </w:rPr>
        <w:t>JGJ</w:t>
      </w:r>
      <w:r>
        <w:rPr>
          <w:rFonts w:hint="eastAsia" w:ascii="宋体" w:hAnsi="宋体" w:eastAsia="宋体" w:cs="宋体"/>
          <w:color w:val="auto"/>
          <w:spacing w:val="3"/>
          <w:sz w:val="24"/>
          <w:szCs w:val="24"/>
          <w:highlight w:val="none"/>
        </w:rPr>
        <w:t xml:space="preserve"> 50-2001）、《城市道路照明设施养护维修服务</w:t>
      </w:r>
      <w:r>
        <w:rPr>
          <w:rFonts w:hint="eastAsia" w:ascii="宋体" w:hAnsi="宋体" w:eastAsia="宋体" w:cs="宋体"/>
          <w:color w:val="auto"/>
          <w:spacing w:val="-5"/>
          <w:sz w:val="24"/>
          <w:szCs w:val="24"/>
          <w:highlight w:val="none"/>
        </w:rPr>
        <w:t>规范》（DB37／T1173-2009）、《城市道路照明工程施工及验收规程》</w:t>
      </w:r>
      <w:r>
        <w:rPr>
          <w:rFonts w:hint="eastAsia" w:ascii="宋体" w:hAnsi="宋体" w:eastAsia="宋体" w:cs="宋体"/>
          <w:color w:val="auto"/>
          <w:spacing w:val="3"/>
          <w:sz w:val="24"/>
          <w:szCs w:val="24"/>
          <w:highlight w:val="none"/>
        </w:rPr>
        <w:t xml:space="preserve"> </w:t>
      </w:r>
      <w:r>
        <w:rPr>
          <w:rFonts w:hint="eastAsia" w:ascii="宋体" w:hAnsi="宋体" w:eastAsia="宋体" w:cs="宋体"/>
          <w:color w:val="auto"/>
          <w:spacing w:val="-1"/>
          <w:sz w:val="24"/>
          <w:szCs w:val="24"/>
          <w:highlight w:val="none"/>
        </w:rPr>
        <w:t>（CJJ89-2012）、《城市道路照明设计标准》（CJJ45-2015）、《城市道路养护维修服务质量要求》《城市道路管理条例》《</w:t>
      </w:r>
      <w:r>
        <w:rPr>
          <w:rFonts w:hint="eastAsia" w:ascii="宋体" w:hAnsi="宋体" w:eastAsia="宋体" w:cs="宋体"/>
          <w:color w:val="auto"/>
          <w:spacing w:val="-2"/>
          <w:sz w:val="24"/>
          <w:szCs w:val="24"/>
          <w:highlight w:val="none"/>
        </w:rPr>
        <w:t>建设工程安</w:t>
      </w:r>
      <w:r>
        <w:rPr>
          <w:rFonts w:hint="eastAsia" w:ascii="宋体" w:hAnsi="宋体" w:eastAsia="宋体" w:cs="宋体"/>
          <w:color w:val="auto"/>
          <w:spacing w:val="-1"/>
          <w:sz w:val="24"/>
          <w:szCs w:val="24"/>
          <w:highlight w:val="none"/>
        </w:rPr>
        <w:t>全生产管理条例》、</w:t>
      </w:r>
      <w:r>
        <w:rPr>
          <w:rFonts w:hint="eastAsia" w:eastAsia="宋体" w:cs="宋体"/>
          <w:color w:val="auto"/>
          <w:spacing w:val="-1"/>
          <w:sz w:val="24"/>
          <w:szCs w:val="24"/>
          <w:highlight w:val="none"/>
          <w:lang w:val="en-US" w:eastAsia="zh-CN"/>
        </w:rPr>
        <w:t>市住建局</w:t>
      </w:r>
      <w:r>
        <w:rPr>
          <w:rFonts w:hint="eastAsia" w:ascii="宋体" w:hAnsi="宋体" w:eastAsia="宋体" w:cs="宋体"/>
          <w:color w:val="auto"/>
          <w:spacing w:val="-1"/>
          <w:sz w:val="24"/>
          <w:szCs w:val="24"/>
          <w:highlight w:val="none"/>
        </w:rPr>
        <w:t>制定</w:t>
      </w:r>
      <w:r>
        <w:rPr>
          <w:rFonts w:hint="eastAsia" w:ascii="宋体" w:hAnsi="宋体" w:eastAsia="宋体" w:cs="宋体"/>
          <w:color w:val="auto"/>
          <w:spacing w:val="-2"/>
          <w:sz w:val="24"/>
          <w:szCs w:val="24"/>
          <w:highlight w:val="none"/>
        </w:rPr>
        <w:t>的其他相关养护标</w:t>
      </w:r>
      <w:r>
        <w:rPr>
          <w:rFonts w:hint="eastAsia" w:ascii="宋体" w:hAnsi="宋体" w:eastAsia="宋体" w:cs="宋体"/>
          <w:color w:val="auto"/>
          <w:sz w:val="24"/>
          <w:szCs w:val="24"/>
          <w:highlight w:val="none"/>
        </w:rPr>
        <w:t>准，以及适用的现行的国家、省、市有关法律、规范、标准、规章、</w:t>
      </w:r>
      <w:r>
        <w:rPr>
          <w:rFonts w:hint="eastAsia" w:ascii="宋体" w:hAnsi="宋体" w:eastAsia="宋体" w:cs="宋体"/>
          <w:color w:val="auto"/>
          <w:spacing w:val="-2"/>
          <w:sz w:val="24"/>
          <w:szCs w:val="24"/>
          <w:highlight w:val="none"/>
        </w:rPr>
        <w:t>制度等有关规定。</w:t>
      </w:r>
    </w:p>
    <w:p w14:paraId="0844A25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83840"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4" name="任意多边形 94"/>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3840;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XB6GPaAAAADAEAAA8AAAAA&#10;AAAAAQAgAAAAIgAAAGRycy9kb3ducmV2LnhtbFBLAQIUABQAAAAIAIdO4kBkHQ2yEgIAAH0EAAAO&#10;AAAAAAAAAAEAIAAAACkBAABkcnMvZTJvRG9jLnhtbFBLBQYAAAAABgAGAFkBAACtBQAAAAA=&#10;" path="m0,0l8374,0,8374,14,0,14,0,0xe">
                <v:fill on="t" focussize="0,0"/>
                <v:stroke on="f"/>
                <v:imagedata o:title=""/>
                <o:lock v:ext="edit" aspectratio="f"/>
              </v:shape>
            </w:pict>
          </mc:Fallback>
        </mc:AlternateContent>
      </w:r>
      <w:r>
        <w:rPr>
          <w:rFonts w:hint="eastAsia" w:ascii="宋体" w:hAnsi="宋体" w:eastAsia="宋体" w:cs="宋体"/>
          <w:color w:val="auto"/>
          <w:spacing w:val="-2"/>
          <w:sz w:val="24"/>
          <w:szCs w:val="24"/>
          <w:highlight w:val="none"/>
        </w:rPr>
        <w:t>2、养护工作要求</w:t>
      </w:r>
    </w:p>
    <w:p w14:paraId="450BA57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（1）项目公司要加强队伍管理，建立健全养护和应急处置办法，</w:t>
      </w:r>
      <w:r>
        <w:rPr>
          <w:rFonts w:hint="eastAsia" w:ascii="宋体" w:hAnsi="宋体" w:eastAsia="宋体" w:cs="宋体"/>
          <w:color w:val="auto"/>
          <w:spacing w:val="-1"/>
          <w:sz w:val="24"/>
          <w:szCs w:val="24"/>
          <w:highlight w:val="none"/>
        </w:rPr>
        <w:t>做到分工明确，责任到人。</w:t>
      </w:r>
    </w:p>
    <w:p w14:paraId="39DBE31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（2）项目公司须各类道路设施养护机械、装备、材料准备充足，</w:t>
      </w:r>
      <w:r>
        <w:rPr>
          <w:rFonts w:hint="eastAsia" w:ascii="宋体" w:hAnsi="宋体" w:eastAsia="宋体" w:cs="宋体"/>
          <w:color w:val="auto"/>
          <w:spacing w:val="-1"/>
          <w:sz w:val="24"/>
          <w:szCs w:val="24"/>
          <w:highlight w:val="none"/>
        </w:rPr>
        <w:t>满足日常道路设施养护和应急抢修工作要求，并能正常运行</w:t>
      </w:r>
      <w:r>
        <w:rPr>
          <w:rFonts w:hint="eastAsia" w:ascii="宋体" w:hAnsi="宋体" w:eastAsia="宋体" w:cs="宋体"/>
          <w:color w:val="auto"/>
          <w:spacing w:val="-2"/>
          <w:sz w:val="24"/>
          <w:szCs w:val="24"/>
          <w:highlight w:val="none"/>
        </w:rPr>
        <w:t>使用。政</w:t>
      </w:r>
      <w:r>
        <w:rPr>
          <w:rFonts w:hint="eastAsia" w:ascii="宋体" w:hAnsi="宋体" w:eastAsia="宋体" w:cs="宋体"/>
          <w:color w:val="auto"/>
          <w:spacing w:val="-1"/>
          <w:sz w:val="24"/>
          <w:szCs w:val="24"/>
          <w:highlight w:val="none"/>
        </w:rPr>
        <w:t>府方将不定期对项目公司办公场所及所涉及的人员、巡查养</w:t>
      </w:r>
      <w:r>
        <w:rPr>
          <w:rFonts w:hint="eastAsia" w:ascii="宋体" w:hAnsi="宋体" w:eastAsia="宋体" w:cs="宋体"/>
          <w:color w:val="auto"/>
          <w:spacing w:val="-2"/>
          <w:sz w:val="24"/>
          <w:szCs w:val="24"/>
          <w:highlight w:val="none"/>
        </w:rPr>
        <w:t>护设备等</w:t>
      </w:r>
      <w:r>
        <w:rPr>
          <w:rFonts w:hint="eastAsia" w:ascii="宋体" w:hAnsi="宋体" w:eastAsia="宋体" w:cs="宋体"/>
          <w:color w:val="auto"/>
          <w:spacing w:val="-1"/>
          <w:sz w:val="24"/>
          <w:szCs w:val="24"/>
          <w:highlight w:val="none"/>
        </w:rPr>
        <w:t>进行核实。如出现虚假情况，将取消其养护资格。</w:t>
      </w:r>
    </w:p>
    <w:p w14:paraId="70D7CD7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（3）机械操作手要相对固定，机械要正常按时保养并建立保养</w:t>
      </w:r>
      <w:r>
        <w:rPr>
          <w:rFonts w:hint="eastAsia" w:ascii="宋体" w:hAnsi="宋体" w:eastAsia="宋体" w:cs="宋体"/>
          <w:color w:val="auto"/>
          <w:spacing w:val="-2"/>
          <w:sz w:val="24"/>
          <w:szCs w:val="24"/>
          <w:highlight w:val="none"/>
        </w:rPr>
        <w:t>台账，保证机械处于良好的运行状态。</w:t>
      </w:r>
    </w:p>
    <w:p w14:paraId="558DDF2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（4）项目公司须在各类市政设施养护施工前对施工人员进行技</w:t>
      </w:r>
      <w:r>
        <w:rPr>
          <w:rFonts w:hint="eastAsia" w:ascii="宋体" w:hAnsi="宋体" w:eastAsia="宋体" w:cs="宋体"/>
          <w:color w:val="auto"/>
          <w:spacing w:val="-1"/>
          <w:sz w:val="24"/>
          <w:szCs w:val="24"/>
          <w:highlight w:val="none"/>
        </w:rPr>
        <w:t>术交底、安全交底及技术培训。</w:t>
      </w:r>
    </w:p>
    <w:p w14:paraId="2439BBF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（5）项目公司须在</w:t>
      </w:r>
      <w:r>
        <w:rPr>
          <w:rFonts w:hint="eastAsia" w:eastAsia="宋体" w:cs="宋体"/>
          <w:color w:val="auto"/>
          <w:spacing w:val="3"/>
          <w:sz w:val="24"/>
          <w:szCs w:val="24"/>
          <w:highlight w:val="none"/>
          <w:lang w:val="en-US" w:eastAsia="zh-CN"/>
        </w:rPr>
        <w:t>项目所在地</w:t>
      </w:r>
      <w:r>
        <w:rPr>
          <w:rFonts w:hint="eastAsia" w:ascii="宋体" w:hAnsi="宋体" w:eastAsia="宋体" w:cs="宋体"/>
          <w:color w:val="auto"/>
          <w:spacing w:val="3"/>
          <w:sz w:val="24"/>
          <w:szCs w:val="24"/>
          <w:highlight w:val="none"/>
        </w:rPr>
        <w:t>内设有满足办公及存放机械、装</w:t>
      </w:r>
      <w:r>
        <w:rPr>
          <w:rFonts w:hint="eastAsia" w:ascii="宋体" w:hAnsi="宋体" w:eastAsia="宋体" w:cs="宋体"/>
          <w:color w:val="auto"/>
          <w:spacing w:val="-1"/>
          <w:sz w:val="24"/>
          <w:szCs w:val="24"/>
          <w:highlight w:val="none"/>
        </w:rPr>
        <w:t>备、材料的固定场所。有固定管理维护人员，确保随叫随到。</w:t>
      </w:r>
    </w:p>
    <w:p w14:paraId="28191AA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（6）通过巡查发现问题，经政府方核实属于项目公司中小修范</w:t>
      </w:r>
      <w:r>
        <w:rPr>
          <w:rFonts w:hint="eastAsia" w:ascii="宋体" w:hAnsi="宋体" w:eastAsia="宋体" w:cs="宋体"/>
          <w:color w:val="auto"/>
          <w:spacing w:val="-2"/>
          <w:sz w:val="24"/>
          <w:szCs w:val="24"/>
          <w:highlight w:val="none"/>
        </w:rPr>
        <w:t>围内确需修复的，项目公司及时进行维修，其中影响交通安全的需立即做好警示标志，并尽快开始维修。</w:t>
      </w:r>
    </w:p>
    <w:p w14:paraId="408ED2F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（7）项目公司认真做好施工记录及安全施工记录。一式两份，</w:t>
      </w:r>
      <w:r>
        <w:rPr>
          <w:rFonts w:hint="eastAsia" w:ascii="宋体" w:hAnsi="宋体" w:eastAsia="宋体" w:cs="宋体"/>
          <w:color w:val="auto"/>
          <w:spacing w:val="-1"/>
          <w:sz w:val="24"/>
          <w:szCs w:val="24"/>
          <w:highlight w:val="none"/>
        </w:rPr>
        <w:t>项目公司存档一份，每周一报政府方一份。</w:t>
      </w:r>
    </w:p>
    <w:p w14:paraId="0B5B3B9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（8）根据伊州区城市防汛应急预案要求，项目公司在汛期承担</w:t>
      </w:r>
      <w:r>
        <w:rPr>
          <w:rFonts w:hint="eastAsia" w:ascii="宋体" w:hAnsi="宋体" w:eastAsia="宋体" w:cs="宋体"/>
          <w:color w:val="auto"/>
          <w:spacing w:val="-1"/>
          <w:sz w:val="24"/>
          <w:szCs w:val="24"/>
          <w:highlight w:val="none"/>
        </w:rPr>
        <w:t>起合同范围内城市防汛的任务，包括汛前管道</w:t>
      </w:r>
      <w:r>
        <w:rPr>
          <w:rFonts w:hint="eastAsia" w:ascii="宋体" w:hAnsi="宋体" w:eastAsia="宋体" w:cs="宋体"/>
          <w:color w:val="auto"/>
          <w:spacing w:val="-2"/>
          <w:sz w:val="24"/>
          <w:szCs w:val="24"/>
          <w:highlight w:val="none"/>
        </w:rPr>
        <w:t>清淤疏通工作，及时排</w:t>
      </w:r>
      <w:r>
        <w:rPr>
          <w:rFonts w:hint="eastAsia" w:ascii="宋体" w:hAnsi="宋体" w:eastAsia="宋体" w:cs="宋体"/>
          <w:color w:val="auto"/>
          <w:spacing w:val="-1"/>
          <w:sz w:val="24"/>
          <w:szCs w:val="24"/>
          <w:highlight w:val="none"/>
        </w:rPr>
        <w:t>除路面积水，确保行人安全。</w:t>
      </w:r>
    </w:p>
    <w:p w14:paraId="2466FED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（9）项目公司在各自管理的市政设施范围内要有应急预案，有</w:t>
      </w:r>
      <w:r>
        <w:rPr>
          <w:rFonts w:hint="eastAsia" w:ascii="宋体" w:hAnsi="宋体" w:eastAsia="宋体" w:cs="宋体"/>
          <w:color w:val="auto"/>
          <w:spacing w:val="-1"/>
          <w:sz w:val="24"/>
          <w:szCs w:val="24"/>
          <w:highlight w:val="none"/>
        </w:rPr>
        <w:t>处理突发事件的能力，包括防汛抢险、路面</w:t>
      </w:r>
      <w:r>
        <w:rPr>
          <w:rFonts w:hint="eastAsia" w:ascii="宋体" w:hAnsi="宋体" w:eastAsia="宋体" w:cs="宋体"/>
          <w:color w:val="auto"/>
          <w:spacing w:val="-2"/>
          <w:sz w:val="24"/>
          <w:szCs w:val="24"/>
          <w:highlight w:val="none"/>
        </w:rPr>
        <w:t>、雨污水管道及其它市政设施的抢修能力。</w:t>
      </w:r>
    </w:p>
    <w:p w14:paraId="154CFBF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（10）项目公司对需要维修的市政设施要及时进行维修，施工期</w:t>
      </w:r>
      <w:r>
        <w:rPr>
          <w:rFonts w:hint="eastAsia" w:ascii="宋体" w:hAnsi="宋体" w:eastAsia="宋体" w:cs="宋体"/>
          <w:color w:val="auto"/>
          <w:spacing w:val="-1"/>
          <w:sz w:val="24"/>
          <w:szCs w:val="24"/>
          <w:highlight w:val="none"/>
        </w:rPr>
        <w:t>间要文明施工、安全施工，设置必须的安全围档及</w:t>
      </w:r>
      <w:r>
        <w:rPr>
          <w:rFonts w:hint="eastAsia" w:ascii="宋体" w:hAnsi="宋体" w:eastAsia="宋体" w:cs="宋体"/>
          <w:color w:val="auto"/>
          <w:spacing w:val="-2"/>
          <w:sz w:val="24"/>
          <w:szCs w:val="24"/>
          <w:highlight w:val="none"/>
        </w:rPr>
        <w:t>警示标志，达到市住建部门规定的6</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pacing w:val="-2"/>
          <w:sz w:val="24"/>
          <w:szCs w:val="24"/>
          <w:highlight w:val="none"/>
        </w:rPr>
        <w:t>个</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2"/>
          <w:sz w:val="24"/>
          <w:szCs w:val="24"/>
          <w:highlight w:val="none"/>
        </w:rPr>
        <w:t>100%要求，设专职安</w:t>
      </w:r>
      <w:r>
        <w:rPr>
          <w:rFonts w:hint="eastAsia" w:ascii="宋体" w:hAnsi="宋体" w:eastAsia="宋体" w:cs="宋体"/>
          <w:color w:val="auto"/>
          <w:spacing w:val="-3"/>
          <w:sz w:val="24"/>
          <w:szCs w:val="24"/>
          <w:highlight w:val="none"/>
        </w:rPr>
        <w:t>全员疏导交通，施工完成后</w:t>
      </w:r>
      <w:r>
        <w:rPr>
          <w:rFonts w:hint="eastAsia" w:ascii="宋体" w:hAnsi="宋体" w:eastAsia="宋体" w:cs="宋体"/>
          <w:color w:val="auto"/>
          <w:sz w:val="24"/>
          <w:szCs w:val="24"/>
          <w:highlight w:val="none"/>
        </w:rPr>
        <mc:AlternateContent>
          <mc:Choice Requires="wps">
            <w:drawing>
              <wp:anchor distT="0" distB="0" distL="114300" distR="114300" simplePos="0" relativeHeight="251684864"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7" name="任意多边形 97"/>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4864;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wehj2gAAAAwBAAAP&#10;AAAAAAAAAAEAIAAAACIAAABkcnMvZG93bnJldi54bWxQSwECFAAUAAAACACHTuJAbVsmQxYCAAB9&#10;BAAADgAAAAAAAAABACAAAAApAQAAZHJzL2Uyb0RvYy54bWxQSwUGAAAAAAYABgBZAQAAsQUAAAAA&#10;" path="m0,0l8374,0,8374,14,0,14,0,0xe">
                <v:fill on="t" focussize="0,0"/>
                <v:stroke on="f"/>
                <v:imagedata o:title=""/>
                <o:lock v:ext="edit" aspectratio="f"/>
              </v:shape>
            </w:pict>
          </mc:Fallback>
        </mc:AlternateContent>
      </w:r>
      <w:r>
        <w:rPr>
          <w:rFonts w:hint="eastAsia" w:ascii="宋体" w:hAnsi="宋体" w:eastAsia="宋体" w:cs="宋体"/>
          <w:color w:val="auto"/>
          <w:spacing w:val="-1"/>
          <w:sz w:val="24"/>
          <w:szCs w:val="24"/>
          <w:highlight w:val="none"/>
        </w:rPr>
        <w:t>要及时清理杂物及垃圾，确保工完料清，确保行车及行人安全。</w:t>
      </w:r>
    </w:p>
    <w:p w14:paraId="695EEBC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（11）督办件第一时间落实、第一时间处置、第一时间回复、确</w:t>
      </w:r>
      <w:r>
        <w:rPr>
          <w:rFonts w:hint="eastAsia" w:ascii="宋体" w:hAnsi="宋体" w:eastAsia="宋体" w:cs="宋体"/>
          <w:color w:val="auto"/>
          <w:spacing w:val="-5"/>
          <w:sz w:val="24"/>
          <w:szCs w:val="24"/>
          <w:highlight w:val="none"/>
        </w:rPr>
        <w:t>保满意度</w:t>
      </w:r>
      <w:r>
        <w:rPr>
          <w:rFonts w:hint="eastAsia" w:ascii="宋体" w:hAnsi="宋体" w:eastAsia="宋体" w:cs="宋体"/>
          <w:color w:val="auto"/>
          <w:spacing w:val="-38"/>
          <w:sz w:val="24"/>
          <w:szCs w:val="24"/>
          <w:highlight w:val="none"/>
        </w:rPr>
        <w:t xml:space="preserve"> </w:t>
      </w:r>
      <w:r>
        <w:rPr>
          <w:rFonts w:hint="eastAsia" w:ascii="宋体" w:hAnsi="宋体" w:eastAsia="宋体" w:cs="宋体"/>
          <w:color w:val="auto"/>
          <w:spacing w:val="-5"/>
          <w:sz w:val="24"/>
          <w:szCs w:val="24"/>
          <w:highlight w:val="none"/>
        </w:rPr>
        <w:t>100%。</w:t>
      </w:r>
    </w:p>
    <w:p w14:paraId="046B2CF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（12）对市政设施的养护维修执行国家、省、市相关养护</w:t>
      </w:r>
      <w:r>
        <w:rPr>
          <w:rFonts w:hint="eastAsia" w:ascii="宋体" w:hAnsi="宋体" w:eastAsia="宋体" w:cs="宋体"/>
          <w:color w:val="auto"/>
          <w:spacing w:val="-3"/>
          <w:sz w:val="24"/>
          <w:szCs w:val="24"/>
          <w:highlight w:val="none"/>
        </w:rPr>
        <w:t>维修标准。</w:t>
      </w:r>
    </w:p>
    <w:p w14:paraId="76362AB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4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0"/>
          <w:sz w:val="24"/>
          <w:szCs w:val="24"/>
          <w:highlight w:val="none"/>
        </w:rPr>
        <w:t>注：对管网进行日常清理、检查的小型维修维护等，按规</w:t>
      </w:r>
      <w:r>
        <w:rPr>
          <w:rFonts w:hint="eastAsia" w:ascii="宋体" w:hAnsi="宋体" w:eastAsia="宋体" w:cs="宋体"/>
          <w:color w:val="auto"/>
          <w:spacing w:val="-11"/>
          <w:sz w:val="24"/>
          <w:szCs w:val="24"/>
          <w:highlight w:val="none"/>
        </w:rPr>
        <w:t>定对管网</w:t>
      </w:r>
      <w:r>
        <w:rPr>
          <w:rFonts w:hint="eastAsia" w:ascii="宋体" w:hAnsi="宋体" w:eastAsia="宋体" w:cs="宋体"/>
          <w:color w:val="auto"/>
          <w:spacing w:val="-7"/>
          <w:sz w:val="24"/>
          <w:szCs w:val="24"/>
          <w:highlight w:val="none"/>
        </w:rPr>
        <w:t>进行运营维护。</w:t>
      </w:r>
    </w:p>
    <w:p w14:paraId="247FFEC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3．病害与缺陷界定标准</w:t>
      </w:r>
    </w:p>
    <w:p w14:paraId="605D6588">
      <w:pPr>
        <w:pStyle w:val="13"/>
        <w:keepNext w:val="0"/>
        <w:keepLines w:val="0"/>
        <w:pageBreakBefore w:val="0"/>
        <w:widowControl w:val="0"/>
        <w:kinsoku/>
        <w:wordWrap w:val="0"/>
        <w:overflowPunct/>
        <w:topLinePunct w:val="0"/>
        <w:autoSpaceDE/>
        <w:autoSpaceDN/>
        <w:bidi w:val="0"/>
        <w:adjustRightInd/>
        <w:snapToGrid/>
        <w:spacing w:after="0" w:line="240" w:lineRule="auto"/>
        <w:ind w:left="0" w:right="0" w:firstLine="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（1）沥青路面</w:t>
      </w:r>
    </w:p>
    <w:tbl>
      <w:tblPr>
        <w:tblStyle w:val="77"/>
        <w:tblW w:w="859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9"/>
        <w:gridCol w:w="1253"/>
        <w:gridCol w:w="6662"/>
      </w:tblGrid>
      <w:tr w14:paraId="4B3FA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5" w:hRule="atLeast"/>
          <w:jc w:val="center"/>
        </w:trPr>
        <w:tc>
          <w:tcPr>
            <w:tcW w:w="679" w:type="dxa"/>
            <w:shd w:val="clear" w:color="auto" w:fill="63B86C"/>
            <w:vAlign w:val="center"/>
          </w:tcPr>
          <w:p w14:paraId="4E47DAE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39"/>
                <w:highlight w:val="none"/>
              </w:rPr>
              <w:t>序号</w:t>
            </w:r>
          </w:p>
        </w:tc>
        <w:tc>
          <w:tcPr>
            <w:tcW w:w="1253" w:type="dxa"/>
            <w:shd w:val="clear" w:color="auto" w:fill="63B86C"/>
            <w:vAlign w:val="center"/>
          </w:tcPr>
          <w:p w14:paraId="5A0152CA">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名称</w:t>
            </w:r>
          </w:p>
        </w:tc>
        <w:tc>
          <w:tcPr>
            <w:tcW w:w="6662" w:type="dxa"/>
            <w:shd w:val="clear" w:color="auto" w:fill="63B86C"/>
            <w:vAlign w:val="center"/>
          </w:tcPr>
          <w:p w14:paraId="6034777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6"/>
                <w:highlight w:val="none"/>
              </w:rPr>
              <w:t>标准范围</w:t>
            </w:r>
          </w:p>
        </w:tc>
      </w:tr>
      <w:tr w14:paraId="031B12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jc w:val="center"/>
        </w:trPr>
        <w:tc>
          <w:tcPr>
            <w:tcW w:w="679" w:type="dxa"/>
            <w:vAlign w:val="center"/>
          </w:tcPr>
          <w:p w14:paraId="59F11DA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53" w:type="dxa"/>
            <w:vAlign w:val="center"/>
          </w:tcPr>
          <w:p w14:paraId="7F8DF272">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坑槽</w:t>
            </w:r>
          </w:p>
        </w:tc>
        <w:tc>
          <w:tcPr>
            <w:tcW w:w="6662" w:type="dxa"/>
            <w:vAlign w:val="center"/>
          </w:tcPr>
          <w:p w14:paraId="5594948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路面破坏成坑洼，深度大于</w:t>
            </w:r>
            <w:r>
              <w:rPr>
                <w:rFonts w:hint="eastAsia" w:ascii="宋体" w:hAnsi="宋体" w:eastAsia="宋体" w:cs="宋体"/>
                <w:color w:val="auto"/>
                <w:spacing w:val="-40"/>
                <w:highlight w:val="none"/>
              </w:rPr>
              <w:t xml:space="preserve"> </w:t>
            </w:r>
            <w:r>
              <w:rPr>
                <w:rFonts w:hint="eastAsia" w:ascii="宋体" w:hAnsi="宋体" w:eastAsia="宋体" w:cs="宋体"/>
                <w:color w:val="auto"/>
                <w:spacing w:val="-4"/>
                <w:highlight w:val="none"/>
              </w:rPr>
              <w:t>20mm，面积超过</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4"/>
                <w:highlight w:val="none"/>
              </w:rPr>
              <w:t>0.04m</w:t>
            </w:r>
            <w:r>
              <w:rPr>
                <w:rFonts w:hint="eastAsia" w:ascii="宋体" w:hAnsi="宋体" w:eastAsia="宋体" w:cs="宋体"/>
                <w:color w:val="auto"/>
                <w:spacing w:val="-4"/>
                <w:position w:val="14"/>
                <w:sz w:val="13"/>
                <w:szCs w:val="13"/>
                <w:highlight w:val="none"/>
              </w:rPr>
              <w:t>2</w:t>
            </w:r>
            <w:r>
              <w:rPr>
                <w:rFonts w:hint="eastAsia" w:ascii="宋体" w:hAnsi="宋体" w:eastAsia="宋体" w:cs="宋体"/>
                <w:color w:val="auto"/>
                <w:spacing w:val="-4"/>
                <w:highlight w:val="none"/>
              </w:rPr>
              <w:t>，</w:t>
            </w:r>
            <w:r>
              <w:rPr>
                <w:rFonts w:hint="eastAsia" w:ascii="宋体" w:hAnsi="宋体" w:eastAsia="宋体" w:cs="宋体"/>
                <w:color w:val="auto"/>
                <w:highlight w:val="none"/>
              </w:rPr>
              <w:t>数量较多、间距0.2m</w:t>
            </w:r>
            <w:r>
              <w:rPr>
                <w:rFonts w:hint="eastAsia" w:ascii="宋体" w:hAnsi="宋体" w:eastAsia="宋体" w:cs="宋体"/>
                <w:color w:val="auto"/>
                <w:spacing w:val="-15"/>
                <w:highlight w:val="none"/>
              </w:rPr>
              <w:t xml:space="preserve"> </w:t>
            </w:r>
            <w:r>
              <w:rPr>
                <w:rFonts w:hint="eastAsia" w:ascii="宋体" w:hAnsi="宋体" w:eastAsia="宋体" w:cs="宋体"/>
                <w:color w:val="auto"/>
                <w:highlight w:val="none"/>
              </w:rPr>
              <w:t>以内的合并处理</w:t>
            </w:r>
          </w:p>
        </w:tc>
      </w:tr>
      <w:tr w14:paraId="43974E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37F2A75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53" w:type="dxa"/>
            <w:vAlign w:val="center"/>
          </w:tcPr>
          <w:p w14:paraId="5214E8D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松散</w:t>
            </w:r>
          </w:p>
        </w:tc>
        <w:tc>
          <w:tcPr>
            <w:tcW w:w="6662" w:type="dxa"/>
            <w:vAlign w:val="center"/>
          </w:tcPr>
          <w:p w14:paraId="56A9858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13"/>
                <w:szCs w:val="13"/>
                <w:highlight w:val="none"/>
              </w:rPr>
            </w:pPr>
            <w:r>
              <w:rPr>
                <w:rFonts w:hint="eastAsia" w:ascii="宋体" w:hAnsi="宋体" w:eastAsia="宋体" w:cs="宋体"/>
                <w:color w:val="auto"/>
                <w:spacing w:val="2"/>
                <w:highlight w:val="none"/>
              </w:rPr>
              <w:t>路面结合料失去结合力、集料松动，面积大于0.1m</w:t>
            </w:r>
            <w:r>
              <w:rPr>
                <w:rFonts w:hint="eastAsia" w:ascii="宋体" w:hAnsi="宋体" w:eastAsia="宋体" w:cs="宋体"/>
                <w:color w:val="auto"/>
                <w:spacing w:val="2"/>
                <w:position w:val="13"/>
                <w:sz w:val="13"/>
                <w:szCs w:val="13"/>
                <w:highlight w:val="none"/>
              </w:rPr>
              <w:t>2</w:t>
            </w:r>
          </w:p>
        </w:tc>
      </w:tr>
      <w:tr w14:paraId="496612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4CC820C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253" w:type="dxa"/>
            <w:vAlign w:val="center"/>
          </w:tcPr>
          <w:p w14:paraId="75E579BE">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臃包</w:t>
            </w:r>
          </w:p>
        </w:tc>
        <w:tc>
          <w:tcPr>
            <w:tcW w:w="6662" w:type="dxa"/>
            <w:vAlign w:val="center"/>
          </w:tcPr>
          <w:p w14:paraId="3065537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路面局部隆起，峰谷高差大于</w:t>
            </w:r>
            <w:r>
              <w:rPr>
                <w:rFonts w:hint="eastAsia" w:ascii="宋体" w:hAnsi="宋体" w:eastAsia="宋体" w:cs="宋体"/>
                <w:color w:val="auto"/>
                <w:spacing w:val="-32"/>
                <w:highlight w:val="none"/>
              </w:rPr>
              <w:t xml:space="preserve"> </w:t>
            </w:r>
            <w:r>
              <w:rPr>
                <w:rFonts w:hint="eastAsia" w:ascii="宋体" w:hAnsi="宋体" w:eastAsia="宋体" w:cs="宋体"/>
                <w:color w:val="auto"/>
                <w:spacing w:val="-3"/>
                <w:highlight w:val="none"/>
              </w:rPr>
              <w:t>15mm</w:t>
            </w:r>
          </w:p>
        </w:tc>
      </w:tr>
      <w:tr w14:paraId="3CC916D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6FE1AF7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253" w:type="dxa"/>
            <w:vAlign w:val="center"/>
          </w:tcPr>
          <w:p w14:paraId="0C39DC9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翻浆</w:t>
            </w:r>
          </w:p>
        </w:tc>
        <w:tc>
          <w:tcPr>
            <w:tcW w:w="6662" w:type="dxa"/>
            <w:vAlign w:val="center"/>
          </w:tcPr>
          <w:p w14:paraId="2911757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地基或路面湿软出现弹簧、破裂、冒出泥浆</w:t>
            </w:r>
          </w:p>
        </w:tc>
      </w:tr>
      <w:tr w14:paraId="4C94D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0B26BF1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253" w:type="dxa"/>
            <w:vAlign w:val="center"/>
          </w:tcPr>
          <w:p w14:paraId="04BBF6BE">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沉陷</w:t>
            </w:r>
          </w:p>
        </w:tc>
        <w:tc>
          <w:tcPr>
            <w:tcW w:w="6662" w:type="dxa"/>
            <w:vAlign w:val="center"/>
          </w:tcPr>
          <w:p w14:paraId="24D9307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路面路基局部下沉，横向大于</w:t>
            </w:r>
            <w:r>
              <w:rPr>
                <w:rFonts w:hint="eastAsia" w:ascii="宋体" w:hAnsi="宋体" w:eastAsia="宋体" w:cs="宋体"/>
                <w:color w:val="auto"/>
                <w:spacing w:val="-49"/>
                <w:highlight w:val="none"/>
              </w:rPr>
              <w:t xml:space="preserve"> </w:t>
            </w:r>
            <w:r>
              <w:rPr>
                <w:rFonts w:hint="eastAsia" w:ascii="宋体" w:hAnsi="宋体" w:eastAsia="宋体" w:cs="宋体"/>
                <w:color w:val="auto"/>
                <w:spacing w:val="-2"/>
                <w:highlight w:val="none"/>
              </w:rPr>
              <w:t>30mm</w:t>
            </w:r>
          </w:p>
        </w:tc>
      </w:tr>
      <w:tr w14:paraId="6EF7A4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373F3A3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1253" w:type="dxa"/>
            <w:vAlign w:val="center"/>
          </w:tcPr>
          <w:p w14:paraId="372303BA">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脱皮</w:t>
            </w:r>
          </w:p>
        </w:tc>
        <w:tc>
          <w:tcPr>
            <w:tcW w:w="6662" w:type="dxa"/>
            <w:vAlign w:val="center"/>
          </w:tcPr>
          <w:p w14:paraId="2132360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13"/>
                <w:szCs w:val="13"/>
                <w:highlight w:val="none"/>
              </w:rPr>
            </w:pPr>
            <w:r>
              <w:rPr>
                <w:rFonts w:hint="eastAsia" w:ascii="宋体" w:hAnsi="宋体" w:eastAsia="宋体" w:cs="宋体"/>
                <w:color w:val="auto"/>
                <w:spacing w:val="-2"/>
                <w:highlight w:val="none"/>
              </w:rPr>
              <w:t>路面层层状脱落，面积大于</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2"/>
                <w:highlight w:val="none"/>
              </w:rPr>
              <w:t>0.1m</w:t>
            </w:r>
            <w:r>
              <w:rPr>
                <w:rFonts w:hint="eastAsia" w:ascii="宋体" w:hAnsi="宋体" w:eastAsia="宋体" w:cs="宋体"/>
                <w:color w:val="auto"/>
                <w:spacing w:val="-2"/>
                <w:position w:val="13"/>
                <w:sz w:val="13"/>
                <w:szCs w:val="13"/>
                <w:highlight w:val="none"/>
              </w:rPr>
              <w:t>2</w:t>
            </w:r>
          </w:p>
        </w:tc>
      </w:tr>
      <w:tr w14:paraId="718BF2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6D774859">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1253" w:type="dxa"/>
            <w:vAlign w:val="center"/>
          </w:tcPr>
          <w:p w14:paraId="7CB3A19C">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1"/>
                <w:highlight w:val="none"/>
              </w:rPr>
              <w:t>啃边</w:t>
            </w:r>
          </w:p>
        </w:tc>
        <w:tc>
          <w:tcPr>
            <w:tcW w:w="6662" w:type="dxa"/>
            <w:vAlign w:val="center"/>
          </w:tcPr>
          <w:p w14:paraId="745DAD2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路面边缘破碎剥落，宽度大于0.1m</w:t>
            </w:r>
          </w:p>
        </w:tc>
      </w:tr>
      <w:tr w14:paraId="37E7E3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773755E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1253" w:type="dxa"/>
            <w:vAlign w:val="center"/>
          </w:tcPr>
          <w:p w14:paraId="3E4E0B4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泛油</w:t>
            </w:r>
          </w:p>
        </w:tc>
        <w:tc>
          <w:tcPr>
            <w:tcW w:w="6662" w:type="dxa"/>
            <w:vAlign w:val="center"/>
          </w:tcPr>
          <w:p w14:paraId="5766DFFD">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8"/>
                <w:highlight w:val="none"/>
              </w:rPr>
              <w:t>高温季节沥青被挤出，表面形成油层，行车出现轮</w:t>
            </w:r>
            <w:r>
              <w:rPr>
                <w:rFonts w:hint="eastAsia" w:ascii="宋体" w:hAnsi="宋体" w:eastAsia="宋体" w:cs="宋体"/>
                <w:color w:val="auto"/>
                <w:spacing w:val="-9"/>
                <w:highlight w:val="none"/>
              </w:rPr>
              <w:t>迹。</w:t>
            </w:r>
          </w:p>
        </w:tc>
      </w:tr>
      <w:tr w14:paraId="516066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jc w:val="center"/>
        </w:trPr>
        <w:tc>
          <w:tcPr>
            <w:tcW w:w="679" w:type="dxa"/>
            <w:vAlign w:val="center"/>
          </w:tcPr>
          <w:p w14:paraId="753DAE0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1253" w:type="dxa"/>
            <w:vAlign w:val="center"/>
          </w:tcPr>
          <w:p w14:paraId="0683BE8C">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车辙</w:t>
            </w:r>
          </w:p>
        </w:tc>
        <w:tc>
          <w:tcPr>
            <w:tcW w:w="6662" w:type="dxa"/>
            <w:vAlign w:val="center"/>
          </w:tcPr>
          <w:p w14:paraId="40284F4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路面上沿行车轮迹产生的纵向带状辙槽，深度大于</w:t>
            </w:r>
          </w:p>
          <w:p w14:paraId="3086DDBD">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8"/>
                <w:highlight w:val="none"/>
              </w:rPr>
              <w:t>15mm</w:t>
            </w:r>
          </w:p>
        </w:tc>
      </w:tr>
      <w:tr w14:paraId="72D1FF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1B7F399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10</w:t>
            </w:r>
          </w:p>
        </w:tc>
        <w:tc>
          <w:tcPr>
            <w:tcW w:w="1253" w:type="dxa"/>
            <w:vAlign w:val="center"/>
          </w:tcPr>
          <w:p w14:paraId="5D3DF09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龟裂</w:t>
            </w:r>
          </w:p>
        </w:tc>
        <w:tc>
          <w:tcPr>
            <w:tcW w:w="6662" w:type="dxa"/>
            <w:vAlign w:val="center"/>
          </w:tcPr>
          <w:p w14:paraId="10EEBBA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13"/>
                <w:szCs w:val="13"/>
                <w:highlight w:val="none"/>
              </w:rPr>
            </w:pPr>
            <w:r>
              <w:rPr>
                <w:rFonts w:hint="eastAsia" w:ascii="宋体" w:hAnsi="宋体" w:eastAsia="宋体" w:cs="宋体"/>
                <w:color w:val="auto"/>
                <w:spacing w:val="-5"/>
                <w:highlight w:val="none"/>
              </w:rPr>
              <w:t>缝宽</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5"/>
                <w:highlight w:val="none"/>
              </w:rPr>
              <w:t>3mm</w:t>
            </w:r>
            <w:r>
              <w:rPr>
                <w:rFonts w:hint="eastAsia" w:ascii="宋体" w:hAnsi="宋体" w:eastAsia="宋体" w:cs="宋体"/>
                <w:color w:val="auto"/>
                <w:spacing w:val="-29"/>
                <w:highlight w:val="none"/>
              </w:rPr>
              <w:t xml:space="preserve"> </w:t>
            </w:r>
            <w:r>
              <w:rPr>
                <w:rFonts w:hint="eastAsia" w:ascii="宋体" w:hAnsi="宋体" w:eastAsia="宋体" w:cs="宋体"/>
                <w:color w:val="auto"/>
                <w:spacing w:val="-5"/>
                <w:highlight w:val="none"/>
              </w:rPr>
              <w:t>以上，缝距小于</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5"/>
                <w:highlight w:val="none"/>
              </w:rPr>
              <w:t>100mm，面</w:t>
            </w:r>
            <w:r>
              <w:rPr>
                <w:rFonts w:hint="eastAsia" w:ascii="宋体" w:hAnsi="宋体" w:eastAsia="宋体" w:cs="宋体"/>
                <w:color w:val="auto"/>
                <w:spacing w:val="-6"/>
                <w:highlight w:val="none"/>
              </w:rPr>
              <w:t>积超</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6"/>
                <w:highlight w:val="none"/>
              </w:rPr>
              <w:t>1m</w:t>
            </w:r>
            <w:r>
              <w:rPr>
                <w:rFonts w:hint="eastAsia" w:ascii="宋体" w:hAnsi="宋体" w:eastAsia="宋体" w:cs="宋体"/>
                <w:color w:val="auto"/>
                <w:spacing w:val="-6"/>
                <w:position w:val="14"/>
                <w:sz w:val="13"/>
                <w:szCs w:val="13"/>
                <w:highlight w:val="none"/>
              </w:rPr>
              <w:t>2</w:t>
            </w:r>
          </w:p>
        </w:tc>
      </w:tr>
      <w:tr w14:paraId="4A1267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011728A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11</w:t>
            </w:r>
          </w:p>
        </w:tc>
        <w:tc>
          <w:tcPr>
            <w:tcW w:w="1253" w:type="dxa"/>
            <w:vAlign w:val="center"/>
          </w:tcPr>
          <w:p w14:paraId="51A043D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6"/>
                <w:highlight w:val="none"/>
              </w:rPr>
              <w:t>网裂</w:t>
            </w:r>
          </w:p>
        </w:tc>
        <w:tc>
          <w:tcPr>
            <w:tcW w:w="6662" w:type="dxa"/>
            <w:vAlign w:val="center"/>
          </w:tcPr>
          <w:p w14:paraId="4777C95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13"/>
                <w:szCs w:val="13"/>
                <w:highlight w:val="none"/>
              </w:rPr>
            </w:pPr>
            <w:r>
              <w:rPr>
                <w:rFonts w:hint="eastAsia" w:ascii="宋体" w:hAnsi="宋体" w:eastAsia="宋体" w:cs="宋体"/>
                <w:color w:val="auto"/>
                <w:spacing w:val="-5"/>
                <w:highlight w:val="none"/>
              </w:rPr>
              <w:t>缝宽</w:t>
            </w:r>
            <w:r>
              <w:rPr>
                <w:rFonts w:hint="eastAsia" w:ascii="宋体" w:hAnsi="宋体" w:eastAsia="宋体" w:cs="宋体"/>
                <w:color w:val="auto"/>
                <w:spacing w:val="-37"/>
                <w:highlight w:val="none"/>
              </w:rPr>
              <w:t xml:space="preserve"> </w:t>
            </w:r>
            <w:r>
              <w:rPr>
                <w:rFonts w:hint="eastAsia" w:ascii="宋体" w:hAnsi="宋体" w:eastAsia="宋体" w:cs="宋体"/>
                <w:color w:val="auto"/>
                <w:spacing w:val="-5"/>
                <w:highlight w:val="none"/>
              </w:rPr>
              <w:t>1mm</w:t>
            </w:r>
            <w:r>
              <w:rPr>
                <w:rFonts w:hint="eastAsia" w:ascii="宋体" w:hAnsi="宋体" w:eastAsia="宋体" w:cs="宋体"/>
                <w:color w:val="auto"/>
                <w:spacing w:val="-29"/>
                <w:highlight w:val="none"/>
              </w:rPr>
              <w:t xml:space="preserve"> </w:t>
            </w:r>
            <w:r>
              <w:rPr>
                <w:rFonts w:hint="eastAsia" w:ascii="宋体" w:hAnsi="宋体" w:eastAsia="宋体" w:cs="宋体"/>
                <w:color w:val="auto"/>
                <w:spacing w:val="-5"/>
                <w:highlight w:val="none"/>
              </w:rPr>
              <w:t>以上或缝距小于</w:t>
            </w:r>
            <w:r>
              <w:rPr>
                <w:rFonts w:hint="eastAsia" w:ascii="宋体" w:hAnsi="宋体" w:eastAsia="宋体" w:cs="宋体"/>
                <w:color w:val="auto"/>
                <w:spacing w:val="-61"/>
                <w:highlight w:val="none"/>
              </w:rPr>
              <w:t xml:space="preserve"> </w:t>
            </w:r>
            <w:r>
              <w:rPr>
                <w:rFonts w:hint="eastAsia" w:ascii="宋体" w:hAnsi="宋体" w:eastAsia="宋体" w:cs="宋体"/>
                <w:color w:val="auto"/>
                <w:spacing w:val="-5"/>
                <w:highlight w:val="none"/>
              </w:rPr>
              <w:t>400mm，面积超</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5"/>
                <w:highlight w:val="none"/>
              </w:rPr>
              <w:t>1m</w:t>
            </w:r>
            <w:r>
              <w:rPr>
                <w:rFonts w:hint="eastAsia" w:ascii="宋体" w:hAnsi="宋体" w:eastAsia="宋体" w:cs="宋体"/>
                <w:color w:val="auto"/>
                <w:spacing w:val="-5"/>
                <w:position w:val="14"/>
                <w:sz w:val="13"/>
                <w:szCs w:val="13"/>
                <w:highlight w:val="none"/>
              </w:rPr>
              <w:t>2</w:t>
            </w:r>
          </w:p>
        </w:tc>
      </w:tr>
      <w:tr w14:paraId="292B77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79" w:type="dxa"/>
            <w:vAlign w:val="center"/>
          </w:tcPr>
          <w:p w14:paraId="2F9E830C">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12</w:t>
            </w:r>
          </w:p>
        </w:tc>
        <w:tc>
          <w:tcPr>
            <w:tcW w:w="1253" w:type="dxa"/>
            <w:vAlign w:val="center"/>
          </w:tcPr>
          <w:p w14:paraId="04D460FD">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搓板</w:t>
            </w:r>
          </w:p>
        </w:tc>
        <w:tc>
          <w:tcPr>
            <w:tcW w:w="6662" w:type="dxa"/>
            <w:vAlign w:val="center"/>
          </w:tcPr>
          <w:p w14:paraId="42DBFEC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路面纵向产生连续起伏，峰谷高差大于</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2"/>
                <w:highlight w:val="none"/>
              </w:rPr>
              <w:t>15mm</w:t>
            </w:r>
          </w:p>
        </w:tc>
      </w:tr>
      <w:tr w14:paraId="282092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jc w:val="center"/>
        </w:trPr>
        <w:tc>
          <w:tcPr>
            <w:tcW w:w="679" w:type="dxa"/>
            <w:vAlign w:val="center"/>
          </w:tcPr>
          <w:p w14:paraId="182789C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13</w:t>
            </w:r>
          </w:p>
        </w:tc>
        <w:tc>
          <w:tcPr>
            <w:tcW w:w="1253" w:type="dxa"/>
            <w:vAlign w:val="center"/>
          </w:tcPr>
          <w:p w14:paraId="2CF9AF1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横坡不</w:t>
            </w:r>
            <w:r>
              <w:rPr>
                <w:rFonts w:hint="eastAsia" w:ascii="宋体" w:hAnsi="宋体" w:eastAsia="宋体" w:cs="宋体"/>
                <w:color w:val="auto"/>
                <w:highlight w:val="none"/>
              </w:rPr>
              <w:t>适</w:t>
            </w:r>
          </w:p>
        </w:tc>
        <w:tc>
          <w:tcPr>
            <w:tcW w:w="6662" w:type="dxa"/>
            <w:vAlign w:val="center"/>
          </w:tcPr>
          <w:p w14:paraId="0479C3EA">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路面横坡小于</w:t>
            </w:r>
            <w:r>
              <w:rPr>
                <w:rFonts w:hint="eastAsia" w:ascii="宋体" w:hAnsi="宋体" w:eastAsia="宋体" w:cs="宋体"/>
                <w:color w:val="auto"/>
                <w:spacing w:val="-29"/>
                <w:highlight w:val="none"/>
              </w:rPr>
              <w:t xml:space="preserve"> </w:t>
            </w:r>
            <w:r>
              <w:rPr>
                <w:rFonts w:hint="eastAsia" w:ascii="宋体" w:hAnsi="宋体" w:eastAsia="宋体" w:cs="宋体"/>
                <w:color w:val="auto"/>
                <w:spacing w:val="-3"/>
                <w:highlight w:val="none"/>
              </w:rPr>
              <w:t>1%或大于</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3"/>
                <w:highlight w:val="none"/>
              </w:rPr>
              <w:t>3%，或中线偏移、未设超高</w:t>
            </w:r>
          </w:p>
        </w:tc>
      </w:tr>
      <w:tr w14:paraId="243021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jc w:val="center"/>
        </w:trPr>
        <w:tc>
          <w:tcPr>
            <w:tcW w:w="679" w:type="dxa"/>
            <w:vAlign w:val="center"/>
          </w:tcPr>
          <w:p w14:paraId="1EED03A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14</w:t>
            </w:r>
          </w:p>
        </w:tc>
        <w:tc>
          <w:tcPr>
            <w:tcW w:w="1253" w:type="dxa"/>
            <w:vAlign w:val="center"/>
          </w:tcPr>
          <w:p w14:paraId="2B75B1EA">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平整度</w:t>
            </w:r>
            <w:r>
              <w:rPr>
                <w:rFonts w:hint="eastAsia" w:ascii="宋体" w:hAnsi="宋体" w:eastAsia="宋体" w:cs="宋体"/>
                <w:color w:val="auto"/>
                <w:highlight w:val="none"/>
              </w:rPr>
              <w:t>差</w:t>
            </w:r>
          </w:p>
        </w:tc>
        <w:tc>
          <w:tcPr>
            <w:tcW w:w="6662" w:type="dxa"/>
            <w:vAlign w:val="center"/>
          </w:tcPr>
          <w:p w14:paraId="6C8A5B5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3</w:t>
            </w:r>
            <w:r>
              <w:rPr>
                <w:rFonts w:hint="eastAsia" w:ascii="宋体" w:hAnsi="宋体" w:eastAsia="宋体" w:cs="宋体"/>
                <w:color w:val="auto"/>
                <w:spacing w:val="-53"/>
                <w:highlight w:val="none"/>
              </w:rPr>
              <w:t xml:space="preserve"> </w:t>
            </w:r>
            <w:r>
              <w:rPr>
                <w:rFonts w:hint="eastAsia" w:ascii="宋体" w:hAnsi="宋体" w:eastAsia="宋体" w:cs="宋体"/>
                <w:color w:val="auto"/>
                <w:spacing w:val="3"/>
                <w:highlight w:val="none"/>
              </w:rPr>
              <w:t>米尺量测尺底间隙大于8</w:t>
            </w:r>
            <w:r>
              <w:rPr>
                <w:rFonts w:hint="eastAsia" w:ascii="宋体" w:hAnsi="宋体" w:eastAsia="宋体" w:cs="宋体"/>
                <w:color w:val="auto"/>
                <w:highlight w:val="none"/>
              </w:rPr>
              <w:t>mm</w:t>
            </w:r>
          </w:p>
        </w:tc>
      </w:tr>
      <w:tr w14:paraId="6199D5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2" w:hRule="atLeast"/>
          <w:jc w:val="center"/>
        </w:trPr>
        <w:tc>
          <w:tcPr>
            <w:tcW w:w="679" w:type="dxa"/>
            <w:vAlign w:val="center"/>
          </w:tcPr>
          <w:p w14:paraId="3E82C22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15</w:t>
            </w:r>
          </w:p>
        </w:tc>
        <w:tc>
          <w:tcPr>
            <w:tcW w:w="1253" w:type="dxa"/>
            <w:vAlign w:val="center"/>
          </w:tcPr>
          <w:p w14:paraId="580E996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沟石不</w:t>
            </w:r>
            <w:r>
              <w:rPr>
                <w:rFonts w:hint="eastAsia" w:ascii="宋体" w:hAnsi="宋体" w:eastAsia="宋体" w:cs="宋体"/>
                <w:color w:val="auto"/>
                <w:highlight w:val="none"/>
              </w:rPr>
              <w:t>平</w:t>
            </w:r>
          </w:p>
        </w:tc>
        <w:tc>
          <w:tcPr>
            <w:tcW w:w="6662" w:type="dxa"/>
            <w:vAlign w:val="center"/>
          </w:tcPr>
          <w:p w14:paraId="46A068D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沟石不平整或缺失</w:t>
            </w:r>
          </w:p>
        </w:tc>
      </w:tr>
      <w:tr w14:paraId="456FDC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79" w:type="dxa"/>
            <w:vAlign w:val="center"/>
          </w:tcPr>
          <w:p w14:paraId="0865053C">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16</w:t>
            </w:r>
          </w:p>
        </w:tc>
        <w:tc>
          <w:tcPr>
            <w:tcW w:w="1253" w:type="dxa"/>
            <w:vAlign w:val="center"/>
          </w:tcPr>
          <w:p w14:paraId="699A439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井框高</w:t>
            </w:r>
            <w:r>
              <w:rPr>
                <w:rFonts w:hint="eastAsia" w:ascii="宋体" w:hAnsi="宋体" w:eastAsia="宋体" w:cs="宋体"/>
                <w:color w:val="auto"/>
                <w:highlight w:val="none"/>
              </w:rPr>
              <w:t>差</w:t>
            </w:r>
          </w:p>
        </w:tc>
        <w:tc>
          <w:tcPr>
            <w:tcW w:w="6662" w:type="dxa"/>
            <w:vAlign w:val="center"/>
          </w:tcPr>
          <w:p w14:paraId="7B0C158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路面与检查井框高差大于20</w:t>
            </w:r>
            <w:r>
              <w:rPr>
                <w:rFonts w:hint="eastAsia" w:ascii="宋体" w:hAnsi="宋体" w:eastAsia="宋体" w:cs="宋体"/>
                <w:color w:val="auto"/>
                <w:highlight w:val="none"/>
              </w:rPr>
              <w:t>mm</w:t>
            </w:r>
          </w:p>
        </w:tc>
      </w:tr>
    </w:tbl>
    <w:p w14:paraId="6B59CD5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textAlignment w:val="auto"/>
        <w:rPr>
          <w:rFonts w:hint="eastAsia" w:ascii="宋体" w:hAnsi="宋体" w:eastAsia="宋体" w:cs="宋体"/>
          <w:color w:val="auto"/>
          <w:highlight w:val="none"/>
        </w:rPr>
      </w:pPr>
    </w:p>
    <w:p w14:paraId="51577C6C">
      <w:pPr>
        <w:pStyle w:val="13"/>
        <w:keepNext w:val="0"/>
        <w:keepLines w:val="0"/>
        <w:pageBreakBefore w:val="0"/>
        <w:widowControl w:val="0"/>
        <w:kinsoku/>
        <w:wordWrap w:val="0"/>
        <w:overflowPunct/>
        <w:topLinePunct w:val="0"/>
        <w:autoSpaceDE/>
        <w:autoSpaceDN/>
        <w:bidi w:val="0"/>
        <w:adjustRightInd/>
        <w:snapToGrid/>
        <w:spacing w:after="0" w:line="240" w:lineRule="auto"/>
        <w:ind w:left="0" w:right="0" w:firstLine="0"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（2）水泥混凝土路面</w:t>
      </w:r>
    </w:p>
    <w:tbl>
      <w:tblPr>
        <w:tblStyle w:val="77"/>
        <w:tblW w:w="859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3"/>
        <w:gridCol w:w="1234"/>
        <w:gridCol w:w="6667"/>
      </w:tblGrid>
      <w:tr w14:paraId="796C0D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93" w:type="dxa"/>
            <w:shd w:val="clear" w:color="auto" w:fill="63B86C"/>
            <w:vAlign w:val="center"/>
          </w:tcPr>
          <w:p w14:paraId="0C464F5B">
            <w:pPr>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mc:AlternateContent>
                <mc:Choice Requires="wps">
                  <w:drawing>
                    <wp:anchor distT="0" distB="0" distL="114300" distR="114300" simplePos="0" relativeHeight="251685888"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4" name="任意多边形 84"/>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5888;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cHoY9oAAAAMAQAADwAAAAAA&#10;AAABACAAAAAiAAAAZHJzL2Rvd25yZXYueG1sUEsBAhQAFAAAAAgAh07iQAVuOSwRAgAAfQQAAA4A&#10;AAAAAAAAAQAgAAAAKQEAAGRycy9lMm9Eb2MueG1sUEsFBgAAAAAGAAYAWQEAAKwFAAAAAA==&#10;" path="m0,0l8374,0,8374,14,0,14,0,0xe">
                      <v:fill on="t" focussize="0,0"/>
                      <v:stroke on="f"/>
                      <v:imagedata o:title=""/>
                      <o:lock v:ext="edit" aspectratio="f"/>
                    </v:shape>
                  </w:pict>
                </mc:Fallback>
              </mc:AlternateContent>
            </w:r>
            <w:r>
              <w:rPr>
                <w:rFonts w:hint="eastAsia" w:ascii="宋体" w:hAnsi="宋体" w:eastAsia="宋体" w:cs="宋体"/>
                <w:b/>
                <w:bCs/>
                <w:color w:val="auto"/>
                <w:spacing w:val="39"/>
                <w:sz w:val="21"/>
                <w:szCs w:val="21"/>
                <w:highlight w:val="none"/>
              </w:rPr>
              <w:t>序号</w:t>
            </w:r>
          </w:p>
        </w:tc>
        <w:tc>
          <w:tcPr>
            <w:tcW w:w="1234" w:type="dxa"/>
            <w:shd w:val="clear" w:color="auto" w:fill="63B86C"/>
            <w:vAlign w:val="center"/>
          </w:tcPr>
          <w:p w14:paraId="79C2428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pacing w:val="-10"/>
                <w:sz w:val="21"/>
                <w:szCs w:val="21"/>
                <w:highlight w:val="none"/>
              </w:rPr>
              <w:t>名称</w:t>
            </w:r>
          </w:p>
        </w:tc>
        <w:tc>
          <w:tcPr>
            <w:tcW w:w="6667" w:type="dxa"/>
            <w:shd w:val="clear" w:color="auto" w:fill="63B86C"/>
            <w:vAlign w:val="center"/>
          </w:tcPr>
          <w:p w14:paraId="2267707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pacing w:val="-6"/>
                <w:sz w:val="21"/>
                <w:szCs w:val="21"/>
                <w:highlight w:val="none"/>
              </w:rPr>
              <w:t>标准范围</w:t>
            </w:r>
          </w:p>
        </w:tc>
      </w:tr>
      <w:tr w14:paraId="3C36FE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93" w:type="dxa"/>
            <w:vAlign w:val="center"/>
          </w:tcPr>
          <w:p w14:paraId="66A36B6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34" w:type="dxa"/>
            <w:vAlign w:val="center"/>
          </w:tcPr>
          <w:p w14:paraId="68E92A5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沉陷</w:t>
            </w:r>
          </w:p>
        </w:tc>
        <w:tc>
          <w:tcPr>
            <w:tcW w:w="6667" w:type="dxa"/>
            <w:vAlign w:val="center"/>
          </w:tcPr>
          <w:p w14:paraId="463D912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路面连续数块板下沉，低于相邻板面深度大于20</w:t>
            </w:r>
            <w:r>
              <w:rPr>
                <w:rFonts w:hint="eastAsia" w:ascii="宋体" w:hAnsi="宋体" w:eastAsia="宋体" w:cs="宋体"/>
                <w:color w:val="auto"/>
                <w:highlight w:val="none"/>
              </w:rPr>
              <w:t>mm</w:t>
            </w:r>
          </w:p>
        </w:tc>
      </w:tr>
      <w:tr w14:paraId="333024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93" w:type="dxa"/>
            <w:vAlign w:val="center"/>
          </w:tcPr>
          <w:p w14:paraId="2460865E">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34" w:type="dxa"/>
            <w:vAlign w:val="center"/>
          </w:tcPr>
          <w:p w14:paraId="2E12170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破碎板</w:t>
            </w:r>
          </w:p>
        </w:tc>
        <w:tc>
          <w:tcPr>
            <w:tcW w:w="6667" w:type="dxa"/>
            <w:vAlign w:val="center"/>
          </w:tcPr>
          <w:p w14:paraId="63B42F5E">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裂缝将整块板分割开，并有严重剥落或沉陷</w:t>
            </w:r>
          </w:p>
        </w:tc>
      </w:tr>
      <w:tr w14:paraId="74B366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93" w:type="dxa"/>
            <w:vAlign w:val="center"/>
          </w:tcPr>
          <w:p w14:paraId="4CAEC85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234" w:type="dxa"/>
            <w:vAlign w:val="center"/>
          </w:tcPr>
          <w:p w14:paraId="147A65C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坑洞</w:t>
            </w:r>
          </w:p>
        </w:tc>
        <w:tc>
          <w:tcPr>
            <w:tcW w:w="6667" w:type="dxa"/>
            <w:vAlign w:val="center"/>
          </w:tcPr>
          <w:p w14:paraId="44379D02">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路面板粗集料脱落形成局部凹坑，面积大于0.1m2</w:t>
            </w:r>
          </w:p>
        </w:tc>
      </w:tr>
      <w:tr w14:paraId="6FC2D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jc w:val="center"/>
        </w:trPr>
        <w:tc>
          <w:tcPr>
            <w:tcW w:w="693" w:type="dxa"/>
            <w:vAlign w:val="center"/>
          </w:tcPr>
          <w:p w14:paraId="7D53C3EC">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234" w:type="dxa"/>
            <w:vAlign w:val="center"/>
          </w:tcPr>
          <w:p w14:paraId="3F126CB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板角断</w:t>
            </w:r>
            <w:r>
              <w:rPr>
                <w:rFonts w:hint="eastAsia" w:ascii="宋体" w:hAnsi="宋体" w:eastAsia="宋体" w:cs="宋体"/>
                <w:color w:val="auto"/>
                <w:highlight w:val="none"/>
              </w:rPr>
              <w:t>裂</w:t>
            </w:r>
          </w:p>
        </w:tc>
        <w:tc>
          <w:tcPr>
            <w:tcW w:w="6667" w:type="dxa"/>
            <w:vAlign w:val="center"/>
          </w:tcPr>
          <w:p w14:paraId="6783AD6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裂缝将板角切断</w:t>
            </w:r>
          </w:p>
        </w:tc>
      </w:tr>
      <w:tr w14:paraId="4AAA17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jc w:val="center"/>
        </w:trPr>
        <w:tc>
          <w:tcPr>
            <w:tcW w:w="693" w:type="dxa"/>
            <w:vAlign w:val="center"/>
          </w:tcPr>
          <w:p w14:paraId="7591201E">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1234" w:type="dxa"/>
            <w:vAlign w:val="center"/>
          </w:tcPr>
          <w:p w14:paraId="70FDB76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8"/>
                <w:highlight w:val="none"/>
              </w:rPr>
              <w:t>露骨</w:t>
            </w:r>
          </w:p>
        </w:tc>
        <w:tc>
          <w:tcPr>
            <w:tcW w:w="6667" w:type="dxa"/>
            <w:vAlign w:val="center"/>
          </w:tcPr>
          <w:p w14:paraId="375828C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路面板表面细集料散失、粗集料暴露，面积大于</w:t>
            </w:r>
            <w:r>
              <w:rPr>
                <w:rFonts w:hint="eastAsia" w:ascii="宋体" w:hAnsi="宋体" w:eastAsia="宋体" w:cs="宋体"/>
                <w:color w:val="auto"/>
                <w:spacing w:val="-35"/>
                <w:highlight w:val="none"/>
              </w:rPr>
              <w:t xml:space="preserve"> </w:t>
            </w:r>
            <w:r>
              <w:rPr>
                <w:rFonts w:hint="eastAsia" w:ascii="宋体" w:hAnsi="宋体" w:eastAsia="宋体" w:cs="宋体"/>
                <w:color w:val="auto"/>
                <w:spacing w:val="-2"/>
                <w:highlight w:val="none"/>
              </w:rPr>
              <w:t>1m2</w:t>
            </w:r>
          </w:p>
        </w:tc>
      </w:tr>
      <w:tr w14:paraId="2C7188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93" w:type="dxa"/>
            <w:vAlign w:val="center"/>
          </w:tcPr>
          <w:p w14:paraId="6D16AA0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1234" w:type="dxa"/>
            <w:vAlign w:val="center"/>
          </w:tcPr>
          <w:p w14:paraId="1442B76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拱胀</w:t>
            </w:r>
          </w:p>
        </w:tc>
        <w:tc>
          <w:tcPr>
            <w:tcW w:w="6667" w:type="dxa"/>
            <w:vAlign w:val="center"/>
          </w:tcPr>
          <w:p w14:paraId="70C9C44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相邻板块相对邻近板向上突起20</w:t>
            </w:r>
            <w:r>
              <w:rPr>
                <w:rFonts w:hint="eastAsia" w:ascii="宋体" w:hAnsi="宋体" w:eastAsia="宋体" w:cs="宋体"/>
                <w:color w:val="auto"/>
                <w:highlight w:val="none"/>
              </w:rPr>
              <w:t>mm</w:t>
            </w:r>
          </w:p>
        </w:tc>
      </w:tr>
      <w:tr w14:paraId="2E6182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jc w:val="center"/>
        </w:trPr>
        <w:tc>
          <w:tcPr>
            <w:tcW w:w="693" w:type="dxa"/>
            <w:vAlign w:val="center"/>
          </w:tcPr>
          <w:p w14:paraId="0862867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1234" w:type="dxa"/>
            <w:vAlign w:val="center"/>
          </w:tcPr>
          <w:p w14:paraId="4AA2137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平整度</w:t>
            </w:r>
            <w:r>
              <w:rPr>
                <w:rFonts w:hint="eastAsia" w:ascii="宋体" w:hAnsi="宋体" w:eastAsia="宋体" w:cs="宋体"/>
                <w:color w:val="auto"/>
                <w:highlight w:val="none"/>
              </w:rPr>
              <w:t>差</w:t>
            </w:r>
          </w:p>
        </w:tc>
        <w:tc>
          <w:tcPr>
            <w:tcW w:w="6667" w:type="dxa"/>
            <w:vAlign w:val="center"/>
          </w:tcPr>
          <w:p w14:paraId="77DE6A6E">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3</w:t>
            </w:r>
            <w:r>
              <w:rPr>
                <w:rFonts w:hint="eastAsia" w:ascii="宋体" w:hAnsi="宋体" w:eastAsia="宋体" w:cs="宋体"/>
                <w:color w:val="auto"/>
                <w:spacing w:val="-53"/>
                <w:highlight w:val="none"/>
              </w:rPr>
              <w:t xml:space="preserve"> </w:t>
            </w:r>
            <w:r>
              <w:rPr>
                <w:rFonts w:hint="eastAsia" w:ascii="宋体" w:hAnsi="宋体" w:eastAsia="宋体" w:cs="宋体"/>
                <w:color w:val="auto"/>
                <w:spacing w:val="3"/>
                <w:highlight w:val="none"/>
              </w:rPr>
              <w:t>米尺量测尺底间隙大于8</w:t>
            </w:r>
            <w:r>
              <w:rPr>
                <w:rFonts w:hint="eastAsia" w:ascii="宋体" w:hAnsi="宋体" w:eastAsia="宋体" w:cs="宋体"/>
                <w:color w:val="auto"/>
                <w:highlight w:val="none"/>
              </w:rPr>
              <w:t>mm</w:t>
            </w:r>
          </w:p>
        </w:tc>
      </w:tr>
      <w:tr w14:paraId="7B93A1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93" w:type="dxa"/>
            <w:vAlign w:val="center"/>
          </w:tcPr>
          <w:p w14:paraId="22D6F7AD">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1234" w:type="dxa"/>
            <w:vAlign w:val="center"/>
          </w:tcPr>
          <w:p w14:paraId="5A04FEC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错台</w:t>
            </w:r>
          </w:p>
        </w:tc>
        <w:tc>
          <w:tcPr>
            <w:tcW w:w="6667" w:type="dxa"/>
            <w:vAlign w:val="center"/>
          </w:tcPr>
          <w:p w14:paraId="2B6C5EC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相邻板块垂直高差大于8</w:t>
            </w:r>
            <w:r>
              <w:rPr>
                <w:rFonts w:hint="eastAsia" w:ascii="宋体" w:hAnsi="宋体" w:eastAsia="宋体" w:cs="宋体"/>
                <w:color w:val="auto"/>
                <w:highlight w:val="none"/>
              </w:rPr>
              <w:t>mm</w:t>
            </w:r>
          </w:p>
        </w:tc>
      </w:tr>
      <w:tr w14:paraId="3BCBF9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93" w:type="dxa"/>
            <w:vAlign w:val="center"/>
          </w:tcPr>
          <w:p w14:paraId="4E5F2A6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1234" w:type="dxa"/>
            <w:vAlign w:val="center"/>
          </w:tcPr>
          <w:p w14:paraId="50116809">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2"/>
                <w:highlight w:val="none"/>
              </w:rPr>
              <w:t>唧泥</w:t>
            </w:r>
          </w:p>
        </w:tc>
        <w:tc>
          <w:tcPr>
            <w:tcW w:w="6667" w:type="dxa"/>
            <w:vAlign w:val="center"/>
          </w:tcPr>
          <w:p w14:paraId="44F2EEB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路面接缝处或裂缝处挤出泥浆，板底出现脱空</w:t>
            </w:r>
          </w:p>
        </w:tc>
      </w:tr>
      <w:tr w14:paraId="0DE287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jc w:val="center"/>
        </w:trPr>
        <w:tc>
          <w:tcPr>
            <w:tcW w:w="693" w:type="dxa"/>
            <w:vAlign w:val="center"/>
          </w:tcPr>
          <w:p w14:paraId="3D2F6FDD">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10</w:t>
            </w:r>
          </w:p>
        </w:tc>
        <w:tc>
          <w:tcPr>
            <w:tcW w:w="1234" w:type="dxa"/>
            <w:vAlign w:val="center"/>
          </w:tcPr>
          <w:p w14:paraId="40506AB9">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裂缝</w:t>
            </w:r>
          </w:p>
        </w:tc>
        <w:tc>
          <w:tcPr>
            <w:tcW w:w="6667" w:type="dxa"/>
            <w:vAlign w:val="center"/>
          </w:tcPr>
          <w:p w14:paraId="0C9BECDC">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9"/>
                <w:highlight w:val="none"/>
              </w:rPr>
              <w:t>长度超过</w:t>
            </w:r>
            <w:r>
              <w:rPr>
                <w:rFonts w:hint="eastAsia" w:ascii="宋体" w:hAnsi="宋体" w:eastAsia="宋体" w:cs="宋体"/>
                <w:color w:val="auto"/>
                <w:spacing w:val="-35"/>
                <w:highlight w:val="none"/>
              </w:rPr>
              <w:t xml:space="preserve"> </w:t>
            </w:r>
            <w:r>
              <w:rPr>
                <w:rFonts w:hint="eastAsia" w:ascii="宋体" w:hAnsi="宋体" w:eastAsia="宋体" w:cs="宋体"/>
                <w:color w:val="auto"/>
                <w:spacing w:val="-9"/>
                <w:highlight w:val="none"/>
              </w:rPr>
              <w:t>1m</w:t>
            </w:r>
            <w:r>
              <w:rPr>
                <w:rFonts w:hint="eastAsia" w:ascii="宋体" w:hAnsi="宋体" w:eastAsia="宋体" w:cs="宋体"/>
                <w:color w:val="auto"/>
                <w:spacing w:val="-37"/>
                <w:highlight w:val="none"/>
              </w:rPr>
              <w:t xml:space="preserve"> </w:t>
            </w:r>
            <w:r>
              <w:rPr>
                <w:rFonts w:hint="eastAsia" w:ascii="宋体" w:hAnsi="宋体" w:eastAsia="宋体" w:cs="宋体"/>
                <w:color w:val="auto"/>
                <w:spacing w:val="-9"/>
                <w:highlight w:val="none"/>
              </w:rPr>
              <w:t>的开裂</w:t>
            </w:r>
          </w:p>
        </w:tc>
      </w:tr>
      <w:tr w14:paraId="3FAEA0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jc w:val="center"/>
        </w:trPr>
        <w:tc>
          <w:tcPr>
            <w:tcW w:w="693" w:type="dxa"/>
            <w:vAlign w:val="center"/>
          </w:tcPr>
          <w:p w14:paraId="4D3F983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11</w:t>
            </w:r>
          </w:p>
        </w:tc>
        <w:tc>
          <w:tcPr>
            <w:tcW w:w="1234" w:type="dxa"/>
            <w:vAlign w:val="center"/>
          </w:tcPr>
          <w:p w14:paraId="2B04174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缝料散</w:t>
            </w:r>
            <w:r>
              <w:rPr>
                <w:rFonts w:hint="eastAsia" w:ascii="宋体" w:hAnsi="宋体" w:eastAsia="宋体" w:cs="宋体"/>
                <w:color w:val="auto"/>
                <w:highlight w:val="none"/>
              </w:rPr>
              <w:t>失</w:t>
            </w:r>
          </w:p>
        </w:tc>
        <w:tc>
          <w:tcPr>
            <w:tcW w:w="6667" w:type="dxa"/>
            <w:vAlign w:val="center"/>
          </w:tcPr>
          <w:p w14:paraId="00ECD2A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接缝内填料散失，或填缝料与板边脱离、凹陷</w:t>
            </w:r>
            <w:r>
              <w:rPr>
                <w:rFonts w:hint="eastAsia" w:ascii="宋体" w:hAnsi="宋体" w:eastAsia="宋体" w:cs="宋体"/>
                <w:color w:val="auto"/>
                <w:spacing w:val="-34"/>
                <w:highlight w:val="none"/>
              </w:rPr>
              <w:t xml:space="preserve"> </w:t>
            </w:r>
            <w:r>
              <w:rPr>
                <w:rFonts w:hint="eastAsia" w:ascii="宋体" w:hAnsi="宋体" w:eastAsia="宋体" w:cs="宋体"/>
                <w:color w:val="auto"/>
                <w:spacing w:val="-2"/>
                <w:highlight w:val="none"/>
              </w:rPr>
              <w:t>10mm</w:t>
            </w:r>
            <w:r>
              <w:rPr>
                <w:rFonts w:hint="eastAsia" w:ascii="宋体" w:hAnsi="宋体" w:eastAsia="宋体" w:cs="宋体"/>
                <w:color w:val="auto"/>
                <w:spacing w:val="-21"/>
                <w:highlight w:val="none"/>
              </w:rPr>
              <w:t>以上</w:t>
            </w:r>
          </w:p>
        </w:tc>
      </w:tr>
    </w:tbl>
    <w:p w14:paraId="6702B04C">
      <w:pPr>
        <w:pStyle w:val="13"/>
        <w:keepNext w:val="0"/>
        <w:keepLines w:val="0"/>
        <w:pageBreakBefore w:val="0"/>
        <w:widowControl w:val="0"/>
        <w:numPr>
          <w:ilvl w:val="0"/>
          <w:numId w:val="0"/>
        </w:numPr>
        <w:kinsoku/>
        <w:wordWrap w:val="0"/>
        <w:overflowPunct/>
        <w:topLinePunct w:val="0"/>
        <w:autoSpaceDE/>
        <w:autoSpaceDN/>
        <w:bidi w:val="0"/>
        <w:adjustRightInd/>
        <w:snapToGrid/>
        <w:spacing w:after="0" w:line="240" w:lineRule="auto"/>
        <w:ind w:right="0" w:rightChars="0" w:firstLine="0" w:firstLineChars="0"/>
        <w:textAlignment w:val="auto"/>
        <w:rPr>
          <w:rFonts w:hint="eastAsia" w:ascii="宋体" w:hAnsi="宋体" w:eastAsia="宋体" w:cs="宋体"/>
          <w:color w:val="auto"/>
          <w:spacing w:val="-2"/>
          <w:highlight w:val="none"/>
        </w:rPr>
      </w:pPr>
    </w:p>
    <w:p w14:paraId="04E24CBF">
      <w:pPr>
        <w:pStyle w:val="13"/>
        <w:keepNext w:val="0"/>
        <w:keepLines w:val="0"/>
        <w:pageBreakBefore w:val="0"/>
        <w:widowControl w:val="0"/>
        <w:numPr>
          <w:ilvl w:val="0"/>
          <w:numId w:val="0"/>
        </w:numPr>
        <w:kinsoku/>
        <w:wordWrap w:val="0"/>
        <w:overflowPunct/>
        <w:topLinePunct w:val="0"/>
        <w:autoSpaceDE/>
        <w:autoSpaceDN/>
        <w:bidi w:val="0"/>
        <w:adjustRightInd/>
        <w:snapToGrid/>
        <w:spacing w:after="0" w:line="240" w:lineRule="auto"/>
        <w:ind w:right="0" w:rightChars="0" w:firstLine="0" w:firstLineChars="0"/>
        <w:textAlignment w:val="auto"/>
        <w:rPr>
          <w:rFonts w:hint="eastAsia" w:ascii="宋体" w:hAnsi="宋体" w:eastAsia="宋体" w:cs="宋体"/>
          <w:color w:val="auto"/>
          <w:spacing w:val="-2"/>
          <w:highlight w:val="none"/>
        </w:rPr>
      </w:pPr>
      <w:r>
        <w:rPr>
          <w:rFonts w:hint="eastAsia" w:ascii="宋体" w:hAnsi="宋体" w:eastAsia="宋体" w:cs="宋体"/>
          <w:color w:val="auto"/>
          <w:spacing w:val="-2"/>
          <w:sz w:val="24"/>
          <w:szCs w:val="32"/>
          <w:highlight w:val="none"/>
          <w:lang w:eastAsia="zh-CN"/>
        </w:rPr>
        <w:t>（</w:t>
      </w:r>
      <w:r>
        <w:rPr>
          <w:rFonts w:hint="eastAsia" w:ascii="宋体" w:hAnsi="宋体" w:eastAsia="宋体" w:cs="宋体"/>
          <w:color w:val="auto"/>
          <w:spacing w:val="-2"/>
          <w:sz w:val="24"/>
          <w:szCs w:val="32"/>
          <w:highlight w:val="none"/>
          <w:lang w:val="en-US" w:eastAsia="zh-CN"/>
        </w:rPr>
        <w:t>3</w:t>
      </w:r>
      <w:r>
        <w:rPr>
          <w:rFonts w:hint="eastAsia" w:ascii="宋体" w:hAnsi="宋体" w:eastAsia="宋体" w:cs="宋体"/>
          <w:color w:val="auto"/>
          <w:spacing w:val="-2"/>
          <w:sz w:val="24"/>
          <w:szCs w:val="32"/>
          <w:highlight w:val="none"/>
          <w:lang w:eastAsia="zh-CN"/>
        </w:rPr>
        <w:t>）</w:t>
      </w:r>
      <w:r>
        <w:rPr>
          <w:rFonts w:hint="eastAsia" w:ascii="宋体" w:hAnsi="宋体" w:eastAsia="宋体" w:cs="宋体"/>
          <w:color w:val="auto"/>
          <w:spacing w:val="-2"/>
          <w:sz w:val="24"/>
          <w:szCs w:val="32"/>
          <w:highlight w:val="none"/>
        </w:rPr>
        <w:t>人行道（含沿石）</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36"/>
        <w:gridCol w:w="2136"/>
        <w:gridCol w:w="5722"/>
      </w:tblGrid>
      <w:tr w14:paraId="7255EB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736" w:type="dxa"/>
            <w:shd w:val="clear" w:color="auto" w:fill="63B86C"/>
            <w:vAlign w:val="center"/>
          </w:tcPr>
          <w:p w14:paraId="4D560F4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2"/>
                <w:highlight w:val="none"/>
              </w:rPr>
              <w:t>序</w:t>
            </w:r>
            <w:r>
              <w:rPr>
                <w:rFonts w:hint="eastAsia" w:ascii="宋体" w:hAnsi="宋体" w:eastAsia="宋体" w:cs="宋体"/>
                <w:color w:val="auto"/>
                <w:spacing w:val="-57"/>
                <w:highlight w:val="none"/>
              </w:rPr>
              <w:t xml:space="preserve"> </w:t>
            </w:r>
            <w:r>
              <w:rPr>
                <w:rFonts w:hint="eastAsia" w:ascii="宋体" w:hAnsi="宋体" w:eastAsia="宋体" w:cs="宋体"/>
                <w:b/>
                <w:bCs/>
                <w:color w:val="auto"/>
                <w:spacing w:val="-2"/>
                <w:highlight w:val="none"/>
              </w:rPr>
              <w:t>号</w:t>
            </w:r>
          </w:p>
        </w:tc>
        <w:tc>
          <w:tcPr>
            <w:tcW w:w="2136" w:type="dxa"/>
            <w:shd w:val="clear" w:color="auto" w:fill="63B86C"/>
            <w:vAlign w:val="center"/>
          </w:tcPr>
          <w:p w14:paraId="5D718C72">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名称</w:t>
            </w:r>
          </w:p>
        </w:tc>
        <w:tc>
          <w:tcPr>
            <w:tcW w:w="5722" w:type="dxa"/>
            <w:shd w:val="clear" w:color="auto" w:fill="63B86C"/>
            <w:vAlign w:val="center"/>
          </w:tcPr>
          <w:p w14:paraId="7A6235E2">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9"/>
                <w:highlight w:val="none"/>
              </w:rPr>
              <w:t>标准</w:t>
            </w:r>
          </w:p>
        </w:tc>
      </w:tr>
      <w:tr w14:paraId="143CC0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6" w:type="dxa"/>
            <w:vAlign w:val="center"/>
          </w:tcPr>
          <w:p w14:paraId="606EF5D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2136" w:type="dxa"/>
            <w:vAlign w:val="center"/>
          </w:tcPr>
          <w:p w14:paraId="20B562D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缺砖、石板</w:t>
            </w:r>
          </w:p>
        </w:tc>
        <w:tc>
          <w:tcPr>
            <w:tcW w:w="5722" w:type="dxa"/>
            <w:vAlign w:val="center"/>
          </w:tcPr>
          <w:p w14:paraId="01DE8C3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铺装互锁砖、大理石板破损，缺失</w:t>
            </w:r>
          </w:p>
        </w:tc>
      </w:tr>
      <w:tr w14:paraId="1ED7F8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6" w:type="dxa"/>
            <w:vAlign w:val="center"/>
          </w:tcPr>
          <w:p w14:paraId="1FE7493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2136" w:type="dxa"/>
            <w:vAlign w:val="center"/>
          </w:tcPr>
          <w:p w14:paraId="047277A9">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错台</w:t>
            </w:r>
          </w:p>
        </w:tc>
        <w:tc>
          <w:tcPr>
            <w:tcW w:w="5722" w:type="dxa"/>
            <w:vAlign w:val="center"/>
          </w:tcPr>
          <w:p w14:paraId="514AE0B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接缝或相邻板高差大于6</w:t>
            </w:r>
            <w:r>
              <w:rPr>
                <w:rFonts w:hint="eastAsia" w:ascii="宋体" w:hAnsi="宋体" w:eastAsia="宋体" w:cs="宋体"/>
                <w:color w:val="auto"/>
                <w:highlight w:val="none"/>
              </w:rPr>
              <w:t>mm</w:t>
            </w:r>
          </w:p>
        </w:tc>
      </w:tr>
      <w:tr w14:paraId="15155C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6" w:type="dxa"/>
            <w:vAlign w:val="center"/>
          </w:tcPr>
          <w:p w14:paraId="41639D1E">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2136" w:type="dxa"/>
            <w:vAlign w:val="center"/>
          </w:tcPr>
          <w:p w14:paraId="7357475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沉陷</w:t>
            </w:r>
          </w:p>
        </w:tc>
        <w:tc>
          <w:tcPr>
            <w:tcW w:w="5722" w:type="dxa"/>
            <w:vAlign w:val="center"/>
          </w:tcPr>
          <w:p w14:paraId="0CCFA46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1"/>
                <w:highlight w:val="none"/>
              </w:rPr>
              <w:t>连续数块板低于邻块</w:t>
            </w:r>
            <w:r>
              <w:rPr>
                <w:rFonts w:hint="eastAsia" w:ascii="宋体" w:hAnsi="宋体" w:eastAsia="宋体" w:cs="宋体"/>
                <w:color w:val="auto"/>
                <w:spacing w:val="-48"/>
                <w:highlight w:val="none"/>
              </w:rPr>
              <w:t xml:space="preserve"> </w:t>
            </w:r>
            <w:r>
              <w:rPr>
                <w:rFonts w:hint="eastAsia" w:ascii="宋体" w:hAnsi="宋体" w:eastAsia="宋体" w:cs="宋体"/>
                <w:color w:val="auto"/>
                <w:spacing w:val="-11"/>
                <w:highlight w:val="none"/>
              </w:rPr>
              <w:t>15mm</w:t>
            </w:r>
            <w:r>
              <w:rPr>
                <w:rFonts w:hint="eastAsia" w:ascii="宋体" w:hAnsi="宋体" w:eastAsia="宋体" w:cs="宋体"/>
                <w:color w:val="auto"/>
                <w:spacing w:val="-36"/>
                <w:highlight w:val="none"/>
              </w:rPr>
              <w:t xml:space="preserve"> </w:t>
            </w:r>
            <w:r>
              <w:rPr>
                <w:rFonts w:hint="eastAsia" w:ascii="宋体" w:hAnsi="宋体" w:eastAsia="宋体" w:cs="宋体"/>
                <w:color w:val="auto"/>
                <w:spacing w:val="-11"/>
                <w:highlight w:val="none"/>
              </w:rPr>
              <w:t>以上，面积超过</w:t>
            </w:r>
            <w:r>
              <w:rPr>
                <w:rFonts w:hint="eastAsia" w:ascii="宋体" w:hAnsi="宋体" w:eastAsia="宋体" w:cs="宋体"/>
                <w:color w:val="auto"/>
                <w:spacing w:val="-49"/>
                <w:highlight w:val="none"/>
              </w:rPr>
              <w:t xml:space="preserve"> </w:t>
            </w:r>
            <w:r>
              <w:rPr>
                <w:rFonts w:hint="eastAsia" w:ascii="宋体" w:hAnsi="宋体" w:eastAsia="宋体" w:cs="宋体"/>
                <w:color w:val="auto"/>
                <w:spacing w:val="-11"/>
                <w:highlight w:val="none"/>
              </w:rPr>
              <w:t>1m2</w:t>
            </w:r>
          </w:p>
        </w:tc>
      </w:tr>
      <w:tr w14:paraId="5B9809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736" w:type="dxa"/>
            <w:vAlign w:val="center"/>
          </w:tcPr>
          <w:p w14:paraId="20CF84A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2136" w:type="dxa"/>
            <w:vAlign w:val="center"/>
          </w:tcPr>
          <w:p w14:paraId="5414140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松动（散）</w:t>
            </w:r>
          </w:p>
        </w:tc>
        <w:tc>
          <w:tcPr>
            <w:tcW w:w="5722" w:type="dxa"/>
            <w:vAlign w:val="center"/>
          </w:tcPr>
          <w:p w14:paraId="06CC52C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铺装块活动错位</w:t>
            </w:r>
          </w:p>
        </w:tc>
      </w:tr>
      <w:tr w14:paraId="4E3D7F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736" w:type="dxa"/>
            <w:vAlign w:val="center"/>
          </w:tcPr>
          <w:p w14:paraId="0E5651C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2136" w:type="dxa"/>
            <w:vAlign w:val="center"/>
          </w:tcPr>
          <w:p w14:paraId="013E698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拱起</w:t>
            </w:r>
          </w:p>
        </w:tc>
        <w:tc>
          <w:tcPr>
            <w:tcW w:w="5722" w:type="dxa"/>
            <w:vAlign w:val="center"/>
          </w:tcPr>
          <w:p w14:paraId="541613E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多块板相对邻板向上突起，高低点之差大于</w:t>
            </w:r>
            <w:r>
              <w:rPr>
                <w:rFonts w:hint="eastAsia" w:ascii="宋体" w:hAnsi="宋体" w:eastAsia="宋体" w:cs="宋体"/>
                <w:color w:val="auto"/>
                <w:spacing w:val="-4"/>
                <w:highlight w:val="none"/>
              </w:rPr>
              <w:t>30mm</w:t>
            </w:r>
          </w:p>
        </w:tc>
      </w:tr>
      <w:tr w14:paraId="697DF7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6" w:type="dxa"/>
            <w:vAlign w:val="center"/>
          </w:tcPr>
          <w:p w14:paraId="0DB05CC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2136" w:type="dxa"/>
            <w:vAlign w:val="center"/>
          </w:tcPr>
          <w:p w14:paraId="60AA9129">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井框高差</w:t>
            </w:r>
          </w:p>
        </w:tc>
        <w:tc>
          <w:tcPr>
            <w:tcW w:w="5722" w:type="dxa"/>
            <w:vAlign w:val="center"/>
          </w:tcPr>
          <w:p w14:paraId="50E22C1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高差大于</w:t>
            </w:r>
            <w:r>
              <w:rPr>
                <w:rFonts w:hint="eastAsia" w:ascii="宋体" w:hAnsi="宋体" w:eastAsia="宋体" w:cs="宋体"/>
                <w:color w:val="auto"/>
                <w:spacing w:val="-32"/>
                <w:highlight w:val="none"/>
              </w:rPr>
              <w:t xml:space="preserve"> </w:t>
            </w:r>
            <w:r>
              <w:rPr>
                <w:rFonts w:hint="eastAsia" w:ascii="宋体" w:hAnsi="宋体" w:eastAsia="宋体" w:cs="宋体"/>
                <w:color w:val="auto"/>
                <w:spacing w:val="-7"/>
                <w:highlight w:val="none"/>
              </w:rPr>
              <w:t>10mm</w:t>
            </w:r>
          </w:p>
        </w:tc>
      </w:tr>
      <w:tr w14:paraId="14F23A3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6" w:type="dxa"/>
            <w:vAlign w:val="center"/>
          </w:tcPr>
          <w:p w14:paraId="05E5A98E">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2136" w:type="dxa"/>
            <w:vAlign w:val="center"/>
          </w:tcPr>
          <w:p w14:paraId="38D3EE1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沿石歪斜</w:t>
            </w:r>
          </w:p>
        </w:tc>
        <w:tc>
          <w:tcPr>
            <w:tcW w:w="5722" w:type="dxa"/>
            <w:vAlign w:val="center"/>
          </w:tcPr>
          <w:p w14:paraId="6461144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上下差、左右差大于</w:t>
            </w:r>
            <w:r>
              <w:rPr>
                <w:rFonts w:hint="eastAsia" w:ascii="宋体" w:hAnsi="宋体" w:eastAsia="宋体" w:cs="宋体"/>
                <w:color w:val="auto"/>
                <w:spacing w:val="-31"/>
                <w:highlight w:val="none"/>
              </w:rPr>
              <w:t xml:space="preserve"> </w:t>
            </w:r>
            <w:r>
              <w:rPr>
                <w:rFonts w:hint="eastAsia" w:ascii="宋体" w:hAnsi="宋体" w:eastAsia="宋体" w:cs="宋体"/>
                <w:color w:val="auto"/>
                <w:spacing w:val="-4"/>
                <w:highlight w:val="none"/>
              </w:rPr>
              <w:t>10mm</w:t>
            </w:r>
            <w:r>
              <w:rPr>
                <w:rFonts w:hint="eastAsia" w:ascii="宋体" w:hAnsi="宋体" w:eastAsia="宋体" w:cs="宋体"/>
                <w:color w:val="auto"/>
                <w:spacing w:val="-57"/>
                <w:highlight w:val="none"/>
              </w:rPr>
              <w:t xml:space="preserve"> </w:t>
            </w:r>
            <w:r>
              <w:rPr>
                <w:rFonts w:hint="eastAsia" w:ascii="宋体" w:hAnsi="宋体" w:eastAsia="宋体" w:cs="宋体"/>
                <w:color w:val="auto"/>
                <w:spacing w:val="-4"/>
                <w:highlight w:val="none"/>
              </w:rPr>
              <w:t>或倾斜</w:t>
            </w:r>
          </w:p>
        </w:tc>
      </w:tr>
      <w:tr w14:paraId="6AA3735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736" w:type="dxa"/>
            <w:vAlign w:val="center"/>
          </w:tcPr>
          <w:p w14:paraId="477F6BB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2136" w:type="dxa"/>
            <w:vAlign w:val="center"/>
          </w:tcPr>
          <w:p w14:paraId="3EAEC4A9">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8"/>
                <w:highlight w:val="none"/>
              </w:rPr>
              <w:t>沿石、镶边石缺</w:t>
            </w:r>
            <w:r>
              <w:rPr>
                <w:rFonts w:hint="eastAsia" w:ascii="宋体" w:hAnsi="宋体" w:eastAsia="宋体" w:cs="宋体"/>
                <w:color w:val="auto"/>
                <w:highlight w:val="none"/>
              </w:rPr>
              <w:t>失</w:t>
            </w:r>
          </w:p>
        </w:tc>
        <w:tc>
          <w:tcPr>
            <w:tcW w:w="5722" w:type="dxa"/>
            <w:vAlign w:val="center"/>
          </w:tcPr>
          <w:p w14:paraId="0472A8C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沿石破损缺失未补</w:t>
            </w:r>
          </w:p>
        </w:tc>
      </w:tr>
      <w:tr w14:paraId="4A717D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736" w:type="dxa"/>
            <w:vAlign w:val="center"/>
          </w:tcPr>
          <w:p w14:paraId="04F4182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2136" w:type="dxa"/>
            <w:vAlign w:val="center"/>
          </w:tcPr>
          <w:p w14:paraId="6DBB330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不镶边</w:t>
            </w:r>
          </w:p>
        </w:tc>
        <w:tc>
          <w:tcPr>
            <w:tcW w:w="5722" w:type="dxa"/>
            <w:vAlign w:val="center"/>
          </w:tcPr>
          <w:p w14:paraId="125DDBCA">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人行道板边缘应设界条而未设</w:t>
            </w:r>
          </w:p>
        </w:tc>
      </w:tr>
      <w:tr w14:paraId="6D045F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736" w:type="dxa"/>
            <w:vAlign w:val="center"/>
          </w:tcPr>
          <w:p w14:paraId="67FF768A">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10</w:t>
            </w:r>
          </w:p>
        </w:tc>
        <w:tc>
          <w:tcPr>
            <w:tcW w:w="2136" w:type="dxa"/>
            <w:vAlign w:val="center"/>
          </w:tcPr>
          <w:p w14:paraId="7B7CA6D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板材不规则</w:t>
            </w:r>
          </w:p>
        </w:tc>
        <w:tc>
          <w:tcPr>
            <w:tcW w:w="5722" w:type="dxa"/>
            <w:vAlign w:val="center"/>
          </w:tcPr>
          <w:p w14:paraId="3CB1D91A">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修补部分板与原板颜色、规格不一致，盲道间</w:t>
            </w:r>
            <w:r>
              <w:rPr>
                <w:rFonts w:hint="eastAsia" w:ascii="宋体" w:hAnsi="宋体" w:eastAsia="宋体" w:cs="宋体"/>
                <w:color w:val="auto"/>
                <w:spacing w:val="-4"/>
                <w:highlight w:val="none"/>
              </w:rPr>
              <w:t>断或不合标准</w:t>
            </w:r>
          </w:p>
        </w:tc>
      </w:tr>
      <w:tr w14:paraId="6E28F9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736" w:type="dxa"/>
            <w:vAlign w:val="center"/>
          </w:tcPr>
          <w:p w14:paraId="2B72A2C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5"/>
                <w:highlight w:val="none"/>
              </w:rPr>
              <w:t>11</w:t>
            </w:r>
          </w:p>
        </w:tc>
        <w:tc>
          <w:tcPr>
            <w:tcW w:w="2136" w:type="dxa"/>
            <w:vAlign w:val="center"/>
          </w:tcPr>
          <w:p w14:paraId="5A8B60BD">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坑洞</w:t>
            </w:r>
          </w:p>
        </w:tc>
        <w:tc>
          <w:tcPr>
            <w:tcW w:w="5722" w:type="dxa"/>
            <w:vAlign w:val="center"/>
          </w:tcPr>
          <w:p w14:paraId="4D251DD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破损深度大于</w:t>
            </w:r>
            <w:r>
              <w:rPr>
                <w:rFonts w:hint="eastAsia" w:ascii="宋体" w:hAnsi="宋体" w:eastAsia="宋体" w:cs="宋体"/>
                <w:color w:val="auto"/>
                <w:spacing w:val="-28"/>
                <w:highlight w:val="none"/>
              </w:rPr>
              <w:t xml:space="preserve"> </w:t>
            </w:r>
            <w:r>
              <w:rPr>
                <w:rFonts w:hint="eastAsia" w:ascii="宋体" w:hAnsi="宋体" w:eastAsia="宋体" w:cs="宋体"/>
                <w:color w:val="auto"/>
                <w:spacing w:val="-5"/>
                <w:highlight w:val="none"/>
              </w:rPr>
              <w:t>15mm</w:t>
            </w:r>
          </w:p>
        </w:tc>
      </w:tr>
    </w:tbl>
    <w:p w14:paraId="04B79B2B">
      <w:pPr>
        <w:pStyle w:val="13"/>
        <w:keepNext w:val="0"/>
        <w:keepLines w:val="0"/>
        <w:pageBreakBefore w:val="0"/>
        <w:widowControl w:val="0"/>
        <w:kinsoku/>
        <w:wordWrap w:val="0"/>
        <w:overflowPunct/>
        <w:topLinePunct w:val="0"/>
        <w:autoSpaceDE/>
        <w:autoSpaceDN/>
        <w:bidi w:val="0"/>
        <w:adjustRightInd/>
        <w:snapToGrid/>
        <w:spacing w:after="0" w:line="240" w:lineRule="auto"/>
        <w:ind w:left="0" w:right="0" w:firstLine="0" w:firstLineChars="0"/>
        <w:textAlignment w:val="auto"/>
        <w:rPr>
          <w:rFonts w:hint="eastAsia" w:ascii="宋体" w:hAnsi="宋体" w:eastAsia="宋体" w:cs="宋体"/>
          <w:color w:val="auto"/>
          <w:spacing w:val="-1"/>
          <w:highlight w:val="none"/>
        </w:rPr>
      </w:pPr>
      <w:r>
        <w:rPr>
          <w:rFonts w:hint="eastAsia" w:ascii="宋体" w:hAnsi="宋体" w:eastAsia="宋体" w:cs="宋体"/>
          <w:color w:val="auto"/>
          <w:spacing w:val="-1"/>
          <w:highlight w:val="none"/>
        </w:rPr>
        <w:t>注：沥青类、水泥类人行道病害与同类型车行道相同。</w:t>
      </w:r>
    </w:p>
    <w:p w14:paraId="780AAC91">
      <w:pPr>
        <w:pStyle w:val="13"/>
        <w:keepNext w:val="0"/>
        <w:keepLines w:val="0"/>
        <w:pageBreakBefore w:val="0"/>
        <w:widowControl w:val="0"/>
        <w:kinsoku/>
        <w:wordWrap w:val="0"/>
        <w:overflowPunct/>
        <w:topLinePunct w:val="0"/>
        <w:autoSpaceDE/>
        <w:autoSpaceDN/>
        <w:bidi w:val="0"/>
        <w:adjustRightInd/>
        <w:snapToGrid/>
        <w:spacing w:after="0" w:line="240" w:lineRule="auto"/>
        <w:ind w:left="0" w:right="0" w:firstLine="0" w:firstLineChars="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3"/>
          <w:sz w:val="24"/>
          <w:szCs w:val="32"/>
          <w:highlight w:val="none"/>
        </w:rPr>
        <w:t>（4）排水管道</w:t>
      </w:r>
    </w:p>
    <w:tbl>
      <w:tblPr>
        <w:tblStyle w:val="77"/>
        <w:tblpPr w:leftFromText="180" w:rightFromText="180" w:vertAnchor="text" w:horzAnchor="page" w:tblpX="1786" w:tblpY="251"/>
        <w:tblOverlap w:val="never"/>
        <w:tblW w:w="859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06"/>
        <w:gridCol w:w="1207"/>
        <w:gridCol w:w="6681"/>
      </w:tblGrid>
      <w:tr w14:paraId="1BD286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4" w:hRule="atLeast"/>
        </w:trPr>
        <w:tc>
          <w:tcPr>
            <w:tcW w:w="706" w:type="dxa"/>
            <w:shd w:val="clear" w:color="auto" w:fill="00B050"/>
            <w:vAlign w:val="center"/>
          </w:tcPr>
          <w:p w14:paraId="18E4FA63">
            <w:pPr>
              <w:pStyle w:val="76"/>
              <w:keepNext w:val="0"/>
              <w:keepLines w:val="0"/>
              <w:pageBreakBefore w:val="0"/>
              <w:widowControl w:val="0"/>
              <w:kinsoku/>
              <w:wordWrap w:val="0"/>
              <w:overflowPunct/>
              <w:topLinePunct w:val="0"/>
              <w:autoSpaceDE/>
              <w:autoSpaceDN/>
              <w:bidi w:val="0"/>
              <w:adjustRightInd/>
              <w:snapToGrid/>
              <w:spacing w:line="240" w:lineRule="auto"/>
              <w:ind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39"/>
                <w:highlight w:val="none"/>
              </w:rPr>
              <w:t>序号</w:t>
            </w:r>
          </w:p>
        </w:tc>
        <w:tc>
          <w:tcPr>
            <w:tcW w:w="1207" w:type="dxa"/>
            <w:shd w:val="clear" w:color="auto" w:fill="00B050"/>
            <w:vAlign w:val="center"/>
          </w:tcPr>
          <w:p w14:paraId="1399CD6F">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项目</w:t>
            </w:r>
          </w:p>
        </w:tc>
        <w:tc>
          <w:tcPr>
            <w:tcW w:w="6681" w:type="dxa"/>
            <w:shd w:val="clear" w:color="auto" w:fill="00B050"/>
            <w:vAlign w:val="center"/>
          </w:tcPr>
          <w:p w14:paraId="75898360">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9"/>
                <w:highlight w:val="none"/>
              </w:rPr>
              <w:t>标准</w:t>
            </w:r>
          </w:p>
        </w:tc>
      </w:tr>
      <w:tr w14:paraId="4D9A06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706" w:type="dxa"/>
            <w:vAlign w:val="center"/>
          </w:tcPr>
          <w:p w14:paraId="44D04E14">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207" w:type="dxa"/>
            <w:vAlign w:val="center"/>
          </w:tcPr>
          <w:p w14:paraId="6385C10B">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8"/>
                <w:highlight w:val="none"/>
              </w:rPr>
            </w:pPr>
            <w:r>
              <w:rPr>
                <w:rFonts w:hint="eastAsia" w:ascii="宋体" w:hAnsi="宋体" w:eastAsia="宋体" w:cs="宋体"/>
                <w:color w:val="auto"/>
                <w:spacing w:val="-8"/>
                <w:highlight w:val="none"/>
              </w:rPr>
              <w:t>管道</w:t>
            </w:r>
          </w:p>
        </w:tc>
        <w:tc>
          <w:tcPr>
            <w:tcW w:w="6681" w:type="dxa"/>
            <w:vAlign w:val="center"/>
          </w:tcPr>
          <w:p w14:paraId="65FCCA2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14"/>
                <w:highlight w:val="none"/>
              </w:rPr>
              <w:t>1、管道插接口完好，坡度顺畅，管壁无破损、无</w:t>
            </w:r>
            <w:r>
              <w:rPr>
                <w:rFonts w:hint="eastAsia" w:ascii="宋体" w:hAnsi="宋体" w:eastAsia="宋体" w:cs="宋体"/>
                <w:color w:val="auto"/>
                <w:spacing w:val="-15"/>
                <w:highlight w:val="none"/>
              </w:rPr>
              <w:t>泄漏；</w:t>
            </w:r>
          </w:p>
          <w:p w14:paraId="43EF9E0D">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left"/>
              <w:textAlignment w:val="auto"/>
              <w:rPr>
                <w:rFonts w:hint="eastAsia" w:ascii="宋体" w:hAnsi="宋体" w:eastAsia="宋体" w:cs="宋体"/>
                <w:color w:val="auto"/>
                <w:spacing w:val="-1"/>
                <w:highlight w:val="none"/>
              </w:rPr>
            </w:pPr>
            <w:r>
              <w:rPr>
                <w:rFonts w:hint="eastAsia" w:ascii="宋体" w:hAnsi="宋体" w:eastAsia="宋体" w:cs="宋体"/>
                <w:color w:val="auto"/>
                <w:spacing w:val="-1"/>
                <w:highlight w:val="none"/>
              </w:rPr>
              <w:t>2、淤泥应低于管径的五分之一。</w:t>
            </w:r>
          </w:p>
        </w:tc>
      </w:tr>
      <w:tr w14:paraId="557C80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706" w:type="dxa"/>
            <w:vAlign w:val="center"/>
          </w:tcPr>
          <w:p w14:paraId="6DF8D0C5">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7D8C3C82">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278513C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5ECF2A80">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5C6DABBC">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207" w:type="dxa"/>
            <w:vAlign w:val="center"/>
          </w:tcPr>
          <w:p w14:paraId="700B073F">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22C6294F">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3EE5513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2889125A">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43B7EAA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检查井</w:t>
            </w:r>
          </w:p>
        </w:tc>
        <w:tc>
          <w:tcPr>
            <w:tcW w:w="6681" w:type="dxa"/>
            <w:vAlign w:val="center"/>
          </w:tcPr>
          <w:p w14:paraId="733ECBA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1、井盖与井座完好，吻合，安放平稳、启闭灵活，井</w:t>
            </w:r>
            <w:r>
              <w:rPr>
                <w:rFonts w:hint="eastAsia" w:ascii="宋体" w:hAnsi="宋体" w:eastAsia="宋体" w:cs="宋体"/>
                <w:color w:val="auto"/>
                <w:spacing w:val="4"/>
                <w:highlight w:val="none"/>
              </w:rPr>
              <w:t>座高于或低于路面不超过5</w:t>
            </w:r>
            <w:r>
              <w:rPr>
                <w:rFonts w:hint="eastAsia" w:ascii="宋体" w:hAnsi="宋体" w:eastAsia="宋体" w:cs="宋体"/>
                <w:color w:val="auto"/>
                <w:highlight w:val="none"/>
              </w:rPr>
              <w:t>mm</w:t>
            </w:r>
            <w:r>
              <w:rPr>
                <w:rFonts w:hint="eastAsia" w:ascii="宋体" w:hAnsi="宋体" w:eastAsia="宋体" w:cs="宋体"/>
                <w:color w:val="auto"/>
                <w:spacing w:val="4"/>
                <w:highlight w:val="none"/>
              </w:rPr>
              <w:t>；</w:t>
            </w:r>
          </w:p>
          <w:p w14:paraId="0CC1797C">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2、踏步完好、井壁无破损；</w:t>
            </w:r>
          </w:p>
          <w:p w14:paraId="29652C3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3、插接管与井壁相接处平齐光滑，工作台平整；</w:t>
            </w:r>
          </w:p>
          <w:p w14:paraId="48F46E9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4、井内无蛛网、井壁、踏步上不挂赃物，工作台上无</w:t>
            </w:r>
            <w:r>
              <w:rPr>
                <w:rFonts w:hint="eastAsia" w:ascii="宋体" w:hAnsi="宋体" w:eastAsia="宋体" w:cs="宋体"/>
                <w:color w:val="auto"/>
                <w:spacing w:val="-3"/>
                <w:highlight w:val="none"/>
              </w:rPr>
              <w:t>淤积物；</w:t>
            </w:r>
          </w:p>
          <w:p w14:paraId="083C9D5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5、淤泥应低于管径的五分之一。</w:t>
            </w:r>
          </w:p>
        </w:tc>
      </w:tr>
      <w:tr w14:paraId="42FB33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5" w:hRule="atLeast"/>
        </w:trPr>
        <w:tc>
          <w:tcPr>
            <w:tcW w:w="706" w:type="dxa"/>
            <w:vAlign w:val="center"/>
          </w:tcPr>
          <w:p w14:paraId="0886E5FD">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5489B6B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132D5E5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08C0548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207" w:type="dxa"/>
            <w:vAlign w:val="center"/>
          </w:tcPr>
          <w:p w14:paraId="2FF1B9F8">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580FF94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7CA6D8C1">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7CF9AAF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雨水斗</w:t>
            </w:r>
          </w:p>
        </w:tc>
        <w:tc>
          <w:tcPr>
            <w:tcW w:w="6681" w:type="dxa"/>
            <w:vAlign w:val="center"/>
          </w:tcPr>
          <w:p w14:paraId="07A2F932">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1、箅子与座完好、吻合，安放平稳并启闭灵活</w:t>
            </w:r>
            <w:r>
              <w:rPr>
                <w:rFonts w:hint="eastAsia" w:ascii="宋体" w:hAnsi="宋体" w:eastAsia="宋体" w:cs="宋体"/>
                <w:color w:val="auto"/>
                <w:spacing w:val="-7"/>
                <w:highlight w:val="none"/>
              </w:rPr>
              <w:t>，斗座</w:t>
            </w:r>
            <w:r>
              <w:rPr>
                <w:rFonts w:hint="eastAsia" w:ascii="宋体" w:hAnsi="宋体" w:eastAsia="宋体" w:cs="宋体"/>
                <w:color w:val="auto"/>
                <w:spacing w:val="-3"/>
                <w:highlight w:val="none"/>
              </w:rPr>
              <w:t>与路面平齐或不低于路面</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3"/>
                <w:highlight w:val="none"/>
              </w:rPr>
              <w:t>10mm；</w:t>
            </w:r>
          </w:p>
          <w:p w14:paraId="08F35BF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2、斗壁无破损；斗内插接管与斗壁相接处平齐光滑；</w:t>
            </w:r>
          </w:p>
          <w:p w14:paraId="13F72C19">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3、泄水孔无堵塞物，泄水孔处的淤积物应不高于管底的五分之一；</w:t>
            </w:r>
          </w:p>
          <w:p w14:paraId="1EC1084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4、支管淤泥应低于管径的五分之一。</w:t>
            </w:r>
          </w:p>
        </w:tc>
      </w:tr>
    </w:tbl>
    <w:p w14:paraId="0E08483E">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textAlignment w:val="auto"/>
        <w:rPr>
          <w:rFonts w:hint="eastAsia" w:ascii="宋体" w:hAnsi="宋体" w:eastAsia="宋体" w:cs="宋体"/>
          <w:color w:val="auto"/>
          <w:sz w:val="21"/>
          <w:highlight w:val="none"/>
        </w:rPr>
      </w:pPr>
    </w:p>
    <w:p w14:paraId="3D704EB8">
      <w:pPr>
        <w:pStyle w:val="13"/>
        <w:keepNext w:val="0"/>
        <w:keepLines w:val="0"/>
        <w:pageBreakBefore w:val="0"/>
        <w:widowControl w:val="0"/>
        <w:numPr>
          <w:ilvl w:val="0"/>
          <w:numId w:val="0"/>
        </w:numPr>
        <w:kinsoku/>
        <w:wordWrap w:val="0"/>
        <w:overflowPunct/>
        <w:topLinePunct w:val="0"/>
        <w:autoSpaceDE/>
        <w:autoSpaceDN/>
        <w:bidi w:val="0"/>
        <w:adjustRightInd/>
        <w:snapToGrid/>
        <w:spacing w:after="0" w:line="240" w:lineRule="auto"/>
        <w:ind w:left="0" w:right="0" w:firstLine="0" w:firstLineChars="0"/>
        <w:textAlignment w:val="auto"/>
        <w:rPr>
          <w:rFonts w:hint="eastAsia" w:ascii="宋体" w:hAnsi="宋体" w:eastAsia="宋体" w:cs="宋体"/>
          <w:color w:val="auto"/>
          <w:kern w:val="2"/>
          <w:sz w:val="24"/>
          <w:szCs w:val="22"/>
          <w:highlight w:val="none"/>
          <w:lang w:val="en-US" w:eastAsia="zh-CN" w:bidi="ar-SA"/>
        </w:rPr>
      </w:pPr>
      <w:r>
        <w:rPr>
          <w:rFonts w:hint="eastAsia" w:ascii="宋体" w:hAnsi="宋体" w:eastAsia="宋体" w:cs="宋体"/>
          <w:color w:val="auto"/>
          <w:kern w:val="2"/>
          <w:sz w:val="24"/>
          <w:szCs w:val="22"/>
          <w:highlight w:val="none"/>
          <w:lang w:val="en-US" w:eastAsia="zh-CN" w:bidi="ar-SA"/>
        </w:rPr>
        <w:t>（</w:t>
      </w:r>
      <w:r>
        <w:rPr>
          <w:rFonts w:hint="eastAsia" w:eastAsia="宋体" w:cs="宋体"/>
          <w:color w:val="auto"/>
          <w:kern w:val="2"/>
          <w:sz w:val="24"/>
          <w:szCs w:val="22"/>
          <w:highlight w:val="none"/>
          <w:lang w:val="en-US" w:eastAsia="zh-CN" w:bidi="ar-SA"/>
        </w:rPr>
        <w:t>5</w:t>
      </w:r>
      <w:r>
        <w:rPr>
          <w:rFonts w:hint="eastAsia" w:ascii="宋体" w:hAnsi="宋体" w:eastAsia="宋体" w:cs="宋体"/>
          <w:color w:val="auto"/>
          <w:kern w:val="2"/>
          <w:sz w:val="24"/>
          <w:szCs w:val="22"/>
          <w:highlight w:val="none"/>
          <w:lang w:val="en-US" w:eastAsia="zh-CN" w:bidi="ar-SA"/>
        </w:rPr>
        <w:t>）城市照明及亮化设施</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01"/>
        <w:gridCol w:w="1767"/>
        <w:gridCol w:w="5626"/>
      </w:tblGrid>
      <w:tr w14:paraId="3D741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trPr>
        <w:tc>
          <w:tcPr>
            <w:tcW w:w="1201" w:type="dxa"/>
            <w:shd w:val="clear" w:color="auto" w:fill="63B86C"/>
            <w:vAlign w:val="center"/>
          </w:tcPr>
          <w:p w14:paraId="6CDA3F1D">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部位</w:t>
            </w:r>
          </w:p>
        </w:tc>
        <w:tc>
          <w:tcPr>
            <w:tcW w:w="1767" w:type="dxa"/>
            <w:shd w:val="clear" w:color="auto" w:fill="63B86C"/>
            <w:vAlign w:val="center"/>
          </w:tcPr>
          <w:p w14:paraId="3A0ED7B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项目</w:t>
            </w:r>
          </w:p>
        </w:tc>
        <w:tc>
          <w:tcPr>
            <w:tcW w:w="5626" w:type="dxa"/>
            <w:shd w:val="clear" w:color="auto" w:fill="63B86C"/>
            <w:vAlign w:val="center"/>
          </w:tcPr>
          <w:p w14:paraId="2640388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7"/>
                <w:highlight w:val="none"/>
              </w:rPr>
              <w:t>病害</w:t>
            </w:r>
          </w:p>
        </w:tc>
      </w:tr>
      <w:tr w14:paraId="3FA5E0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01" w:type="dxa"/>
            <w:vMerge w:val="restart"/>
            <w:tcBorders>
              <w:bottom w:val="nil"/>
            </w:tcBorders>
            <w:vAlign w:val="center"/>
          </w:tcPr>
          <w:p w14:paraId="4792002F">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57303AE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路灯</w:t>
            </w:r>
          </w:p>
        </w:tc>
        <w:tc>
          <w:tcPr>
            <w:tcW w:w="1767" w:type="dxa"/>
            <w:vAlign w:val="center"/>
          </w:tcPr>
          <w:p w14:paraId="4E5BB49A">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灯杆</w:t>
            </w:r>
          </w:p>
        </w:tc>
        <w:tc>
          <w:tcPr>
            <w:tcW w:w="5626" w:type="dxa"/>
            <w:vAlign w:val="center"/>
          </w:tcPr>
          <w:p w14:paraId="4AD9485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剥落、锈蚀、变形</w:t>
            </w:r>
          </w:p>
        </w:tc>
      </w:tr>
      <w:tr w14:paraId="7FCD08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01" w:type="dxa"/>
            <w:vMerge w:val="continue"/>
            <w:tcBorders>
              <w:top w:val="nil"/>
              <w:bottom w:val="nil"/>
            </w:tcBorders>
            <w:vAlign w:val="center"/>
          </w:tcPr>
          <w:p w14:paraId="30F68589">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1767" w:type="dxa"/>
            <w:vAlign w:val="center"/>
          </w:tcPr>
          <w:p w14:paraId="5C4DA60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灯头</w:t>
            </w:r>
          </w:p>
        </w:tc>
        <w:tc>
          <w:tcPr>
            <w:tcW w:w="5626" w:type="dxa"/>
            <w:vAlign w:val="center"/>
          </w:tcPr>
          <w:p w14:paraId="56CE820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锈蚀、松动、破损，灯头不亮。</w:t>
            </w:r>
          </w:p>
        </w:tc>
      </w:tr>
      <w:tr w14:paraId="1DD603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201" w:type="dxa"/>
            <w:vMerge w:val="continue"/>
            <w:tcBorders>
              <w:top w:val="nil"/>
            </w:tcBorders>
            <w:vAlign w:val="center"/>
          </w:tcPr>
          <w:p w14:paraId="5DEA4C27">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1767" w:type="dxa"/>
            <w:vAlign w:val="center"/>
          </w:tcPr>
          <w:p w14:paraId="5C2F5D40">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检查井</w:t>
            </w:r>
          </w:p>
        </w:tc>
        <w:tc>
          <w:tcPr>
            <w:tcW w:w="5626" w:type="dxa"/>
            <w:vAlign w:val="center"/>
          </w:tcPr>
          <w:p w14:paraId="4EA2C398">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破损移位</w:t>
            </w:r>
          </w:p>
        </w:tc>
      </w:tr>
      <w:tr w14:paraId="74F5B7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1" w:type="dxa"/>
            <w:vMerge w:val="restart"/>
            <w:vAlign w:val="center"/>
          </w:tcPr>
          <w:p w14:paraId="569AE9F3">
            <w:pPr>
              <w:pStyle w:val="76"/>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color w:val="auto"/>
                <w:spacing w:val="-6"/>
                <w:highlight w:val="none"/>
              </w:rPr>
            </w:pPr>
          </w:p>
          <w:p w14:paraId="37A50ED2">
            <w:pPr>
              <w:pStyle w:val="76"/>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箱变</w:t>
            </w:r>
          </w:p>
        </w:tc>
        <w:tc>
          <w:tcPr>
            <w:tcW w:w="1767" w:type="dxa"/>
            <w:vAlign w:val="center"/>
          </w:tcPr>
          <w:p w14:paraId="17A5C8E9">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周围护栏</w:t>
            </w:r>
          </w:p>
        </w:tc>
        <w:tc>
          <w:tcPr>
            <w:tcW w:w="5626" w:type="dxa"/>
            <w:vAlign w:val="center"/>
          </w:tcPr>
          <w:p w14:paraId="029A20B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破损、缺失</w:t>
            </w:r>
          </w:p>
        </w:tc>
      </w:tr>
      <w:tr w14:paraId="75F71F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1" w:type="dxa"/>
            <w:vMerge w:val="continue"/>
            <w:vAlign w:val="center"/>
          </w:tcPr>
          <w:p w14:paraId="52DE6AD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pacing w:val="-6"/>
                <w:highlight w:val="none"/>
              </w:rPr>
            </w:pPr>
          </w:p>
        </w:tc>
        <w:tc>
          <w:tcPr>
            <w:tcW w:w="1767" w:type="dxa"/>
            <w:vAlign w:val="center"/>
          </w:tcPr>
          <w:p w14:paraId="140FC580">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3"/>
                <w:highlight w:val="none"/>
              </w:rPr>
            </w:pPr>
            <w:r>
              <w:rPr>
                <w:rFonts w:hint="eastAsia" w:ascii="宋体" w:hAnsi="宋体" w:eastAsia="宋体" w:cs="宋体"/>
                <w:color w:val="auto"/>
                <w:spacing w:val="-6"/>
                <w:highlight w:val="none"/>
              </w:rPr>
              <w:t>箱体</w:t>
            </w:r>
          </w:p>
        </w:tc>
        <w:tc>
          <w:tcPr>
            <w:tcW w:w="5626" w:type="dxa"/>
            <w:vAlign w:val="center"/>
          </w:tcPr>
          <w:p w14:paraId="2945AA5B">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
                <w:highlight w:val="none"/>
              </w:rPr>
            </w:pPr>
            <w:r>
              <w:rPr>
                <w:rFonts w:hint="eastAsia" w:ascii="宋体" w:hAnsi="宋体" w:eastAsia="宋体" w:cs="宋体"/>
                <w:color w:val="auto"/>
                <w:spacing w:val="-5"/>
                <w:highlight w:val="none"/>
              </w:rPr>
              <w:t>破损</w:t>
            </w:r>
          </w:p>
        </w:tc>
      </w:tr>
      <w:tr w14:paraId="1CE94A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1" w:type="dxa"/>
            <w:vMerge w:val="restart"/>
            <w:vAlign w:val="center"/>
          </w:tcPr>
          <w:p w14:paraId="6AC8AA4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40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城市</w:t>
            </w:r>
          </w:p>
          <w:p w14:paraId="1981505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400" w:firstLineChars="200"/>
              <w:jc w:val="center"/>
              <w:textAlignment w:val="auto"/>
              <w:rPr>
                <w:rFonts w:hint="eastAsia" w:ascii="宋体" w:hAnsi="宋体" w:eastAsia="宋体" w:cs="宋体"/>
                <w:color w:val="auto"/>
                <w:spacing w:val="-6"/>
                <w:highlight w:val="none"/>
              </w:rPr>
            </w:pPr>
            <w:r>
              <w:rPr>
                <w:rFonts w:hint="eastAsia" w:ascii="宋体" w:hAnsi="宋体" w:eastAsia="宋体" w:cs="宋体"/>
                <w:color w:val="auto"/>
                <w:spacing w:val="-5"/>
                <w:highlight w:val="none"/>
              </w:rPr>
              <w:t>亮化</w:t>
            </w:r>
          </w:p>
        </w:tc>
        <w:tc>
          <w:tcPr>
            <w:tcW w:w="1767" w:type="dxa"/>
            <w:vAlign w:val="center"/>
          </w:tcPr>
          <w:p w14:paraId="5287BE4D">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3"/>
                <w:highlight w:val="none"/>
              </w:rPr>
            </w:pPr>
            <w:r>
              <w:rPr>
                <w:rFonts w:hint="eastAsia" w:ascii="宋体" w:hAnsi="宋体" w:eastAsia="宋体" w:cs="宋体"/>
                <w:color w:val="auto"/>
                <w:highlight w:val="none"/>
              </w:rPr>
              <w:t>灯</w:t>
            </w:r>
          </w:p>
        </w:tc>
        <w:tc>
          <w:tcPr>
            <w:tcW w:w="5626" w:type="dxa"/>
            <w:vAlign w:val="center"/>
          </w:tcPr>
          <w:p w14:paraId="23A3DBD2">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
                <w:highlight w:val="none"/>
              </w:rPr>
            </w:pPr>
            <w:r>
              <w:rPr>
                <w:rFonts w:hint="eastAsia" w:ascii="宋体" w:hAnsi="宋体" w:eastAsia="宋体" w:cs="宋体"/>
                <w:color w:val="auto"/>
                <w:spacing w:val="-2"/>
                <w:highlight w:val="none"/>
              </w:rPr>
              <w:t>剥落、破损，不亮</w:t>
            </w:r>
          </w:p>
        </w:tc>
      </w:tr>
      <w:tr w14:paraId="5D124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4" w:hRule="atLeast"/>
        </w:trPr>
        <w:tc>
          <w:tcPr>
            <w:tcW w:w="1201" w:type="dxa"/>
            <w:vMerge w:val="continue"/>
            <w:vAlign w:val="center"/>
          </w:tcPr>
          <w:p w14:paraId="60FF72A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pacing w:val="-6"/>
                <w:highlight w:val="none"/>
              </w:rPr>
            </w:pPr>
          </w:p>
        </w:tc>
        <w:tc>
          <w:tcPr>
            <w:tcW w:w="1767" w:type="dxa"/>
            <w:vAlign w:val="center"/>
          </w:tcPr>
          <w:p w14:paraId="71D0F444">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3"/>
                <w:highlight w:val="none"/>
              </w:rPr>
            </w:pPr>
            <w:r>
              <w:rPr>
                <w:rFonts w:hint="eastAsia" w:ascii="宋体" w:hAnsi="宋体" w:eastAsia="宋体" w:cs="宋体"/>
                <w:color w:val="auto"/>
                <w:spacing w:val="-3"/>
                <w:highlight w:val="none"/>
              </w:rPr>
              <w:t>控制器</w:t>
            </w:r>
          </w:p>
        </w:tc>
        <w:tc>
          <w:tcPr>
            <w:tcW w:w="5626" w:type="dxa"/>
            <w:vAlign w:val="center"/>
          </w:tcPr>
          <w:p w14:paraId="0427DA94">
            <w:pPr>
              <w:pStyle w:val="76"/>
              <w:keepNext w:val="0"/>
              <w:keepLines w:val="0"/>
              <w:pageBreakBefore w:val="0"/>
              <w:widowControl w:val="0"/>
              <w:kinsoku/>
              <w:wordWrap w:val="0"/>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
                <w:highlight w:val="none"/>
              </w:rPr>
            </w:pPr>
            <w:r>
              <w:rPr>
                <w:rFonts w:hint="eastAsia" w:ascii="宋体" w:hAnsi="宋体" w:eastAsia="宋体" w:cs="宋体"/>
                <w:color w:val="auto"/>
                <w:spacing w:val="-5"/>
                <w:highlight w:val="none"/>
              </w:rPr>
              <w:t>破损</w:t>
            </w:r>
          </w:p>
        </w:tc>
      </w:tr>
    </w:tbl>
    <w:p w14:paraId="3180D283">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textAlignment w:val="auto"/>
        <w:rPr>
          <w:rFonts w:hint="eastAsia" w:ascii="宋体" w:hAnsi="宋体" w:eastAsia="宋体" w:cs="宋体"/>
          <w:color w:val="auto"/>
          <w:sz w:val="15"/>
          <w:highlight w:val="none"/>
        </w:rPr>
      </w:pPr>
    </w:p>
    <w:p w14:paraId="31DEBA82">
      <w:pPr>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86912"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9" name="任意多边形 89"/>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6912;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CkuJAO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highlight w:val="none"/>
        </w:rPr>
        <w:t>（</w:t>
      </w:r>
      <w:r>
        <w:rPr>
          <w:rFonts w:hint="eastAsia" w:cs="宋体"/>
          <w:color w:val="auto"/>
          <w:highlight w:val="none"/>
          <w:lang w:val="en-US" w:eastAsia="zh-CN"/>
        </w:rPr>
        <w:t>6</w:t>
      </w:r>
      <w:r>
        <w:rPr>
          <w:rFonts w:hint="eastAsia" w:ascii="宋体" w:hAnsi="宋体" w:eastAsia="宋体" w:cs="宋体"/>
          <w:color w:val="auto"/>
          <w:highlight w:val="none"/>
        </w:rPr>
        <w:t>）其它附属设施（含隔离护栏、路名牌、隔离桩</w:t>
      </w:r>
      <w:r>
        <w:rPr>
          <w:rFonts w:hint="eastAsia" w:ascii="宋体" w:hAnsi="宋体" w:eastAsia="宋体" w:cs="宋体"/>
          <w:color w:val="auto"/>
          <w:spacing w:val="-1"/>
          <w:highlight w:val="none"/>
        </w:rPr>
        <w:t>、树穴石砖）等</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44"/>
        <w:gridCol w:w="1741"/>
        <w:gridCol w:w="6009"/>
      </w:tblGrid>
      <w:tr w14:paraId="4B870C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44" w:type="dxa"/>
            <w:shd w:val="clear" w:color="auto" w:fill="63B86C"/>
            <w:vAlign w:val="center"/>
          </w:tcPr>
          <w:p w14:paraId="574B7867">
            <w:pPr>
              <w:pStyle w:val="76"/>
              <w:keepNext w:val="0"/>
              <w:keepLines w:val="0"/>
              <w:pageBreakBefore w:val="0"/>
              <w:widowControl w:val="0"/>
              <w:kinsoku/>
              <w:wordWrap w:val="0"/>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7"/>
                <w:highlight w:val="none"/>
              </w:rPr>
              <w:t>序号</w:t>
            </w:r>
          </w:p>
        </w:tc>
        <w:tc>
          <w:tcPr>
            <w:tcW w:w="1741" w:type="dxa"/>
            <w:shd w:val="clear" w:color="auto" w:fill="63B86C"/>
            <w:vAlign w:val="center"/>
          </w:tcPr>
          <w:p w14:paraId="73963F4B">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项目</w:t>
            </w:r>
          </w:p>
        </w:tc>
        <w:tc>
          <w:tcPr>
            <w:tcW w:w="6009" w:type="dxa"/>
            <w:shd w:val="clear" w:color="auto" w:fill="63B86C"/>
            <w:vAlign w:val="center"/>
          </w:tcPr>
          <w:p w14:paraId="7ABAB051">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9"/>
                <w:highlight w:val="none"/>
              </w:rPr>
              <w:t>标准</w:t>
            </w:r>
          </w:p>
        </w:tc>
      </w:tr>
      <w:tr w14:paraId="6058ED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7" w:hRule="atLeast"/>
        </w:trPr>
        <w:tc>
          <w:tcPr>
            <w:tcW w:w="844" w:type="dxa"/>
            <w:vAlign w:val="center"/>
          </w:tcPr>
          <w:p w14:paraId="04F664F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741" w:type="dxa"/>
            <w:vAlign w:val="center"/>
          </w:tcPr>
          <w:p w14:paraId="62E23A76">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变形、缺损</w:t>
            </w:r>
          </w:p>
        </w:tc>
        <w:tc>
          <w:tcPr>
            <w:tcW w:w="6009" w:type="dxa"/>
            <w:vAlign w:val="center"/>
          </w:tcPr>
          <w:p w14:paraId="16D02C73">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破损、锈蚀、松动、位置不当、式样尺寸颜色不</w:t>
            </w:r>
            <w:r>
              <w:rPr>
                <w:rFonts w:hint="eastAsia" w:ascii="宋体" w:hAnsi="宋体" w:eastAsia="宋体" w:cs="宋体"/>
                <w:color w:val="auto"/>
                <w:spacing w:val="-6"/>
                <w:highlight w:val="none"/>
              </w:rPr>
              <w:t>规范</w:t>
            </w:r>
          </w:p>
        </w:tc>
      </w:tr>
      <w:tr w14:paraId="0149AF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44" w:type="dxa"/>
            <w:vAlign w:val="center"/>
          </w:tcPr>
          <w:p w14:paraId="303198F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741" w:type="dxa"/>
            <w:vAlign w:val="center"/>
          </w:tcPr>
          <w:p w14:paraId="78F4E8F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损坏</w:t>
            </w:r>
          </w:p>
        </w:tc>
        <w:tc>
          <w:tcPr>
            <w:tcW w:w="6009" w:type="dxa"/>
            <w:vAlign w:val="center"/>
          </w:tcPr>
          <w:p w14:paraId="37A06D22">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断裂、沉陷、倾斜、构件脱落等局部损毁</w:t>
            </w:r>
          </w:p>
        </w:tc>
      </w:tr>
      <w:tr w14:paraId="62B4D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844" w:type="dxa"/>
            <w:vAlign w:val="center"/>
          </w:tcPr>
          <w:p w14:paraId="686297F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741" w:type="dxa"/>
            <w:vAlign w:val="center"/>
          </w:tcPr>
          <w:p w14:paraId="1C1DE83F">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功能失效</w:t>
            </w:r>
          </w:p>
        </w:tc>
        <w:tc>
          <w:tcPr>
            <w:tcW w:w="6009" w:type="dxa"/>
            <w:vAlign w:val="center"/>
          </w:tcPr>
          <w:p w14:paraId="2C837DE5">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因各种原因无法正常使用</w:t>
            </w:r>
          </w:p>
        </w:tc>
      </w:tr>
      <w:tr w14:paraId="6FA8BA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844" w:type="dxa"/>
            <w:vAlign w:val="center"/>
          </w:tcPr>
          <w:p w14:paraId="19AEB162">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1741" w:type="dxa"/>
            <w:vAlign w:val="center"/>
          </w:tcPr>
          <w:p w14:paraId="5009F4F4">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缺失</w:t>
            </w:r>
          </w:p>
        </w:tc>
        <w:tc>
          <w:tcPr>
            <w:tcW w:w="6009" w:type="dxa"/>
            <w:vAlign w:val="center"/>
          </w:tcPr>
          <w:p w14:paraId="6C906327">
            <w:pPr>
              <w:pStyle w:val="76"/>
              <w:keepNext w:val="0"/>
              <w:keepLines w:val="0"/>
              <w:pageBreakBefore w:val="0"/>
              <w:widowControl w:val="0"/>
              <w:kinsoku/>
              <w:wordWrap w:val="0"/>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设施整体缺失空位</w:t>
            </w:r>
          </w:p>
        </w:tc>
      </w:tr>
    </w:tbl>
    <w:p w14:paraId="2CB8468E">
      <w:pPr>
        <w:keepNext w:val="0"/>
        <w:keepLines w:val="0"/>
        <w:pageBreakBefore w:val="0"/>
        <w:widowControl w:val="0"/>
        <w:kinsoku/>
        <w:wordWrap w:val="0"/>
        <w:overflowPunct/>
        <w:topLinePunct w:val="0"/>
        <w:autoSpaceDE/>
        <w:autoSpaceDN/>
        <w:bidi w:val="0"/>
        <w:adjustRightInd/>
        <w:snapToGrid/>
        <w:spacing w:line="240" w:lineRule="auto"/>
        <w:ind w:firstLine="0" w:firstLineChars="0"/>
        <w:textAlignment w:val="auto"/>
        <w:rPr>
          <w:rFonts w:hint="eastAsia" w:ascii="宋体" w:hAnsi="宋体" w:eastAsia="宋体" w:cs="宋体"/>
          <w:color w:val="auto"/>
          <w:spacing w:val="-1"/>
          <w:highlight w:val="none"/>
        </w:rPr>
      </w:pPr>
    </w:p>
    <w:p w14:paraId="4401A4B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4. 维修质量标准</w:t>
      </w:r>
    </w:p>
    <w:p w14:paraId="274D87C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1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9"/>
          <w:sz w:val="24"/>
          <w:szCs w:val="32"/>
          <w:highlight w:val="none"/>
        </w:rPr>
        <w:t>（1）养护维修责任单位应对市政设施进行巡视检查。</w:t>
      </w:r>
    </w:p>
    <w:p w14:paraId="1CAB763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1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8"/>
          <w:sz w:val="24"/>
          <w:szCs w:val="32"/>
          <w:highlight w:val="none"/>
        </w:rPr>
        <w:t>（2）应按《城镇道路养护技术规范》</w:t>
      </w:r>
      <w:r>
        <w:rPr>
          <w:rFonts w:hint="eastAsia" w:ascii="宋体" w:hAnsi="宋体" w:eastAsia="宋体" w:cs="宋体"/>
          <w:color w:val="auto"/>
          <w:spacing w:val="-117"/>
          <w:sz w:val="24"/>
          <w:szCs w:val="32"/>
          <w:highlight w:val="none"/>
        </w:rPr>
        <w:t xml:space="preserve"> </w:t>
      </w:r>
      <w:r>
        <w:rPr>
          <w:rFonts w:hint="eastAsia" w:ascii="宋体" w:hAnsi="宋体" w:eastAsia="宋体" w:cs="宋体"/>
          <w:color w:val="auto"/>
          <w:spacing w:val="8"/>
          <w:sz w:val="24"/>
          <w:szCs w:val="32"/>
          <w:highlight w:val="none"/>
        </w:rPr>
        <w:t>（</w:t>
      </w:r>
      <w:r>
        <w:rPr>
          <w:rFonts w:hint="eastAsia" w:ascii="宋体" w:hAnsi="宋体" w:eastAsia="宋体" w:cs="宋体"/>
          <w:color w:val="auto"/>
          <w:sz w:val="24"/>
          <w:szCs w:val="32"/>
          <w:highlight w:val="none"/>
        </w:rPr>
        <w:t>CJJ</w:t>
      </w:r>
      <w:r>
        <w:rPr>
          <w:rFonts w:hint="eastAsia" w:ascii="宋体" w:hAnsi="宋体" w:eastAsia="宋体" w:cs="宋体"/>
          <w:color w:val="auto"/>
          <w:spacing w:val="-27"/>
          <w:sz w:val="24"/>
          <w:szCs w:val="32"/>
          <w:highlight w:val="none"/>
        </w:rPr>
        <w:t xml:space="preserve"> </w:t>
      </w:r>
      <w:r>
        <w:rPr>
          <w:rFonts w:hint="eastAsia" w:ascii="宋体" w:hAnsi="宋体" w:eastAsia="宋体" w:cs="宋体"/>
          <w:color w:val="auto"/>
          <w:spacing w:val="8"/>
          <w:sz w:val="24"/>
          <w:szCs w:val="32"/>
          <w:highlight w:val="none"/>
        </w:rPr>
        <w:t>36-2006</w:t>
      </w:r>
      <w:r>
        <w:rPr>
          <w:rFonts w:hint="eastAsia" w:ascii="宋体" w:hAnsi="宋体" w:eastAsia="宋体" w:cs="宋体"/>
          <w:color w:val="auto"/>
          <w:spacing w:val="7"/>
          <w:sz w:val="24"/>
          <w:szCs w:val="32"/>
          <w:highlight w:val="none"/>
        </w:rPr>
        <w:t>）、《城</w:t>
      </w:r>
      <w:r>
        <w:rPr>
          <w:rFonts w:hint="eastAsia" w:ascii="宋体" w:hAnsi="宋体" w:eastAsia="宋体" w:cs="宋体"/>
          <w:color w:val="auto"/>
          <w:spacing w:val="9"/>
          <w:sz w:val="24"/>
          <w:szCs w:val="32"/>
          <w:highlight w:val="none"/>
        </w:rPr>
        <w:t>镇排水管道维护安全技术规程》</w:t>
      </w:r>
      <w:r>
        <w:rPr>
          <w:rFonts w:hint="eastAsia" w:ascii="宋体" w:hAnsi="宋体" w:eastAsia="宋体" w:cs="宋体"/>
          <w:color w:val="auto"/>
          <w:spacing w:val="-97"/>
          <w:sz w:val="24"/>
          <w:szCs w:val="32"/>
          <w:highlight w:val="none"/>
        </w:rPr>
        <w:t xml:space="preserve"> </w:t>
      </w:r>
      <w:r>
        <w:rPr>
          <w:rFonts w:hint="eastAsia" w:ascii="宋体" w:hAnsi="宋体" w:eastAsia="宋体" w:cs="宋体"/>
          <w:color w:val="auto"/>
          <w:spacing w:val="9"/>
          <w:sz w:val="24"/>
          <w:szCs w:val="32"/>
          <w:highlight w:val="none"/>
        </w:rPr>
        <w:t>（</w:t>
      </w:r>
      <w:r>
        <w:rPr>
          <w:rFonts w:hint="eastAsia" w:ascii="宋体" w:hAnsi="宋体" w:eastAsia="宋体" w:cs="宋体"/>
          <w:color w:val="auto"/>
          <w:sz w:val="24"/>
          <w:szCs w:val="32"/>
          <w:highlight w:val="none"/>
        </w:rPr>
        <w:t>CJJ</w:t>
      </w:r>
      <w:r>
        <w:rPr>
          <w:rFonts w:hint="eastAsia" w:ascii="宋体" w:hAnsi="宋体" w:eastAsia="宋体" w:cs="宋体"/>
          <w:color w:val="auto"/>
          <w:spacing w:val="9"/>
          <w:sz w:val="24"/>
          <w:szCs w:val="32"/>
          <w:highlight w:val="none"/>
        </w:rPr>
        <w:t>6-2009）</w:t>
      </w:r>
      <w:r>
        <w:rPr>
          <w:rFonts w:hint="eastAsia" w:ascii="宋体" w:hAnsi="宋体" w:eastAsia="宋体" w:cs="宋体"/>
          <w:color w:val="auto"/>
          <w:spacing w:val="-81"/>
          <w:sz w:val="24"/>
          <w:szCs w:val="32"/>
          <w:highlight w:val="none"/>
        </w:rPr>
        <w:t xml:space="preserve"> </w:t>
      </w:r>
      <w:r>
        <w:rPr>
          <w:rFonts w:hint="eastAsia" w:ascii="宋体" w:hAnsi="宋体" w:eastAsia="宋体" w:cs="宋体"/>
          <w:color w:val="auto"/>
          <w:spacing w:val="9"/>
          <w:sz w:val="24"/>
          <w:szCs w:val="32"/>
          <w:highlight w:val="none"/>
        </w:rPr>
        <w:t>、《城市道路和建筑物无障碍设计规</w:t>
      </w:r>
      <w:r>
        <w:rPr>
          <w:rFonts w:hint="eastAsia" w:ascii="宋体" w:hAnsi="宋体" w:eastAsia="宋体" w:cs="宋体"/>
          <w:color w:val="auto"/>
          <w:spacing w:val="-14"/>
          <w:sz w:val="24"/>
          <w:szCs w:val="32"/>
          <w:highlight w:val="none"/>
        </w:rPr>
        <w:t>范》（JGJ</w:t>
      </w:r>
      <w:r>
        <w:rPr>
          <w:rFonts w:hint="eastAsia" w:ascii="宋体" w:hAnsi="宋体" w:eastAsia="宋体" w:cs="宋体"/>
          <w:color w:val="auto"/>
          <w:spacing w:val="-27"/>
          <w:sz w:val="24"/>
          <w:szCs w:val="32"/>
          <w:highlight w:val="none"/>
        </w:rPr>
        <w:t xml:space="preserve"> </w:t>
      </w:r>
      <w:r>
        <w:rPr>
          <w:rFonts w:hint="eastAsia" w:ascii="宋体" w:hAnsi="宋体" w:eastAsia="宋体" w:cs="宋体"/>
          <w:color w:val="auto"/>
          <w:spacing w:val="-14"/>
          <w:sz w:val="24"/>
          <w:szCs w:val="32"/>
          <w:highlight w:val="none"/>
        </w:rPr>
        <w:t>50-2001）、《公路养护质量检查评定标准》（JTJ</w:t>
      </w:r>
      <w:r>
        <w:rPr>
          <w:rFonts w:hint="eastAsia" w:ascii="宋体" w:hAnsi="宋体" w:eastAsia="宋体" w:cs="宋体"/>
          <w:color w:val="auto"/>
          <w:spacing w:val="-45"/>
          <w:sz w:val="24"/>
          <w:szCs w:val="32"/>
          <w:highlight w:val="none"/>
        </w:rPr>
        <w:t xml:space="preserve"> </w:t>
      </w:r>
      <w:r>
        <w:rPr>
          <w:rFonts w:hint="eastAsia" w:ascii="宋体" w:hAnsi="宋体" w:eastAsia="宋体" w:cs="宋体"/>
          <w:color w:val="auto"/>
          <w:spacing w:val="-14"/>
          <w:sz w:val="24"/>
          <w:szCs w:val="32"/>
          <w:highlight w:val="none"/>
        </w:rPr>
        <w:t>075-94）、</w:t>
      </w:r>
      <w:r>
        <w:rPr>
          <w:rFonts w:hint="eastAsia" w:ascii="宋体" w:hAnsi="宋体" w:eastAsia="宋体" w:cs="宋体"/>
          <w:color w:val="auto"/>
          <w:sz w:val="24"/>
          <w:szCs w:val="32"/>
          <w:highlight w:val="none"/>
        </w:rPr>
        <w:t xml:space="preserve"> </w:t>
      </w:r>
      <w:r>
        <w:rPr>
          <w:rFonts w:hint="eastAsia" w:ascii="宋体" w:hAnsi="宋体" w:eastAsia="宋体" w:cs="宋体"/>
          <w:color w:val="auto"/>
          <w:spacing w:val="9"/>
          <w:sz w:val="24"/>
          <w:szCs w:val="32"/>
          <w:highlight w:val="none"/>
        </w:rPr>
        <w:t>《城市道路照明设施养护维修服务规范》</w:t>
      </w:r>
      <w:r>
        <w:rPr>
          <w:rFonts w:hint="eastAsia" w:ascii="宋体" w:hAnsi="宋体" w:eastAsia="宋体" w:cs="宋体"/>
          <w:color w:val="auto"/>
          <w:spacing w:val="-112"/>
          <w:sz w:val="24"/>
          <w:szCs w:val="32"/>
          <w:highlight w:val="none"/>
        </w:rPr>
        <w:t xml:space="preserve"> </w:t>
      </w:r>
      <w:r>
        <w:rPr>
          <w:rFonts w:hint="eastAsia" w:ascii="宋体" w:hAnsi="宋体" w:eastAsia="宋体" w:cs="宋体"/>
          <w:color w:val="auto"/>
          <w:spacing w:val="9"/>
          <w:sz w:val="24"/>
          <w:szCs w:val="32"/>
          <w:highlight w:val="none"/>
        </w:rPr>
        <w:t>（</w:t>
      </w:r>
      <w:r>
        <w:rPr>
          <w:rFonts w:hint="eastAsia" w:ascii="宋体" w:hAnsi="宋体" w:eastAsia="宋体" w:cs="宋体"/>
          <w:color w:val="auto"/>
          <w:sz w:val="24"/>
          <w:szCs w:val="32"/>
          <w:highlight w:val="none"/>
        </w:rPr>
        <w:t>DB</w:t>
      </w:r>
      <w:r>
        <w:rPr>
          <w:rFonts w:hint="eastAsia" w:ascii="宋体" w:hAnsi="宋体" w:eastAsia="宋体" w:cs="宋体"/>
          <w:color w:val="auto"/>
          <w:spacing w:val="9"/>
          <w:sz w:val="24"/>
          <w:szCs w:val="32"/>
          <w:highlight w:val="none"/>
        </w:rPr>
        <w:t>37／T1173-2009）、</w:t>
      </w:r>
      <w:r>
        <w:rPr>
          <w:rFonts w:hint="eastAsia" w:ascii="宋体" w:hAnsi="宋体" w:eastAsia="宋体" w:cs="宋体"/>
          <w:color w:val="auto"/>
          <w:sz w:val="24"/>
          <w:szCs w:val="32"/>
          <w:highlight w:val="none"/>
        </w:rPr>
        <w:t xml:space="preserve"> </w:t>
      </w:r>
      <w:r>
        <w:rPr>
          <w:rFonts w:hint="eastAsia" w:ascii="宋体" w:hAnsi="宋体" w:eastAsia="宋体" w:cs="宋体"/>
          <w:color w:val="auto"/>
          <w:spacing w:val="7"/>
          <w:sz w:val="24"/>
          <w:szCs w:val="32"/>
          <w:highlight w:val="none"/>
        </w:rPr>
        <w:t>《城市道路照明工程施工及验收规程》（</w:t>
      </w:r>
      <w:r>
        <w:rPr>
          <w:rFonts w:hint="eastAsia" w:ascii="宋体" w:hAnsi="宋体" w:eastAsia="宋体" w:cs="宋体"/>
          <w:color w:val="auto"/>
          <w:sz w:val="24"/>
          <w:szCs w:val="32"/>
          <w:highlight w:val="none"/>
        </w:rPr>
        <w:t>CJJ</w:t>
      </w:r>
      <w:r>
        <w:rPr>
          <w:rFonts w:hint="eastAsia" w:ascii="宋体" w:hAnsi="宋体" w:eastAsia="宋体" w:cs="宋体"/>
          <w:color w:val="auto"/>
          <w:spacing w:val="7"/>
          <w:sz w:val="24"/>
          <w:szCs w:val="32"/>
          <w:highlight w:val="none"/>
        </w:rPr>
        <w:t>89-2012）、《城市道路照明设计标准》（</w:t>
      </w:r>
      <w:r>
        <w:rPr>
          <w:rFonts w:hint="eastAsia" w:ascii="宋体" w:hAnsi="宋体" w:eastAsia="宋体" w:cs="宋体"/>
          <w:color w:val="auto"/>
          <w:sz w:val="24"/>
          <w:szCs w:val="32"/>
          <w:highlight w:val="none"/>
        </w:rPr>
        <w:t>CJJ</w:t>
      </w:r>
      <w:r>
        <w:rPr>
          <w:rFonts w:hint="eastAsia" w:ascii="宋体" w:hAnsi="宋体" w:eastAsia="宋体" w:cs="宋体"/>
          <w:color w:val="auto"/>
          <w:spacing w:val="7"/>
          <w:sz w:val="24"/>
          <w:szCs w:val="32"/>
          <w:highlight w:val="none"/>
        </w:rPr>
        <w:t>45-2015）以及适用的现行的国家、省、市</w:t>
      </w:r>
      <w:r>
        <w:rPr>
          <w:rFonts w:hint="eastAsia" w:ascii="宋体" w:hAnsi="宋体" w:eastAsia="宋体" w:cs="宋体"/>
          <w:color w:val="auto"/>
          <w:spacing w:val="10"/>
          <w:sz w:val="24"/>
          <w:szCs w:val="32"/>
          <w:highlight w:val="none"/>
        </w:rPr>
        <w:t>有关法律、规范、标准、规章、制度等有关规定。</w:t>
      </w:r>
    </w:p>
    <w:p w14:paraId="5FB0BED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（3）预制块铺装车行道路面应符合人行道维修要求。</w:t>
      </w:r>
    </w:p>
    <w:p w14:paraId="2C29B09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3"/>
          <w:sz w:val="24"/>
          <w:szCs w:val="32"/>
          <w:highlight w:val="none"/>
        </w:rPr>
        <w:t>（4）沥青、水泥、砂土等结构的人行道维修应符合相同材质车</w:t>
      </w:r>
      <w:r>
        <w:rPr>
          <w:rFonts w:hint="eastAsia" w:ascii="宋体" w:hAnsi="宋体" w:eastAsia="宋体" w:cs="宋体"/>
          <w:color w:val="auto"/>
          <w:spacing w:val="-3"/>
          <w:sz w:val="24"/>
          <w:szCs w:val="32"/>
          <w:highlight w:val="none"/>
        </w:rPr>
        <w:t>行道的要求。</w:t>
      </w:r>
    </w:p>
    <w:p w14:paraId="358C0A8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3"/>
          <w:sz w:val="24"/>
          <w:szCs w:val="32"/>
          <w:highlight w:val="none"/>
        </w:rPr>
        <w:t>（5）修补路面（含人行道板）的结构强度不得低于原路面，结</w:t>
      </w:r>
      <w:r>
        <w:rPr>
          <w:rFonts w:hint="eastAsia" w:ascii="宋体" w:hAnsi="宋体" w:eastAsia="宋体" w:cs="宋体"/>
          <w:color w:val="auto"/>
          <w:spacing w:val="-1"/>
          <w:sz w:val="24"/>
          <w:szCs w:val="32"/>
          <w:highlight w:val="none"/>
        </w:rPr>
        <w:t>构、材质、颜色、功能、预制块尺寸等，均应与原路衔接协调。</w:t>
      </w:r>
    </w:p>
    <w:p w14:paraId="025262B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3"/>
          <w:sz w:val="24"/>
          <w:szCs w:val="32"/>
          <w:highlight w:val="none"/>
        </w:rPr>
        <w:t>（6）沥青路面不得用水泥混凝土修补；水泥混凝土路面不得用</w:t>
      </w:r>
      <w:r>
        <w:rPr>
          <w:rFonts w:hint="eastAsia" w:ascii="宋体" w:hAnsi="宋体" w:eastAsia="宋体" w:cs="宋体"/>
          <w:color w:val="auto"/>
          <w:spacing w:val="-1"/>
          <w:sz w:val="24"/>
          <w:szCs w:val="32"/>
          <w:highlight w:val="none"/>
        </w:rPr>
        <w:t>沥青混合料修补（临时性修补可用沥青料）。</w:t>
      </w:r>
    </w:p>
    <w:p w14:paraId="3FB8792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3"/>
          <w:sz w:val="24"/>
          <w:szCs w:val="32"/>
          <w:highlight w:val="none"/>
        </w:rPr>
        <w:t>（7）道路养护维修选用材料应符合相关标准的规定，并有质量</w:t>
      </w:r>
      <w:r>
        <w:rPr>
          <w:rFonts w:hint="eastAsia" w:ascii="宋体" w:hAnsi="宋体" w:eastAsia="宋体" w:cs="宋体"/>
          <w:color w:val="auto"/>
          <w:spacing w:val="-1"/>
          <w:sz w:val="24"/>
          <w:szCs w:val="32"/>
          <w:highlight w:val="none"/>
        </w:rPr>
        <w:t>合格证明；防滑性能需满足通行需要，不得采用光滑面材料。</w:t>
      </w:r>
    </w:p>
    <w:p w14:paraId="5D29678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z w:val="24"/>
          <w:szCs w:val="32"/>
          <w:highlight w:val="none"/>
        </w:rPr>
        <mc:AlternateContent>
          <mc:Choice Requires="wps">
            <w:drawing>
              <wp:anchor distT="0" distB="0" distL="114300" distR="114300" simplePos="0" relativeHeight="251687936"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5" name="任意多边形 95"/>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7936;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Bj3+vi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3"/>
          <w:sz w:val="24"/>
          <w:szCs w:val="32"/>
          <w:highlight w:val="none"/>
        </w:rPr>
        <w:t>（8）提倡采用成熟的、符合生态环保要求的新工艺、新材料、</w:t>
      </w:r>
      <w:r>
        <w:rPr>
          <w:rFonts w:hint="eastAsia" w:ascii="宋体" w:hAnsi="宋体" w:eastAsia="宋体" w:cs="宋体"/>
          <w:color w:val="auto"/>
          <w:spacing w:val="-1"/>
          <w:sz w:val="24"/>
          <w:szCs w:val="32"/>
          <w:highlight w:val="none"/>
        </w:rPr>
        <w:t>新机械。新材料、新工艺首次应用前，需经专业部门</w:t>
      </w:r>
      <w:r>
        <w:rPr>
          <w:rFonts w:hint="eastAsia" w:ascii="宋体" w:hAnsi="宋体" w:eastAsia="宋体" w:cs="宋体"/>
          <w:color w:val="auto"/>
          <w:spacing w:val="-2"/>
          <w:sz w:val="24"/>
          <w:szCs w:val="32"/>
          <w:highlight w:val="none"/>
        </w:rPr>
        <w:t>评估审查，通过后才能推广采用。</w:t>
      </w:r>
    </w:p>
    <w:p w14:paraId="09476B4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（9）修补工序要紧密衔接，不得间断或拖延。</w:t>
      </w:r>
    </w:p>
    <w:p w14:paraId="6128655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（10）车行道修补应放线、切边，修补形状规整美观。</w:t>
      </w:r>
    </w:p>
    <w:p w14:paraId="08A712B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（11）受气候影响暂无法实施路面修复的车行道，应立即进行临</w:t>
      </w:r>
      <w:r>
        <w:rPr>
          <w:rFonts w:hint="eastAsia" w:ascii="宋体" w:hAnsi="宋体" w:eastAsia="宋体" w:cs="宋体"/>
          <w:color w:val="auto"/>
          <w:spacing w:val="-6"/>
          <w:sz w:val="24"/>
          <w:szCs w:val="32"/>
          <w:highlight w:val="none"/>
        </w:rPr>
        <w:t>时硬化。</w:t>
      </w:r>
    </w:p>
    <w:p w14:paraId="4DEF4B7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3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1"/>
          <w:sz w:val="24"/>
          <w:szCs w:val="32"/>
          <w:highlight w:val="none"/>
        </w:rPr>
        <w:t>（12）沥青路面摊铺面积大于</w:t>
      </w:r>
      <w:r>
        <w:rPr>
          <w:rFonts w:hint="eastAsia" w:ascii="宋体" w:hAnsi="宋体" w:eastAsia="宋体" w:cs="宋体"/>
          <w:color w:val="auto"/>
          <w:spacing w:val="-56"/>
          <w:sz w:val="24"/>
          <w:szCs w:val="32"/>
          <w:highlight w:val="none"/>
        </w:rPr>
        <w:t xml:space="preserve"> </w:t>
      </w:r>
      <w:r>
        <w:rPr>
          <w:rFonts w:hint="eastAsia" w:ascii="宋体" w:hAnsi="宋体" w:eastAsia="宋体" w:cs="宋体"/>
          <w:color w:val="auto"/>
          <w:spacing w:val="-11"/>
          <w:sz w:val="24"/>
          <w:szCs w:val="32"/>
          <w:highlight w:val="none"/>
        </w:rPr>
        <w:t>200</w:t>
      </w:r>
      <w:r>
        <w:rPr>
          <w:rFonts w:hint="eastAsia" w:ascii="宋体" w:hAnsi="宋体" w:eastAsia="宋体" w:cs="宋体"/>
          <w:color w:val="auto"/>
          <w:spacing w:val="-60"/>
          <w:sz w:val="24"/>
          <w:szCs w:val="32"/>
          <w:highlight w:val="none"/>
        </w:rPr>
        <w:t xml:space="preserve"> </w:t>
      </w:r>
      <w:r>
        <w:rPr>
          <w:rFonts w:hint="eastAsia" w:ascii="宋体" w:hAnsi="宋体" w:eastAsia="宋体" w:cs="宋体"/>
          <w:color w:val="auto"/>
          <w:spacing w:val="-11"/>
          <w:sz w:val="24"/>
          <w:szCs w:val="32"/>
          <w:highlight w:val="none"/>
        </w:rPr>
        <w:t>㎡时，宜采用摊</w:t>
      </w:r>
      <w:r>
        <w:rPr>
          <w:rFonts w:hint="eastAsia" w:ascii="宋体" w:hAnsi="宋体" w:eastAsia="宋体" w:cs="宋体"/>
          <w:color w:val="auto"/>
          <w:spacing w:val="-12"/>
          <w:sz w:val="24"/>
          <w:szCs w:val="32"/>
          <w:highlight w:val="none"/>
        </w:rPr>
        <w:t>铺机铺筑。（小</w:t>
      </w:r>
      <w:r>
        <w:rPr>
          <w:rFonts w:hint="eastAsia" w:ascii="宋体" w:hAnsi="宋体" w:eastAsia="宋体" w:cs="宋体"/>
          <w:color w:val="auto"/>
          <w:spacing w:val="-1"/>
          <w:sz w:val="24"/>
          <w:szCs w:val="32"/>
          <w:highlight w:val="none"/>
        </w:rPr>
        <w:t>面积作业不使用摊铺机时，按照要求保证平整度）</w:t>
      </w:r>
    </w:p>
    <w:p w14:paraId="51ACC58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48" w:firstLineChars="200"/>
        <w:jc w:val="both"/>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8"/>
          <w:sz w:val="24"/>
          <w:szCs w:val="32"/>
          <w:highlight w:val="none"/>
        </w:rPr>
        <w:t>（13）当顺向掘路宽度达到全路二分之一时，路面层应全幅修复。</w:t>
      </w:r>
    </w:p>
    <w:p w14:paraId="462951F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（14）掘路宽度应满足压实机械宽度要求，当宽度不适宜时，修复前应对路基进行加固处理。</w:t>
      </w:r>
    </w:p>
    <w:p w14:paraId="4D13E75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（15）掘路开挖断面严禁上窄下宽，回填修复前应去除松动及掏</w:t>
      </w:r>
      <w:r>
        <w:rPr>
          <w:rFonts w:hint="eastAsia" w:ascii="宋体" w:hAnsi="宋体" w:eastAsia="宋体" w:cs="宋体"/>
          <w:color w:val="auto"/>
          <w:spacing w:val="-5"/>
          <w:sz w:val="24"/>
          <w:szCs w:val="32"/>
          <w:highlight w:val="none"/>
        </w:rPr>
        <w:t>空部分。</w:t>
      </w:r>
    </w:p>
    <w:p w14:paraId="0E1A546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（16）道路两侧非路口的人行道出入口，标高应与人行道一致。</w:t>
      </w:r>
    </w:p>
    <w:p w14:paraId="6DFB806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（1</w:t>
      </w:r>
      <w:r>
        <w:rPr>
          <w:rFonts w:hint="eastAsia" w:eastAsia="宋体" w:cs="宋体"/>
          <w:color w:val="auto"/>
          <w:spacing w:val="-2"/>
          <w:sz w:val="24"/>
          <w:szCs w:val="32"/>
          <w:highlight w:val="none"/>
          <w:lang w:val="en-US" w:eastAsia="zh-CN"/>
        </w:rPr>
        <w:t>7</w:t>
      </w:r>
      <w:r>
        <w:rPr>
          <w:rFonts w:hint="eastAsia" w:ascii="宋体" w:hAnsi="宋体" w:eastAsia="宋体" w:cs="宋体"/>
          <w:color w:val="auto"/>
          <w:spacing w:val="-2"/>
          <w:sz w:val="24"/>
          <w:szCs w:val="32"/>
          <w:highlight w:val="none"/>
        </w:rPr>
        <w:t>）不得擅自在钢筋混凝土、预应力混凝土构件上钻孔打眼及架设其他构件。</w:t>
      </w:r>
    </w:p>
    <w:p w14:paraId="3A301E3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（1</w:t>
      </w:r>
      <w:r>
        <w:rPr>
          <w:rFonts w:hint="eastAsia" w:eastAsia="宋体" w:cs="宋体"/>
          <w:color w:val="auto"/>
          <w:spacing w:val="-1"/>
          <w:sz w:val="24"/>
          <w:szCs w:val="32"/>
          <w:highlight w:val="none"/>
          <w:lang w:val="en-US" w:eastAsia="zh-CN"/>
        </w:rPr>
        <w:t>8</w:t>
      </w:r>
      <w:r>
        <w:rPr>
          <w:rFonts w:hint="eastAsia" w:ascii="宋体" w:hAnsi="宋体" w:eastAsia="宋体" w:cs="宋体"/>
          <w:color w:val="auto"/>
          <w:spacing w:val="-1"/>
          <w:sz w:val="24"/>
          <w:szCs w:val="32"/>
          <w:highlight w:val="none"/>
        </w:rPr>
        <w:t>）挡土墙、堤防等构筑物上的草木须及时清除。</w:t>
      </w:r>
    </w:p>
    <w:p w14:paraId="3AB1EE4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w:t>
      </w:r>
      <w:r>
        <w:rPr>
          <w:rFonts w:hint="eastAsia" w:eastAsia="宋体" w:cs="宋体"/>
          <w:color w:val="auto"/>
          <w:spacing w:val="-2"/>
          <w:sz w:val="24"/>
          <w:szCs w:val="32"/>
          <w:highlight w:val="none"/>
          <w:lang w:val="en-US" w:eastAsia="zh-CN"/>
        </w:rPr>
        <w:t>19</w:t>
      </w:r>
      <w:r>
        <w:rPr>
          <w:rFonts w:hint="eastAsia" w:ascii="宋体" w:hAnsi="宋体" w:eastAsia="宋体" w:cs="宋体"/>
          <w:color w:val="auto"/>
          <w:spacing w:val="-2"/>
          <w:sz w:val="24"/>
          <w:szCs w:val="32"/>
          <w:highlight w:val="none"/>
        </w:rPr>
        <w:t>）设施加固、改扩建工程应依据新建工程的质量与验收标准</w:t>
      </w:r>
      <w:r>
        <w:rPr>
          <w:rFonts w:hint="eastAsia" w:ascii="宋体" w:hAnsi="宋体" w:eastAsia="宋体" w:cs="宋体"/>
          <w:color w:val="auto"/>
          <w:spacing w:val="-1"/>
          <w:sz w:val="24"/>
          <w:szCs w:val="32"/>
          <w:highlight w:val="none"/>
        </w:rPr>
        <w:t>进行，并及时完善、移交竣工验收资料。</w:t>
      </w:r>
    </w:p>
    <w:p w14:paraId="578F813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w:t>
      </w:r>
      <w:r>
        <w:rPr>
          <w:rFonts w:hint="eastAsia" w:eastAsia="宋体" w:cs="宋体"/>
          <w:color w:val="auto"/>
          <w:spacing w:val="-2"/>
          <w:sz w:val="24"/>
          <w:szCs w:val="32"/>
          <w:highlight w:val="none"/>
          <w:lang w:val="en-US" w:eastAsia="zh-CN"/>
        </w:rPr>
        <w:t>20</w:t>
      </w:r>
      <w:r>
        <w:rPr>
          <w:rFonts w:hint="eastAsia" w:ascii="宋体" w:hAnsi="宋体" w:eastAsia="宋体" w:cs="宋体"/>
          <w:color w:val="auto"/>
          <w:spacing w:val="-2"/>
          <w:sz w:val="24"/>
          <w:szCs w:val="32"/>
          <w:highlight w:val="none"/>
        </w:rPr>
        <w:t>）路缘石应当保持清洁完好，及时清洁路缘石上的油污、泥</w:t>
      </w:r>
      <w:r>
        <w:rPr>
          <w:rFonts w:hint="eastAsia" w:ascii="宋体" w:hAnsi="宋体" w:eastAsia="宋体" w:cs="宋体"/>
          <w:color w:val="auto"/>
          <w:spacing w:val="-1"/>
          <w:sz w:val="24"/>
          <w:szCs w:val="32"/>
          <w:highlight w:val="none"/>
        </w:rPr>
        <w:t>浆等污物，冬季应及时清除融雪。</w:t>
      </w:r>
    </w:p>
    <w:p w14:paraId="4D76B28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（2</w:t>
      </w:r>
      <w:r>
        <w:rPr>
          <w:rFonts w:hint="eastAsia" w:eastAsia="宋体" w:cs="宋体"/>
          <w:color w:val="auto"/>
          <w:spacing w:val="-2"/>
          <w:sz w:val="24"/>
          <w:szCs w:val="32"/>
          <w:highlight w:val="none"/>
          <w:lang w:val="en-US" w:eastAsia="zh-CN"/>
        </w:rPr>
        <w:t>1</w:t>
      </w:r>
      <w:r>
        <w:rPr>
          <w:rFonts w:hint="eastAsia" w:ascii="宋体" w:hAnsi="宋体" w:eastAsia="宋体" w:cs="宋体"/>
          <w:color w:val="auto"/>
          <w:spacing w:val="-2"/>
          <w:sz w:val="24"/>
          <w:szCs w:val="32"/>
          <w:highlight w:val="none"/>
        </w:rPr>
        <w:t>）路缘石（含混凝土）应经常保持稳固、直顺，发生挤压变</w:t>
      </w:r>
      <w:r>
        <w:rPr>
          <w:rFonts w:hint="eastAsia" w:ascii="宋体" w:hAnsi="宋体" w:eastAsia="宋体" w:cs="宋体"/>
          <w:color w:val="auto"/>
          <w:spacing w:val="-1"/>
          <w:sz w:val="24"/>
          <w:szCs w:val="32"/>
          <w:highlight w:val="none"/>
        </w:rPr>
        <w:t>形、拱胀变形应及时进行调整，调整后的路缘石应及时勾缝。</w:t>
      </w:r>
    </w:p>
    <w:p w14:paraId="2A779AF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（2</w:t>
      </w:r>
      <w:r>
        <w:rPr>
          <w:rFonts w:hint="eastAsia" w:eastAsia="宋体" w:cs="宋体"/>
          <w:color w:val="auto"/>
          <w:spacing w:val="-1"/>
          <w:sz w:val="24"/>
          <w:szCs w:val="32"/>
          <w:highlight w:val="none"/>
          <w:lang w:val="en-US" w:eastAsia="zh-CN"/>
        </w:rPr>
        <w:t>2</w:t>
      </w:r>
      <w:r>
        <w:rPr>
          <w:rFonts w:hint="eastAsia" w:ascii="宋体" w:hAnsi="宋体" w:eastAsia="宋体" w:cs="宋体"/>
          <w:color w:val="auto"/>
          <w:spacing w:val="-1"/>
          <w:sz w:val="24"/>
          <w:szCs w:val="32"/>
          <w:highlight w:val="none"/>
        </w:rPr>
        <w:t>）更换的路缘石应与原路缘石规格对应、材质、颜色</w:t>
      </w:r>
      <w:r>
        <w:rPr>
          <w:rFonts w:hint="eastAsia" w:ascii="宋体" w:hAnsi="宋体" w:eastAsia="宋体" w:cs="宋体"/>
          <w:color w:val="auto"/>
          <w:spacing w:val="-2"/>
          <w:sz w:val="24"/>
          <w:szCs w:val="32"/>
          <w:highlight w:val="none"/>
        </w:rPr>
        <w:t>保持一</w:t>
      </w:r>
      <w:r>
        <w:rPr>
          <w:rFonts w:hint="eastAsia" w:ascii="宋体" w:hAnsi="宋体" w:eastAsia="宋体" w:cs="宋体"/>
          <w:color w:val="auto"/>
          <w:sz w:val="24"/>
          <w:szCs w:val="32"/>
          <w:highlight w:val="none"/>
        </w:rPr>
        <mc:AlternateContent>
          <mc:Choice Requires="wps">
            <w:drawing>
              <wp:anchor distT="0" distB="0" distL="114300" distR="114300" simplePos="0" relativeHeight="251688960"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86" name="任意多边形 86"/>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8960;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AL6vSN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5"/>
          <w:sz w:val="24"/>
          <w:szCs w:val="32"/>
          <w:highlight w:val="none"/>
        </w:rPr>
        <w:t>致。</w:t>
      </w:r>
    </w:p>
    <w:p w14:paraId="4E17AF4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（2</w:t>
      </w:r>
      <w:r>
        <w:rPr>
          <w:rFonts w:hint="eastAsia" w:eastAsia="宋体" w:cs="宋体"/>
          <w:color w:val="auto"/>
          <w:spacing w:val="-2"/>
          <w:sz w:val="24"/>
          <w:szCs w:val="32"/>
          <w:highlight w:val="none"/>
          <w:lang w:val="en-US" w:eastAsia="zh-CN"/>
        </w:rPr>
        <w:t>3</w:t>
      </w:r>
      <w:r>
        <w:rPr>
          <w:rFonts w:hint="eastAsia" w:ascii="宋体" w:hAnsi="宋体" w:eastAsia="宋体" w:cs="宋体"/>
          <w:color w:val="auto"/>
          <w:spacing w:val="-2"/>
          <w:sz w:val="24"/>
          <w:szCs w:val="32"/>
          <w:highlight w:val="none"/>
        </w:rPr>
        <w:t>）砌筑路缘石时应采取</w:t>
      </w:r>
      <w:r>
        <w:rPr>
          <w:rFonts w:hint="eastAsia" w:ascii="宋体" w:hAnsi="宋体" w:eastAsia="宋体" w:cs="宋体"/>
          <w:color w:val="auto"/>
          <w:spacing w:val="-62"/>
          <w:sz w:val="24"/>
          <w:szCs w:val="32"/>
          <w:highlight w:val="none"/>
        </w:rPr>
        <w:t xml:space="preserve"> </w:t>
      </w:r>
      <w:r>
        <w:rPr>
          <w:rFonts w:hint="eastAsia" w:ascii="宋体" w:hAnsi="宋体" w:eastAsia="宋体" w:cs="宋体"/>
          <w:color w:val="auto"/>
          <w:spacing w:val="-2"/>
          <w:sz w:val="24"/>
          <w:szCs w:val="32"/>
          <w:highlight w:val="none"/>
        </w:rPr>
        <w:t>C15</w:t>
      </w:r>
      <w:r>
        <w:rPr>
          <w:rFonts w:hint="eastAsia" w:ascii="宋体" w:hAnsi="宋体" w:eastAsia="宋体" w:cs="宋体"/>
          <w:color w:val="auto"/>
          <w:spacing w:val="-58"/>
          <w:sz w:val="24"/>
          <w:szCs w:val="32"/>
          <w:highlight w:val="none"/>
        </w:rPr>
        <w:t xml:space="preserve"> </w:t>
      </w:r>
      <w:r>
        <w:rPr>
          <w:rFonts w:hint="eastAsia" w:ascii="宋体" w:hAnsi="宋体" w:eastAsia="宋体" w:cs="宋体"/>
          <w:color w:val="auto"/>
          <w:spacing w:val="-2"/>
          <w:sz w:val="24"/>
          <w:szCs w:val="32"/>
          <w:highlight w:val="none"/>
        </w:rPr>
        <w:t>混凝土护坡，护坡标准</w:t>
      </w:r>
      <w:r>
        <w:rPr>
          <w:rFonts w:hint="eastAsia" w:ascii="宋体" w:hAnsi="宋体" w:eastAsia="宋体" w:cs="宋体"/>
          <w:color w:val="auto"/>
          <w:spacing w:val="-3"/>
          <w:sz w:val="24"/>
          <w:szCs w:val="32"/>
          <w:highlight w:val="none"/>
        </w:rPr>
        <w:t>应与原有设计等同。</w:t>
      </w:r>
    </w:p>
    <w:p w14:paraId="366C291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（2</w:t>
      </w:r>
      <w:r>
        <w:rPr>
          <w:rFonts w:hint="eastAsia" w:eastAsia="宋体" w:cs="宋体"/>
          <w:color w:val="auto"/>
          <w:spacing w:val="-2"/>
          <w:sz w:val="24"/>
          <w:szCs w:val="32"/>
          <w:highlight w:val="none"/>
          <w:lang w:val="en-US" w:eastAsia="zh-CN"/>
        </w:rPr>
        <w:t>4</w:t>
      </w:r>
      <w:r>
        <w:rPr>
          <w:rFonts w:hint="eastAsia" w:ascii="宋体" w:hAnsi="宋体" w:eastAsia="宋体" w:cs="宋体"/>
          <w:color w:val="auto"/>
          <w:spacing w:val="-2"/>
          <w:sz w:val="24"/>
          <w:szCs w:val="32"/>
          <w:highlight w:val="none"/>
        </w:rPr>
        <w:t>）人行道树穴石的维修应与原树穴石规格尺寸对应、</w:t>
      </w:r>
      <w:r>
        <w:rPr>
          <w:rFonts w:hint="eastAsia" w:ascii="宋体" w:hAnsi="宋体" w:eastAsia="宋体" w:cs="宋体"/>
          <w:color w:val="auto"/>
          <w:spacing w:val="-3"/>
          <w:sz w:val="24"/>
          <w:szCs w:val="32"/>
          <w:highlight w:val="none"/>
        </w:rPr>
        <w:t>材质、</w:t>
      </w:r>
      <w:r>
        <w:rPr>
          <w:rFonts w:hint="eastAsia" w:ascii="宋体" w:hAnsi="宋体" w:eastAsia="宋体" w:cs="宋体"/>
          <w:color w:val="auto"/>
          <w:spacing w:val="-2"/>
          <w:sz w:val="24"/>
          <w:szCs w:val="32"/>
          <w:highlight w:val="none"/>
        </w:rPr>
        <w:t>颜色保持一致。</w:t>
      </w:r>
    </w:p>
    <w:p w14:paraId="5B63D0C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（2</w:t>
      </w:r>
      <w:r>
        <w:rPr>
          <w:rFonts w:hint="eastAsia" w:eastAsia="宋体" w:cs="宋体"/>
          <w:color w:val="auto"/>
          <w:spacing w:val="-2"/>
          <w:sz w:val="24"/>
          <w:szCs w:val="32"/>
          <w:highlight w:val="none"/>
          <w:lang w:val="en-US" w:eastAsia="zh-CN"/>
        </w:rPr>
        <w:t>5</w:t>
      </w:r>
      <w:r>
        <w:rPr>
          <w:rFonts w:hint="eastAsia" w:ascii="宋体" w:hAnsi="宋体" w:eastAsia="宋体" w:cs="宋体"/>
          <w:color w:val="auto"/>
          <w:spacing w:val="-2"/>
          <w:sz w:val="24"/>
          <w:szCs w:val="32"/>
          <w:highlight w:val="none"/>
        </w:rPr>
        <w:t>）树穴石出现缺失、剥落、断裂、翘角、拱胀变形应及时进</w:t>
      </w:r>
      <w:r>
        <w:rPr>
          <w:rFonts w:hint="eastAsia" w:ascii="宋体" w:hAnsi="宋体" w:eastAsia="宋体" w:cs="宋体"/>
          <w:color w:val="auto"/>
          <w:spacing w:val="-3"/>
          <w:sz w:val="24"/>
          <w:szCs w:val="32"/>
          <w:highlight w:val="none"/>
        </w:rPr>
        <w:t>行维修更换。</w:t>
      </w:r>
    </w:p>
    <w:p w14:paraId="468ACC8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（2</w:t>
      </w:r>
      <w:r>
        <w:rPr>
          <w:rFonts w:hint="eastAsia" w:eastAsia="宋体" w:cs="宋体"/>
          <w:color w:val="auto"/>
          <w:spacing w:val="-2"/>
          <w:sz w:val="24"/>
          <w:szCs w:val="32"/>
          <w:highlight w:val="none"/>
          <w:lang w:val="en-US" w:eastAsia="zh-CN"/>
        </w:rPr>
        <w:t>6</w:t>
      </w:r>
      <w:r>
        <w:rPr>
          <w:rFonts w:hint="eastAsia" w:ascii="宋体" w:hAnsi="宋体" w:eastAsia="宋体" w:cs="宋体"/>
          <w:color w:val="auto"/>
          <w:spacing w:val="-2"/>
          <w:sz w:val="24"/>
          <w:szCs w:val="32"/>
          <w:highlight w:val="none"/>
        </w:rPr>
        <w:t>）城市道路检查井座雨水口出现松动或发现井座、井盖、雨</w:t>
      </w:r>
      <w:r>
        <w:rPr>
          <w:rFonts w:hint="eastAsia" w:ascii="宋体" w:hAnsi="宋体" w:eastAsia="宋体" w:cs="宋体"/>
          <w:color w:val="auto"/>
          <w:spacing w:val="-1"/>
          <w:sz w:val="24"/>
          <w:szCs w:val="32"/>
          <w:highlight w:val="none"/>
        </w:rPr>
        <w:t>水箅子缺失、破损时，应及时进行修补更换，确保道路安全畅通。</w:t>
      </w:r>
    </w:p>
    <w:p w14:paraId="0526900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（2</w:t>
      </w:r>
      <w:r>
        <w:rPr>
          <w:rFonts w:hint="eastAsia" w:eastAsia="宋体" w:cs="宋体"/>
          <w:color w:val="auto"/>
          <w:spacing w:val="-1"/>
          <w:sz w:val="24"/>
          <w:szCs w:val="32"/>
          <w:highlight w:val="none"/>
          <w:lang w:val="en-US" w:eastAsia="zh-CN"/>
        </w:rPr>
        <w:t>7</w:t>
      </w:r>
      <w:r>
        <w:rPr>
          <w:rFonts w:hint="eastAsia" w:ascii="宋体" w:hAnsi="宋体" w:eastAsia="宋体" w:cs="宋体"/>
          <w:color w:val="auto"/>
          <w:spacing w:val="-1"/>
          <w:sz w:val="24"/>
          <w:szCs w:val="32"/>
          <w:highlight w:val="none"/>
        </w:rPr>
        <w:t>）路灯及城市亮化设施要运行正常，设施完好。</w:t>
      </w:r>
    </w:p>
    <w:p w14:paraId="139BA60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（2</w:t>
      </w:r>
      <w:r>
        <w:rPr>
          <w:rFonts w:hint="eastAsia" w:eastAsia="宋体" w:cs="宋体"/>
          <w:color w:val="auto"/>
          <w:spacing w:val="-2"/>
          <w:sz w:val="24"/>
          <w:szCs w:val="32"/>
          <w:highlight w:val="none"/>
          <w:lang w:val="en-US" w:eastAsia="zh-CN"/>
        </w:rPr>
        <w:t>8</w:t>
      </w:r>
      <w:r>
        <w:rPr>
          <w:rFonts w:hint="eastAsia" w:ascii="宋体" w:hAnsi="宋体" w:eastAsia="宋体" w:cs="宋体"/>
          <w:color w:val="auto"/>
          <w:spacing w:val="-2"/>
          <w:sz w:val="24"/>
          <w:szCs w:val="32"/>
          <w:highlight w:val="none"/>
        </w:rPr>
        <w:t>）城市道路有积水现象时，应及时排除积水，确保路面无积</w:t>
      </w:r>
      <w:r>
        <w:rPr>
          <w:rFonts w:hint="eastAsia" w:ascii="宋体" w:hAnsi="宋体" w:eastAsia="宋体" w:cs="宋体"/>
          <w:color w:val="auto"/>
          <w:spacing w:val="-7"/>
          <w:sz w:val="24"/>
          <w:szCs w:val="32"/>
          <w:highlight w:val="none"/>
        </w:rPr>
        <w:t>水。</w:t>
      </w:r>
    </w:p>
    <w:p w14:paraId="2BCAB5D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①沥青道路</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76"/>
        <w:gridCol w:w="7518"/>
      </w:tblGrid>
      <w:tr w14:paraId="3E3423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6" w:hRule="atLeast"/>
        </w:trPr>
        <w:tc>
          <w:tcPr>
            <w:tcW w:w="1076" w:type="dxa"/>
            <w:shd w:val="clear" w:color="auto" w:fill="63B86C"/>
            <w:vAlign w:val="center"/>
          </w:tcPr>
          <w:p w14:paraId="02C7BCAC">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color w:val="auto"/>
                <w:spacing w:val="-10"/>
                <w:highlight w:val="none"/>
              </w:rPr>
            </w:pPr>
            <w:r>
              <w:rPr>
                <w:rFonts w:hint="eastAsia" w:ascii="宋体" w:hAnsi="宋体" w:eastAsia="宋体" w:cs="宋体"/>
                <w:b/>
                <w:bCs/>
                <w:color w:val="auto"/>
                <w:spacing w:val="-10"/>
                <w:highlight w:val="none"/>
              </w:rPr>
              <w:t>项目</w:t>
            </w:r>
          </w:p>
        </w:tc>
        <w:tc>
          <w:tcPr>
            <w:tcW w:w="7518" w:type="dxa"/>
            <w:shd w:val="clear" w:color="auto" w:fill="63B86C"/>
            <w:vAlign w:val="center"/>
          </w:tcPr>
          <w:p w14:paraId="5D878928">
            <w:pPr>
              <w:pStyle w:val="76"/>
              <w:keepNext w:val="0"/>
              <w:keepLines w:val="0"/>
              <w:pageBreakBefore w:val="0"/>
              <w:widowControl w:val="0"/>
              <w:kinsoku/>
              <w:wordWrap/>
              <w:overflowPunct/>
              <w:topLinePunct w:val="0"/>
              <w:autoSpaceDE/>
              <w:autoSpaceDN/>
              <w:bidi w:val="0"/>
              <w:adjustRightInd/>
              <w:snapToGrid/>
              <w:spacing w:line="240" w:lineRule="auto"/>
              <w:ind w:left="0" w:right="0" w:firstLine="382" w:firstLineChars="200"/>
              <w:jc w:val="center"/>
              <w:textAlignment w:val="auto"/>
              <w:rPr>
                <w:rFonts w:hint="eastAsia" w:ascii="宋体" w:hAnsi="宋体" w:eastAsia="宋体" w:cs="宋体"/>
                <w:b/>
                <w:bCs/>
                <w:color w:val="auto"/>
                <w:spacing w:val="-10"/>
                <w:highlight w:val="none"/>
              </w:rPr>
            </w:pPr>
            <w:r>
              <w:rPr>
                <w:rFonts w:hint="eastAsia" w:ascii="宋体" w:hAnsi="宋体" w:eastAsia="宋体" w:cs="宋体"/>
                <w:b/>
                <w:bCs/>
                <w:color w:val="auto"/>
                <w:spacing w:val="-10"/>
                <w:highlight w:val="none"/>
              </w:rPr>
              <w:t>规定值及允许偏差</w:t>
            </w:r>
          </w:p>
        </w:tc>
      </w:tr>
      <w:tr w14:paraId="58C529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3" w:hRule="atLeast"/>
        </w:trPr>
        <w:tc>
          <w:tcPr>
            <w:tcW w:w="1076" w:type="dxa"/>
            <w:vAlign w:val="center"/>
          </w:tcPr>
          <w:p w14:paraId="22EE316C">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textAlignment w:val="auto"/>
              <w:rPr>
                <w:rFonts w:hint="eastAsia" w:ascii="宋体" w:hAnsi="宋体" w:eastAsia="宋体" w:cs="宋体"/>
                <w:color w:val="auto"/>
                <w:sz w:val="21"/>
                <w:highlight w:val="none"/>
              </w:rPr>
            </w:pPr>
          </w:p>
          <w:p w14:paraId="1C2B00C6">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凿边</w:t>
            </w:r>
          </w:p>
        </w:tc>
        <w:tc>
          <w:tcPr>
            <w:tcW w:w="7518" w:type="dxa"/>
            <w:vAlign w:val="center"/>
          </w:tcPr>
          <w:p w14:paraId="5FB77FEB">
            <w:pPr>
              <w:pStyle w:val="76"/>
              <w:keepNext w:val="0"/>
              <w:keepLines w:val="0"/>
              <w:pageBreakBefore w:val="0"/>
              <w:widowControl w:val="0"/>
              <w:kinsoku/>
              <w:wordWrap/>
              <w:overflowPunct/>
              <w:topLinePunct w:val="0"/>
              <w:autoSpaceDE/>
              <w:autoSpaceDN/>
              <w:bidi w:val="0"/>
              <w:adjustRightInd/>
              <w:snapToGrid/>
              <w:spacing w:line="360" w:lineRule="auto"/>
              <w:ind w:left="0" w:right="0" w:firstLine="388"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8"/>
                <w:highlight w:val="none"/>
              </w:rPr>
              <w:t>四周用切割机切割，整齐不斜；如采铣刨机或其他机械施工，</w:t>
            </w:r>
            <w:r>
              <w:rPr>
                <w:rFonts w:hint="eastAsia" w:ascii="宋体" w:hAnsi="宋体" w:eastAsia="宋体" w:cs="宋体"/>
                <w:color w:val="auto"/>
                <w:spacing w:val="-2"/>
                <w:highlight w:val="none"/>
              </w:rPr>
              <w:t>边口整齐不斜；</w:t>
            </w:r>
          </w:p>
          <w:p w14:paraId="1D70169F">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四周修凿垂直，凿边宽度不小于50mm、深度不小于</w:t>
            </w:r>
            <w:r>
              <w:rPr>
                <w:rFonts w:hint="eastAsia" w:ascii="宋体" w:hAnsi="宋体" w:eastAsia="宋体" w:cs="宋体"/>
                <w:color w:val="auto"/>
                <w:spacing w:val="-38"/>
                <w:highlight w:val="none"/>
              </w:rPr>
              <w:t xml:space="preserve"> </w:t>
            </w:r>
            <w:r>
              <w:rPr>
                <w:rFonts w:hint="eastAsia" w:ascii="宋体" w:hAnsi="宋体" w:eastAsia="宋体" w:cs="宋体"/>
                <w:color w:val="auto"/>
                <w:highlight w:val="none"/>
              </w:rPr>
              <w:t>30mm</w:t>
            </w:r>
          </w:p>
        </w:tc>
      </w:tr>
      <w:tr w14:paraId="43F501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1076" w:type="dxa"/>
            <w:vAlign w:val="center"/>
          </w:tcPr>
          <w:p w14:paraId="1111B314">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铺筑</w:t>
            </w:r>
          </w:p>
        </w:tc>
        <w:tc>
          <w:tcPr>
            <w:tcW w:w="7518" w:type="dxa"/>
            <w:vAlign w:val="center"/>
          </w:tcPr>
          <w:p w14:paraId="148EA2C6">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16"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面层铺筑厚度误差-5mm、+10mm；</w:t>
            </w:r>
          </w:p>
          <w:p w14:paraId="4FC87B78">
            <w:pPr>
              <w:pStyle w:val="76"/>
              <w:keepNext w:val="0"/>
              <w:keepLines w:val="0"/>
              <w:pageBreakBefore w:val="0"/>
              <w:widowControl w:val="0"/>
              <w:kinsoku/>
              <w:wordWrap/>
              <w:overflowPunct/>
              <w:topLinePunct w:val="0"/>
              <w:autoSpaceDE/>
              <w:autoSpaceDN/>
              <w:bidi w:val="0"/>
              <w:adjustRightInd/>
              <w:snapToGrid/>
              <w:spacing w:line="360" w:lineRule="auto"/>
              <w:ind w:left="0" w:right="0" w:firstLine="396"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混凝土厚度细粒式不得低于</w:t>
            </w:r>
            <w:r>
              <w:rPr>
                <w:rFonts w:hint="eastAsia" w:ascii="宋体" w:hAnsi="宋体" w:eastAsia="宋体" w:cs="宋体"/>
                <w:color w:val="auto"/>
                <w:spacing w:val="-38"/>
                <w:highlight w:val="none"/>
              </w:rPr>
              <w:t xml:space="preserve"> </w:t>
            </w:r>
            <w:r>
              <w:rPr>
                <w:rFonts w:hint="eastAsia" w:ascii="宋体" w:hAnsi="宋体" w:eastAsia="宋体" w:cs="宋体"/>
                <w:color w:val="auto"/>
                <w:spacing w:val="-6"/>
                <w:highlight w:val="none"/>
              </w:rPr>
              <w:t>30mm、粗粒不得低于</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6"/>
                <w:highlight w:val="none"/>
              </w:rPr>
              <w:t>50mm、中粒</w:t>
            </w:r>
            <w:r>
              <w:rPr>
                <w:rFonts w:hint="eastAsia" w:ascii="宋体" w:hAnsi="宋体" w:eastAsia="宋体" w:cs="宋体"/>
                <w:color w:val="auto"/>
                <w:spacing w:val="-3"/>
                <w:highlight w:val="none"/>
              </w:rPr>
              <w:t>不得低于</w:t>
            </w:r>
            <w:r>
              <w:rPr>
                <w:rFonts w:hint="eastAsia" w:ascii="宋体" w:hAnsi="宋体" w:eastAsia="宋体" w:cs="宋体"/>
                <w:color w:val="auto"/>
                <w:spacing w:val="-59"/>
                <w:highlight w:val="none"/>
              </w:rPr>
              <w:t xml:space="preserve"> </w:t>
            </w:r>
            <w:r>
              <w:rPr>
                <w:rFonts w:hint="eastAsia" w:ascii="宋体" w:hAnsi="宋体" w:eastAsia="宋体" w:cs="宋体"/>
                <w:color w:val="auto"/>
                <w:spacing w:val="-3"/>
                <w:highlight w:val="none"/>
              </w:rPr>
              <w:t>40mm；</w:t>
            </w:r>
          </w:p>
          <w:p w14:paraId="5107CBBB">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16"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表面粗细均匀，无毛细裂缝，碾压紧密，无明显轮迹</w:t>
            </w:r>
          </w:p>
        </w:tc>
      </w:tr>
      <w:tr w14:paraId="3258A3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076" w:type="dxa"/>
            <w:vAlign w:val="center"/>
          </w:tcPr>
          <w:p w14:paraId="687916A6">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平整度</w:t>
            </w:r>
          </w:p>
        </w:tc>
        <w:tc>
          <w:tcPr>
            <w:tcW w:w="7518" w:type="dxa"/>
            <w:vAlign w:val="center"/>
          </w:tcPr>
          <w:p w14:paraId="22A6F648">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4"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路面平整，人工摊铺不大于</w:t>
            </w:r>
            <w:r>
              <w:rPr>
                <w:rFonts w:hint="eastAsia" w:ascii="宋体" w:hAnsi="宋体" w:eastAsia="宋体" w:cs="宋体"/>
                <w:color w:val="auto"/>
                <w:spacing w:val="-43"/>
                <w:highlight w:val="none"/>
              </w:rPr>
              <w:t xml:space="preserve"> </w:t>
            </w:r>
            <w:r>
              <w:rPr>
                <w:rFonts w:hint="eastAsia" w:ascii="宋体" w:hAnsi="宋体" w:eastAsia="宋体" w:cs="宋体"/>
                <w:color w:val="auto"/>
                <w:spacing w:val="-4"/>
                <w:highlight w:val="none"/>
              </w:rPr>
              <w:t>7mm，机械摊铺不大于</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4"/>
                <w:highlight w:val="none"/>
              </w:rPr>
              <w:t>5mm（3</w:t>
            </w:r>
            <w:r>
              <w:rPr>
                <w:rFonts w:hint="eastAsia" w:ascii="宋体" w:hAnsi="宋体" w:eastAsia="宋体" w:cs="宋体"/>
                <w:color w:val="auto"/>
                <w:spacing w:val="-58"/>
                <w:highlight w:val="none"/>
              </w:rPr>
              <w:t xml:space="preserve"> </w:t>
            </w:r>
            <w:r>
              <w:rPr>
                <w:rFonts w:hint="eastAsia" w:ascii="宋体" w:hAnsi="宋体" w:eastAsia="宋体" w:cs="宋体"/>
                <w:color w:val="auto"/>
                <w:spacing w:val="-4"/>
                <w:highlight w:val="none"/>
              </w:rPr>
              <w:t>米</w:t>
            </w:r>
            <w:r>
              <w:rPr>
                <w:rFonts w:hint="eastAsia" w:ascii="宋体" w:hAnsi="宋体" w:eastAsia="宋体" w:cs="宋体"/>
                <w:color w:val="auto"/>
                <w:spacing w:val="-5"/>
                <w:highlight w:val="none"/>
              </w:rPr>
              <w:t>尺）</w:t>
            </w:r>
          </w:p>
        </w:tc>
      </w:tr>
      <w:tr w14:paraId="16B57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57" w:hRule="atLeast"/>
        </w:trPr>
        <w:tc>
          <w:tcPr>
            <w:tcW w:w="1076" w:type="dxa"/>
            <w:vAlign w:val="center"/>
          </w:tcPr>
          <w:p w14:paraId="02A9A96D">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接茬</w:t>
            </w:r>
          </w:p>
        </w:tc>
        <w:tc>
          <w:tcPr>
            <w:tcW w:w="7518" w:type="dxa"/>
            <w:vAlign w:val="center"/>
          </w:tcPr>
          <w:p w14:paraId="3572FE3B">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16"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接茬密实，无起壳松散；</w:t>
            </w:r>
          </w:p>
          <w:p w14:paraId="73280C95">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28"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与平石相接不得低于平石，高不得低于5</w:t>
            </w:r>
            <w:r>
              <w:rPr>
                <w:rFonts w:hint="eastAsia" w:ascii="宋体" w:hAnsi="宋体" w:eastAsia="宋体" w:cs="宋体"/>
                <w:color w:val="auto"/>
                <w:highlight w:val="none"/>
              </w:rPr>
              <w:t>mm</w:t>
            </w:r>
            <w:r>
              <w:rPr>
                <w:rFonts w:hint="eastAsia" w:ascii="宋体" w:hAnsi="宋体" w:eastAsia="宋体" w:cs="宋体"/>
                <w:color w:val="auto"/>
                <w:spacing w:val="2"/>
                <w:highlight w:val="none"/>
              </w:rPr>
              <w:t>；</w:t>
            </w:r>
          </w:p>
          <w:p w14:paraId="2130B458">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0"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新老接茬密实，平顺齐直，不得低于原路面，高不得大于5mm</w:t>
            </w:r>
            <w:r>
              <w:rPr>
                <w:rFonts w:hint="eastAsia" w:ascii="宋体" w:hAnsi="宋体" w:eastAsia="宋体" w:cs="宋体"/>
                <w:color w:val="auto"/>
                <w:spacing w:val="8"/>
                <w:highlight w:val="none"/>
              </w:rPr>
              <w:t xml:space="preserve"> </w:t>
            </w:r>
            <w:r>
              <w:rPr>
                <w:rFonts w:hint="eastAsia" w:ascii="宋体" w:hAnsi="宋体" w:eastAsia="宋体" w:cs="宋体"/>
                <w:color w:val="auto"/>
                <w:spacing w:val="-6"/>
                <w:highlight w:val="none"/>
              </w:rPr>
              <w:t>（1</w:t>
            </w:r>
            <w:r>
              <w:rPr>
                <w:rFonts w:hint="eastAsia" w:ascii="宋体" w:hAnsi="宋体" w:eastAsia="宋体" w:cs="宋体"/>
                <w:color w:val="auto"/>
                <w:spacing w:val="-59"/>
                <w:highlight w:val="none"/>
              </w:rPr>
              <w:t xml:space="preserve"> </w:t>
            </w:r>
            <w:r>
              <w:rPr>
                <w:rFonts w:hint="eastAsia" w:ascii="宋体" w:hAnsi="宋体" w:eastAsia="宋体" w:cs="宋体"/>
                <w:color w:val="auto"/>
                <w:spacing w:val="-6"/>
                <w:highlight w:val="none"/>
              </w:rPr>
              <w:t>米尺）</w:t>
            </w:r>
          </w:p>
        </w:tc>
      </w:tr>
      <w:tr w14:paraId="2D4B4F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076" w:type="dxa"/>
            <w:vAlign w:val="center"/>
          </w:tcPr>
          <w:p w14:paraId="4C52BCF2">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路框差</w:t>
            </w:r>
          </w:p>
        </w:tc>
        <w:tc>
          <w:tcPr>
            <w:tcW w:w="7518" w:type="dxa"/>
            <w:vAlign w:val="center"/>
          </w:tcPr>
          <w:p w14:paraId="770EF51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384"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9"/>
                <w:highlight w:val="none"/>
              </w:rPr>
              <w:t>各类井框周围路面无沉陷，与路面高差不得大于</w:t>
            </w:r>
            <w:r>
              <w:rPr>
                <w:rFonts w:hint="eastAsia" w:ascii="宋体" w:hAnsi="宋体" w:eastAsia="宋体" w:cs="宋体"/>
                <w:color w:val="auto"/>
                <w:spacing w:val="-46"/>
                <w:highlight w:val="none"/>
              </w:rPr>
              <w:t xml:space="preserve"> </w:t>
            </w:r>
            <w:r>
              <w:rPr>
                <w:rFonts w:hint="eastAsia" w:ascii="宋体" w:hAnsi="宋体" w:eastAsia="宋体" w:cs="宋体"/>
                <w:color w:val="auto"/>
                <w:spacing w:val="-9"/>
                <w:highlight w:val="none"/>
              </w:rPr>
              <w:t>5mm（1米尺）</w:t>
            </w:r>
          </w:p>
        </w:tc>
      </w:tr>
      <w:tr w14:paraId="066594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076" w:type="dxa"/>
            <w:vAlign w:val="center"/>
          </w:tcPr>
          <w:p w14:paraId="50EEF1DD">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横坡度</w:t>
            </w:r>
          </w:p>
        </w:tc>
        <w:tc>
          <w:tcPr>
            <w:tcW w:w="7518" w:type="dxa"/>
            <w:vAlign w:val="center"/>
          </w:tcPr>
          <w:p w14:paraId="4554D1E3">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16"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与原路面横坡相一致，不得有积水</w:t>
            </w:r>
          </w:p>
        </w:tc>
      </w:tr>
    </w:tbl>
    <w:p w14:paraId="3DD6307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②水泥混凝土道路</w:t>
      </w:r>
    </w:p>
    <w:tbl>
      <w:tblPr>
        <w:tblStyle w:val="77"/>
        <w:tblpPr w:leftFromText="180" w:rightFromText="180" w:vertAnchor="text" w:horzAnchor="page" w:tblpX="1643" w:tblpY="8"/>
        <w:tblOverlap w:val="never"/>
        <w:tblW w:w="8594"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4"/>
        <w:gridCol w:w="7420"/>
      </w:tblGrid>
      <w:tr w14:paraId="396229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5" w:hRule="atLeast"/>
        </w:trPr>
        <w:tc>
          <w:tcPr>
            <w:tcW w:w="1174" w:type="dxa"/>
            <w:shd w:val="clear" w:color="auto" w:fill="00B050"/>
            <w:vAlign w:val="center"/>
          </w:tcPr>
          <w:p w14:paraId="7FF228C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color w:val="auto"/>
                <w:spacing w:val="-10"/>
                <w:highlight w:val="none"/>
              </w:rPr>
            </w:pPr>
            <w:r>
              <w:rPr>
                <w:rFonts w:hint="eastAsia" w:ascii="宋体" w:hAnsi="宋体" w:eastAsia="宋体" w:cs="宋体"/>
                <w:b/>
                <w:bCs/>
                <w:color w:val="auto"/>
                <w:spacing w:val="-10"/>
                <w:highlight w:val="none"/>
              </w:rPr>
              <w:t>项目</w:t>
            </w:r>
          </w:p>
        </w:tc>
        <w:tc>
          <w:tcPr>
            <w:tcW w:w="7420" w:type="dxa"/>
            <w:shd w:val="clear" w:color="auto" w:fill="00B050"/>
            <w:vAlign w:val="center"/>
          </w:tcPr>
          <w:p w14:paraId="6FC9DE5A">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b/>
                <w:bCs/>
                <w:color w:val="auto"/>
                <w:spacing w:val="-10"/>
                <w:highlight w:val="none"/>
              </w:rPr>
            </w:pPr>
            <w:r>
              <w:rPr>
                <w:rFonts w:hint="eastAsia" w:ascii="宋体" w:hAnsi="宋体" w:eastAsia="宋体" w:cs="宋体"/>
                <w:b/>
                <w:bCs/>
                <w:color w:val="auto"/>
                <w:spacing w:val="-10"/>
                <w:highlight w:val="none"/>
              </w:rPr>
              <w:t>规定值及允许偏差</w:t>
            </w:r>
          </w:p>
        </w:tc>
      </w:tr>
      <w:tr w14:paraId="52D8E2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2" w:hRule="atLeast"/>
        </w:trPr>
        <w:tc>
          <w:tcPr>
            <w:tcW w:w="1174" w:type="dxa"/>
            <w:vAlign w:val="center"/>
          </w:tcPr>
          <w:p w14:paraId="4B8B61D2">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切割</w:t>
            </w:r>
          </w:p>
        </w:tc>
        <w:tc>
          <w:tcPr>
            <w:tcW w:w="7420" w:type="dxa"/>
            <w:vAlign w:val="center"/>
          </w:tcPr>
          <w:p w14:paraId="536CF15E">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四周切割整齐垂直，不得附有损伤碎片，切角不</w:t>
            </w:r>
            <w:r>
              <w:rPr>
                <w:rFonts w:hint="eastAsia" w:ascii="宋体" w:hAnsi="宋体" w:eastAsia="宋体" w:cs="宋体"/>
                <w:color w:val="auto"/>
                <w:spacing w:val="-5"/>
                <w:highlight w:val="none"/>
              </w:rPr>
              <w:t>得小于90℃</w:t>
            </w:r>
          </w:p>
        </w:tc>
      </w:tr>
      <w:tr w14:paraId="5F0AF7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4" w:hRule="atLeast"/>
        </w:trPr>
        <w:tc>
          <w:tcPr>
            <w:tcW w:w="1174" w:type="dxa"/>
            <w:vAlign w:val="center"/>
          </w:tcPr>
          <w:p w14:paraId="2E19499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4EBC3070">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5"/>
                <w:highlight w:val="none"/>
              </w:rPr>
            </w:pPr>
            <w:r>
              <w:rPr>
                <w:rFonts w:hint="eastAsia" w:ascii="宋体" w:hAnsi="宋体" w:eastAsia="宋体" w:cs="宋体"/>
                <w:color w:val="auto"/>
                <w:spacing w:val="-5"/>
                <w:highlight w:val="none"/>
              </w:rPr>
              <w:t>铺筑</w:t>
            </w:r>
          </w:p>
        </w:tc>
        <w:tc>
          <w:tcPr>
            <w:tcW w:w="7420" w:type="dxa"/>
            <w:vAlign w:val="center"/>
          </w:tcPr>
          <w:p w14:paraId="7DD2D9E0">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抗压、抗折强度不得低于原路面强度，板厚允许误差-5mm、</w:t>
            </w:r>
            <w:r>
              <w:rPr>
                <w:rFonts w:hint="eastAsia" w:ascii="宋体" w:hAnsi="宋体" w:eastAsia="宋体" w:cs="宋体"/>
                <w:color w:val="auto"/>
                <w:spacing w:val="2"/>
                <w:highlight w:val="none"/>
              </w:rPr>
              <w:t xml:space="preserve"> </w:t>
            </w:r>
            <w:r>
              <w:rPr>
                <w:rFonts w:hint="eastAsia" w:ascii="宋体" w:hAnsi="宋体" w:eastAsia="宋体" w:cs="宋体"/>
                <w:color w:val="auto"/>
                <w:spacing w:val="-3"/>
                <w:highlight w:val="none"/>
              </w:rPr>
              <w:t>+10mm；</w:t>
            </w:r>
          </w:p>
          <w:p w14:paraId="5A03A87F">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
                <w:highlight w:val="none"/>
              </w:rPr>
            </w:pPr>
            <w:r>
              <w:rPr>
                <w:rFonts w:hint="eastAsia" w:ascii="宋体" w:hAnsi="宋体" w:eastAsia="宋体" w:cs="宋体"/>
                <w:color w:val="auto"/>
                <w:spacing w:val="2"/>
                <w:highlight w:val="none"/>
              </w:rPr>
              <w:t>路面无露骨、麻面，板边蜂窝麻面不得大于3%，面层拉毛</w:t>
            </w:r>
            <w:r>
              <w:rPr>
                <w:rFonts w:hint="eastAsia" w:ascii="宋体" w:hAnsi="宋体" w:eastAsia="宋体" w:cs="宋体"/>
                <w:color w:val="auto"/>
                <w:spacing w:val="-4"/>
                <w:highlight w:val="none"/>
              </w:rPr>
              <w:t>应整齐</w:t>
            </w:r>
          </w:p>
        </w:tc>
      </w:tr>
      <w:tr w14:paraId="7C4DFD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74" w:type="dxa"/>
            <w:vAlign w:val="center"/>
          </w:tcPr>
          <w:p w14:paraId="28066578">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平整度</w:t>
            </w:r>
          </w:p>
        </w:tc>
        <w:tc>
          <w:tcPr>
            <w:tcW w:w="7420" w:type="dxa"/>
            <w:vAlign w:val="center"/>
          </w:tcPr>
          <w:p w14:paraId="3E964AC2">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路面平整度高差不得大于3</w:t>
            </w:r>
            <w:r>
              <w:rPr>
                <w:rFonts w:hint="eastAsia" w:ascii="宋体" w:hAnsi="宋体" w:eastAsia="宋体" w:cs="宋体"/>
                <w:color w:val="auto"/>
                <w:highlight w:val="none"/>
              </w:rPr>
              <w:t>mm</w:t>
            </w:r>
            <w:r>
              <w:rPr>
                <w:rFonts w:hint="eastAsia" w:ascii="宋体" w:hAnsi="宋体" w:eastAsia="宋体" w:cs="宋体"/>
                <w:color w:val="auto"/>
                <w:spacing w:val="2"/>
                <w:highlight w:val="none"/>
              </w:rPr>
              <w:t>（3</w:t>
            </w:r>
            <w:r>
              <w:rPr>
                <w:rFonts w:hint="eastAsia" w:ascii="宋体" w:hAnsi="宋体" w:eastAsia="宋体" w:cs="宋体"/>
                <w:color w:val="auto"/>
                <w:spacing w:val="-49"/>
                <w:highlight w:val="none"/>
              </w:rPr>
              <w:t xml:space="preserve"> </w:t>
            </w:r>
            <w:r>
              <w:rPr>
                <w:rFonts w:hint="eastAsia" w:ascii="宋体" w:hAnsi="宋体" w:eastAsia="宋体" w:cs="宋体"/>
                <w:color w:val="auto"/>
                <w:spacing w:val="2"/>
                <w:highlight w:val="none"/>
              </w:rPr>
              <w:t>米尺）</w:t>
            </w:r>
          </w:p>
        </w:tc>
      </w:tr>
      <w:tr w14:paraId="1071BC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174" w:type="dxa"/>
            <w:vAlign w:val="center"/>
          </w:tcPr>
          <w:p w14:paraId="4899081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抗滑</w:t>
            </w:r>
          </w:p>
        </w:tc>
        <w:tc>
          <w:tcPr>
            <w:tcW w:w="7420" w:type="dxa"/>
            <w:vAlign w:val="center"/>
          </w:tcPr>
          <w:p w14:paraId="433B166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抗滑值</w:t>
            </w:r>
            <w:r>
              <w:rPr>
                <w:rFonts w:hint="eastAsia" w:ascii="宋体" w:hAnsi="宋体" w:eastAsia="宋体" w:cs="宋体"/>
                <w:color w:val="auto"/>
                <w:spacing w:val="-66"/>
                <w:highlight w:val="none"/>
              </w:rPr>
              <w:t xml:space="preserve"> </w:t>
            </w:r>
            <w:r>
              <w:rPr>
                <w:rFonts w:hint="eastAsia" w:ascii="宋体" w:hAnsi="宋体" w:eastAsia="宋体" w:cs="宋体"/>
                <w:color w:val="auto"/>
                <w:spacing w:val="-1"/>
                <w:highlight w:val="none"/>
              </w:rPr>
              <w:t>BPN≥45，或横向力系数</w:t>
            </w:r>
            <w:r>
              <w:rPr>
                <w:rFonts w:hint="eastAsia" w:ascii="宋体" w:hAnsi="宋体" w:eastAsia="宋体" w:cs="宋体"/>
                <w:color w:val="auto"/>
                <w:spacing w:val="-59"/>
                <w:highlight w:val="none"/>
              </w:rPr>
              <w:t xml:space="preserve"> </w:t>
            </w:r>
            <w:r>
              <w:rPr>
                <w:rFonts w:hint="eastAsia" w:ascii="宋体" w:hAnsi="宋体" w:eastAsia="宋体" w:cs="宋体"/>
                <w:color w:val="auto"/>
                <w:spacing w:val="-1"/>
                <w:highlight w:val="none"/>
              </w:rPr>
              <w:t>SFC≥0.3</w:t>
            </w:r>
            <w:r>
              <w:rPr>
                <w:rFonts w:hint="eastAsia" w:ascii="宋体" w:hAnsi="宋体" w:eastAsia="宋体" w:cs="宋体"/>
                <w:color w:val="auto"/>
                <w:spacing w:val="-2"/>
                <w:highlight w:val="none"/>
              </w:rPr>
              <w:t>8；</w:t>
            </w:r>
          </w:p>
        </w:tc>
      </w:tr>
      <w:tr w14:paraId="4B5D02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74" w:type="dxa"/>
            <w:vAlign w:val="center"/>
          </w:tcPr>
          <w:p w14:paraId="6B30B21C">
            <w:pPr>
              <w:pStyle w:val="76"/>
              <w:keepNext w:val="0"/>
              <w:keepLines w:val="0"/>
              <w:pageBreakBefore w:val="0"/>
              <w:widowControl w:val="0"/>
              <w:kinsoku/>
              <w:wordWrap/>
              <w:overflowPunct/>
              <w:topLinePunct w:val="0"/>
              <w:autoSpaceDE/>
              <w:autoSpaceDN/>
              <w:bidi w:val="0"/>
              <w:adjustRightInd/>
              <w:snapToGrid/>
              <w:spacing w:line="240" w:lineRule="auto"/>
              <w:ind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相邻板</w:t>
            </w:r>
            <w:r>
              <w:rPr>
                <w:rFonts w:hint="eastAsia" w:ascii="宋体" w:hAnsi="宋体" w:eastAsia="宋体" w:cs="宋体"/>
                <w:color w:val="auto"/>
                <w:highlight w:val="none"/>
              </w:rPr>
              <w:t>差</w:t>
            </w:r>
          </w:p>
        </w:tc>
        <w:tc>
          <w:tcPr>
            <w:tcW w:w="7420" w:type="dxa"/>
            <w:vAlign w:val="center"/>
          </w:tcPr>
          <w:p w14:paraId="539D0C4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新板块接边,高差不得大于</w:t>
            </w:r>
            <w:r>
              <w:rPr>
                <w:rFonts w:hint="eastAsia" w:ascii="宋体" w:hAnsi="宋体" w:eastAsia="宋体" w:cs="宋体"/>
                <w:color w:val="auto"/>
                <w:spacing w:val="-52"/>
                <w:highlight w:val="none"/>
              </w:rPr>
              <w:t xml:space="preserve"> </w:t>
            </w:r>
            <w:r>
              <w:rPr>
                <w:rFonts w:hint="eastAsia" w:ascii="宋体" w:hAnsi="宋体" w:eastAsia="宋体" w:cs="宋体"/>
                <w:color w:val="auto"/>
                <w:spacing w:val="-2"/>
                <w:highlight w:val="none"/>
              </w:rPr>
              <w:t>5mm；</w:t>
            </w:r>
          </w:p>
        </w:tc>
      </w:tr>
      <w:tr w14:paraId="3F0C98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74" w:type="dxa"/>
            <w:vAlign w:val="center"/>
          </w:tcPr>
          <w:p w14:paraId="40FE084D">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伸缩缝</w:t>
            </w:r>
          </w:p>
        </w:tc>
        <w:tc>
          <w:tcPr>
            <w:tcW w:w="7420" w:type="dxa"/>
            <w:vAlign w:val="center"/>
          </w:tcPr>
          <w:p w14:paraId="4042C0F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顺直、深度、宽度不得小于原规定；嵌缝密实，高差不得大</w:t>
            </w:r>
            <w:r>
              <w:rPr>
                <w:rFonts w:hint="eastAsia" w:ascii="宋体" w:hAnsi="宋体" w:eastAsia="宋体" w:cs="宋体"/>
                <w:color w:val="auto"/>
                <w:spacing w:val="-5"/>
                <w:highlight w:val="none"/>
              </w:rPr>
              <w:t>于</w:t>
            </w:r>
            <w:r>
              <w:rPr>
                <w:rFonts w:hint="eastAsia" w:ascii="宋体" w:hAnsi="宋体" w:eastAsia="宋体" w:cs="宋体"/>
                <w:color w:val="auto"/>
                <w:spacing w:val="-52"/>
                <w:highlight w:val="none"/>
              </w:rPr>
              <w:t xml:space="preserve"> </w:t>
            </w:r>
            <w:r>
              <w:rPr>
                <w:rFonts w:hint="eastAsia" w:ascii="宋体" w:hAnsi="宋体" w:eastAsia="宋体" w:cs="宋体"/>
                <w:color w:val="auto"/>
                <w:spacing w:val="-5"/>
                <w:highlight w:val="none"/>
              </w:rPr>
              <w:t>3mm（1</w:t>
            </w:r>
            <w:r>
              <w:rPr>
                <w:rFonts w:hint="eastAsia" w:ascii="宋体" w:hAnsi="宋体" w:eastAsia="宋体" w:cs="宋体"/>
                <w:color w:val="auto"/>
                <w:spacing w:val="-58"/>
                <w:highlight w:val="none"/>
              </w:rPr>
              <w:t xml:space="preserve"> </w:t>
            </w:r>
            <w:r>
              <w:rPr>
                <w:rFonts w:hint="eastAsia" w:ascii="宋体" w:hAnsi="宋体" w:eastAsia="宋体" w:cs="宋体"/>
                <w:color w:val="auto"/>
                <w:spacing w:val="-5"/>
                <w:highlight w:val="none"/>
              </w:rPr>
              <w:t>米尺）</w:t>
            </w:r>
          </w:p>
        </w:tc>
      </w:tr>
      <w:tr w14:paraId="5E390F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174" w:type="dxa"/>
            <w:vAlign w:val="center"/>
          </w:tcPr>
          <w:p w14:paraId="68093DD2">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路框差</w:t>
            </w:r>
          </w:p>
        </w:tc>
        <w:tc>
          <w:tcPr>
            <w:tcW w:w="7420" w:type="dxa"/>
            <w:vAlign w:val="center"/>
          </w:tcPr>
          <w:p w14:paraId="6258BDE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座框四周宜设置混凝土保护边，与路面高差</w:t>
            </w:r>
            <w:r>
              <w:rPr>
                <w:rFonts w:hint="eastAsia" w:ascii="宋体" w:hAnsi="宋体" w:eastAsia="宋体" w:cs="宋体"/>
                <w:color w:val="auto"/>
                <w:spacing w:val="-7"/>
                <w:highlight w:val="none"/>
              </w:rPr>
              <w:t>不得大于</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7"/>
                <w:highlight w:val="none"/>
              </w:rPr>
              <w:t>3mm（1</w:t>
            </w:r>
            <w:r>
              <w:rPr>
                <w:rFonts w:hint="eastAsia" w:ascii="宋体" w:hAnsi="宋体" w:eastAsia="宋体" w:cs="宋体"/>
                <w:color w:val="auto"/>
                <w:spacing w:val="-4"/>
                <w:highlight w:val="none"/>
              </w:rPr>
              <w:t>米尺）</w:t>
            </w:r>
          </w:p>
        </w:tc>
      </w:tr>
      <w:tr w14:paraId="14ADCB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174" w:type="dxa"/>
            <w:vAlign w:val="center"/>
          </w:tcPr>
          <w:p w14:paraId="0450B4EF">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横坡度</w:t>
            </w:r>
          </w:p>
        </w:tc>
        <w:tc>
          <w:tcPr>
            <w:tcW w:w="7420" w:type="dxa"/>
            <w:vAlign w:val="center"/>
          </w:tcPr>
          <w:p w14:paraId="7460EFC5">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与原路面横坡相一致，不得有积水</w:t>
            </w:r>
          </w:p>
        </w:tc>
      </w:tr>
    </w:tbl>
    <w:p w14:paraId="47F704E4">
      <w:pPr>
        <w:rPr>
          <w:rFonts w:hint="eastAsia" w:ascii="宋体" w:hAnsi="宋体" w:eastAsia="宋体" w:cs="宋体"/>
          <w:color w:val="auto"/>
          <w:spacing w:val="-2"/>
          <w:sz w:val="24"/>
          <w:szCs w:val="22"/>
          <w:highlight w:val="none"/>
        </w:rPr>
      </w:pPr>
      <w:r>
        <w:rPr>
          <w:rFonts w:hint="eastAsia" w:ascii="宋体" w:hAnsi="宋体" w:eastAsia="宋体" w:cs="宋体"/>
          <w:color w:val="auto"/>
          <w:spacing w:val="-2"/>
          <w:sz w:val="24"/>
          <w:szCs w:val="22"/>
          <w:highlight w:val="none"/>
        </w:rPr>
        <w:br w:type="page"/>
      </w:r>
    </w:p>
    <w:p w14:paraId="2C57354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z w:val="24"/>
          <w:szCs w:val="22"/>
          <w:highlight w:val="none"/>
        </w:rPr>
      </w:pPr>
      <w:r>
        <w:rPr>
          <w:rFonts w:hint="eastAsia" w:ascii="宋体" w:hAnsi="宋体" w:eastAsia="宋体" w:cs="宋体"/>
          <w:color w:val="auto"/>
          <w:sz w:val="24"/>
          <w:szCs w:val="22"/>
          <w:highlight w:val="none"/>
        </w:rPr>
        <mc:AlternateContent>
          <mc:Choice Requires="wps">
            <w:drawing>
              <wp:anchor distT="0" distB="0" distL="114300" distR="114300" simplePos="0" relativeHeight="251689984"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8" name="任意多边形 98"/>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89984;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DCCULA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2"/>
          <w:sz w:val="24"/>
          <w:szCs w:val="22"/>
          <w:highlight w:val="none"/>
        </w:rPr>
        <w:t>③人行道</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36"/>
        <w:gridCol w:w="7258"/>
      </w:tblGrid>
      <w:tr w14:paraId="066599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336" w:type="dxa"/>
            <w:shd w:val="clear" w:color="auto" w:fill="63B86C"/>
            <w:vAlign w:val="center"/>
          </w:tcPr>
          <w:p w14:paraId="1EF9A9A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382" w:firstLineChars="200"/>
              <w:jc w:val="both"/>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项目</w:t>
            </w:r>
          </w:p>
        </w:tc>
        <w:tc>
          <w:tcPr>
            <w:tcW w:w="7258" w:type="dxa"/>
            <w:shd w:val="clear" w:color="auto" w:fill="63B86C"/>
            <w:vAlign w:val="center"/>
          </w:tcPr>
          <w:p w14:paraId="2F0F234F">
            <w:pPr>
              <w:pStyle w:val="76"/>
              <w:keepNext w:val="0"/>
              <w:keepLines w:val="0"/>
              <w:pageBreakBefore w:val="0"/>
              <w:widowControl w:val="0"/>
              <w:kinsoku/>
              <w:wordWrap/>
              <w:overflowPunct/>
              <w:topLinePunct w:val="0"/>
              <w:autoSpaceDE/>
              <w:autoSpaceDN/>
              <w:bidi w:val="0"/>
              <w:adjustRightInd/>
              <w:snapToGrid/>
              <w:spacing w:line="240" w:lineRule="auto"/>
              <w:ind w:left="0" w:right="0" w:firstLine="406" w:firstLineChars="20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4"/>
                <w:highlight w:val="none"/>
              </w:rPr>
              <w:t>规定值及允许偏差</w:t>
            </w:r>
          </w:p>
        </w:tc>
      </w:tr>
      <w:tr w14:paraId="3C0E9E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1336" w:type="dxa"/>
            <w:vAlign w:val="center"/>
          </w:tcPr>
          <w:p w14:paraId="54869AD4">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铺筑</w:t>
            </w:r>
          </w:p>
        </w:tc>
        <w:tc>
          <w:tcPr>
            <w:tcW w:w="7258" w:type="dxa"/>
            <w:vAlign w:val="center"/>
          </w:tcPr>
          <w:p w14:paraId="6C516227">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4"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预制块、块石铺筑平整不松动，缝隙饱满；纵横缝顺直，排</w:t>
            </w:r>
            <w:r>
              <w:rPr>
                <w:rFonts w:hint="eastAsia" w:ascii="宋体" w:hAnsi="宋体" w:eastAsia="宋体" w:cs="宋体"/>
                <w:color w:val="auto"/>
                <w:spacing w:val="-1"/>
                <w:highlight w:val="none"/>
              </w:rPr>
              <w:t>列整齐，纵向偏差不得大于</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1"/>
                <w:highlight w:val="none"/>
              </w:rPr>
              <w:t>10mm</w:t>
            </w:r>
            <w:r>
              <w:rPr>
                <w:rFonts w:hint="eastAsia" w:ascii="宋体" w:hAnsi="宋体" w:eastAsia="宋体" w:cs="宋体"/>
                <w:color w:val="auto"/>
                <w:spacing w:val="-19"/>
                <w:highlight w:val="none"/>
              </w:rPr>
              <w:t>；（</w:t>
            </w:r>
            <w:r>
              <w:rPr>
                <w:rFonts w:hint="eastAsia" w:ascii="宋体" w:hAnsi="宋体" w:eastAsia="宋体" w:cs="宋体"/>
                <w:color w:val="auto"/>
                <w:spacing w:val="-1"/>
                <w:highlight w:val="none"/>
              </w:rPr>
              <w:t>10</w:t>
            </w:r>
            <w:r>
              <w:rPr>
                <w:rFonts w:hint="eastAsia" w:ascii="宋体" w:hAnsi="宋体" w:eastAsia="宋体" w:cs="宋体"/>
                <w:color w:val="auto"/>
                <w:spacing w:val="-61"/>
                <w:highlight w:val="none"/>
              </w:rPr>
              <w:t xml:space="preserve"> </w:t>
            </w:r>
            <w:r>
              <w:rPr>
                <w:rFonts w:hint="eastAsia" w:ascii="宋体" w:hAnsi="宋体" w:eastAsia="宋体" w:cs="宋体"/>
                <w:color w:val="auto"/>
                <w:spacing w:val="-1"/>
                <w:highlight w:val="none"/>
              </w:rPr>
              <w:t>米线量）</w:t>
            </w:r>
          </w:p>
        </w:tc>
      </w:tr>
      <w:tr w14:paraId="40490A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336" w:type="dxa"/>
            <w:vAlign w:val="center"/>
          </w:tcPr>
          <w:p w14:paraId="5A9E4328">
            <w:pPr>
              <w:pStyle w:val="76"/>
              <w:keepNext w:val="0"/>
              <w:keepLines w:val="0"/>
              <w:pageBreakBefore w:val="0"/>
              <w:widowControl w:val="0"/>
              <w:kinsoku/>
              <w:wordWrap/>
              <w:overflowPunct/>
              <w:topLinePunct w:val="0"/>
              <w:autoSpaceDE/>
              <w:autoSpaceDN/>
              <w:bidi w:val="0"/>
              <w:adjustRightInd/>
              <w:snapToGrid/>
              <w:spacing w:line="360" w:lineRule="auto"/>
              <w:ind w:left="0" w:right="0" w:firstLine="388"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pacing w:val="-8"/>
                <w:highlight w:val="none"/>
              </w:rPr>
              <w:t>强度</w:t>
            </w:r>
          </w:p>
        </w:tc>
        <w:tc>
          <w:tcPr>
            <w:tcW w:w="7258" w:type="dxa"/>
            <w:vAlign w:val="center"/>
          </w:tcPr>
          <w:p w14:paraId="193AF863">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4"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现浇水泥人行道强度、厚度符合设计要求，振捣结实；</w:t>
            </w:r>
            <w:r>
              <w:rPr>
                <w:rFonts w:hint="eastAsia" w:ascii="宋体" w:hAnsi="宋体" w:eastAsia="宋体" w:cs="宋体"/>
                <w:color w:val="auto"/>
                <w:spacing w:val="-1"/>
                <w:highlight w:val="none"/>
              </w:rPr>
              <w:t>表面无露骨，麻面，厚度偏差+10mm 、-5mm</w:t>
            </w:r>
          </w:p>
        </w:tc>
      </w:tr>
      <w:tr w14:paraId="61F464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336" w:type="dxa"/>
            <w:vAlign w:val="center"/>
          </w:tcPr>
          <w:p w14:paraId="58521FC5">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8"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平整度</w:t>
            </w:r>
          </w:p>
        </w:tc>
        <w:tc>
          <w:tcPr>
            <w:tcW w:w="7258" w:type="dxa"/>
            <w:vAlign w:val="center"/>
          </w:tcPr>
          <w:p w14:paraId="7C918427">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4"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高差不得大于</w:t>
            </w:r>
            <w:r>
              <w:rPr>
                <w:rFonts w:hint="eastAsia" w:ascii="宋体" w:hAnsi="宋体" w:eastAsia="宋体" w:cs="宋体"/>
                <w:color w:val="auto"/>
                <w:spacing w:val="-45"/>
                <w:highlight w:val="none"/>
              </w:rPr>
              <w:t xml:space="preserve"> </w:t>
            </w:r>
            <w:r>
              <w:rPr>
                <w:rFonts w:hint="eastAsia" w:ascii="宋体" w:hAnsi="宋体" w:eastAsia="宋体" w:cs="宋体"/>
                <w:color w:val="auto"/>
                <w:spacing w:val="-4"/>
                <w:highlight w:val="none"/>
              </w:rPr>
              <w:t>5mm（3</w:t>
            </w:r>
            <w:r>
              <w:rPr>
                <w:rFonts w:hint="eastAsia" w:ascii="宋体" w:hAnsi="宋体" w:eastAsia="宋体" w:cs="宋体"/>
                <w:color w:val="auto"/>
                <w:spacing w:val="-58"/>
                <w:highlight w:val="none"/>
              </w:rPr>
              <w:t xml:space="preserve"> </w:t>
            </w:r>
            <w:r>
              <w:rPr>
                <w:rFonts w:hint="eastAsia" w:ascii="宋体" w:hAnsi="宋体" w:eastAsia="宋体" w:cs="宋体"/>
                <w:color w:val="auto"/>
                <w:spacing w:val="-4"/>
                <w:highlight w:val="none"/>
              </w:rPr>
              <w:t>米尺）</w:t>
            </w:r>
          </w:p>
        </w:tc>
      </w:tr>
      <w:tr w14:paraId="290B48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336" w:type="dxa"/>
            <w:vAlign w:val="center"/>
          </w:tcPr>
          <w:p w14:paraId="6B86D7D7">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4"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路框差</w:t>
            </w:r>
          </w:p>
        </w:tc>
        <w:tc>
          <w:tcPr>
            <w:tcW w:w="7258" w:type="dxa"/>
            <w:vAlign w:val="center"/>
          </w:tcPr>
          <w:p w14:paraId="594DD4E4">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28"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检查井及井盖框与人行道路面高差不得大于5</w:t>
            </w:r>
            <w:r>
              <w:rPr>
                <w:rFonts w:hint="eastAsia" w:ascii="宋体" w:hAnsi="宋体" w:eastAsia="宋体" w:cs="宋体"/>
                <w:color w:val="auto"/>
                <w:highlight w:val="none"/>
              </w:rPr>
              <w:t>mm</w:t>
            </w:r>
            <w:r>
              <w:rPr>
                <w:rFonts w:hint="eastAsia" w:ascii="宋体" w:hAnsi="宋体" w:eastAsia="宋体" w:cs="宋体"/>
                <w:color w:val="auto"/>
                <w:spacing w:val="7"/>
                <w:highlight w:val="none"/>
              </w:rPr>
              <w:t>现浇水泥人行道不得大于3</w:t>
            </w:r>
            <w:r>
              <w:rPr>
                <w:rFonts w:hint="eastAsia" w:ascii="宋体" w:hAnsi="宋体" w:eastAsia="宋体" w:cs="宋体"/>
                <w:color w:val="auto"/>
                <w:highlight w:val="none"/>
              </w:rPr>
              <w:t>mm</w:t>
            </w:r>
            <w:r>
              <w:rPr>
                <w:rFonts w:hint="eastAsia" w:ascii="宋体" w:hAnsi="宋体" w:eastAsia="宋体" w:cs="宋体"/>
                <w:color w:val="auto"/>
                <w:spacing w:val="7"/>
                <w:highlight w:val="none"/>
              </w:rPr>
              <w:t>（1米尺）</w:t>
            </w:r>
          </w:p>
        </w:tc>
      </w:tr>
      <w:tr w14:paraId="6E058A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336" w:type="dxa"/>
            <w:vAlign w:val="center"/>
          </w:tcPr>
          <w:p w14:paraId="532CC672">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接茬</w:t>
            </w:r>
          </w:p>
        </w:tc>
        <w:tc>
          <w:tcPr>
            <w:tcW w:w="7258" w:type="dxa"/>
            <w:vAlign w:val="center"/>
          </w:tcPr>
          <w:p w14:paraId="78DF5E5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36"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人行道面应高于侧石顶面5</w:t>
            </w:r>
            <w:r>
              <w:rPr>
                <w:rFonts w:hint="eastAsia" w:ascii="宋体" w:hAnsi="宋体" w:eastAsia="宋体" w:cs="宋体"/>
                <w:color w:val="auto"/>
                <w:highlight w:val="none"/>
              </w:rPr>
              <w:t>mm</w:t>
            </w:r>
            <w:r>
              <w:rPr>
                <w:rFonts w:hint="eastAsia" w:ascii="宋体" w:hAnsi="宋体" w:eastAsia="宋体" w:cs="宋体"/>
                <w:color w:val="auto"/>
                <w:spacing w:val="4"/>
                <w:highlight w:val="none"/>
              </w:rPr>
              <w:t>；</w:t>
            </w:r>
          </w:p>
          <w:p w14:paraId="3782CA4A">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44"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新老接茬齐平，高差不得大于5</w:t>
            </w:r>
            <w:r>
              <w:rPr>
                <w:rFonts w:hint="eastAsia" w:ascii="宋体" w:hAnsi="宋体" w:eastAsia="宋体" w:cs="宋体"/>
                <w:color w:val="auto"/>
                <w:highlight w:val="none"/>
              </w:rPr>
              <w:t>mm</w:t>
            </w:r>
            <w:r>
              <w:rPr>
                <w:rFonts w:hint="eastAsia" w:ascii="宋体" w:hAnsi="宋体" w:eastAsia="宋体" w:cs="宋体"/>
                <w:color w:val="auto"/>
                <w:spacing w:val="6"/>
                <w:highlight w:val="none"/>
              </w:rPr>
              <w:t>（1米尺）</w:t>
            </w:r>
          </w:p>
        </w:tc>
      </w:tr>
      <w:tr w14:paraId="05D4BC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1336" w:type="dxa"/>
            <w:vAlign w:val="center"/>
          </w:tcPr>
          <w:p w14:paraId="13A29983">
            <w:pPr>
              <w:pStyle w:val="76"/>
              <w:keepNext w:val="0"/>
              <w:keepLines w:val="0"/>
              <w:pageBreakBefore w:val="0"/>
              <w:widowControl w:val="0"/>
              <w:kinsoku/>
              <w:wordWrap/>
              <w:overflowPunct/>
              <w:topLinePunct w:val="0"/>
              <w:autoSpaceDE/>
              <w:autoSpaceDN/>
              <w:bidi w:val="0"/>
              <w:adjustRightInd/>
              <w:snapToGrid/>
              <w:spacing w:line="360" w:lineRule="auto"/>
              <w:ind w:right="0" w:firstLine="200" w:firstLineChars="100"/>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凿边及滚边</w:t>
            </w:r>
          </w:p>
        </w:tc>
        <w:tc>
          <w:tcPr>
            <w:tcW w:w="7258" w:type="dxa"/>
            <w:vAlign w:val="center"/>
          </w:tcPr>
          <w:p w14:paraId="60D92DD6">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4"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现浇人行道四周凿边整齐不斜，四周不得有损伤碎石；</w:t>
            </w:r>
            <w:r>
              <w:rPr>
                <w:rFonts w:hint="eastAsia" w:ascii="宋体" w:hAnsi="宋体" w:eastAsia="宋体" w:cs="宋体"/>
                <w:color w:val="auto"/>
                <w:spacing w:val="-1"/>
                <w:highlight w:val="none"/>
              </w:rPr>
              <w:t>纵横划线垂直齐整、缝宽和缝深均匀，滚花整齐</w:t>
            </w:r>
          </w:p>
        </w:tc>
      </w:tr>
    </w:tbl>
    <w:p w14:paraId="6E5EAD3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3"/>
          <w:sz w:val="24"/>
          <w:szCs w:val="32"/>
          <w:highlight w:val="none"/>
        </w:rPr>
        <w:t>④盲道</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2"/>
        <w:gridCol w:w="7422"/>
      </w:tblGrid>
      <w:tr w14:paraId="1CCAA9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172" w:type="dxa"/>
            <w:shd w:val="clear" w:color="auto" w:fill="63B86C"/>
            <w:vAlign w:val="center"/>
          </w:tcPr>
          <w:p w14:paraId="570B26A0">
            <w:pPr>
              <w:pStyle w:val="76"/>
              <w:keepNext w:val="0"/>
              <w:keepLines w:val="0"/>
              <w:pageBreakBefore w:val="0"/>
              <w:widowControl w:val="0"/>
              <w:kinsoku/>
              <w:wordWrap/>
              <w:overflowPunct/>
              <w:topLinePunct w:val="0"/>
              <w:autoSpaceDE/>
              <w:autoSpaceDN/>
              <w:bidi w:val="0"/>
              <w:adjustRightInd/>
              <w:snapToGrid/>
              <w:spacing w:line="240" w:lineRule="auto"/>
              <w:ind w:left="0" w:right="0" w:firstLine="382" w:firstLineChars="200"/>
              <w:jc w:val="both"/>
              <w:textAlignment w:val="auto"/>
              <w:rPr>
                <w:rFonts w:hint="eastAsia" w:ascii="宋体" w:hAnsi="宋体" w:eastAsia="宋体" w:cs="宋体"/>
                <w:b/>
                <w:bCs/>
                <w:color w:val="auto"/>
                <w:spacing w:val="-10"/>
                <w:highlight w:val="none"/>
              </w:rPr>
            </w:pPr>
            <w:r>
              <w:rPr>
                <w:rFonts w:hint="eastAsia" w:ascii="宋体" w:hAnsi="宋体" w:eastAsia="宋体" w:cs="宋体"/>
                <w:b/>
                <w:bCs/>
                <w:color w:val="auto"/>
                <w:spacing w:val="-10"/>
                <w:highlight w:val="none"/>
              </w:rPr>
              <w:t>项目</w:t>
            </w:r>
          </w:p>
        </w:tc>
        <w:tc>
          <w:tcPr>
            <w:tcW w:w="7422" w:type="dxa"/>
            <w:shd w:val="clear" w:color="auto" w:fill="63B86C"/>
            <w:vAlign w:val="center"/>
          </w:tcPr>
          <w:p w14:paraId="06728191">
            <w:pPr>
              <w:pStyle w:val="76"/>
              <w:keepNext w:val="0"/>
              <w:keepLines w:val="0"/>
              <w:pageBreakBefore w:val="0"/>
              <w:widowControl w:val="0"/>
              <w:kinsoku/>
              <w:wordWrap/>
              <w:overflowPunct/>
              <w:topLinePunct w:val="0"/>
              <w:autoSpaceDE/>
              <w:autoSpaceDN/>
              <w:bidi w:val="0"/>
              <w:adjustRightInd/>
              <w:snapToGrid/>
              <w:spacing w:line="240" w:lineRule="auto"/>
              <w:ind w:left="0" w:right="0" w:firstLine="382" w:firstLineChars="200"/>
              <w:jc w:val="center"/>
              <w:textAlignment w:val="auto"/>
              <w:rPr>
                <w:rFonts w:hint="eastAsia" w:ascii="宋体" w:hAnsi="宋体" w:eastAsia="宋体" w:cs="宋体"/>
                <w:b/>
                <w:bCs/>
                <w:color w:val="auto"/>
                <w:spacing w:val="-10"/>
                <w:highlight w:val="none"/>
              </w:rPr>
            </w:pPr>
            <w:r>
              <w:rPr>
                <w:rFonts w:hint="eastAsia" w:ascii="宋体" w:hAnsi="宋体" w:eastAsia="宋体" w:cs="宋体"/>
                <w:b/>
                <w:bCs/>
                <w:color w:val="auto"/>
                <w:spacing w:val="-10"/>
                <w:highlight w:val="none"/>
              </w:rPr>
              <w:t>规定值及允许偏差</w:t>
            </w:r>
          </w:p>
        </w:tc>
      </w:tr>
      <w:tr w14:paraId="41F8B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2" w:hRule="atLeast"/>
        </w:trPr>
        <w:tc>
          <w:tcPr>
            <w:tcW w:w="1172" w:type="dxa"/>
            <w:vAlign w:val="center"/>
          </w:tcPr>
          <w:p w14:paraId="1B5D1677">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textAlignment w:val="auto"/>
              <w:rPr>
                <w:rFonts w:hint="eastAsia" w:ascii="宋体" w:hAnsi="宋体" w:eastAsia="宋体" w:cs="宋体"/>
                <w:color w:val="auto"/>
                <w:sz w:val="21"/>
                <w:highlight w:val="none"/>
              </w:rPr>
            </w:pPr>
          </w:p>
          <w:p w14:paraId="3D4F9712">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0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位置</w:t>
            </w:r>
          </w:p>
        </w:tc>
        <w:tc>
          <w:tcPr>
            <w:tcW w:w="7422" w:type="dxa"/>
            <w:vAlign w:val="center"/>
          </w:tcPr>
          <w:p w14:paraId="3B93D345">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28"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设置盲道的人行道宽度不宜小于3500</w:t>
            </w:r>
            <w:r>
              <w:rPr>
                <w:rFonts w:hint="eastAsia" w:ascii="宋体" w:hAnsi="宋体" w:eastAsia="宋体" w:cs="宋体"/>
                <w:color w:val="auto"/>
                <w:highlight w:val="none"/>
              </w:rPr>
              <w:t>mm</w:t>
            </w:r>
            <w:r>
              <w:rPr>
                <w:rFonts w:hint="eastAsia" w:ascii="宋体" w:hAnsi="宋体" w:eastAsia="宋体" w:cs="宋体"/>
                <w:color w:val="auto"/>
                <w:spacing w:val="2"/>
                <w:highlight w:val="none"/>
              </w:rPr>
              <w:t xml:space="preserve"> ；避开各</w:t>
            </w:r>
            <w:r>
              <w:rPr>
                <w:rFonts w:hint="eastAsia" w:ascii="宋体" w:hAnsi="宋体" w:eastAsia="宋体" w:cs="宋体"/>
                <w:color w:val="auto"/>
                <w:spacing w:val="1"/>
                <w:highlight w:val="none"/>
              </w:rPr>
              <w:t>类地面障</w:t>
            </w:r>
            <w:r>
              <w:rPr>
                <w:rFonts w:hint="eastAsia" w:ascii="宋体" w:hAnsi="宋体" w:eastAsia="宋体" w:cs="宋体"/>
                <w:color w:val="auto"/>
                <w:spacing w:val="2"/>
                <w:highlight w:val="none"/>
              </w:rPr>
              <w:t>碍物并距人行道边线250~600</w:t>
            </w:r>
            <w:r>
              <w:rPr>
                <w:rFonts w:hint="eastAsia" w:ascii="宋体" w:hAnsi="宋体" w:eastAsia="宋体" w:cs="宋体"/>
                <w:color w:val="auto"/>
                <w:highlight w:val="none"/>
              </w:rPr>
              <w:t>mm</w:t>
            </w:r>
            <w:r>
              <w:rPr>
                <w:rFonts w:hint="eastAsia" w:ascii="宋体" w:hAnsi="宋体" w:eastAsia="宋体" w:cs="宋体"/>
                <w:color w:val="auto"/>
                <w:spacing w:val="2"/>
                <w:highlight w:val="none"/>
              </w:rPr>
              <w:t>；盲道中应无障碍物，检查</w:t>
            </w:r>
            <w:r>
              <w:rPr>
                <w:rFonts w:hint="eastAsia" w:ascii="宋体" w:hAnsi="宋体" w:eastAsia="宋体" w:cs="宋体"/>
                <w:color w:val="auto"/>
                <w:spacing w:val="-4"/>
                <w:highlight w:val="none"/>
              </w:rPr>
              <w:t>井盖框高低差不超过</w:t>
            </w:r>
            <w:r>
              <w:rPr>
                <w:rFonts w:hint="eastAsia" w:ascii="宋体" w:hAnsi="宋体" w:eastAsia="宋体" w:cs="宋体"/>
                <w:color w:val="auto"/>
                <w:spacing w:val="-28"/>
                <w:highlight w:val="none"/>
              </w:rPr>
              <w:t xml:space="preserve"> </w:t>
            </w:r>
            <w:r>
              <w:rPr>
                <w:rFonts w:hint="eastAsia" w:ascii="宋体" w:hAnsi="宋体" w:eastAsia="宋体" w:cs="宋体"/>
                <w:color w:val="auto"/>
                <w:spacing w:val="-4"/>
                <w:highlight w:val="none"/>
              </w:rPr>
              <w:t>10mm</w:t>
            </w:r>
          </w:p>
        </w:tc>
      </w:tr>
      <w:tr w14:paraId="304E36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97" w:hRule="atLeast"/>
        </w:trPr>
        <w:tc>
          <w:tcPr>
            <w:tcW w:w="1172" w:type="dxa"/>
            <w:vAlign w:val="center"/>
          </w:tcPr>
          <w:p w14:paraId="5AA543CD">
            <w:pPr>
              <w:keepNext w:val="0"/>
              <w:keepLines w:val="0"/>
              <w:pageBreakBefore w:val="0"/>
              <w:widowControl w:val="0"/>
              <w:kinsoku/>
              <w:wordWrap/>
              <w:overflowPunct/>
              <w:topLinePunct w:val="0"/>
              <w:autoSpaceDE/>
              <w:autoSpaceDN/>
              <w:bidi w:val="0"/>
              <w:adjustRightInd/>
              <w:snapToGrid/>
              <w:spacing w:line="360" w:lineRule="auto"/>
              <w:ind w:left="0" w:right="0" w:firstLine="420" w:firstLineChars="200"/>
              <w:jc w:val="center"/>
              <w:textAlignment w:val="auto"/>
              <w:rPr>
                <w:rFonts w:hint="eastAsia" w:ascii="宋体" w:hAnsi="宋体" w:eastAsia="宋体" w:cs="宋体"/>
                <w:color w:val="auto"/>
                <w:sz w:val="21"/>
                <w:highlight w:val="none"/>
              </w:rPr>
            </w:pPr>
          </w:p>
          <w:p w14:paraId="2AD1595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380" w:firstLineChars="200"/>
              <w:jc w:val="both"/>
              <w:textAlignment w:val="auto"/>
              <w:rPr>
                <w:rFonts w:hint="eastAsia" w:ascii="宋体" w:hAnsi="宋体" w:eastAsia="宋体" w:cs="宋体"/>
                <w:color w:val="auto"/>
                <w:highlight w:val="none"/>
              </w:rPr>
            </w:pPr>
            <w:r>
              <w:rPr>
                <w:rFonts w:hint="eastAsia" w:ascii="宋体" w:hAnsi="宋体" w:eastAsia="宋体" w:cs="宋体"/>
                <w:color w:val="auto"/>
                <w:spacing w:val="-10"/>
                <w:highlight w:val="none"/>
              </w:rPr>
              <w:t>宽度</w:t>
            </w:r>
          </w:p>
        </w:tc>
        <w:tc>
          <w:tcPr>
            <w:tcW w:w="7422" w:type="dxa"/>
            <w:vAlign w:val="center"/>
          </w:tcPr>
          <w:p w14:paraId="15A82F35">
            <w:pPr>
              <w:pStyle w:val="76"/>
              <w:keepNext w:val="0"/>
              <w:keepLines w:val="0"/>
              <w:pageBreakBefore w:val="0"/>
              <w:widowControl w:val="0"/>
              <w:kinsoku/>
              <w:wordWrap/>
              <w:overflowPunct/>
              <w:topLinePunct w:val="0"/>
              <w:autoSpaceDE/>
              <w:autoSpaceDN/>
              <w:bidi w:val="0"/>
              <w:adjustRightInd/>
              <w:snapToGrid/>
              <w:spacing w:line="360" w:lineRule="auto"/>
              <w:ind w:left="0" w:right="0" w:firstLine="416" w:firstLineChars="20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人行道设盲道宽度宜为</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1"/>
                <w:highlight w:val="none"/>
              </w:rPr>
              <w:t>300—600mm；人行道转弯处的全宽</w:t>
            </w:r>
            <w:r>
              <w:rPr>
                <w:rFonts w:hint="eastAsia" w:ascii="宋体" w:hAnsi="宋体" w:eastAsia="宋体" w:cs="宋体"/>
                <w:color w:val="auto"/>
                <w:spacing w:val="-4"/>
                <w:highlight w:val="none"/>
              </w:rPr>
              <w:t>式无障碍物坡道形式，设置提示盲道，宽度应大于行进盲道</w:t>
            </w:r>
            <w:r>
              <w:rPr>
                <w:rFonts w:hint="eastAsia" w:ascii="宋体" w:hAnsi="宋体" w:eastAsia="宋体" w:cs="宋体"/>
                <w:color w:val="auto"/>
                <w:spacing w:val="-5"/>
                <w:highlight w:val="none"/>
              </w:rPr>
              <w:t>的宽度</w:t>
            </w:r>
          </w:p>
        </w:tc>
      </w:tr>
    </w:tbl>
    <w:p w14:paraId="3D1C54E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2"/>
          <w:sz w:val="24"/>
          <w:szCs w:val="32"/>
          <w:highlight w:val="none"/>
        </w:rPr>
        <w:t>⑤无障碍坡道</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72"/>
        <w:gridCol w:w="7422"/>
      </w:tblGrid>
      <w:tr w14:paraId="29B5D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6" w:hRule="atLeast"/>
        </w:trPr>
        <w:tc>
          <w:tcPr>
            <w:tcW w:w="1172" w:type="dxa"/>
            <w:shd w:val="clear" w:color="auto" w:fill="63B86C"/>
            <w:vAlign w:val="center"/>
          </w:tcPr>
          <w:p w14:paraId="592DF07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mc:AlternateContent>
                <mc:Choice Requires="wps">
                  <w:drawing>
                    <wp:anchor distT="0" distB="0" distL="114300" distR="114300" simplePos="0" relativeHeight="251691008"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99" name="任意多边形 99"/>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1008;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DFy6SQFQIAAH0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b/>
                <w:bCs/>
                <w:color w:val="auto"/>
                <w:spacing w:val="-10"/>
                <w:highlight w:val="none"/>
              </w:rPr>
              <w:t>项目</w:t>
            </w:r>
          </w:p>
        </w:tc>
        <w:tc>
          <w:tcPr>
            <w:tcW w:w="7422" w:type="dxa"/>
            <w:shd w:val="clear" w:color="auto" w:fill="63B86C"/>
            <w:vAlign w:val="center"/>
          </w:tcPr>
          <w:p w14:paraId="6F1B48BB">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4"/>
                <w:highlight w:val="none"/>
              </w:rPr>
              <w:t>规定值及允许偏差</w:t>
            </w:r>
          </w:p>
        </w:tc>
      </w:tr>
      <w:tr w14:paraId="2370D8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2" w:type="dxa"/>
            <w:vAlign w:val="center"/>
          </w:tcPr>
          <w:p w14:paraId="5C257D36">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z w:val="21"/>
                <w:highlight w:val="none"/>
              </w:rPr>
            </w:pPr>
            <w:r>
              <w:rPr>
                <w:rFonts w:hint="eastAsia" w:ascii="宋体" w:hAnsi="宋体" w:eastAsia="宋体" w:cs="宋体"/>
                <w:color w:val="auto"/>
                <w:spacing w:val="-5"/>
                <w:highlight w:val="none"/>
              </w:rPr>
              <w:t>坡度</w:t>
            </w:r>
          </w:p>
        </w:tc>
        <w:tc>
          <w:tcPr>
            <w:tcW w:w="7422" w:type="dxa"/>
            <w:vAlign w:val="center"/>
          </w:tcPr>
          <w:p w14:paraId="49381A39">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
                <w:highlight w:val="none"/>
              </w:rPr>
            </w:pPr>
            <w:r>
              <w:rPr>
                <w:rFonts w:hint="eastAsia" w:ascii="宋体" w:hAnsi="宋体" w:eastAsia="宋体" w:cs="宋体"/>
                <w:color w:val="auto"/>
                <w:spacing w:val="-2"/>
                <w:highlight w:val="none"/>
              </w:rPr>
              <w:t>缘石坡道正面坡、两面坡的坡度不得大于</w:t>
            </w:r>
            <w:r>
              <w:rPr>
                <w:rFonts w:hint="eastAsia" w:ascii="宋体" w:hAnsi="宋体" w:eastAsia="宋体" w:cs="宋体"/>
                <w:color w:val="auto"/>
                <w:spacing w:val="-32"/>
                <w:highlight w:val="none"/>
              </w:rPr>
              <w:t xml:space="preserve"> </w:t>
            </w:r>
            <w:r>
              <w:rPr>
                <w:rFonts w:hint="eastAsia" w:ascii="宋体" w:hAnsi="宋体" w:eastAsia="宋体" w:cs="宋体"/>
                <w:color w:val="auto"/>
                <w:spacing w:val="-2"/>
                <w:highlight w:val="none"/>
              </w:rPr>
              <w:t>1：12；缓坡道正</w:t>
            </w:r>
          </w:p>
          <w:p w14:paraId="5EDCD0EB">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3"/>
                <w:highlight w:val="none"/>
              </w:rPr>
            </w:pPr>
            <w:r>
              <w:rPr>
                <w:rFonts w:hint="eastAsia" w:ascii="宋体" w:hAnsi="宋体" w:eastAsia="宋体" w:cs="宋体"/>
                <w:color w:val="auto"/>
                <w:spacing w:val="-3"/>
                <w:highlight w:val="none"/>
              </w:rPr>
              <w:t>面坡的坡度不得大于</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3"/>
                <w:highlight w:val="none"/>
              </w:rPr>
              <w:t>1：20；</w:t>
            </w:r>
          </w:p>
        </w:tc>
      </w:tr>
      <w:tr w14:paraId="2C8848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172" w:type="dxa"/>
            <w:vAlign w:val="center"/>
          </w:tcPr>
          <w:p w14:paraId="787F1C51">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9"/>
                <w:highlight w:val="none"/>
              </w:rPr>
              <w:t>高度</w:t>
            </w:r>
          </w:p>
        </w:tc>
        <w:tc>
          <w:tcPr>
            <w:tcW w:w="7422" w:type="dxa"/>
            <w:vAlign w:val="center"/>
          </w:tcPr>
          <w:p w14:paraId="6A659C06">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缘石坡道正面坡中缘石外露高度不得大于20</w:t>
            </w:r>
            <w:r>
              <w:rPr>
                <w:rFonts w:hint="eastAsia" w:ascii="宋体" w:hAnsi="宋体" w:eastAsia="宋体" w:cs="宋体"/>
                <w:color w:val="auto"/>
                <w:highlight w:val="none"/>
              </w:rPr>
              <w:t>mm</w:t>
            </w:r>
          </w:p>
        </w:tc>
      </w:tr>
      <w:tr w14:paraId="5BA02E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0" w:hRule="atLeast"/>
        </w:trPr>
        <w:tc>
          <w:tcPr>
            <w:tcW w:w="1172" w:type="dxa"/>
            <w:vAlign w:val="center"/>
          </w:tcPr>
          <w:p w14:paraId="698AAE3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1FB58334">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018C6888">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0"/>
                <w:highlight w:val="none"/>
              </w:rPr>
              <w:t>宽度</w:t>
            </w:r>
          </w:p>
        </w:tc>
        <w:tc>
          <w:tcPr>
            <w:tcW w:w="7422" w:type="dxa"/>
            <w:vAlign w:val="center"/>
          </w:tcPr>
          <w:p w14:paraId="2D4A4F7E">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三面坡缘石坡道的正面坡道宽度不得小于</w:t>
            </w:r>
            <w:r>
              <w:rPr>
                <w:rFonts w:hint="eastAsia" w:ascii="宋体" w:hAnsi="宋体" w:eastAsia="宋体" w:cs="宋体"/>
                <w:color w:val="auto"/>
                <w:spacing w:val="-26"/>
                <w:highlight w:val="none"/>
              </w:rPr>
              <w:t xml:space="preserve"> </w:t>
            </w:r>
            <w:r>
              <w:rPr>
                <w:rFonts w:hint="eastAsia" w:ascii="宋体" w:hAnsi="宋体" w:eastAsia="宋体" w:cs="宋体"/>
                <w:color w:val="auto"/>
                <w:spacing w:val="-2"/>
                <w:highlight w:val="none"/>
              </w:rPr>
              <w:t>1200mm；扇面式缘石坡道的下口宽度不得小于</w:t>
            </w:r>
            <w:r>
              <w:rPr>
                <w:rFonts w:hint="eastAsia" w:ascii="宋体" w:hAnsi="宋体" w:eastAsia="宋体" w:cs="宋体"/>
                <w:color w:val="auto"/>
                <w:spacing w:val="-26"/>
                <w:highlight w:val="none"/>
              </w:rPr>
              <w:t xml:space="preserve"> </w:t>
            </w:r>
            <w:r>
              <w:rPr>
                <w:rFonts w:hint="eastAsia" w:ascii="宋体" w:hAnsi="宋体" w:eastAsia="宋体" w:cs="宋体"/>
                <w:color w:val="auto"/>
                <w:spacing w:val="-2"/>
                <w:highlight w:val="none"/>
              </w:rPr>
              <w:t>1500mm；转角处缘石坡道的</w:t>
            </w:r>
            <w:r>
              <w:rPr>
                <w:rFonts w:hint="eastAsia" w:ascii="宋体" w:hAnsi="宋体" w:eastAsia="宋体" w:cs="宋体"/>
                <w:color w:val="auto"/>
                <w:spacing w:val="2"/>
                <w:highlight w:val="none"/>
              </w:rPr>
              <w:t>上口宽度不得小于2000</w:t>
            </w:r>
            <w:r>
              <w:rPr>
                <w:rFonts w:hint="eastAsia" w:ascii="宋体" w:hAnsi="宋体" w:eastAsia="宋体" w:cs="宋体"/>
                <w:color w:val="auto"/>
                <w:highlight w:val="none"/>
              </w:rPr>
              <w:t>mm</w:t>
            </w:r>
            <w:r>
              <w:rPr>
                <w:rFonts w:hint="eastAsia" w:ascii="宋体" w:hAnsi="宋体" w:eastAsia="宋体" w:cs="宋体"/>
                <w:color w:val="auto"/>
                <w:spacing w:val="2"/>
                <w:highlight w:val="none"/>
              </w:rPr>
              <w:t>；其他形式的缘石坡道的宽度不</w:t>
            </w:r>
            <w:r>
              <w:rPr>
                <w:rFonts w:hint="eastAsia" w:ascii="宋体" w:hAnsi="宋体" w:eastAsia="宋体" w:cs="宋体"/>
                <w:color w:val="auto"/>
                <w:spacing w:val="-5"/>
                <w:highlight w:val="none"/>
              </w:rPr>
              <w:t>应小于</w:t>
            </w:r>
            <w:r>
              <w:rPr>
                <w:rFonts w:hint="eastAsia" w:ascii="宋体" w:hAnsi="宋体" w:eastAsia="宋体" w:cs="宋体"/>
                <w:color w:val="auto"/>
                <w:spacing w:val="-36"/>
                <w:highlight w:val="none"/>
              </w:rPr>
              <w:t xml:space="preserve"> </w:t>
            </w:r>
            <w:r>
              <w:rPr>
                <w:rFonts w:hint="eastAsia" w:ascii="宋体" w:hAnsi="宋体" w:eastAsia="宋体" w:cs="宋体"/>
                <w:color w:val="auto"/>
                <w:spacing w:val="-5"/>
                <w:highlight w:val="none"/>
              </w:rPr>
              <w:t>1200mm</w:t>
            </w:r>
          </w:p>
        </w:tc>
      </w:tr>
    </w:tbl>
    <w:p w14:paraId="5465DFA7">
      <w:pPr>
        <w:rPr>
          <w:rFonts w:hint="eastAsia" w:ascii="宋体" w:hAnsi="宋体" w:eastAsia="宋体" w:cs="宋体"/>
          <w:color w:val="auto"/>
          <w:spacing w:val="-1"/>
          <w:sz w:val="24"/>
          <w:szCs w:val="32"/>
          <w:highlight w:val="none"/>
        </w:rPr>
      </w:pPr>
    </w:p>
    <w:p w14:paraId="4DB11DB9">
      <w:pPr>
        <w:rPr>
          <w:rFonts w:hint="eastAsia" w:ascii="宋体" w:hAnsi="宋体" w:eastAsia="宋体" w:cs="宋体"/>
          <w:color w:val="auto"/>
          <w:spacing w:val="-1"/>
          <w:sz w:val="24"/>
          <w:szCs w:val="32"/>
          <w:highlight w:val="none"/>
        </w:rPr>
      </w:pPr>
      <w:r>
        <w:rPr>
          <w:rFonts w:hint="eastAsia" w:ascii="宋体" w:hAnsi="宋体" w:eastAsia="宋体" w:cs="宋体"/>
          <w:color w:val="auto"/>
          <w:spacing w:val="-1"/>
          <w:sz w:val="24"/>
          <w:szCs w:val="32"/>
          <w:highlight w:val="none"/>
        </w:rPr>
        <w:br w:type="page"/>
      </w:r>
    </w:p>
    <w:p w14:paraId="6D40F43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1"/>
          <w:sz w:val="24"/>
          <w:szCs w:val="32"/>
          <w:highlight w:val="none"/>
        </w:rPr>
        <w:t>⑥其他路面（大理石、花岗石、互锁砖等）</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366"/>
        <w:gridCol w:w="7228"/>
      </w:tblGrid>
      <w:tr w14:paraId="4C8A9E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7" w:hRule="atLeast"/>
        </w:trPr>
        <w:tc>
          <w:tcPr>
            <w:tcW w:w="1366" w:type="dxa"/>
            <w:shd w:val="clear" w:color="auto" w:fill="63B86C"/>
            <w:vAlign w:val="center"/>
          </w:tcPr>
          <w:p w14:paraId="0226975B">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项目</w:t>
            </w:r>
          </w:p>
        </w:tc>
        <w:tc>
          <w:tcPr>
            <w:tcW w:w="7228" w:type="dxa"/>
            <w:shd w:val="clear" w:color="auto" w:fill="63B86C"/>
            <w:vAlign w:val="center"/>
          </w:tcPr>
          <w:p w14:paraId="252404E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4"/>
                <w:highlight w:val="none"/>
              </w:rPr>
              <w:t>规定值及允许偏差</w:t>
            </w:r>
          </w:p>
        </w:tc>
      </w:tr>
      <w:tr w14:paraId="56737A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366" w:type="dxa"/>
            <w:vAlign w:val="center"/>
          </w:tcPr>
          <w:p w14:paraId="37CF3CA2">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平整度</w:t>
            </w:r>
          </w:p>
        </w:tc>
        <w:tc>
          <w:tcPr>
            <w:tcW w:w="7228" w:type="dxa"/>
            <w:vAlign w:val="center"/>
          </w:tcPr>
          <w:p w14:paraId="19DE7522">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大理石、花岗石不得超过5</w:t>
            </w:r>
            <w:r>
              <w:rPr>
                <w:rFonts w:hint="eastAsia" w:ascii="宋体" w:hAnsi="宋体" w:eastAsia="宋体" w:cs="宋体"/>
                <w:color w:val="auto"/>
                <w:highlight w:val="none"/>
              </w:rPr>
              <w:t>mm</w:t>
            </w:r>
            <w:r>
              <w:rPr>
                <w:rFonts w:hint="eastAsia" w:ascii="宋体" w:hAnsi="宋体" w:eastAsia="宋体" w:cs="宋体"/>
                <w:color w:val="auto"/>
                <w:spacing w:val="2"/>
                <w:highlight w:val="none"/>
              </w:rPr>
              <w:t>；彩色预制块、广场砖不得</w:t>
            </w:r>
            <w:r>
              <w:rPr>
                <w:rFonts w:hint="eastAsia" w:ascii="宋体" w:hAnsi="宋体" w:eastAsia="宋体" w:cs="宋体"/>
                <w:color w:val="auto"/>
                <w:spacing w:val="-4"/>
                <w:highlight w:val="none"/>
              </w:rPr>
              <w:t>超过</w:t>
            </w:r>
            <w:r>
              <w:rPr>
                <w:rFonts w:hint="eastAsia" w:ascii="宋体" w:hAnsi="宋体" w:eastAsia="宋体" w:cs="宋体"/>
                <w:color w:val="auto"/>
                <w:spacing w:val="-50"/>
                <w:highlight w:val="none"/>
              </w:rPr>
              <w:t xml:space="preserve"> </w:t>
            </w:r>
            <w:r>
              <w:rPr>
                <w:rFonts w:hint="eastAsia" w:ascii="宋体" w:hAnsi="宋体" w:eastAsia="宋体" w:cs="宋体"/>
                <w:color w:val="auto"/>
                <w:spacing w:val="-4"/>
                <w:highlight w:val="none"/>
              </w:rPr>
              <w:t>7mm（3</w:t>
            </w:r>
            <w:r>
              <w:rPr>
                <w:rFonts w:hint="eastAsia" w:ascii="宋体" w:hAnsi="宋体" w:eastAsia="宋体" w:cs="宋体"/>
                <w:color w:val="auto"/>
                <w:spacing w:val="-61"/>
                <w:highlight w:val="none"/>
              </w:rPr>
              <w:t xml:space="preserve"> </w:t>
            </w:r>
            <w:r>
              <w:rPr>
                <w:rFonts w:hint="eastAsia" w:ascii="宋体" w:hAnsi="宋体" w:eastAsia="宋体" w:cs="宋体"/>
                <w:color w:val="auto"/>
                <w:spacing w:val="-4"/>
                <w:highlight w:val="none"/>
              </w:rPr>
              <w:t>米尺）</w:t>
            </w:r>
          </w:p>
        </w:tc>
      </w:tr>
      <w:tr w14:paraId="0BD4A4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366" w:type="dxa"/>
            <w:vAlign w:val="center"/>
          </w:tcPr>
          <w:p w14:paraId="7E8505C9">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相邻块</w:t>
            </w:r>
            <w:r>
              <w:rPr>
                <w:rFonts w:hint="eastAsia" w:ascii="宋体" w:hAnsi="宋体" w:eastAsia="宋体" w:cs="宋体"/>
                <w:color w:val="auto"/>
                <w:spacing w:val="-9"/>
                <w:highlight w:val="none"/>
              </w:rPr>
              <w:t>高差</w:t>
            </w:r>
          </w:p>
        </w:tc>
        <w:tc>
          <w:tcPr>
            <w:tcW w:w="7228" w:type="dxa"/>
            <w:vAlign w:val="center"/>
          </w:tcPr>
          <w:p w14:paraId="1E865CDD">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大理石、花岗石毛面不得超过2</w:t>
            </w:r>
            <w:r>
              <w:rPr>
                <w:rFonts w:hint="eastAsia" w:ascii="宋体" w:hAnsi="宋体" w:eastAsia="宋体" w:cs="宋体"/>
                <w:color w:val="auto"/>
                <w:highlight w:val="none"/>
              </w:rPr>
              <w:t>mm</w:t>
            </w:r>
          </w:p>
          <w:p w14:paraId="7BDF8F8C">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彩色预制块、广场砖不得超过2</w:t>
            </w:r>
            <w:r>
              <w:rPr>
                <w:rFonts w:hint="eastAsia" w:ascii="宋体" w:hAnsi="宋体" w:eastAsia="宋体" w:cs="宋体"/>
                <w:color w:val="auto"/>
                <w:highlight w:val="none"/>
              </w:rPr>
              <w:t>mm</w:t>
            </w:r>
          </w:p>
        </w:tc>
      </w:tr>
      <w:tr w14:paraId="7B198CC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 w:hRule="atLeast"/>
        </w:trPr>
        <w:tc>
          <w:tcPr>
            <w:tcW w:w="1366" w:type="dxa"/>
            <w:vAlign w:val="center"/>
          </w:tcPr>
          <w:p w14:paraId="026069EA">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路框差</w:t>
            </w:r>
          </w:p>
        </w:tc>
        <w:tc>
          <w:tcPr>
            <w:tcW w:w="7228" w:type="dxa"/>
            <w:vAlign w:val="center"/>
          </w:tcPr>
          <w:p w14:paraId="043F0BBC">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大理石、花岗石2</w:t>
            </w:r>
            <w:r>
              <w:rPr>
                <w:rFonts w:hint="eastAsia" w:ascii="宋体" w:hAnsi="宋体" w:eastAsia="宋体" w:cs="宋体"/>
                <w:color w:val="auto"/>
                <w:highlight w:val="none"/>
              </w:rPr>
              <w:t>mm</w:t>
            </w:r>
            <w:r>
              <w:rPr>
                <w:rFonts w:hint="eastAsia" w:ascii="宋体" w:hAnsi="宋体" w:eastAsia="宋体" w:cs="宋体"/>
                <w:color w:val="auto"/>
                <w:spacing w:val="2"/>
                <w:highlight w:val="none"/>
              </w:rPr>
              <w:t>、彩色预制块、广场砖</w:t>
            </w:r>
            <w:r>
              <w:rPr>
                <w:rFonts w:hint="eastAsia" w:ascii="宋体" w:hAnsi="宋体" w:eastAsia="宋体" w:cs="宋体"/>
                <w:color w:val="auto"/>
                <w:spacing w:val="-53"/>
                <w:highlight w:val="none"/>
              </w:rPr>
              <w:t xml:space="preserve"> </w:t>
            </w:r>
            <w:r>
              <w:rPr>
                <w:rFonts w:hint="eastAsia" w:ascii="宋体" w:hAnsi="宋体" w:eastAsia="宋体" w:cs="宋体"/>
                <w:color w:val="auto"/>
                <w:spacing w:val="2"/>
                <w:highlight w:val="none"/>
              </w:rPr>
              <w:t>3</w:t>
            </w:r>
            <w:r>
              <w:rPr>
                <w:rFonts w:hint="eastAsia" w:ascii="宋体" w:hAnsi="宋体" w:eastAsia="宋体" w:cs="宋体"/>
                <w:color w:val="auto"/>
                <w:highlight w:val="none"/>
              </w:rPr>
              <w:t>mm</w:t>
            </w:r>
          </w:p>
        </w:tc>
      </w:tr>
      <w:tr w14:paraId="79DAEB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1366" w:type="dxa"/>
            <w:vAlign w:val="center"/>
          </w:tcPr>
          <w:p w14:paraId="160731F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缝宽误差</w:t>
            </w:r>
          </w:p>
        </w:tc>
        <w:tc>
          <w:tcPr>
            <w:tcW w:w="7228" w:type="dxa"/>
            <w:vAlign w:val="center"/>
          </w:tcPr>
          <w:p w14:paraId="6B9E3A7C">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大理石、花岗石±2mm；彩色预制块、广场砖±2mm（10</w:t>
            </w:r>
            <w:r>
              <w:rPr>
                <w:rFonts w:hint="eastAsia" w:ascii="宋体" w:hAnsi="宋体" w:eastAsia="宋体" w:cs="宋体"/>
                <w:color w:val="auto"/>
                <w:spacing w:val="-56"/>
                <w:highlight w:val="none"/>
              </w:rPr>
              <w:t xml:space="preserve"> </w:t>
            </w:r>
            <w:r>
              <w:rPr>
                <w:rFonts w:hint="eastAsia" w:ascii="宋体" w:hAnsi="宋体" w:eastAsia="宋体" w:cs="宋体"/>
                <w:color w:val="auto"/>
                <w:spacing w:val="-3"/>
                <w:highlight w:val="none"/>
              </w:rPr>
              <w:t>米</w:t>
            </w:r>
            <w:r>
              <w:rPr>
                <w:rFonts w:hint="eastAsia" w:ascii="宋体" w:hAnsi="宋体" w:eastAsia="宋体" w:cs="宋体"/>
                <w:color w:val="auto"/>
                <w:spacing w:val="-7"/>
                <w:highlight w:val="none"/>
              </w:rPr>
              <w:t>线）</w:t>
            </w:r>
          </w:p>
        </w:tc>
      </w:tr>
      <w:tr w14:paraId="0AAC99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trPr>
        <w:tc>
          <w:tcPr>
            <w:tcW w:w="1366" w:type="dxa"/>
            <w:vAlign w:val="center"/>
          </w:tcPr>
          <w:p w14:paraId="19076878">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纵横缝线</w:t>
            </w:r>
          </w:p>
          <w:p w14:paraId="0972355E">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0"/>
                <w:highlight w:val="none"/>
              </w:rPr>
              <w:t>中心偏差</w:t>
            </w:r>
          </w:p>
        </w:tc>
        <w:tc>
          <w:tcPr>
            <w:tcW w:w="7228" w:type="dxa"/>
            <w:vAlign w:val="center"/>
          </w:tcPr>
          <w:p w14:paraId="7FCD2BDF">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大理石、花岗石±1mm</w:t>
            </w:r>
          </w:p>
          <w:p w14:paraId="62B28061">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彩色预制块、广场砖±2mm（10</w:t>
            </w:r>
            <w:r>
              <w:rPr>
                <w:rFonts w:hint="eastAsia" w:ascii="宋体" w:hAnsi="宋体" w:eastAsia="宋体" w:cs="宋体"/>
                <w:color w:val="auto"/>
                <w:spacing w:val="-44"/>
                <w:highlight w:val="none"/>
              </w:rPr>
              <w:t xml:space="preserve"> </w:t>
            </w:r>
            <w:r>
              <w:rPr>
                <w:rFonts w:hint="eastAsia" w:ascii="宋体" w:hAnsi="宋体" w:eastAsia="宋体" w:cs="宋体"/>
                <w:color w:val="auto"/>
                <w:spacing w:val="-2"/>
                <w:highlight w:val="none"/>
              </w:rPr>
              <w:t>米线）</w:t>
            </w:r>
          </w:p>
        </w:tc>
      </w:tr>
    </w:tbl>
    <w:p w14:paraId="40244F2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32"/>
          <w:highlight w:val="none"/>
        </w:rPr>
      </w:pPr>
      <w:r>
        <w:rPr>
          <w:rFonts w:hint="eastAsia" w:ascii="宋体" w:hAnsi="宋体" w:eastAsia="宋体" w:cs="宋体"/>
          <w:color w:val="auto"/>
          <w:spacing w:val="-3"/>
          <w:sz w:val="24"/>
          <w:szCs w:val="32"/>
          <w:highlight w:val="none"/>
        </w:rPr>
        <w:t>⑦排水</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96"/>
        <w:gridCol w:w="1306"/>
        <w:gridCol w:w="6592"/>
      </w:tblGrid>
      <w:tr w14:paraId="54EC65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5" w:hRule="atLeast"/>
        </w:trPr>
        <w:tc>
          <w:tcPr>
            <w:tcW w:w="696" w:type="dxa"/>
            <w:shd w:val="clear" w:color="auto" w:fill="63B86C"/>
            <w:vAlign w:val="center"/>
          </w:tcPr>
          <w:p w14:paraId="71DBD849">
            <w:pPr>
              <w:pStyle w:val="76"/>
              <w:keepNext w:val="0"/>
              <w:keepLines w:val="0"/>
              <w:pageBreakBefore w:val="0"/>
              <w:widowControl w:val="0"/>
              <w:kinsoku/>
              <w:wordWrap/>
              <w:overflowPunct/>
              <w:topLinePunct w:val="0"/>
              <w:autoSpaceDE/>
              <w:autoSpaceDN/>
              <w:bidi w:val="0"/>
              <w:adjustRightInd/>
              <w:snapToGrid/>
              <w:spacing w:line="360" w:lineRule="auto"/>
              <w:ind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39"/>
                <w:highlight w:val="none"/>
              </w:rPr>
              <w:t>序号</w:t>
            </w:r>
          </w:p>
        </w:tc>
        <w:tc>
          <w:tcPr>
            <w:tcW w:w="1306" w:type="dxa"/>
            <w:shd w:val="clear" w:color="auto" w:fill="63B86C"/>
            <w:vAlign w:val="center"/>
          </w:tcPr>
          <w:p w14:paraId="1F5C17FA">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10"/>
                <w:highlight w:val="none"/>
              </w:rPr>
              <w:t>项目</w:t>
            </w:r>
          </w:p>
        </w:tc>
        <w:tc>
          <w:tcPr>
            <w:tcW w:w="6592" w:type="dxa"/>
            <w:shd w:val="clear" w:color="auto" w:fill="63B86C"/>
            <w:vAlign w:val="center"/>
          </w:tcPr>
          <w:p w14:paraId="7053F59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4"/>
                <w:highlight w:val="none"/>
              </w:rPr>
              <w:t>规定值及允许偏差</w:t>
            </w:r>
          </w:p>
        </w:tc>
      </w:tr>
      <w:tr w14:paraId="080477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0" w:hRule="atLeast"/>
        </w:trPr>
        <w:tc>
          <w:tcPr>
            <w:tcW w:w="696" w:type="dxa"/>
            <w:vAlign w:val="center"/>
          </w:tcPr>
          <w:p w14:paraId="6793DAC8">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1306" w:type="dxa"/>
            <w:vAlign w:val="center"/>
          </w:tcPr>
          <w:p w14:paraId="5CEC4E0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8"/>
                <w:highlight w:val="none"/>
              </w:rPr>
              <w:t>管道</w:t>
            </w:r>
          </w:p>
        </w:tc>
        <w:tc>
          <w:tcPr>
            <w:tcW w:w="6592" w:type="dxa"/>
            <w:vAlign w:val="center"/>
          </w:tcPr>
          <w:p w14:paraId="3594772E">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管道插接口完好，坡度顺畅，管壁无破损、无泄漏；</w:t>
            </w:r>
            <w:r>
              <w:rPr>
                <w:rFonts w:hint="eastAsia" w:ascii="宋体" w:hAnsi="宋体" w:eastAsia="宋体" w:cs="宋体"/>
                <w:color w:val="auto"/>
                <w:spacing w:val="-1"/>
                <w:highlight w:val="none"/>
              </w:rPr>
              <w:t>淤泥应低于管径的五分之一。</w:t>
            </w:r>
          </w:p>
        </w:tc>
      </w:tr>
      <w:tr w14:paraId="7DE3D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5" w:hRule="atLeast"/>
        </w:trPr>
        <w:tc>
          <w:tcPr>
            <w:tcW w:w="696" w:type="dxa"/>
            <w:vAlign w:val="center"/>
          </w:tcPr>
          <w:p w14:paraId="50CA17B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577324C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27C94E0B">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7925826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496557B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2</w:t>
            </w:r>
          </w:p>
        </w:tc>
        <w:tc>
          <w:tcPr>
            <w:tcW w:w="1306" w:type="dxa"/>
            <w:vAlign w:val="center"/>
          </w:tcPr>
          <w:p w14:paraId="0670C19D">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4EE2508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36DDD4E4">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3121C742">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337858ED">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检查井</w:t>
            </w:r>
          </w:p>
        </w:tc>
        <w:tc>
          <w:tcPr>
            <w:tcW w:w="6592" w:type="dxa"/>
            <w:vAlign w:val="center"/>
          </w:tcPr>
          <w:p w14:paraId="532F1F1E">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井盖与井座完好，吻合，安放平稳、启闭灵活，井座</w:t>
            </w:r>
            <w:r>
              <w:rPr>
                <w:rFonts w:hint="eastAsia" w:ascii="宋体" w:hAnsi="宋体" w:eastAsia="宋体" w:cs="宋体"/>
                <w:color w:val="auto"/>
                <w:spacing w:val="-2"/>
                <w:highlight w:val="none"/>
              </w:rPr>
              <w:t>与路面的高差控制在±5mm</w:t>
            </w:r>
            <w:r>
              <w:rPr>
                <w:rFonts w:hint="eastAsia" w:ascii="宋体" w:hAnsi="宋体" w:eastAsia="宋体" w:cs="宋体"/>
                <w:color w:val="auto"/>
                <w:spacing w:val="-54"/>
                <w:highlight w:val="none"/>
              </w:rPr>
              <w:t xml:space="preserve"> </w:t>
            </w:r>
            <w:r>
              <w:rPr>
                <w:rFonts w:hint="eastAsia" w:ascii="宋体" w:hAnsi="宋体" w:eastAsia="宋体" w:cs="宋体"/>
                <w:color w:val="auto"/>
                <w:spacing w:val="-2"/>
                <w:highlight w:val="none"/>
              </w:rPr>
              <w:t>之间；</w:t>
            </w:r>
          </w:p>
          <w:p w14:paraId="2B5E7508">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踏步完好、井壁无破损；</w:t>
            </w:r>
          </w:p>
          <w:p w14:paraId="07E91AC3">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插接管与井壁相接处平齐光滑，工作台平整；</w:t>
            </w:r>
          </w:p>
          <w:p w14:paraId="076E9C54">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井内无蛛网、井壁、踏步上不挂赃物，工作台上无淤积物；</w:t>
            </w:r>
          </w:p>
          <w:p w14:paraId="24AF9B5D">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淤泥应低于管径的五分之一。</w:t>
            </w:r>
          </w:p>
        </w:tc>
      </w:tr>
      <w:tr w14:paraId="11345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87" w:hRule="atLeast"/>
        </w:trPr>
        <w:tc>
          <w:tcPr>
            <w:tcW w:w="696" w:type="dxa"/>
            <w:vAlign w:val="center"/>
          </w:tcPr>
          <w:p w14:paraId="590559A8">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20C5BBB1">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56A9F180">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1A997F8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highlight w:val="none"/>
              </w:rPr>
              <w:t>3</w:t>
            </w:r>
          </w:p>
        </w:tc>
        <w:tc>
          <w:tcPr>
            <w:tcW w:w="1306" w:type="dxa"/>
            <w:vAlign w:val="center"/>
          </w:tcPr>
          <w:p w14:paraId="371A163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3DA79FAF">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78FB9043">
            <w:pPr>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sz w:val="21"/>
                <w:highlight w:val="none"/>
              </w:rPr>
            </w:pPr>
          </w:p>
          <w:p w14:paraId="3F3832D4">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雨水斗</w:t>
            </w:r>
          </w:p>
        </w:tc>
        <w:tc>
          <w:tcPr>
            <w:tcW w:w="6592" w:type="dxa"/>
            <w:vAlign w:val="center"/>
          </w:tcPr>
          <w:p w14:paraId="4A88C1E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箅子与座完好、吻合，安放平稳并启闭灵活，斗座与</w:t>
            </w:r>
            <w:r>
              <w:rPr>
                <w:rFonts w:hint="eastAsia" w:ascii="宋体" w:hAnsi="宋体" w:eastAsia="宋体" w:cs="宋体"/>
                <w:color w:val="auto"/>
                <w:spacing w:val="-3"/>
                <w:highlight w:val="none"/>
              </w:rPr>
              <w:t>路面平齐或不低于路面20mm；斗壁无破损；斗</w:t>
            </w:r>
            <w:r>
              <w:rPr>
                <w:rFonts w:hint="eastAsia" w:ascii="宋体" w:hAnsi="宋体" w:eastAsia="宋体" w:cs="宋体"/>
                <w:color w:val="auto"/>
                <w:spacing w:val="-4"/>
                <w:highlight w:val="none"/>
              </w:rPr>
              <w:t>内插接</w:t>
            </w:r>
            <w:r>
              <w:rPr>
                <w:rFonts w:hint="eastAsia" w:ascii="宋体" w:hAnsi="宋体" w:eastAsia="宋体" w:cs="宋体"/>
                <w:color w:val="auto"/>
                <w:spacing w:val="-1"/>
                <w:highlight w:val="none"/>
              </w:rPr>
              <w:t>管与斗壁相接处平齐光滑；</w:t>
            </w:r>
          </w:p>
          <w:p w14:paraId="0A14D6FA">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泄水孔无堵塞物，泄水孔处的淤积物应不高于管底的</w:t>
            </w:r>
            <w:r>
              <w:rPr>
                <w:rFonts w:hint="eastAsia" w:ascii="宋体" w:hAnsi="宋体" w:eastAsia="宋体" w:cs="宋体"/>
                <w:color w:val="auto"/>
                <w:spacing w:val="-3"/>
                <w:highlight w:val="none"/>
              </w:rPr>
              <w:t>五分之一；</w:t>
            </w:r>
          </w:p>
          <w:p w14:paraId="4FE3AC20">
            <w:pPr>
              <w:pStyle w:val="76"/>
              <w:keepNext w:val="0"/>
              <w:keepLines w:val="0"/>
              <w:pageBreakBefore w:val="0"/>
              <w:widowControl w:val="0"/>
              <w:kinsoku/>
              <w:wordWrap/>
              <w:overflowPunct/>
              <w:topLinePunct w:val="0"/>
              <w:autoSpaceDE/>
              <w:autoSpaceDN/>
              <w:bidi w:val="0"/>
              <w:adjustRightInd/>
              <w:snapToGrid/>
              <w:spacing w:line="360" w:lineRule="auto"/>
              <w:ind w:left="0" w:right="0" w:firstLine="0" w:firstLineChars="0"/>
              <w:jc w:val="left"/>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支管淤泥应低于管径的五分之一。</w:t>
            </w:r>
          </w:p>
        </w:tc>
      </w:tr>
    </w:tbl>
    <w:p w14:paraId="53A1F1B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 维修时限标准</w:t>
      </w:r>
    </w:p>
    <w:p w14:paraId="41CF963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（1）维修时限应符合下表的规定:</w:t>
      </w:r>
    </w:p>
    <w:p w14:paraId="387EDC4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（2）沥青路面的坑洼、破皮、沉陷、拥包、井口周围沉陷、裂</w:t>
      </w:r>
      <w:r>
        <w:rPr>
          <w:rFonts w:hint="eastAsia" w:ascii="宋体" w:hAnsi="宋体" w:eastAsia="宋体" w:cs="宋体"/>
          <w:color w:val="auto"/>
          <w:spacing w:val="-2"/>
          <w:sz w:val="24"/>
          <w:szCs w:val="24"/>
          <w:highlight w:val="none"/>
        </w:rPr>
        <w:t>缝、网裂等情况，在每年的</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pacing w:val="-2"/>
          <w:sz w:val="24"/>
          <w:szCs w:val="24"/>
          <w:highlight w:val="none"/>
        </w:rPr>
        <w:t>4</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2"/>
          <w:sz w:val="24"/>
          <w:szCs w:val="24"/>
          <w:highlight w:val="none"/>
        </w:rPr>
        <w:t>月份进行集中维修，并在每年的</w:t>
      </w:r>
      <w:r>
        <w:rPr>
          <w:rFonts w:hint="eastAsia" w:ascii="宋体" w:hAnsi="宋体" w:eastAsia="宋体" w:cs="宋体"/>
          <w:color w:val="auto"/>
          <w:spacing w:val="-3"/>
          <w:sz w:val="24"/>
          <w:szCs w:val="24"/>
          <w:highlight w:val="none"/>
        </w:rPr>
        <w:t>雨季汛</w:t>
      </w:r>
      <w:r>
        <w:rPr>
          <w:rFonts w:hint="eastAsia" w:ascii="宋体" w:hAnsi="宋体" w:eastAsia="宋体" w:cs="宋体"/>
          <w:color w:val="auto"/>
          <w:spacing w:val="-2"/>
          <w:sz w:val="24"/>
          <w:szCs w:val="24"/>
          <w:highlight w:val="none"/>
        </w:rPr>
        <w:t>期到来之前完成，9</w:t>
      </w:r>
      <w:r>
        <w:rPr>
          <w:rFonts w:hint="eastAsia" w:ascii="宋体" w:hAnsi="宋体" w:eastAsia="宋体" w:cs="宋体"/>
          <w:color w:val="auto"/>
          <w:spacing w:val="-45"/>
          <w:sz w:val="24"/>
          <w:szCs w:val="24"/>
          <w:highlight w:val="none"/>
        </w:rPr>
        <w:t xml:space="preserve"> </w:t>
      </w:r>
      <w:r>
        <w:rPr>
          <w:rFonts w:hint="eastAsia" w:ascii="宋体" w:hAnsi="宋体" w:eastAsia="宋体" w:cs="宋体"/>
          <w:color w:val="auto"/>
          <w:spacing w:val="-2"/>
          <w:sz w:val="24"/>
          <w:szCs w:val="24"/>
          <w:highlight w:val="none"/>
        </w:rPr>
        <w:t>月份再进行一次找补。</w:t>
      </w:r>
    </w:p>
    <w:p w14:paraId="41E0B99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（3）人为破坏或非正常损坏的沥青路面其修补工作与挖掘城市</w:t>
      </w:r>
      <w:r>
        <w:rPr>
          <w:rFonts w:hint="eastAsia" w:ascii="宋体" w:hAnsi="宋体" w:eastAsia="宋体" w:cs="宋体"/>
          <w:color w:val="auto"/>
          <w:spacing w:val="-2"/>
          <w:sz w:val="24"/>
          <w:szCs w:val="24"/>
          <w:highlight w:val="none"/>
        </w:rPr>
        <w:t>道路修补等同。</w:t>
      </w:r>
    </w:p>
    <w:p w14:paraId="57B7AA5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（4）影响行人或行车的市政设施（如井盖、雨水箅子、路缘石</w:t>
      </w:r>
      <w:r>
        <w:rPr>
          <w:rFonts w:hint="eastAsia" w:ascii="宋体" w:hAnsi="宋体" w:eastAsia="宋体" w:cs="宋体"/>
          <w:color w:val="auto"/>
          <w:spacing w:val="-1"/>
          <w:sz w:val="24"/>
          <w:szCs w:val="24"/>
          <w:highlight w:val="none"/>
        </w:rPr>
        <w:t>的丢失、缺损情况）应及时修补，确保隐患不过</w:t>
      </w:r>
      <w:r>
        <w:rPr>
          <w:rFonts w:hint="eastAsia" w:ascii="宋体" w:hAnsi="宋体" w:eastAsia="宋体" w:cs="宋体"/>
          <w:color w:val="auto"/>
          <w:spacing w:val="-2"/>
          <w:sz w:val="24"/>
          <w:szCs w:val="24"/>
          <w:highlight w:val="none"/>
        </w:rPr>
        <w:t>夜。若当天白天不能</w:t>
      </w:r>
      <w:r>
        <w:rPr>
          <w:rFonts w:hint="eastAsia" w:ascii="宋体" w:hAnsi="宋体" w:eastAsia="宋体" w:cs="宋体"/>
          <w:color w:val="auto"/>
          <w:spacing w:val="-1"/>
          <w:sz w:val="24"/>
          <w:szCs w:val="24"/>
          <w:highlight w:val="none"/>
        </w:rPr>
        <w:t>完成的，夜间应设置安全警示标志，警示标</w:t>
      </w:r>
      <w:r>
        <w:rPr>
          <w:rFonts w:hint="eastAsia" w:ascii="宋体" w:hAnsi="宋体" w:eastAsia="宋体" w:cs="宋体"/>
          <w:color w:val="auto"/>
          <w:spacing w:val="-2"/>
          <w:sz w:val="24"/>
          <w:szCs w:val="24"/>
          <w:highlight w:val="none"/>
        </w:rPr>
        <w:t>志的设置应做到牢固、整</w:t>
      </w:r>
      <w:r>
        <w:rPr>
          <w:rFonts w:hint="eastAsia" w:ascii="宋体" w:hAnsi="宋体" w:eastAsia="宋体" w:cs="宋体"/>
          <w:color w:val="auto"/>
          <w:spacing w:val="-1"/>
          <w:sz w:val="24"/>
          <w:szCs w:val="24"/>
          <w:highlight w:val="none"/>
        </w:rPr>
        <w:t>洁大方、醒目，确保行人安全。</w:t>
      </w:r>
    </w:p>
    <w:tbl>
      <w:tblPr>
        <w:tblStyle w:val="77"/>
        <w:tblW w:w="85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1"/>
        <w:gridCol w:w="981"/>
        <w:gridCol w:w="1500"/>
        <w:gridCol w:w="2717"/>
        <w:gridCol w:w="2895"/>
      </w:tblGrid>
      <w:tr w14:paraId="77C7C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82" w:type="dxa"/>
            <w:gridSpan w:val="2"/>
            <w:vMerge w:val="restart"/>
            <w:shd w:val="clear" w:color="auto" w:fill="00B050"/>
            <w:vAlign w:val="center"/>
          </w:tcPr>
          <w:p w14:paraId="1CA37828">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jc w:val="both"/>
              <w:textAlignment w:val="auto"/>
              <w:rPr>
                <w:rFonts w:hint="eastAsia" w:ascii="宋体" w:hAnsi="宋体" w:eastAsia="宋体" w:cs="宋体"/>
                <w:color w:val="auto"/>
                <w:sz w:val="21"/>
                <w:highlight w:val="none"/>
              </w:rPr>
            </w:pPr>
            <w:r>
              <w:rPr>
                <w:rFonts w:hint="eastAsia" w:ascii="宋体" w:hAnsi="宋体" w:eastAsia="宋体" w:cs="宋体"/>
                <w:color w:val="auto"/>
                <w:highlight w:val="none"/>
              </w:rPr>
              <mc:AlternateContent>
                <mc:Choice Requires="wps">
                  <w:drawing>
                    <wp:anchor distT="0" distB="0" distL="114300" distR="114300" simplePos="0" relativeHeight="251692032"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07" name="任意多边形 107"/>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2032;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wehj2gAAAAwBAAAP&#10;AAAAAAAAAAEAIAAAACIAAABkcnMvZG93bnJldi54bWxQSwECFAAUAAAACACHTuJAwpnYBBYCAAB/&#10;BAAADgAAAAAAAAABACAAAAApAQAAZHJzL2Uyb0RvYy54bWxQSwUGAAAAAAYABgBZAQAAsQUAAAAA&#10;" path="m0,0l8374,0,8374,14,0,14,0,0xe">
                      <v:fill on="t" focussize="0,0"/>
                      <v:stroke on="f"/>
                      <v:imagedata o:title=""/>
                      <o:lock v:ext="edit" aspectratio="f"/>
                    </v:shape>
                  </w:pict>
                </mc:Fallback>
              </mc:AlternateContent>
            </w:r>
            <w:r>
              <w:rPr>
                <w:rFonts w:hint="eastAsia" w:ascii="宋体" w:hAnsi="宋体" w:eastAsia="宋体" w:cs="宋体"/>
                <w:b/>
                <w:bCs/>
                <w:color w:val="auto"/>
                <w:spacing w:val="-8"/>
                <w:highlight w:val="none"/>
              </w:rPr>
              <w:t>类别</w:t>
            </w:r>
          </w:p>
        </w:tc>
        <w:tc>
          <w:tcPr>
            <w:tcW w:w="1500" w:type="dxa"/>
            <w:vMerge w:val="restart"/>
            <w:shd w:val="clear" w:color="auto" w:fill="00B050"/>
            <w:vAlign w:val="center"/>
          </w:tcPr>
          <w:p w14:paraId="635F25A6">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8"/>
                <w:highlight w:val="none"/>
              </w:rPr>
              <w:t>类别</w:t>
            </w:r>
          </w:p>
        </w:tc>
        <w:tc>
          <w:tcPr>
            <w:tcW w:w="5612" w:type="dxa"/>
            <w:gridSpan w:val="2"/>
            <w:shd w:val="clear" w:color="auto" w:fill="00B050"/>
            <w:vAlign w:val="center"/>
          </w:tcPr>
          <w:p w14:paraId="40DC35C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b/>
                <w:bCs/>
                <w:color w:val="auto"/>
                <w:spacing w:val="-5"/>
                <w:highlight w:val="none"/>
              </w:rPr>
              <w:t>维修时限要求</w:t>
            </w:r>
          </w:p>
        </w:tc>
      </w:tr>
      <w:tr w14:paraId="16A84C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82" w:type="dxa"/>
            <w:gridSpan w:val="2"/>
            <w:vMerge w:val="continue"/>
            <w:shd w:val="clear" w:color="auto" w:fill="00B050"/>
            <w:vAlign w:val="center"/>
          </w:tcPr>
          <w:p w14:paraId="7095D42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1500" w:type="dxa"/>
            <w:vMerge w:val="continue"/>
            <w:shd w:val="clear" w:color="auto" w:fill="00B050"/>
            <w:vAlign w:val="center"/>
          </w:tcPr>
          <w:p w14:paraId="1162BE1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pacing w:val="-4"/>
                <w:highlight w:val="none"/>
              </w:rPr>
            </w:pPr>
          </w:p>
        </w:tc>
        <w:tc>
          <w:tcPr>
            <w:tcW w:w="2717" w:type="dxa"/>
            <w:shd w:val="clear" w:color="auto" w:fill="00B050"/>
            <w:vAlign w:val="center"/>
          </w:tcPr>
          <w:p w14:paraId="55BF3E09">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0"/>
                <w:highlight w:val="none"/>
              </w:rPr>
            </w:pPr>
            <w:r>
              <w:rPr>
                <w:rFonts w:hint="eastAsia" w:ascii="宋体" w:hAnsi="宋体" w:eastAsia="宋体" w:cs="宋体"/>
                <w:b/>
                <w:bCs/>
                <w:color w:val="auto"/>
                <w:spacing w:val="-8"/>
                <w:highlight w:val="none"/>
              </w:rPr>
              <w:t>一般路</w:t>
            </w:r>
          </w:p>
        </w:tc>
        <w:tc>
          <w:tcPr>
            <w:tcW w:w="2895" w:type="dxa"/>
            <w:shd w:val="clear" w:color="auto" w:fill="00B050"/>
            <w:vAlign w:val="center"/>
          </w:tcPr>
          <w:p w14:paraId="778950C1">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0"/>
                <w:highlight w:val="none"/>
              </w:rPr>
            </w:pPr>
            <w:r>
              <w:rPr>
                <w:rFonts w:hint="eastAsia" w:ascii="宋体" w:hAnsi="宋体" w:eastAsia="宋体" w:cs="宋体"/>
                <w:b/>
                <w:bCs/>
                <w:color w:val="auto"/>
                <w:spacing w:val="-5"/>
                <w:highlight w:val="none"/>
              </w:rPr>
              <w:t>主、次干路</w:t>
            </w:r>
          </w:p>
        </w:tc>
      </w:tr>
      <w:tr w14:paraId="58EA00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82" w:type="dxa"/>
            <w:gridSpan w:val="2"/>
            <w:vMerge w:val="restart"/>
            <w:vAlign w:val="center"/>
          </w:tcPr>
          <w:p w14:paraId="4B96A8A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r>
              <w:rPr>
                <w:rFonts w:hint="eastAsia" w:ascii="宋体" w:hAnsi="宋体" w:eastAsia="宋体" w:cs="宋体"/>
                <w:color w:val="auto"/>
                <w:spacing w:val="-5"/>
                <w:highlight w:val="none"/>
              </w:rPr>
              <w:t>掘路修补</w:t>
            </w:r>
          </w:p>
        </w:tc>
        <w:tc>
          <w:tcPr>
            <w:tcW w:w="1500" w:type="dxa"/>
            <w:vAlign w:val="center"/>
          </w:tcPr>
          <w:p w14:paraId="1E8756BD">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4"/>
                <w:highlight w:val="none"/>
              </w:rPr>
            </w:pPr>
            <w:r>
              <w:rPr>
                <w:rFonts w:hint="eastAsia" w:ascii="宋体" w:hAnsi="宋体" w:eastAsia="宋体" w:cs="宋体"/>
                <w:color w:val="auto"/>
                <w:spacing w:val="-7"/>
                <w:position w:val="-1"/>
                <w:highlight w:val="none"/>
              </w:rPr>
              <w:t>≤5</w:t>
            </w:r>
            <w:r>
              <w:rPr>
                <w:rFonts w:hint="eastAsia" w:ascii="宋体" w:hAnsi="宋体" w:eastAsia="宋体" w:cs="宋体"/>
                <w:color w:val="auto"/>
                <w:spacing w:val="1"/>
                <w:position w:val="-1"/>
                <w:highlight w:val="none"/>
              </w:rPr>
              <w:t xml:space="preserve"> </w:t>
            </w:r>
            <w:r>
              <w:rPr>
                <w:rFonts w:hint="eastAsia" w:ascii="宋体" w:hAnsi="宋体" w:eastAsia="宋体" w:cs="宋体"/>
                <w:color w:val="auto"/>
                <w:spacing w:val="-7"/>
                <w:position w:val="-1"/>
                <w:highlight w:val="none"/>
              </w:rPr>
              <w:t>m</w:t>
            </w:r>
            <w:r>
              <w:rPr>
                <w:rFonts w:hint="eastAsia" w:ascii="宋体" w:hAnsi="宋体" w:eastAsia="宋体" w:cs="宋体"/>
                <w:color w:val="auto"/>
                <w:spacing w:val="-7"/>
                <w:position w:val="13"/>
                <w:sz w:val="13"/>
                <w:szCs w:val="13"/>
                <w:highlight w:val="none"/>
              </w:rPr>
              <w:t>2</w:t>
            </w:r>
          </w:p>
        </w:tc>
        <w:tc>
          <w:tcPr>
            <w:tcW w:w="2717" w:type="dxa"/>
            <w:vAlign w:val="center"/>
          </w:tcPr>
          <w:p w14:paraId="454FEE11">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0"/>
                <w:highlight w:val="none"/>
              </w:rPr>
            </w:pPr>
            <w:r>
              <w:rPr>
                <w:rFonts w:hint="eastAsia" w:ascii="宋体" w:hAnsi="宋体" w:eastAsia="宋体" w:cs="宋体"/>
                <w:color w:val="auto"/>
                <w:spacing w:val="-21"/>
                <w:highlight w:val="none"/>
              </w:rPr>
              <w:t>2 日内</w:t>
            </w:r>
          </w:p>
        </w:tc>
        <w:tc>
          <w:tcPr>
            <w:tcW w:w="2895" w:type="dxa"/>
            <w:vAlign w:val="center"/>
          </w:tcPr>
          <w:p w14:paraId="43D9932E">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0"/>
                <w:highlight w:val="none"/>
              </w:rPr>
            </w:pPr>
            <w:r>
              <w:rPr>
                <w:rFonts w:hint="eastAsia" w:ascii="宋体" w:hAnsi="宋体" w:eastAsia="宋体" w:cs="宋体"/>
                <w:color w:val="auto"/>
                <w:spacing w:val="-30"/>
                <w:highlight w:val="none"/>
              </w:rPr>
              <w:t>1</w:t>
            </w:r>
            <w:r>
              <w:rPr>
                <w:rFonts w:hint="eastAsia" w:ascii="宋体" w:hAnsi="宋体" w:eastAsia="宋体" w:cs="宋体"/>
                <w:color w:val="auto"/>
                <w:spacing w:val="-10"/>
                <w:highlight w:val="none"/>
              </w:rPr>
              <w:t xml:space="preserve"> </w:t>
            </w:r>
            <w:r>
              <w:rPr>
                <w:rFonts w:hint="eastAsia" w:ascii="宋体" w:hAnsi="宋体" w:eastAsia="宋体" w:cs="宋体"/>
                <w:color w:val="auto"/>
                <w:spacing w:val="-30"/>
                <w:highlight w:val="none"/>
              </w:rPr>
              <w:t>日内</w:t>
            </w:r>
          </w:p>
        </w:tc>
      </w:tr>
      <w:tr w14:paraId="2C6104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82" w:type="dxa"/>
            <w:gridSpan w:val="2"/>
            <w:vMerge w:val="continue"/>
            <w:vAlign w:val="center"/>
          </w:tcPr>
          <w:p w14:paraId="6BDCD9E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1500" w:type="dxa"/>
            <w:vAlign w:val="center"/>
          </w:tcPr>
          <w:p w14:paraId="20025414">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4"/>
                <w:highlight w:val="none"/>
              </w:rPr>
            </w:pPr>
            <w:r>
              <w:rPr>
                <w:rFonts w:hint="eastAsia" w:ascii="宋体" w:hAnsi="宋体" w:eastAsia="宋体" w:cs="宋体"/>
                <w:color w:val="auto"/>
                <w:spacing w:val="-3"/>
                <w:highlight w:val="none"/>
              </w:rPr>
              <w:t>横向沟槽</w:t>
            </w:r>
          </w:p>
        </w:tc>
        <w:tc>
          <w:tcPr>
            <w:tcW w:w="2717" w:type="dxa"/>
            <w:vAlign w:val="center"/>
          </w:tcPr>
          <w:p w14:paraId="33B14B66">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0"/>
                <w:highlight w:val="none"/>
              </w:rPr>
            </w:pPr>
            <w:r>
              <w:rPr>
                <w:rFonts w:hint="eastAsia" w:ascii="宋体" w:hAnsi="宋体" w:eastAsia="宋体" w:cs="宋体"/>
                <w:color w:val="auto"/>
                <w:spacing w:val="-10"/>
                <w:highlight w:val="none"/>
              </w:rPr>
              <w:t>1 日内采取措施临时</w:t>
            </w:r>
            <w:r>
              <w:rPr>
                <w:rFonts w:hint="eastAsia" w:ascii="宋体" w:hAnsi="宋体" w:eastAsia="宋体" w:cs="宋体"/>
                <w:color w:val="auto"/>
                <w:spacing w:val="-9"/>
                <w:highlight w:val="none"/>
              </w:rPr>
              <w:t>硬化，7 日内修复</w:t>
            </w:r>
          </w:p>
        </w:tc>
        <w:tc>
          <w:tcPr>
            <w:tcW w:w="2895" w:type="dxa"/>
            <w:vAlign w:val="center"/>
          </w:tcPr>
          <w:p w14:paraId="65E5AC49">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0"/>
                <w:highlight w:val="none"/>
              </w:rPr>
            </w:pPr>
            <w:r>
              <w:rPr>
                <w:rFonts w:hint="eastAsia" w:ascii="宋体" w:hAnsi="宋体" w:eastAsia="宋体" w:cs="宋体"/>
                <w:color w:val="auto"/>
                <w:spacing w:val="-10"/>
                <w:highlight w:val="none"/>
              </w:rPr>
              <w:t>1 日内采取措施临时</w:t>
            </w:r>
            <w:r>
              <w:rPr>
                <w:rFonts w:hint="eastAsia" w:ascii="宋体" w:hAnsi="宋体" w:eastAsia="宋体" w:cs="宋体"/>
                <w:color w:val="auto"/>
                <w:spacing w:val="-8"/>
                <w:highlight w:val="none"/>
              </w:rPr>
              <w:t>硬化， 4 日内修复</w:t>
            </w:r>
          </w:p>
        </w:tc>
      </w:tr>
      <w:tr w14:paraId="3C0AB4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trPr>
        <w:tc>
          <w:tcPr>
            <w:tcW w:w="1482" w:type="dxa"/>
            <w:gridSpan w:val="2"/>
            <w:vMerge w:val="continue"/>
            <w:vAlign w:val="center"/>
          </w:tcPr>
          <w:p w14:paraId="37373010">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1500" w:type="dxa"/>
            <w:vAlign w:val="center"/>
          </w:tcPr>
          <w:p w14:paraId="6C711CBC">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纵向沟槽</w:t>
            </w:r>
          </w:p>
        </w:tc>
        <w:tc>
          <w:tcPr>
            <w:tcW w:w="2717" w:type="dxa"/>
            <w:vAlign w:val="center"/>
          </w:tcPr>
          <w:p w14:paraId="21FD7CA8">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0"/>
                <w:highlight w:val="none"/>
              </w:rPr>
            </w:pPr>
            <w:r>
              <w:rPr>
                <w:rFonts w:hint="eastAsia" w:ascii="宋体" w:hAnsi="宋体" w:eastAsia="宋体" w:cs="宋体"/>
                <w:color w:val="auto"/>
                <w:spacing w:val="-20"/>
                <w:highlight w:val="none"/>
              </w:rPr>
              <w:t>10 日内</w:t>
            </w:r>
          </w:p>
        </w:tc>
        <w:tc>
          <w:tcPr>
            <w:tcW w:w="2895" w:type="dxa"/>
            <w:vAlign w:val="center"/>
          </w:tcPr>
          <w:p w14:paraId="0146F7E5">
            <w:pPr>
              <w:pStyle w:val="76"/>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宋体" w:hAnsi="宋体" w:eastAsia="宋体" w:cs="宋体"/>
                <w:color w:val="auto"/>
                <w:spacing w:val="-20"/>
                <w:highlight w:val="none"/>
              </w:rPr>
            </w:pPr>
            <w:r>
              <w:rPr>
                <w:rFonts w:hint="eastAsia" w:ascii="宋体" w:hAnsi="宋体" w:eastAsia="宋体" w:cs="宋体"/>
                <w:color w:val="auto"/>
                <w:spacing w:val="-20"/>
                <w:highlight w:val="none"/>
              </w:rPr>
              <w:t>8 日内</w:t>
            </w:r>
          </w:p>
        </w:tc>
      </w:tr>
      <w:tr w14:paraId="7E2F23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trPr>
        <w:tc>
          <w:tcPr>
            <w:tcW w:w="1482" w:type="dxa"/>
            <w:gridSpan w:val="2"/>
            <w:vMerge w:val="continue"/>
            <w:vAlign w:val="center"/>
          </w:tcPr>
          <w:p w14:paraId="4BEE232C">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1500" w:type="dxa"/>
            <w:vAlign w:val="center"/>
          </w:tcPr>
          <w:p w14:paraId="0EB305F2">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大面积沟</w:t>
            </w:r>
            <w:r>
              <w:rPr>
                <w:rFonts w:hint="eastAsia" w:ascii="宋体" w:hAnsi="宋体" w:eastAsia="宋体" w:cs="宋体"/>
                <w:color w:val="auto"/>
                <w:highlight w:val="none"/>
              </w:rPr>
              <w:t>槽</w:t>
            </w:r>
          </w:p>
          <w:p w14:paraId="2189B7C7">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9"/>
                <w:highlight w:val="none"/>
              </w:rPr>
              <w:t>(</w:t>
            </w:r>
            <w:r>
              <w:rPr>
                <w:rFonts w:hint="eastAsia" w:ascii="宋体" w:hAnsi="宋体" w:eastAsia="宋体" w:cs="宋体"/>
                <w:color w:val="auto"/>
                <w:spacing w:val="-63"/>
                <w:highlight w:val="none"/>
              </w:rPr>
              <w:t xml:space="preserve"> </w:t>
            </w:r>
            <w:r>
              <w:rPr>
                <w:rFonts w:hint="eastAsia" w:ascii="宋体" w:hAnsi="宋体" w:eastAsia="宋体" w:cs="宋体"/>
                <w:color w:val="auto"/>
                <w:spacing w:val="9"/>
                <w:highlight w:val="none"/>
              </w:rPr>
              <w:t>&gt;200</w:t>
            </w:r>
            <w:r>
              <w:rPr>
                <w:rFonts w:hint="eastAsia" w:ascii="宋体" w:hAnsi="宋体" w:eastAsia="宋体" w:cs="宋体"/>
                <w:color w:val="auto"/>
                <w:position w:val="-1"/>
                <w:highlight w:val="none"/>
              </w:rPr>
              <w:t>m</w:t>
            </w:r>
            <w:r>
              <w:rPr>
                <w:rFonts w:hint="eastAsia" w:ascii="宋体" w:hAnsi="宋体" w:eastAsia="宋体" w:cs="宋体"/>
                <w:color w:val="auto"/>
                <w:position w:val="12"/>
                <w:sz w:val="13"/>
                <w:szCs w:val="13"/>
                <w:highlight w:val="none"/>
              </w:rPr>
              <w:t>2</w:t>
            </w:r>
            <w:r>
              <w:rPr>
                <w:rFonts w:hint="eastAsia" w:ascii="宋体" w:hAnsi="宋体" w:eastAsia="宋体" w:cs="宋体"/>
                <w:color w:val="auto"/>
                <w:position w:val="-1"/>
                <w:highlight w:val="none"/>
              </w:rPr>
              <w:t>）</w:t>
            </w:r>
          </w:p>
        </w:tc>
        <w:tc>
          <w:tcPr>
            <w:tcW w:w="2717" w:type="dxa"/>
            <w:vAlign w:val="center"/>
          </w:tcPr>
          <w:p w14:paraId="4A12028B">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在上述(2、3)项基础</w:t>
            </w:r>
            <w:r>
              <w:rPr>
                <w:rFonts w:hint="eastAsia" w:ascii="宋体" w:hAnsi="宋体" w:eastAsia="宋体" w:cs="宋体"/>
                <w:color w:val="auto"/>
                <w:spacing w:val="-4"/>
                <w:highlight w:val="none"/>
              </w:rPr>
              <w:t>上，每增加</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4"/>
                <w:highlight w:val="none"/>
              </w:rPr>
              <w:t>100m2</w:t>
            </w:r>
            <w:r>
              <w:rPr>
                <w:rFonts w:hint="eastAsia" w:ascii="宋体" w:hAnsi="宋体" w:eastAsia="宋体" w:cs="宋体"/>
                <w:color w:val="auto"/>
                <w:spacing w:val="-11"/>
                <w:highlight w:val="none"/>
              </w:rPr>
              <w:t>顺延</w:t>
            </w:r>
            <w:r>
              <w:rPr>
                <w:rFonts w:hint="eastAsia" w:ascii="宋体" w:hAnsi="宋体" w:eastAsia="宋体" w:cs="宋体"/>
                <w:color w:val="auto"/>
                <w:spacing w:val="-39"/>
                <w:highlight w:val="none"/>
              </w:rPr>
              <w:t xml:space="preserve"> </w:t>
            </w:r>
            <w:r>
              <w:rPr>
                <w:rFonts w:hint="eastAsia" w:ascii="宋体" w:hAnsi="宋体" w:eastAsia="宋体" w:cs="宋体"/>
                <w:color w:val="auto"/>
                <w:spacing w:val="-11"/>
                <w:highlight w:val="none"/>
              </w:rPr>
              <w:t>1 日</w:t>
            </w:r>
          </w:p>
        </w:tc>
        <w:tc>
          <w:tcPr>
            <w:tcW w:w="2895" w:type="dxa"/>
            <w:vAlign w:val="center"/>
          </w:tcPr>
          <w:p w14:paraId="1EA72EC6">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3"/>
                <w:highlight w:val="none"/>
              </w:rPr>
              <w:t>在上述（2、3）项基础</w:t>
            </w:r>
            <w:r>
              <w:rPr>
                <w:rFonts w:hint="eastAsia" w:ascii="宋体" w:hAnsi="宋体" w:eastAsia="宋体" w:cs="宋体"/>
                <w:color w:val="auto"/>
                <w:spacing w:val="-15"/>
                <w:highlight w:val="none"/>
              </w:rPr>
              <w:t>上，每增加</w:t>
            </w:r>
            <w:r>
              <w:rPr>
                <w:rFonts w:hint="eastAsia" w:ascii="宋体" w:hAnsi="宋体" w:eastAsia="宋体" w:cs="宋体"/>
                <w:color w:val="auto"/>
                <w:spacing w:val="-37"/>
                <w:highlight w:val="none"/>
              </w:rPr>
              <w:t xml:space="preserve"> </w:t>
            </w:r>
            <w:r>
              <w:rPr>
                <w:rFonts w:hint="eastAsia" w:ascii="宋体" w:hAnsi="宋体" w:eastAsia="宋体" w:cs="宋体"/>
                <w:color w:val="auto"/>
                <w:spacing w:val="-15"/>
                <w:highlight w:val="none"/>
              </w:rPr>
              <w:t>100m2</w:t>
            </w:r>
            <w:r>
              <w:rPr>
                <w:rFonts w:hint="eastAsia" w:ascii="宋体" w:hAnsi="宋体" w:eastAsia="宋体" w:cs="宋体"/>
                <w:color w:val="auto"/>
                <w:spacing w:val="-59"/>
                <w:highlight w:val="none"/>
              </w:rPr>
              <w:t xml:space="preserve"> </w:t>
            </w:r>
            <w:r>
              <w:rPr>
                <w:rFonts w:hint="eastAsia" w:ascii="宋体" w:hAnsi="宋体" w:eastAsia="宋体" w:cs="宋体"/>
                <w:color w:val="auto"/>
                <w:spacing w:val="-15"/>
                <w:highlight w:val="none"/>
              </w:rPr>
              <w:t>顺延1 日</w:t>
            </w:r>
          </w:p>
        </w:tc>
      </w:tr>
      <w:tr w14:paraId="597873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1482" w:type="dxa"/>
            <w:gridSpan w:val="2"/>
            <w:vMerge w:val="continue"/>
            <w:vAlign w:val="center"/>
          </w:tcPr>
          <w:p w14:paraId="1F24D4C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1500" w:type="dxa"/>
            <w:vAlign w:val="center"/>
          </w:tcPr>
          <w:p w14:paraId="6DACE42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00B8DCE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458CEEBD">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冬季沟槽</w:t>
            </w:r>
          </w:p>
        </w:tc>
        <w:tc>
          <w:tcPr>
            <w:tcW w:w="2717" w:type="dxa"/>
            <w:vAlign w:val="center"/>
          </w:tcPr>
          <w:p w14:paraId="4D66499D">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0"/>
                <w:highlight w:val="none"/>
              </w:rPr>
              <w:t>1 日内完成临时硬化</w:t>
            </w:r>
            <w:r>
              <w:rPr>
                <w:rFonts w:hint="eastAsia" w:ascii="宋体" w:hAnsi="宋体" w:eastAsia="宋体" w:cs="宋体"/>
                <w:color w:val="auto"/>
                <w:spacing w:val="-4"/>
                <w:highlight w:val="none"/>
              </w:rPr>
              <w:t>工作，大面积参照上</w:t>
            </w:r>
            <w:r>
              <w:rPr>
                <w:rFonts w:hint="eastAsia" w:ascii="宋体" w:hAnsi="宋体" w:eastAsia="宋体" w:cs="宋体"/>
                <w:color w:val="auto"/>
                <w:spacing w:val="-2"/>
                <w:highlight w:val="none"/>
              </w:rPr>
              <w:t>述(4)执行，横向沟</w:t>
            </w:r>
          </w:p>
          <w:p w14:paraId="6A8EFD08">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槽用冬季冷补料修</w:t>
            </w:r>
            <w:r>
              <w:rPr>
                <w:rFonts w:hint="eastAsia" w:ascii="宋体" w:hAnsi="宋体" w:eastAsia="宋体" w:cs="宋体"/>
                <w:color w:val="auto"/>
                <w:spacing w:val="-4"/>
                <w:highlight w:val="none"/>
              </w:rPr>
              <w:t>复，其余无条件用冷</w:t>
            </w:r>
            <w:r>
              <w:rPr>
                <w:rFonts w:hint="eastAsia" w:ascii="宋体" w:hAnsi="宋体" w:eastAsia="宋体" w:cs="宋体"/>
                <w:color w:val="auto"/>
                <w:spacing w:val="-2"/>
                <w:highlight w:val="none"/>
              </w:rPr>
              <w:t>补料修补的做好硬</w:t>
            </w:r>
            <w:r>
              <w:rPr>
                <w:rFonts w:hint="eastAsia" w:ascii="宋体" w:hAnsi="宋体" w:eastAsia="宋体" w:cs="宋体"/>
                <w:color w:val="auto"/>
                <w:spacing w:val="-3"/>
                <w:highlight w:val="none"/>
              </w:rPr>
              <w:t>化调整工作</w:t>
            </w:r>
          </w:p>
        </w:tc>
        <w:tc>
          <w:tcPr>
            <w:tcW w:w="2895" w:type="dxa"/>
            <w:vAlign w:val="center"/>
          </w:tcPr>
          <w:p w14:paraId="61439C8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0"/>
                <w:highlight w:val="none"/>
              </w:rPr>
              <w:t>1 日内完成临时硬化</w:t>
            </w:r>
            <w:r>
              <w:rPr>
                <w:rFonts w:hint="eastAsia" w:ascii="宋体" w:hAnsi="宋体" w:eastAsia="宋体" w:cs="宋体"/>
                <w:color w:val="auto"/>
                <w:spacing w:val="-14"/>
                <w:highlight w:val="none"/>
              </w:rPr>
              <w:t>工作，横向沟槽、小面</w:t>
            </w:r>
            <w:r>
              <w:rPr>
                <w:rFonts w:hint="eastAsia" w:ascii="宋体" w:hAnsi="宋体" w:eastAsia="宋体" w:cs="宋体"/>
                <w:color w:val="auto"/>
                <w:spacing w:val="-2"/>
                <w:highlight w:val="none"/>
              </w:rPr>
              <w:t>积纵向沟槽用冬季冷</w:t>
            </w:r>
            <w:r>
              <w:rPr>
                <w:rFonts w:hint="eastAsia" w:ascii="宋体" w:hAnsi="宋体" w:eastAsia="宋体" w:cs="宋体"/>
                <w:color w:val="auto"/>
                <w:spacing w:val="-14"/>
                <w:highlight w:val="none"/>
              </w:rPr>
              <w:t>补料修复，其余无条件</w:t>
            </w:r>
            <w:r>
              <w:rPr>
                <w:rFonts w:hint="eastAsia" w:ascii="宋体" w:hAnsi="宋体" w:eastAsia="宋体" w:cs="宋体"/>
                <w:color w:val="auto"/>
                <w:spacing w:val="-2"/>
                <w:highlight w:val="none"/>
              </w:rPr>
              <w:t>用冷补料修补的做好硬化调整工作</w:t>
            </w:r>
          </w:p>
        </w:tc>
      </w:tr>
      <w:tr w14:paraId="3EFC21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4" w:hRule="atLeast"/>
        </w:trPr>
        <w:tc>
          <w:tcPr>
            <w:tcW w:w="501" w:type="dxa"/>
            <w:vMerge w:val="restart"/>
            <w:tcBorders>
              <w:bottom w:val="nil"/>
            </w:tcBorders>
            <w:textDirection w:val="tbRlV"/>
            <w:vAlign w:val="center"/>
          </w:tcPr>
          <w:p w14:paraId="74712AF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966" w:firstLineChars="300"/>
              <w:jc w:val="center"/>
              <w:textAlignment w:val="auto"/>
              <w:rPr>
                <w:rFonts w:hint="eastAsia" w:ascii="宋体" w:hAnsi="宋体" w:eastAsia="宋体" w:cs="宋体"/>
                <w:color w:val="auto"/>
                <w:highlight w:val="none"/>
              </w:rPr>
            </w:pPr>
            <w:r>
              <w:rPr>
                <w:rFonts w:hint="eastAsia" w:ascii="宋体" w:hAnsi="宋体" w:eastAsia="宋体" w:cs="宋体"/>
                <w:color w:val="auto"/>
                <w:spacing w:val="56"/>
                <w:highlight w:val="none"/>
              </w:rPr>
              <w:t>人行道</w:t>
            </w:r>
          </w:p>
        </w:tc>
        <w:tc>
          <w:tcPr>
            <w:tcW w:w="981" w:type="dxa"/>
            <w:vAlign w:val="center"/>
          </w:tcPr>
          <w:p w14:paraId="7ADA921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5F380D99">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零星</w:t>
            </w:r>
            <w:r>
              <w:rPr>
                <w:rFonts w:hint="eastAsia" w:ascii="宋体" w:hAnsi="宋体" w:eastAsia="宋体" w:cs="宋体"/>
                <w:color w:val="auto"/>
                <w:spacing w:val="-7"/>
                <w:highlight w:val="none"/>
              </w:rPr>
              <w:t>维修</w:t>
            </w:r>
          </w:p>
        </w:tc>
        <w:tc>
          <w:tcPr>
            <w:tcW w:w="1500" w:type="dxa"/>
            <w:vAlign w:val="center"/>
          </w:tcPr>
          <w:p w14:paraId="59D4958A">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坑洼、沉</w:t>
            </w:r>
            <w:r>
              <w:rPr>
                <w:rFonts w:hint="eastAsia" w:ascii="宋体" w:hAnsi="宋体" w:eastAsia="宋体" w:cs="宋体"/>
                <w:color w:val="auto"/>
                <w:spacing w:val="-14"/>
                <w:highlight w:val="none"/>
              </w:rPr>
              <w:t>陷、缺失、</w:t>
            </w:r>
          </w:p>
          <w:p w14:paraId="6A4537AB">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13"/>
                <w:szCs w:val="13"/>
                <w:highlight w:val="none"/>
              </w:rPr>
            </w:pPr>
            <w:r>
              <w:rPr>
                <w:rFonts w:hint="eastAsia" w:ascii="宋体" w:hAnsi="宋体" w:eastAsia="宋体" w:cs="宋体"/>
                <w:color w:val="auto"/>
                <w:spacing w:val="-3"/>
                <w:highlight w:val="none"/>
              </w:rPr>
              <w:t>松散等≤5</w:t>
            </w:r>
            <w:r>
              <w:rPr>
                <w:rFonts w:hint="eastAsia" w:ascii="宋体" w:hAnsi="宋体" w:eastAsia="宋体" w:cs="宋体"/>
                <w:color w:val="auto"/>
                <w:spacing w:val="3"/>
                <w:highlight w:val="none"/>
              </w:rPr>
              <w:t xml:space="preserve"> </w:t>
            </w:r>
            <w:r>
              <w:rPr>
                <w:rFonts w:hint="eastAsia" w:ascii="宋体" w:hAnsi="宋体" w:eastAsia="宋体" w:cs="宋体"/>
                <w:color w:val="auto"/>
                <w:position w:val="-2"/>
                <w:highlight w:val="none"/>
              </w:rPr>
              <w:t>m</w:t>
            </w:r>
            <w:r>
              <w:rPr>
                <w:rFonts w:hint="eastAsia" w:ascii="宋体" w:hAnsi="宋体" w:eastAsia="宋体" w:cs="宋体"/>
                <w:color w:val="auto"/>
                <w:position w:val="11"/>
                <w:sz w:val="13"/>
                <w:szCs w:val="13"/>
                <w:highlight w:val="none"/>
              </w:rPr>
              <w:t>2</w:t>
            </w:r>
          </w:p>
        </w:tc>
        <w:tc>
          <w:tcPr>
            <w:tcW w:w="2717" w:type="dxa"/>
            <w:vAlign w:val="center"/>
          </w:tcPr>
          <w:p w14:paraId="5359C24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77A99DB0">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1"/>
                <w:highlight w:val="none"/>
              </w:rPr>
              <w:t>3 日内</w:t>
            </w:r>
          </w:p>
        </w:tc>
        <w:tc>
          <w:tcPr>
            <w:tcW w:w="2895" w:type="dxa"/>
            <w:vAlign w:val="center"/>
          </w:tcPr>
          <w:p w14:paraId="4BC0F1E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7D8246AE">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1"/>
                <w:highlight w:val="none"/>
              </w:rPr>
              <w:t>3 日内</w:t>
            </w:r>
          </w:p>
        </w:tc>
      </w:tr>
      <w:tr w14:paraId="106A55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501" w:type="dxa"/>
            <w:vMerge w:val="continue"/>
            <w:tcBorders>
              <w:top w:val="nil"/>
              <w:bottom w:val="nil"/>
            </w:tcBorders>
            <w:textDirection w:val="tbRlV"/>
            <w:vAlign w:val="center"/>
          </w:tcPr>
          <w:p w14:paraId="5BA268C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981" w:type="dxa"/>
            <w:vAlign w:val="center"/>
          </w:tcPr>
          <w:p w14:paraId="728BF801">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7"/>
                <w:highlight w:val="none"/>
              </w:rPr>
              <w:t>局部</w:t>
            </w:r>
            <w:r>
              <w:rPr>
                <w:rFonts w:hint="eastAsia" w:ascii="宋体" w:hAnsi="宋体" w:eastAsia="宋体" w:cs="宋体"/>
                <w:color w:val="auto"/>
                <w:spacing w:val="-6"/>
                <w:highlight w:val="none"/>
              </w:rPr>
              <w:t>整修</w:t>
            </w:r>
          </w:p>
        </w:tc>
        <w:tc>
          <w:tcPr>
            <w:tcW w:w="1500" w:type="dxa"/>
            <w:vAlign w:val="center"/>
          </w:tcPr>
          <w:p w14:paraId="65254136">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13"/>
                <w:szCs w:val="13"/>
                <w:highlight w:val="none"/>
              </w:rPr>
            </w:pPr>
            <w:r>
              <w:rPr>
                <w:rFonts w:hint="eastAsia" w:ascii="宋体" w:hAnsi="宋体" w:eastAsia="宋体" w:cs="宋体"/>
                <w:color w:val="auto"/>
                <w:spacing w:val="-3"/>
                <w:highlight w:val="none"/>
              </w:rPr>
              <w:t>较大面积</w:t>
            </w:r>
            <w:r>
              <w:rPr>
                <w:rFonts w:hint="eastAsia" w:ascii="宋体" w:hAnsi="宋体" w:eastAsia="宋体" w:cs="宋体"/>
                <w:color w:val="auto"/>
                <w:spacing w:val="-2"/>
                <w:highlight w:val="none"/>
              </w:rPr>
              <w:t>整修＞5</w:t>
            </w:r>
            <w:r>
              <w:rPr>
                <w:rFonts w:hint="eastAsia" w:ascii="宋体" w:hAnsi="宋体" w:eastAsia="宋体" w:cs="宋体"/>
                <w:color w:val="auto"/>
                <w:spacing w:val="-42"/>
                <w:highlight w:val="none"/>
              </w:rPr>
              <w:t xml:space="preserve"> </w:t>
            </w:r>
            <w:r>
              <w:rPr>
                <w:rFonts w:hint="eastAsia" w:ascii="宋体" w:hAnsi="宋体" w:eastAsia="宋体" w:cs="宋体"/>
                <w:color w:val="auto"/>
                <w:spacing w:val="-2"/>
                <w:highlight w:val="none"/>
              </w:rPr>
              <w:t>m</w:t>
            </w:r>
            <w:r>
              <w:rPr>
                <w:rFonts w:hint="eastAsia" w:ascii="宋体" w:hAnsi="宋体" w:eastAsia="宋体" w:cs="宋体"/>
                <w:color w:val="auto"/>
                <w:spacing w:val="-2"/>
                <w:position w:val="13"/>
                <w:sz w:val="13"/>
                <w:szCs w:val="13"/>
                <w:highlight w:val="none"/>
              </w:rPr>
              <w:t>2</w:t>
            </w:r>
          </w:p>
        </w:tc>
        <w:tc>
          <w:tcPr>
            <w:tcW w:w="2717" w:type="dxa"/>
            <w:vAlign w:val="center"/>
          </w:tcPr>
          <w:p w14:paraId="64E1840C">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0"/>
                <w:highlight w:val="none"/>
              </w:rPr>
              <w:t>8 日内</w:t>
            </w:r>
          </w:p>
        </w:tc>
        <w:tc>
          <w:tcPr>
            <w:tcW w:w="2895" w:type="dxa"/>
            <w:vAlign w:val="center"/>
          </w:tcPr>
          <w:p w14:paraId="76A7E761">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0"/>
                <w:highlight w:val="none"/>
              </w:rPr>
              <w:t>8 日内</w:t>
            </w:r>
          </w:p>
        </w:tc>
      </w:tr>
      <w:tr w14:paraId="6E4289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501" w:type="dxa"/>
            <w:vMerge w:val="continue"/>
            <w:tcBorders>
              <w:top w:val="nil"/>
              <w:bottom w:val="nil"/>
            </w:tcBorders>
            <w:textDirection w:val="tbRlV"/>
            <w:vAlign w:val="center"/>
          </w:tcPr>
          <w:p w14:paraId="43BB58D5">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981" w:type="dxa"/>
            <w:vAlign w:val="center"/>
          </w:tcPr>
          <w:p w14:paraId="74F00B5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5"/>
                <w:highlight w:val="none"/>
              </w:rPr>
              <w:t>掘路</w:t>
            </w:r>
          </w:p>
        </w:tc>
        <w:tc>
          <w:tcPr>
            <w:tcW w:w="1500" w:type="dxa"/>
            <w:vAlign w:val="center"/>
          </w:tcPr>
          <w:p w14:paraId="166FD86E">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position w:val="-4"/>
                <w:highlight w:val="none"/>
              </w:rPr>
              <w:t>——</w:t>
            </w:r>
          </w:p>
        </w:tc>
        <w:tc>
          <w:tcPr>
            <w:tcW w:w="2717" w:type="dxa"/>
            <w:vAlign w:val="center"/>
          </w:tcPr>
          <w:p w14:paraId="304EDCE7">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0"/>
                <w:highlight w:val="none"/>
              </w:rPr>
              <w:t>10 日内</w:t>
            </w:r>
          </w:p>
        </w:tc>
        <w:tc>
          <w:tcPr>
            <w:tcW w:w="2895" w:type="dxa"/>
            <w:vAlign w:val="center"/>
          </w:tcPr>
          <w:p w14:paraId="7E39118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0"/>
                <w:highlight w:val="none"/>
              </w:rPr>
              <w:t>8 日内</w:t>
            </w:r>
          </w:p>
        </w:tc>
      </w:tr>
      <w:tr w14:paraId="39287B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1" w:hRule="atLeast"/>
        </w:trPr>
        <w:tc>
          <w:tcPr>
            <w:tcW w:w="501" w:type="dxa"/>
            <w:vMerge w:val="continue"/>
            <w:tcBorders>
              <w:top w:val="nil"/>
            </w:tcBorders>
            <w:textDirection w:val="tbRlV"/>
            <w:vAlign w:val="center"/>
          </w:tcPr>
          <w:p w14:paraId="7723BCB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tc>
        <w:tc>
          <w:tcPr>
            <w:tcW w:w="981" w:type="dxa"/>
            <w:vAlign w:val="center"/>
          </w:tcPr>
          <w:p w14:paraId="7BD463ED">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沿石</w:t>
            </w:r>
          </w:p>
        </w:tc>
        <w:tc>
          <w:tcPr>
            <w:tcW w:w="1500" w:type="dxa"/>
            <w:vAlign w:val="center"/>
          </w:tcPr>
          <w:p w14:paraId="4FAA407B">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594C396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position w:val="-4"/>
                <w:highlight w:val="none"/>
              </w:rPr>
              <w:t>——</w:t>
            </w:r>
          </w:p>
        </w:tc>
        <w:tc>
          <w:tcPr>
            <w:tcW w:w="2717" w:type="dxa"/>
            <w:vAlign w:val="center"/>
          </w:tcPr>
          <w:p w14:paraId="07552FA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维修2 日内更换5</w:t>
            </w:r>
            <w:r>
              <w:rPr>
                <w:rFonts w:hint="eastAsia" w:ascii="宋体" w:hAnsi="宋体" w:eastAsia="宋体" w:cs="宋体"/>
                <w:color w:val="auto"/>
                <w:spacing w:val="-13"/>
                <w:highlight w:val="none"/>
              </w:rPr>
              <w:t xml:space="preserve"> </w:t>
            </w:r>
            <w:r>
              <w:rPr>
                <w:rFonts w:hint="eastAsia" w:ascii="宋体" w:hAnsi="宋体" w:eastAsia="宋体" w:cs="宋体"/>
                <w:color w:val="auto"/>
                <w:spacing w:val="4"/>
                <w:highlight w:val="none"/>
              </w:rPr>
              <w:t>日</w:t>
            </w:r>
            <w:r>
              <w:rPr>
                <w:rFonts w:hint="eastAsia" w:ascii="宋体" w:hAnsi="宋体" w:eastAsia="宋体" w:cs="宋体"/>
                <w:color w:val="auto"/>
                <w:highlight w:val="none"/>
              </w:rPr>
              <w:t>内</w:t>
            </w:r>
          </w:p>
        </w:tc>
        <w:tc>
          <w:tcPr>
            <w:tcW w:w="2895" w:type="dxa"/>
            <w:vAlign w:val="center"/>
          </w:tcPr>
          <w:p w14:paraId="50039D5C">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维修2</w:t>
            </w:r>
            <w:r>
              <w:rPr>
                <w:rFonts w:hint="eastAsia" w:ascii="宋体" w:hAnsi="宋体" w:eastAsia="宋体" w:cs="宋体"/>
                <w:color w:val="auto"/>
                <w:spacing w:val="-37"/>
                <w:highlight w:val="none"/>
              </w:rPr>
              <w:t xml:space="preserve"> </w:t>
            </w:r>
            <w:r>
              <w:rPr>
                <w:rFonts w:hint="eastAsia" w:ascii="宋体" w:hAnsi="宋体" w:eastAsia="宋体" w:cs="宋体"/>
                <w:color w:val="auto"/>
                <w:spacing w:val="-6"/>
                <w:highlight w:val="none"/>
              </w:rPr>
              <w:t>日内更换5</w:t>
            </w:r>
            <w:r>
              <w:rPr>
                <w:rFonts w:hint="eastAsia" w:ascii="宋体" w:hAnsi="宋体" w:eastAsia="宋体" w:cs="宋体"/>
                <w:color w:val="auto"/>
                <w:spacing w:val="-41"/>
                <w:highlight w:val="none"/>
              </w:rPr>
              <w:t xml:space="preserve"> </w:t>
            </w:r>
            <w:r>
              <w:rPr>
                <w:rFonts w:hint="eastAsia" w:ascii="宋体" w:hAnsi="宋体" w:eastAsia="宋体" w:cs="宋体"/>
                <w:color w:val="auto"/>
                <w:spacing w:val="-6"/>
                <w:highlight w:val="none"/>
              </w:rPr>
              <w:t>日内</w:t>
            </w:r>
          </w:p>
        </w:tc>
      </w:tr>
      <w:tr w14:paraId="5AFED0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2" w:hRule="atLeast"/>
        </w:trPr>
        <w:tc>
          <w:tcPr>
            <w:tcW w:w="1482" w:type="dxa"/>
            <w:gridSpan w:val="2"/>
            <w:vAlign w:val="center"/>
          </w:tcPr>
          <w:p w14:paraId="1AA48270">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9"/>
                <w:w w:val="99"/>
                <w:highlight w:val="none"/>
              </w:rPr>
              <w:t>路基、边坡</w:t>
            </w:r>
          </w:p>
        </w:tc>
        <w:tc>
          <w:tcPr>
            <w:tcW w:w="1500" w:type="dxa"/>
            <w:vAlign w:val="center"/>
          </w:tcPr>
          <w:p w14:paraId="56C3A355">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position w:val="-4"/>
                <w:highlight w:val="none"/>
              </w:rPr>
              <w:t>——</w:t>
            </w:r>
          </w:p>
        </w:tc>
        <w:tc>
          <w:tcPr>
            <w:tcW w:w="2717" w:type="dxa"/>
            <w:vAlign w:val="center"/>
          </w:tcPr>
          <w:p w14:paraId="40930750">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及时修补</w:t>
            </w:r>
          </w:p>
        </w:tc>
        <w:tc>
          <w:tcPr>
            <w:tcW w:w="2895" w:type="dxa"/>
            <w:vAlign w:val="center"/>
          </w:tcPr>
          <w:p w14:paraId="4645FB19">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及时修补</w:t>
            </w:r>
          </w:p>
        </w:tc>
      </w:tr>
      <w:tr w14:paraId="4E6329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4" w:hRule="atLeast"/>
        </w:trPr>
        <w:tc>
          <w:tcPr>
            <w:tcW w:w="1482" w:type="dxa"/>
            <w:gridSpan w:val="2"/>
            <w:vAlign w:val="center"/>
          </w:tcPr>
          <w:p w14:paraId="50C3ED52">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0F8CFC7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282B8F9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0"/>
                <w:highlight w:val="none"/>
              </w:rPr>
              <w:t>护栏、挡墙</w:t>
            </w:r>
            <w:r>
              <w:rPr>
                <w:rFonts w:hint="eastAsia" w:ascii="宋体" w:hAnsi="宋体" w:eastAsia="宋体" w:cs="宋体"/>
                <w:color w:val="auto"/>
                <w:spacing w:val="-4"/>
                <w:highlight w:val="none"/>
              </w:rPr>
              <w:t>等安全防护设施</w:t>
            </w:r>
          </w:p>
        </w:tc>
        <w:tc>
          <w:tcPr>
            <w:tcW w:w="1500" w:type="dxa"/>
            <w:vAlign w:val="center"/>
          </w:tcPr>
          <w:p w14:paraId="0EDDE4EF">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4EB9A91D">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473AB1BC">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position w:val="-4"/>
                <w:highlight w:val="none"/>
              </w:rPr>
              <w:t>——</w:t>
            </w:r>
          </w:p>
        </w:tc>
        <w:tc>
          <w:tcPr>
            <w:tcW w:w="2717" w:type="dxa"/>
            <w:vAlign w:val="center"/>
          </w:tcPr>
          <w:p w14:paraId="7CD48168">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零星维修的3 日内完</w:t>
            </w:r>
            <w:r>
              <w:rPr>
                <w:rFonts w:hint="eastAsia" w:ascii="宋体" w:hAnsi="宋体" w:eastAsia="宋体" w:cs="宋体"/>
                <w:color w:val="auto"/>
                <w:spacing w:val="-4"/>
                <w:highlight w:val="none"/>
              </w:rPr>
              <w:t>成，其中防护功能不完整的，发现后需立即采取临时补救措</w:t>
            </w:r>
            <w:r>
              <w:rPr>
                <w:rFonts w:hint="eastAsia" w:ascii="宋体" w:hAnsi="宋体" w:eastAsia="宋体" w:cs="宋体"/>
                <w:color w:val="auto"/>
                <w:spacing w:val="-3"/>
                <w:highlight w:val="none"/>
              </w:rPr>
              <w:t>施。道路隔离护栏损</w:t>
            </w:r>
            <w:r>
              <w:rPr>
                <w:rFonts w:hint="eastAsia" w:ascii="宋体" w:hAnsi="宋体" w:eastAsia="宋体" w:cs="宋体"/>
                <w:color w:val="auto"/>
                <w:spacing w:val="-2"/>
                <w:highlight w:val="none"/>
              </w:rPr>
              <w:t>坏立即临时安全处</w:t>
            </w:r>
          </w:p>
          <w:p w14:paraId="33AE6902">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理，随后及时更换。</w:t>
            </w:r>
          </w:p>
        </w:tc>
        <w:tc>
          <w:tcPr>
            <w:tcW w:w="2895" w:type="dxa"/>
            <w:vAlign w:val="center"/>
          </w:tcPr>
          <w:p w14:paraId="1A6E18CE">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05D53DB9">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74C6BE60">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9"/>
                <w:highlight w:val="none"/>
              </w:rPr>
              <w:t>同左</w:t>
            </w:r>
          </w:p>
        </w:tc>
      </w:tr>
      <w:tr w14:paraId="1B13D6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7" w:hRule="atLeast"/>
        </w:trPr>
        <w:tc>
          <w:tcPr>
            <w:tcW w:w="1482" w:type="dxa"/>
            <w:gridSpan w:val="2"/>
            <w:vAlign w:val="center"/>
          </w:tcPr>
          <w:p w14:paraId="6DD39A8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7E62AD0D">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2"/>
                <w:highlight w:val="none"/>
              </w:rPr>
              <w:t>雨水、污水</w:t>
            </w:r>
          </w:p>
        </w:tc>
        <w:tc>
          <w:tcPr>
            <w:tcW w:w="1500" w:type="dxa"/>
            <w:vAlign w:val="center"/>
          </w:tcPr>
          <w:p w14:paraId="5EA7707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排水设施</w:t>
            </w:r>
            <w:r>
              <w:rPr>
                <w:rFonts w:hint="eastAsia" w:ascii="宋体" w:hAnsi="宋体" w:eastAsia="宋体" w:cs="宋体"/>
                <w:color w:val="auto"/>
                <w:spacing w:val="-5"/>
                <w:highlight w:val="none"/>
              </w:rPr>
              <w:t>破损</w:t>
            </w:r>
          </w:p>
        </w:tc>
        <w:tc>
          <w:tcPr>
            <w:tcW w:w="2717" w:type="dxa"/>
            <w:vAlign w:val="center"/>
          </w:tcPr>
          <w:p w14:paraId="330A3113">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0"/>
                <w:highlight w:val="none"/>
              </w:rPr>
              <w:t>1 日内采取措施临时</w:t>
            </w:r>
            <w:r>
              <w:rPr>
                <w:rFonts w:hint="eastAsia" w:ascii="宋体" w:hAnsi="宋体" w:eastAsia="宋体" w:cs="宋体"/>
                <w:color w:val="auto"/>
                <w:spacing w:val="-8"/>
                <w:highlight w:val="none"/>
              </w:rPr>
              <w:t>恢复功能，3 日内修</w:t>
            </w:r>
            <w:r>
              <w:rPr>
                <w:rFonts w:hint="eastAsia" w:ascii="宋体" w:hAnsi="宋体" w:eastAsia="宋体" w:cs="宋体"/>
                <w:color w:val="auto"/>
                <w:highlight w:val="none"/>
              </w:rPr>
              <w:t>复</w:t>
            </w:r>
          </w:p>
        </w:tc>
        <w:tc>
          <w:tcPr>
            <w:tcW w:w="2895" w:type="dxa"/>
            <w:vAlign w:val="center"/>
          </w:tcPr>
          <w:p w14:paraId="28A3209A">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56CE6374">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19"/>
                <w:highlight w:val="none"/>
              </w:rPr>
              <w:t>同左</w:t>
            </w:r>
          </w:p>
        </w:tc>
      </w:tr>
      <w:tr w14:paraId="170D5A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9" w:hRule="atLeast"/>
        </w:trPr>
        <w:tc>
          <w:tcPr>
            <w:tcW w:w="1482" w:type="dxa"/>
            <w:gridSpan w:val="2"/>
            <w:vAlign w:val="center"/>
          </w:tcPr>
          <w:p w14:paraId="70B18866">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泵站</w:t>
            </w:r>
          </w:p>
        </w:tc>
        <w:tc>
          <w:tcPr>
            <w:tcW w:w="1500" w:type="dxa"/>
            <w:vAlign w:val="center"/>
          </w:tcPr>
          <w:p w14:paraId="3C450D97">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4"/>
                <w:highlight w:val="none"/>
              </w:rPr>
              <w:t>功能性提</w:t>
            </w:r>
            <w:r>
              <w:rPr>
                <w:rFonts w:hint="eastAsia" w:ascii="宋体" w:hAnsi="宋体" w:eastAsia="宋体" w:cs="宋体"/>
                <w:color w:val="auto"/>
                <w:highlight w:val="none"/>
              </w:rPr>
              <w:t>升</w:t>
            </w:r>
          </w:p>
        </w:tc>
        <w:tc>
          <w:tcPr>
            <w:tcW w:w="2717" w:type="dxa"/>
            <w:vAlign w:val="center"/>
          </w:tcPr>
          <w:p w14:paraId="07A44D6B">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突发事件控制处置</w:t>
            </w:r>
            <w:r>
              <w:rPr>
                <w:rFonts w:hint="eastAsia" w:ascii="宋体" w:hAnsi="宋体" w:eastAsia="宋体" w:cs="宋体"/>
                <w:color w:val="auto"/>
                <w:spacing w:val="-5"/>
                <w:highlight w:val="none"/>
              </w:rPr>
              <w:t>机制</w:t>
            </w:r>
          </w:p>
        </w:tc>
        <w:tc>
          <w:tcPr>
            <w:tcW w:w="2895" w:type="dxa"/>
            <w:vAlign w:val="center"/>
          </w:tcPr>
          <w:p w14:paraId="5FC899A6">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1"/>
                <w:highlight w:val="none"/>
              </w:rPr>
              <w:t>2 日内</w:t>
            </w:r>
          </w:p>
        </w:tc>
      </w:tr>
      <w:tr w14:paraId="305D10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1482" w:type="dxa"/>
            <w:gridSpan w:val="2"/>
            <w:vAlign w:val="center"/>
          </w:tcPr>
          <w:p w14:paraId="744AA638">
            <w:pPr>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z w:val="21"/>
                <w:highlight w:val="none"/>
              </w:rPr>
            </w:pPr>
          </w:p>
          <w:p w14:paraId="1A8A3FD8">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6"/>
                <w:highlight w:val="none"/>
              </w:rPr>
              <w:t>照明</w:t>
            </w:r>
          </w:p>
        </w:tc>
        <w:tc>
          <w:tcPr>
            <w:tcW w:w="1500" w:type="dxa"/>
            <w:vAlign w:val="center"/>
          </w:tcPr>
          <w:p w14:paraId="593C0322">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3"/>
                <w:highlight w:val="none"/>
              </w:rPr>
              <w:t>照明功能</w:t>
            </w:r>
            <w:r>
              <w:rPr>
                <w:rFonts w:hint="eastAsia" w:ascii="宋体" w:hAnsi="宋体" w:eastAsia="宋体" w:cs="宋体"/>
                <w:color w:val="auto"/>
                <w:spacing w:val="-5"/>
                <w:highlight w:val="none"/>
              </w:rPr>
              <w:t>缺失</w:t>
            </w:r>
          </w:p>
        </w:tc>
        <w:tc>
          <w:tcPr>
            <w:tcW w:w="2717" w:type="dxa"/>
            <w:vAlign w:val="center"/>
          </w:tcPr>
          <w:p w14:paraId="558ABB5A">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
                <w:highlight w:val="none"/>
              </w:rPr>
              <w:t>按保修登记安排维</w:t>
            </w:r>
            <w:r>
              <w:rPr>
                <w:rFonts w:hint="eastAsia" w:ascii="宋体" w:hAnsi="宋体" w:eastAsia="宋体" w:cs="宋体"/>
                <w:color w:val="auto"/>
                <w:highlight w:val="none"/>
              </w:rPr>
              <w:t>修,维修时限  2</w:t>
            </w:r>
            <w:r>
              <w:rPr>
                <w:rFonts w:hint="eastAsia" w:ascii="宋体" w:hAnsi="宋体" w:eastAsia="宋体" w:cs="宋体"/>
                <w:color w:val="auto"/>
                <w:spacing w:val="-18"/>
                <w:highlight w:val="none"/>
              </w:rPr>
              <w:t>日，一般照明</w:t>
            </w:r>
            <w:r>
              <w:rPr>
                <w:rFonts w:hint="eastAsia" w:ascii="宋体" w:hAnsi="宋体" w:eastAsia="宋体" w:cs="宋体"/>
                <w:color w:val="auto"/>
                <w:spacing w:val="-35"/>
                <w:highlight w:val="none"/>
              </w:rPr>
              <w:t xml:space="preserve"> </w:t>
            </w:r>
            <w:r>
              <w:rPr>
                <w:rFonts w:hint="eastAsia" w:ascii="宋体" w:hAnsi="宋体" w:eastAsia="宋体" w:cs="宋体"/>
                <w:color w:val="auto"/>
                <w:spacing w:val="-18"/>
                <w:highlight w:val="none"/>
              </w:rPr>
              <w:t>1 日内</w:t>
            </w:r>
          </w:p>
        </w:tc>
        <w:tc>
          <w:tcPr>
            <w:tcW w:w="2895" w:type="dxa"/>
            <w:vAlign w:val="center"/>
          </w:tcPr>
          <w:p w14:paraId="0075E546">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highlight w:val="none"/>
              </w:rPr>
            </w:pPr>
            <w:r>
              <w:rPr>
                <w:rFonts w:hint="eastAsia" w:ascii="宋体" w:hAnsi="宋体" w:eastAsia="宋体" w:cs="宋体"/>
                <w:color w:val="auto"/>
                <w:spacing w:val="-21"/>
                <w:highlight w:val="none"/>
              </w:rPr>
              <w:t>2 日内</w:t>
            </w:r>
          </w:p>
        </w:tc>
      </w:tr>
      <w:tr w14:paraId="41E68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1482" w:type="dxa"/>
            <w:gridSpan w:val="2"/>
            <w:vAlign w:val="center"/>
          </w:tcPr>
          <w:p w14:paraId="7C93C92E">
            <w:pPr>
              <w:pStyle w:val="7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color w:val="auto"/>
                <w:spacing w:val="-6"/>
                <w:highlight w:val="none"/>
              </w:rPr>
            </w:pPr>
            <w:r>
              <w:rPr>
                <w:rFonts w:hint="eastAsia" w:ascii="宋体" w:hAnsi="宋体" w:eastAsia="宋体" w:cs="宋体"/>
                <w:color w:val="auto"/>
                <w:spacing w:val="-7"/>
                <w:highlight w:val="none"/>
              </w:rPr>
              <w:t>隔离护栏</w:t>
            </w:r>
            <w:r>
              <w:rPr>
                <w:rFonts w:hint="eastAsia" w:ascii="宋体" w:hAnsi="宋体" w:eastAsia="宋体" w:cs="宋体"/>
                <w:color w:val="auto"/>
                <w:spacing w:val="-3"/>
                <w:highlight w:val="none"/>
              </w:rPr>
              <w:t>及附属设</w:t>
            </w:r>
            <w:r>
              <w:rPr>
                <w:rFonts w:hint="eastAsia" w:ascii="宋体" w:hAnsi="宋体" w:eastAsia="宋体" w:cs="宋体"/>
                <w:color w:val="auto"/>
                <w:highlight w:val="none"/>
              </w:rPr>
              <w:t>施</w:t>
            </w:r>
          </w:p>
        </w:tc>
        <w:tc>
          <w:tcPr>
            <w:tcW w:w="1500" w:type="dxa"/>
            <w:vAlign w:val="center"/>
          </w:tcPr>
          <w:p w14:paraId="54AA2F5C">
            <w:pPr>
              <w:pStyle w:val="76"/>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宋体" w:hAnsi="宋体" w:eastAsia="宋体" w:cs="宋体"/>
                <w:color w:val="auto"/>
                <w:spacing w:val="-3"/>
                <w:highlight w:val="none"/>
              </w:rPr>
            </w:pPr>
            <w:r>
              <w:rPr>
                <w:rFonts w:hint="eastAsia" w:ascii="宋体" w:hAnsi="宋体" w:eastAsia="宋体" w:cs="宋体"/>
                <w:color w:val="auto"/>
                <w:spacing w:val="-3"/>
                <w:highlight w:val="none"/>
              </w:rPr>
              <w:t>缺失或损</w:t>
            </w:r>
            <w:r>
              <w:rPr>
                <w:rFonts w:hint="eastAsia" w:ascii="宋体" w:hAnsi="宋体" w:eastAsia="宋体" w:cs="宋体"/>
                <w:color w:val="auto"/>
                <w:highlight w:val="none"/>
              </w:rPr>
              <w:t>坏</w:t>
            </w:r>
          </w:p>
        </w:tc>
        <w:tc>
          <w:tcPr>
            <w:tcW w:w="2717" w:type="dxa"/>
            <w:vAlign w:val="center"/>
          </w:tcPr>
          <w:p w14:paraId="40E7D4E6">
            <w:pPr>
              <w:pStyle w:val="76"/>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宋体" w:hAnsi="宋体" w:eastAsia="宋体" w:cs="宋体"/>
                <w:color w:val="auto"/>
                <w:spacing w:val="-2"/>
                <w:highlight w:val="none"/>
              </w:rPr>
            </w:pPr>
            <w:r>
              <w:rPr>
                <w:rFonts w:hint="eastAsia" w:ascii="宋体" w:hAnsi="宋体" w:eastAsia="宋体" w:cs="宋体"/>
                <w:color w:val="auto"/>
                <w:spacing w:val="-30"/>
                <w:highlight w:val="none"/>
              </w:rPr>
              <w:t>1</w:t>
            </w:r>
            <w:r>
              <w:rPr>
                <w:rFonts w:hint="eastAsia" w:ascii="宋体" w:hAnsi="宋体" w:eastAsia="宋体" w:cs="宋体"/>
                <w:color w:val="auto"/>
                <w:spacing w:val="-10"/>
                <w:highlight w:val="none"/>
              </w:rPr>
              <w:t xml:space="preserve"> </w:t>
            </w:r>
            <w:r>
              <w:rPr>
                <w:rFonts w:hint="eastAsia" w:ascii="宋体" w:hAnsi="宋体" w:eastAsia="宋体" w:cs="宋体"/>
                <w:color w:val="auto"/>
                <w:spacing w:val="-30"/>
                <w:highlight w:val="none"/>
              </w:rPr>
              <w:t>日内</w:t>
            </w:r>
          </w:p>
        </w:tc>
        <w:tc>
          <w:tcPr>
            <w:tcW w:w="2895" w:type="dxa"/>
            <w:vAlign w:val="center"/>
          </w:tcPr>
          <w:p w14:paraId="4AB3ACC8">
            <w:pPr>
              <w:pStyle w:val="76"/>
              <w:keepNext w:val="0"/>
              <w:keepLines w:val="0"/>
              <w:pageBreakBefore w:val="0"/>
              <w:widowControl w:val="0"/>
              <w:kinsoku/>
              <w:wordWrap/>
              <w:overflowPunct/>
              <w:topLinePunct w:val="0"/>
              <w:autoSpaceDE/>
              <w:autoSpaceDN/>
              <w:bidi w:val="0"/>
              <w:adjustRightInd/>
              <w:snapToGrid/>
              <w:spacing w:line="240" w:lineRule="auto"/>
              <w:ind w:right="0" w:rightChars="0"/>
              <w:jc w:val="center"/>
              <w:textAlignment w:val="auto"/>
              <w:rPr>
                <w:rFonts w:hint="eastAsia" w:ascii="宋体" w:hAnsi="宋体" w:eastAsia="宋体" w:cs="宋体"/>
                <w:color w:val="auto"/>
                <w:spacing w:val="-21"/>
                <w:highlight w:val="none"/>
              </w:rPr>
            </w:pPr>
            <w:r>
              <w:rPr>
                <w:rFonts w:hint="eastAsia" w:ascii="宋体" w:hAnsi="宋体" w:eastAsia="宋体" w:cs="宋体"/>
                <w:color w:val="auto"/>
                <w:spacing w:val="-30"/>
                <w:highlight w:val="none"/>
              </w:rPr>
              <w:t>1</w:t>
            </w:r>
            <w:r>
              <w:rPr>
                <w:rFonts w:hint="eastAsia" w:ascii="宋体" w:hAnsi="宋体" w:eastAsia="宋体" w:cs="宋体"/>
                <w:color w:val="auto"/>
                <w:spacing w:val="-10"/>
                <w:highlight w:val="none"/>
              </w:rPr>
              <w:t xml:space="preserve"> </w:t>
            </w:r>
            <w:r>
              <w:rPr>
                <w:rFonts w:hint="eastAsia" w:ascii="宋体" w:hAnsi="宋体" w:eastAsia="宋体" w:cs="宋体"/>
                <w:color w:val="auto"/>
                <w:spacing w:val="-30"/>
                <w:highlight w:val="none"/>
              </w:rPr>
              <w:t>日内</w:t>
            </w:r>
          </w:p>
        </w:tc>
      </w:tr>
      <w:tr w14:paraId="4FC9CF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trPr>
        <w:tc>
          <w:tcPr>
            <w:tcW w:w="8594" w:type="dxa"/>
            <w:gridSpan w:val="5"/>
            <w:vAlign w:val="center"/>
          </w:tcPr>
          <w:p w14:paraId="1AD3E13E">
            <w:pPr>
              <w:pStyle w:val="76"/>
              <w:keepNext w:val="0"/>
              <w:keepLines w:val="0"/>
              <w:pageBreakBefore w:val="0"/>
              <w:widowControl w:val="0"/>
              <w:kinsoku/>
              <w:wordWrap/>
              <w:overflowPunct/>
              <w:topLinePunct w:val="0"/>
              <w:autoSpaceDE/>
              <w:autoSpaceDN/>
              <w:bidi w:val="0"/>
              <w:adjustRightInd/>
              <w:snapToGrid/>
              <w:spacing w:line="240" w:lineRule="auto"/>
              <w:ind w:right="0"/>
              <w:jc w:val="center"/>
              <w:textAlignment w:val="auto"/>
              <w:rPr>
                <w:rFonts w:hint="eastAsia" w:ascii="宋体" w:hAnsi="宋体" w:eastAsia="宋体" w:cs="宋体"/>
                <w:color w:val="auto"/>
                <w:highlight w:val="none"/>
              </w:rPr>
            </w:pPr>
            <w:r>
              <w:rPr>
                <w:rFonts w:hint="eastAsia" w:ascii="宋体" w:hAnsi="宋体" w:eastAsia="宋体" w:cs="宋体"/>
                <w:color w:val="auto"/>
                <w:spacing w:val="-1"/>
                <w:highlight w:val="none"/>
              </w:rPr>
              <w:t>注：1）掘路修补，自掘路验收之日起计算。</w:t>
            </w:r>
          </w:p>
          <w:p w14:paraId="3EAE1C47">
            <w:pPr>
              <w:pStyle w:val="76"/>
              <w:keepNext w:val="0"/>
              <w:keepLines w:val="0"/>
              <w:pageBreakBefore w:val="0"/>
              <w:widowControl w:val="0"/>
              <w:kinsoku/>
              <w:wordWrap/>
              <w:overflowPunct/>
              <w:topLinePunct w:val="0"/>
              <w:autoSpaceDE/>
              <w:autoSpaceDN/>
              <w:bidi w:val="0"/>
              <w:adjustRightInd/>
              <w:snapToGrid/>
              <w:spacing w:line="240" w:lineRule="auto"/>
              <w:ind w:left="0" w:right="0" w:firstLine="0" w:firstLineChars="0"/>
              <w:jc w:val="center"/>
              <w:textAlignment w:val="auto"/>
              <w:rPr>
                <w:rFonts w:hint="eastAsia" w:ascii="宋体" w:hAnsi="宋体" w:eastAsia="宋体" w:cs="宋体"/>
                <w:color w:val="auto"/>
                <w:spacing w:val="-21"/>
                <w:highlight w:val="none"/>
              </w:rPr>
            </w:pPr>
            <w:r>
              <w:rPr>
                <w:rFonts w:hint="eastAsia" w:ascii="宋体" w:hAnsi="宋体" w:eastAsia="宋体" w:cs="宋体"/>
                <w:color w:val="auto"/>
                <w:spacing w:val="-1"/>
                <w:highlight w:val="none"/>
              </w:rPr>
              <w:t>2）水泥路面没有考虑强度养护时间。</w:t>
            </w:r>
          </w:p>
        </w:tc>
      </w:tr>
    </w:tbl>
    <w:p w14:paraId="1EC56231">
      <w:pPr>
        <w:keepNext w:val="0"/>
        <w:keepLines w:val="0"/>
        <w:pageBreakBefore w:val="0"/>
        <w:widowControl w:val="0"/>
        <w:kinsoku/>
        <w:wordWrap/>
        <w:overflowPunct/>
        <w:topLinePunct w:val="0"/>
        <w:autoSpaceDE/>
        <w:autoSpaceDN/>
        <w:bidi w:val="0"/>
        <w:adjustRightInd/>
        <w:snapToGrid/>
        <w:spacing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highlight w:val="none"/>
        </w:rPr>
        <mc:AlternateContent>
          <mc:Choice Requires="wps">
            <w:drawing>
              <wp:anchor distT="0" distB="0" distL="114300" distR="114300" simplePos="0" relativeHeight="251693056"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10" name="任意多边形 110"/>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3056;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A8UxOSFQIAAH8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1"/>
          <w:sz w:val="24"/>
          <w:szCs w:val="24"/>
          <w:highlight w:val="none"/>
        </w:rPr>
        <w:t>6. 安全与文明施工、扬尘治理标准</w:t>
      </w:r>
    </w:p>
    <w:p w14:paraId="640DBEE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08"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（1）养护作业人员上岗前必须经过岗位安全</w:t>
      </w:r>
      <w:r>
        <w:rPr>
          <w:rFonts w:hint="eastAsia" w:ascii="宋体" w:hAnsi="宋体" w:eastAsia="宋体" w:cs="宋体"/>
          <w:color w:val="auto"/>
          <w:spacing w:val="6"/>
          <w:sz w:val="24"/>
          <w:szCs w:val="24"/>
          <w:highlight w:val="none"/>
        </w:rPr>
        <w:t>教育和技术培训。</w:t>
      </w:r>
    </w:p>
    <w:p w14:paraId="71A8E48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3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（2）养护管理、作业人员施工时必须穿戴统一制作的具有反</w:t>
      </w:r>
      <w:r>
        <w:rPr>
          <w:rFonts w:hint="eastAsia" w:ascii="宋体" w:hAnsi="宋体" w:eastAsia="宋体" w:cs="宋体"/>
          <w:color w:val="auto"/>
          <w:spacing w:val="9"/>
          <w:sz w:val="24"/>
          <w:szCs w:val="24"/>
          <w:highlight w:val="none"/>
        </w:rPr>
        <w:t>光功能的安全标志服和安全帽。</w:t>
      </w:r>
    </w:p>
    <w:p w14:paraId="5A1B667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3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（3）养护作业应根据施工要求，采取局部封闭、半幅封闭或</w:t>
      </w:r>
      <w:r>
        <w:rPr>
          <w:rFonts w:hint="eastAsia" w:ascii="宋体" w:hAnsi="宋体" w:eastAsia="宋体" w:cs="宋体"/>
          <w:color w:val="auto"/>
          <w:spacing w:val="7"/>
          <w:sz w:val="24"/>
          <w:szCs w:val="24"/>
          <w:highlight w:val="none"/>
        </w:rPr>
        <w:t>全路封闭等形式。</w:t>
      </w:r>
    </w:p>
    <w:p w14:paraId="55FB086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3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（4）无法封闭围挡施工时，必须设专职现场交通督导员，负</w:t>
      </w:r>
      <w:r>
        <w:rPr>
          <w:rFonts w:hint="eastAsia" w:ascii="宋体" w:hAnsi="宋体" w:eastAsia="宋体" w:cs="宋体"/>
          <w:color w:val="auto"/>
          <w:spacing w:val="9"/>
          <w:sz w:val="24"/>
          <w:szCs w:val="24"/>
          <w:highlight w:val="none"/>
        </w:rPr>
        <w:t>责安全巡视、指挥施工机械和车辆疏导工作。</w:t>
      </w:r>
    </w:p>
    <w:p w14:paraId="5480372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0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（5）施工现场必须采取安全围挡等措施，</w:t>
      </w:r>
      <w:r>
        <w:rPr>
          <w:rFonts w:hint="eastAsia" w:ascii="宋体" w:hAnsi="宋体" w:eastAsia="宋体" w:cs="宋体"/>
          <w:color w:val="auto"/>
          <w:spacing w:val="6"/>
          <w:sz w:val="24"/>
          <w:szCs w:val="24"/>
          <w:highlight w:val="none"/>
        </w:rPr>
        <w:t>围挡应连续、整洁、</w:t>
      </w:r>
      <w:r>
        <w:rPr>
          <w:rFonts w:hint="eastAsia" w:ascii="宋体" w:hAnsi="宋体" w:eastAsia="宋体" w:cs="宋体"/>
          <w:color w:val="auto"/>
          <w:spacing w:val="10"/>
          <w:sz w:val="24"/>
          <w:szCs w:val="24"/>
          <w:highlight w:val="none"/>
        </w:rPr>
        <w:t>牢固、稳定、醒目，并具备夜间可视功能，兼顾行人通行需要。</w:t>
      </w:r>
    </w:p>
    <w:p w14:paraId="0014770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3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（6）所有施工作业必须在围挡内进行，施工完成后应及时清</w:t>
      </w:r>
      <w:r>
        <w:rPr>
          <w:rFonts w:hint="eastAsia" w:ascii="宋体" w:hAnsi="宋体" w:eastAsia="宋体" w:cs="宋体"/>
          <w:color w:val="auto"/>
          <w:spacing w:val="9"/>
          <w:sz w:val="24"/>
          <w:szCs w:val="24"/>
          <w:highlight w:val="none"/>
        </w:rPr>
        <w:t>理物料、打扫垃圾、拆撤围挡、恢复交通。</w:t>
      </w:r>
    </w:p>
    <w:p w14:paraId="352AD32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3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（7）施工现场及围挡区必须设置明显施工标志牌，标明主管</w:t>
      </w:r>
      <w:r>
        <w:rPr>
          <w:rFonts w:hint="eastAsia" w:ascii="宋体" w:hAnsi="宋体" w:eastAsia="宋体" w:cs="宋体"/>
          <w:color w:val="auto"/>
          <w:spacing w:val="8"/>
          <w:sz w:val="24"/>
          <w:szCs w:val="24"/>
          <w:highlight w:val="none"/>
        </w:rPr>
        <w:t>部门、施工单位的名称、联系人、联系方式及施工期限、</w:t>
      </w:r>
      <w:r>
        <w:rPr>
          <w:rFonts w:hint="eastAsia" w:ascii="宋体" w:hAnsi="宋体" w:eastAsia="宋体" w:cs="宋体"/>
          <w:color w:val="auto"/>
          <w:spacing w:val="7"/>
          <w:sz w:val="24"/>
          <w:szCs w:val="24"/>
          <w:highlight w:val="none"/>
        </w:rPr>
        <w:t>范围等内</w:t>
      </w:r>
      <w:r>
        <w:rPr>
          <w:rFonts w:hint="eastAsia" w:ascii="宋体" w:hAnsi="宋体" w:eastAsia="宋体" w:cs="宋体"/>
          <w:color w:val="auto"/>
          <w:spacing w:val="8"/>
          <w:sz w:val="24"/>
          <w:szCs w:val="24"/>
          <w:highlight w:val="none"/>
        </w:rPr>
        <w:t>容,施工完成后才能撤除。</w:t>
      </w:r>
    </w:p>
    <w:p w14:paraId="7A184EA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3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3"/>
          <w:sz w:val="24"/>
          <w:szCs w:val="24"/>
          <w:highlight w:val="none"/>
        </w:rPr>
        <w:t>（8）实施水泥混凝土、二灰基础等养护工艺时，应做好围挡</w:t>
      </w:r>
      <w:r>
        <w:rPr>
          <w:rFonts w:hint="eastAsia" w:ascii="宋体" w:hAnsi="宋体" w:eastAsia="宋体" w:cs="宋体"/>
          <w:color w:val="auto"/>
          <w:spacing w:val="10"/>
          <w:sz w:val="24"/>
          <w:szCs w:val="24"/>
          <w:highlight w:val="none"/>
        </w:rPr>
        <w:t>或警示工作，并定期巡回检查,做好调整工</w:t>
      </w:r>
      <w:r>
        <w:rPr>
          <w:rFonts w:hint="eastAsia" w:ascii="宋体" w:hAnsi="宋体" w:eastAsia="宋体" w:cs="宋体"/>
          <w:color w:val="auto"/>
          <w:spacing w:val="9"/>
          <w:sz w:val="24"/>
          <w:szCs w:val="24"/>
          <w:highlight w:val="none"/>
        </w:rPr>
        <w:t>作。</w:t>
      </w:r>
    </w:p>
    <w:p w14:paraId="6A68C0A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0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（9）施工机械、车辆、维修用料应整齐堆放于施工围挡区内，</w:t>
      </w:r>
      <w:r>
        <w:rPr>
          <w:rFonts w:hint="eastAsia" w:ascii="宋体" w:hAnsi="宋体" w:eastAsia="宋体" w:cs="宋体"/>
          <w:color w:val="auto"/>
          <w:spacing w:val="9"/>
          <w:sz w:val="24"/>
          <w:szCs w:val="24"/>
          <w:highlight w:val="none"/>
        </w:rPr>
        <w:t>扬尘物料还应注意覆盖。</w:t>
      </w:r>
    </w:p>
    <w:p w14:paraId="66FC018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1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（10）沥青喷洒作业时，应做好设施遮盖防护工作，不得污染</w:t>
      </w:r>
      <w:r>
        <w:rPr>
          <w:rFonts w:hint="eastAsia" w:ascii="宋体" w:hAnsi="宋体" w:eastAsia="宋体" w:cs="宋体"/>
          <w:color w:val="auto"/>
          <w:spacing w:val="5"/>
          <w:sz w:val="24"/>
          <w:szCs w:val="24"/>
          <w:highlight w:val="none"/>
        </w:rPr>
        <w:t>邻接设施。</w:t>
      </w:r>
    </w:p>
    <w:p w14:paraId="286F48D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12" w:firstLineChars="200"/>
        <w:textAlignment w:val="auto"/>
        <w:rPr>
          <w:rFonts w:hint="eastAsia" w:ascii="宋体" w:hAnsi="宋体" w:eastAsia="宋体" w:cs="宋体"/>
          <w:color w:val="auto"/>
          <w:spacing w:val="4"/>
          <w:sz w:val="24"/>
          <w:szCs w:val="24"/>
          <w:highlight w:val="none"/>
        </w:rPr>
      </w:pPr>
      <w:r>
        <w:rPr>
          <w:rFonts w:hint="eastAsia" w:ascii="宋体" w:hAnsi="宋体" w:eastAsia="宋体" w:cs="宋体"/>
          <w:color w:val="auto"/>
          <w:spacing w:val="8"/>
          <w:sz w:val="24"/>
          <w:szCs w:val="24"/>
          <w:highlight w:val="none"/>
        </w:rPr>
        <w:t>（11）沥青作业车辆周围应设隔离区，派专人疏导行人、车辆</w:t>
      </w:r>
      <w:r>
        <w:rPr>
          <w:rFonts w:hint="eastAsia" w:ascii="宋体" w:hAnsi="宋体" w:eastAsia="宋体" w:cs="宋体"/>
          <w:color w:val="auto"/>
          <w:spacing w:val="4"/>
          <w:sz w:val="24"/>
          <w:szCs w:val="24"/>
          <w:highlight w:val="none"/>
        </w:rPr>
        <w:t>绕行通过。</w:t>
      </w:r>
    </w:p>
    <w:p w14:paraId="1FE1735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94080"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09" name="任意多边形 109"/>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4080;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wehj2gAAAAwBAAAP&#10;AAAAAAAAAAEAIAAAACIAAABkcnMvZG93bnJldi54bWxQSwECFAAUAAAACACHTuJA9ePrAxYCAAB/&#10;BAAADgAAAAAAAAABACAAAAApAQAAZHJzL2Uyb0RvYy54bWxQSwUGAAAAAAYABgBZAQAAsQUAAAAA&#10;" path="m0,0l8374,0,8374,14,0,14,0,0xe">
                <v:fill on="t" focussize="0,0"/>
                <v:stroke on="f"/>
                <v:imagedata o:title=""/>
                <o:lock v:ext="edit" aspectratio="f"/>
              </v:shape>
            </w:pict>
          </mc:Fallback>
        </mc:AlternateContent>
      </w:r>
      <w:r>
        <w:rPr>
          <w:rFonts w:hint="eastAsia" w:ascii="宋体" w:hAnsi="宋体" w:eastAsia="宋体" w:cs="宋体"/>
          <w:color w:val="auto"/>
          <w:spacing w:val="8"/>
          <w:sz w:val="24"/>
          <w:szCs w:val="24"/>
          <w:highlight w:val="none"/>
        </w:rPr>
        <w:t>（12）施工垃圾必须集中堆放在围挡区内；现场无法围挡封闭</w:t>
      </w:r>
      <w:r>
        <w:rPr>
          <w:rFonts w:hint="eastAsia" w:ascii="宋体" w:hAnsi="宋体" w:eastAsia="宋体" w:cs="宋体"/>
          <w:color w:val="auto"/>
          <w:spacing w:val="5"/>
          <w:sz w:val="24"/>
          <w:szCs w:val="24"/>
          <w:highlight w:val="none"/>
        </w:rPr>
        <w:t>时应日产日清。</w:t>
      </w:r>
    </w:p>
    <w:p w14:paraId="1C44F36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1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（13）施工及清运应符合环保部门的有关规定。四级以上</w:t>
      </w:r>
      <w:r>
        <w:rPr>
          <w:rFonts w:hint="eastAsia" w:ascii="宋体" w:hAnsi="宋体" w:eastAsia="宋体" w:cs="宋体"/>
          <w:color w:val="auto"/>
          <w:spacing w:val="7"/>
          <w:sz w:val="24"/>
          <w:szCs w:val="24"/>
          <w:highlight w:val="none"/>
        </w:rPr>
        <w:t>风力</w:t>
      </w:r>
      <w:r>
        <w:rPr>
          <w:rFonts w:hint="eastAsia" w:ascii="宋体" w:hAnsi="宋体" w:eastAsia="宋体" w:cs="宋体"/>
          <w:color w:val="auto"/>
          <w:spacing w:val="8"/>
          <w:sz w:val="24"/>
          <w:szCs w:val="24"/>
          <w:highlight w:val="none"/>
        </w:rPr>
        <w:t>时间原则上不得实施扬尘作业，必须施工时应采取洒水降尘</w:t>
      </w:r>
      <w:r>
        <w:rPr>
          <w:rFonts w:hint="eastAsia" w:ascii="宋体" w:hAnsi="宋体" w:eastAsia="宋体" w:cs="宋体"/>
          <w:color w:val="auto"/>
          <w:spacing w:val="7"/>
          <w:sz w:val="24"/>
          <w:szCs w:val="24"/>
          <w:highlight w:val="none"/>
        </w:rPr>
        <w:t>等相应</w:t>
      </w:r>
      <w:r>
        <w:rPr>
          <w:rFonts w:hint="eastAsia" w:ascii="宋体" w:hAnsi="宋体" w:eastAsia="宋体" w:cs="宋体"/>
          <w:color w:val="auto"/>
          <w:sz w:val="24"/>
          <w:szCs w:val="24"/>
          <w:highlight w:val="none"/>
        </w:rPr>
        <w:t>措施。</w:t>
      </w:r>
    </w:p>
    <w:p w14:paraId="421EE35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1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（14）实施路面铣刨工艺，应根据清扫、运输能力分段</w:t>
      </w:r>
      <w:r>
        <w:rPr>
          <w:rFonts w:hint="eastAsia" w:ascii="宋体" w:hAnsi="宋体" w:eastAsia="宋体" w:cs="宋体"/>
          <w:color w:val="auto"/>
          <w:spacing w:val="7"/>
          <w:sz w:val="24"/>
          <w:szCs w:val="24"/>
          <w:highlight w:val="none"/>
        </w:rPr>
        <w:t>施工，</w:t>
      </w:r>
      <w:r>
        <w:rPr>
          <w:rFonts w:hint="eastAsia" w:ascii="宋体" w:hAnsi="宋体" w:eastAsia="宋体" w:cs="宋体"/>
          <w:color w:val="auto"/>
          <w:spacing w:val="10"/>
          <w:sz w:val="24"/>
          <w:szCs w:val="24"/>
          <w:highlight w:val="none"/>
        </w:rPr>
        <w:t>及时将残料和粉尘清除干净，并在未铺路前洒水降尘。</w:t>
      </w:r>
    </w:p>
    <w:p w14:paraId="0EFCBCA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5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9"/>
          <w:sz w:val="24"/>
          <w:szCs w:val="24"/>
          <w:highlight w:val="none"/>
        </w:rPr>
        <w:t>（15）施工噪声符合《建筑施工场界环境噪声排放标准》</w:t>
      </w:r>
      <w:r>
        <w:rPr>
          <w:rFonts w:hint="eastAsia" w:ascii="宋体" w:hAnsi="宋体" w:eastAsia="宋体" w:cs="宋体"/>
          <w:color w:val="auto"/>
          <w:sz w:val="24"/>
          <w:szCs w:val="24"/>
          <w:highlight w:val="none"/>
        </w:rPr>
        <w:t>GB</w:t>
      </w:r>
      <w:r>
        <w:rPr>
          <w:rFonts w:hint="eastAsia" w:ascii="宋体" w:hAnsi="宋体" w:eastAsia="宋体" w:cs="宋体"/>
          <w:color w:val="auto"/>
          <w:spacing w:val="14"/>
          <w:sz w:val="24"/>
          <w:szCs w:val="24"/>
          <w:highlight w:val="none"/>
        </w:rPr>
        <w:t xml:space="preserve"> </w:t>
      </w:r>
      <w:r>
        <w:rPr>
          <w:rFonts w:hint="eastAsia" w:ascii="宋体" w:hAnsi="宋体" w:eastAsia="宋体" w:cs="宋体"/>
          <w:color w:val="auto"/>
          <w:spacing w:val="-1"/>
          <w:sz w:val="24"/>
          <w:szCs w:val="24"/>
          <w:highlight w:val="none"/>
        </w:rPr>
        <w:t>12523-2011 的规定。</w:t>
      </w:r>
    </w:p>
    <w:p w14:paraId="5B818CE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1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8"/>
          <w:sz w:val="24"/>
          <w:szCs w:val="24"/>
          <w:highlight w:val="none"/>
        </w:rPr>
        <w:t>（16）施工应加强市政公用管线设施保护，施工前要充分了解附近地下市政管线埋设情况，并征求相关部门意见</w:t>
      </w:r>
      <w:r>
        <w:rPr>
          <w:rFonts w:hint="eastAsia" w:ascii="宋体" w:hAnsi="宋体" w:eastAsia="宋体" w:cs="宋体"/>
          <w:color w:val="auto"/>
          <w:spacing w:val="7"/>
          <w:sz w:val="24"/>
          <w:szCs w:val="24"/>
          <w:highlight w:val="none"/>
        </w:rPr>
        <w:t>，一旦发生破坏</w:t>
      </w:r>
      <w:r>
        <w:rPr>
          <w:rFonts w:hint="eastAsia" w:ascii="宋体" w:hAnsi="宋体" w:eastAsia="宋体" w:cs="宋体"/>
          <w:color w:val="auto"/>
          <w:spacing w:val="9"/>
          <w:sz w:val="24"/>
          <w:szCs w:val="24"/>
          <w:highlight w:val="none"/>
        </w:rPr>
        <w:t>必须及时向有关主管部门报告。</w:t>
      </w:r>
    </w:p>
    <w:p w14:paraId="4FFC480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0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5"/>
          <w:sz w:val="24"/>
          <w:szCs w:val="24"/>
          <w:highlight w:val="none"/>
        </w:rPr>
        <w:t>（17）施工工地扬尘防治要坚决实现“六个百分之百</w:t>
      </w:r>
      <w:r>
        <w:rPr>
          <w:rFonts w:hint="eastAsia" w:ascii="宋体" w:hAnsi="宋体" w:eastAsia="宋体" w:cs="宋体"/>
          <w:color w:val="auto"/>
          <w:spacing w:val="-91"/>
          <w:sz w:val="24"/>
          <w:szCs w:val="24"/>
          <w:highlight w:val="none"/>
        </w:rPr>
        <w:t xml:space="preserve"> </w:t>
      </w:r>
      <w:r>
        <w:rPr>
          <w:rFonts w:hint="eastAsia" w:ascii="宋体" w:hAnsi="宋体" w:eastAsia="宋体" w:cs="宋体"/>
          <w:color w:val="auto"/>
          <w:spacing w:val="5"/>
          <w:sz w:val="24"/>
          <w:szCs w:val="24"/>
          <w:highlight w:val="none"/>
        </w:rPr>
        <w:t>”</w:t>
      </w:r>
      <w:r>
        <w:rPr>
          <w:rFonts w:hint="eastAsia" w:ascii="宋体" w:hAnsi="宋体" w:eastAsia="宋体" w:cs="宋体"/>
          <w:color w:val="auto"/>
          <w:spacing w:val="-103"/>
          <w:sz w:val="24"/>
          <w:szCs w:val="24"/>
          <w:highlight w:val="none"/>
        </w:rPr>
        <w:t xml:space="preserve"> </w:t>
      </w:r>
      <w:r>
        <w:rPr>
          <w:rFonts w:hint="eastAsia" w:ascii="宋体" w:hAnsi="宋体" w:eastAsia="宋体" w:cs="宋体"/>
          <w:color w:val="auto"/>
          <w:spacing w:val="5"/>
          <w:sz w:val="24"/>
          <w:szCs w:val="24"/>
          <w:highlight w:val="none"/>
        </w:rPr>
        <w:t>目标，即施工工地</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5"/>
          <w:sz w:val="24"/>
          <w:szCs w:val="24"/>
          <w:highlight w:val="none"/>
        </w:rPr>
        <w:t>100%围挡、物料堆放</w:t>
      </w:r>
      <w:r>
        <w:rPr>
          <w:rFonts w:hint="eastAsia" w:ascii="宋体" w:hAnsi="宋体" w:eastAsia="宋体" w:cs="宋体"/>
          <w:color w:val="auto"/>
          <w:spacing w:val="-25"/>
          <w:sz w:val="24"/>
          <w:szCs w:val="24"/>
          <w:highlight w:val="none"/>
        </w:rPr>
        <w:t xml:space="preserve"> </w:t>
      </w:r>
      <w:r>
        <w:rPr>
          <w:rFonts w:hint="eastAsia" w:ascii="宋体" w:hAnsi="宋体" w:eastAsia="宋体" w:cs="宋体"/>
          <w:color w:val="auto"/>
          <w:spacing w:val="5"/>
          <w:sz w:val="24"/>
          <w:szCs w:val="24"/>
          <w:highlight w:val="none"/>
        </w:rPr>
        <w:t>100%覆盖、出入车辆</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5"/>
          <w:sz w:val="24"/>
          <w:szCs w:val="24"/>
          <w:highlight w:val="none"/>
        </w:rPr>
        <w:t>100%</w:t>
      </w:r>
      <w:r>
        <w:rPr>
          <w:rFonts w:hint="eastAsia" w:ascii="宋体" w:hAnsi="宋体" w:eastAsia="宋体" w:cs="宋体"/>
          <w:color w:val="auto"/>
          <w:spacing w:val="4"/>
          <w:sz w:val="24"/>
          <w:szCs w:val="24"/>
          <w:highlight w:val="none"/>
        </w:rPr>
        <w:t>冲洗、</w:t>
      </w:r>
      <w:r>
        <w:rPr>
          <w:rFonts w:hint="eastAsia" w:ascii="宋体" w:hAnsi="宋体" w:eastAsia="宋体" w:cs="宋体"/>
          <w:color w:val="auto"/>
          <w:spacing w:val="5"/>
          <w:sz w:val="24"/>
          <w:szCs w:val="24"/>
          <w:highlight w:val="none"/>
        </w:rPr>
        <w:t>施工现场地面</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5"/>
          <w:sz w:val="24"/>
          <w:szCs w:val="24"/>
          <w:highlight w:val="none"/>
        </w:rPr>
        <w:t>100%硬化、拆迁工地</w:t>
      </w:r>
      <w:r>
        <w:rPr>
          <w:rFonts w:hint="eastAsia" w:ascii="宋体" w:hAnsi="宋体" w:eastAsia="宋体" w:cs="宋体"/>
          <w:color w:val="auto"/>
          <w:spacing w:val="-25"/>
          <w:sz w:val="24"/>
          <w:szCs w:val="24"/>
          <w:highlight w:val="none"/>
        </w:rPr>
        <w:t xml:space="preserve"> </w:t>
      </w:r>
      <w:r>
        <w:rPr>
          <w:rFonts w:hint="eastAsia" w:ascii="宋体" w:hAnsi="宋体" w:eastAsia="宋体" w:cs="宋体"/>
          <w:color w:val="auto"/>
          <w:spacing w:val="5"/>
          <w:sz w:val="24"/>
          <w:szCs w:val="24"/>
          <w:highlight w:val="none"/>
        </w:rPr>
        <w:t>100%湿法作业、渣土车辆</w:t>
      </w:r>
      <w:r>
        <w:rPr>
          <w:rFonts w:hint="eastAsia" w:ascii="宋体" w:hAnsi="宋体" w:eastAsia="宋体" w:cs="宋体"/>
          <w:color w:val="auto"/>
          <w:spacing w:val="-24"/>
          <w:sz w:val="24"/>
          <w:szCs w:val="24"/>
          <w:highlight w:val="none"/>
        </w:rPr>
        <w:t xml:space="preserve"> </w:t>
      </w:r>
      <w:r>
        <w:rPr>
          <w:rFonts w:hint="eastAsia" w:ascii="宋体" w:hAnsi="宋体" w:eastAsia="宋体" w:cs="宋体"/>
          <w:color w:val="auto"/>
          <w:spacing w:val="5"/>
          <w:sz w:val="24"/>
          <w:szCs w:val="24"/>
          <w:highlight w:val="none"/>
        </w:rPr>
        <w:t>1</w:t>
      </w:r>
      <w:r>
        <w:rPr>
          <w:rFonts w:hint="eastAsia" w:ascii="宋体" w:hAnsi="宋体" w:eastAsia="宋体" w:cs="宋体"/>
          <w:color w:val="auto"/>
          <w:spacing w:val="4"/>
          <w:sz w:val="24"/>
          <w:szCs w:val="24"/>
          <w:highlight w:val="none"/>
        </w:rPr>
        <w:t>00%</w:t>
      </w:r>
      <w:r>
        <w:rPr>
          <w:rFonts w:hint="eastAsia" w:ascii="宋体" w:hAnsi="宋体" w:eastAsia="宋体" w:cs="宋体"/>
          <w:color w:val="auto"/>
          <w:spacing w:val="5"/>
          <w:sz w:val="24"/>
          <w:szCs w:val="24"/>
          <w:highlight w:val="none"/>
        </w:rPr>
        <w:t>密闭运输。</w:t>
      </w:r>
    </w:p>
    <w:p w14:paraId="36BBF13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7. 照明养护标准</w:t>
      </w:r>
    </w:p>
    <w:p w14:paraId="46C4638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（1）照明养护要求</w:t>
      </w:r>
    </w:p>
    <w:p w14:paraId="220A4AF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照明亮灯率：城市主干道路灯、景观灯亮灯率达到98%。城市次</w:t>
      </w:r>
      <w:r>
        <w:rPr>
          <w:rFonts w:hint="eastAsia" w:ascii="宋体" w:hAnsi="宋体" w:eastAsia="宋体" w:cs="宋体"/>
          <w:color w:val="auto"/>
          <w:spacing w:val="-1"/>
          <w:sz w:val="24"/>
          <w:szCs w:val="24"/>
          <w:highlight w:val="none"/>
        </w:rPr>
        <w:t>干道及其它道路路灯、景观灯和广场、休闲景点路</w:t>
      </w:r>
      <w:r>
        <w:rPr>
          <w:rFonts w:hint="eastAsia" w:ascii="宋体" w:hAnsi="宋体" w:eastAsia="宋体" w:cs="宋体"/>
          <w:color w:val="auto"/>
          <w:spacing w:val="-2"/>
          <w:sz w:val="24"/>
          <w:szCs w:val="24"/>
          <w:highlight w:val="none"/>
        </w:rPr>
        <w:t>灯、景观灯亮灯率</w:t>
      </w:r>
      <w:r>
        <w:rPr>
          <w:rFonts w:hint="eastAsia" w:ascii="宋体" w:hAnsi="宋体" w:eastAsia="宋体" w:cs="宋体"/>
          <w:color w:val="auto"/>
          <w:spacing w:val="-4"/>
          <w:sz w:val="24"/>
          <w:szCs w:val="24"/>
          <w:highlight w:val="none"/>
        </w:rPr>
        <w:t>达到</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4"/>
          <w:sz w:val="24"/>
          <w:szCs w:val="24"/>
          <w:highlight w:val="none"/>
        </w:rPr>
        <w:t>95%。</w:t>
      </w:r>
    </w:p>
    <w:p w14:paraId="4F0C7DF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路灯设施完好率不低于95</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22"/>
          <w:sz w:val="24"/>
          <w:szCs w:val="24"/>
          <w:highlight w:val="none"/>
        </w:rPr>
        <w:t>，</w:t>
      </w:r>
      <w:r>
        <w:rPr>
          <w:rFonts w:hint="eastAsia" w:ascii="宋体" w:hAnsi="宋体" w:eastAsia="宋体" w:cs="宋体"/>
          <w:color w:val="auto"/>
          <w:spacing w:val="-1"/>
          <w:sz w:val="24"/>
          <w:szCs w:val="24"/>
          <w:highlight w:val="none"/>
        </w:rPr>
        <w:t>接地电阻≤4</w:t>
      </w:r>
      <w:r>
        <w:rPr>
          <w:rFonts w:hint="eastAsia" w:ascii="宋体" w:hAnsi="宋体" w:eastAsia="宋体" w:cs="宋体"/>
          <w:color w:val="auto"/>
          <w:spacing w:val="-78"/>
          <w:sz w:val="24"/>
          <w:szCs w:val="24"/>
          <w:highlight w:val="none"/>
        </w:rPr>
        <w:t xml:space="preserve"> </w:t>
      </w:r>
      <w:r>
        <w:rPr>
          <w:rFonts w:hint="eastAsia" w:ascii="宋体" w:hAnsi="宋体" w:eastAsia="宋体" w:cs="宋体"/>
          <w:color w:val="auto"/>
          <w:spacing w:val="-1"/>
          <w:sz w:val="24"/>
          <w:szCs w:val="24"/>
          <w:highlight w:val="none"/>
        </w:rPr>
        <w:t>Ω</w:t>
      </w:r>
      <w:r>
        <w:rPr>
          <w:rFonts w:hint="eastAsia" w:ascii="宋体" w:hAnsi="宋体" w:eastAsia="宋体" w:cs="宋体"/>
          <w:color w:val="auto"/>
          <w:spacing w:val="-99"/>
          <w:sz w:val="24"/>
          <w:szCs w:val="24"/>
          <w:highlight w:val="none"/>
        </w:rPr>
        <w:t xml:space="preserve"> </w:t>
      </w:r>
      <w:r>
        <w:rPr>
          <w:rFonts w:hint="eastAsia" w:ascii="宋体" w:hAnsi="宋体" w:eastAsia="宋体" w:cs="宋体"/>
          <w:color w:val="auto"/>
          <w:spacing w:val="-1"/>
          <w:sz w:val="24"/>
          <w:szCs w:val="24"/>
          <w:highlight w:val="none"/>
        </w:rPr>
        <w:t>。（包括供电电源</w:t>
      </w:r>
      <w:r>
        <w:rPr>
          <w:rFonts w:hint="eastAsia" w:ascii="宋体" w:hAnsi="宋体" w:eastAsia="宋体" w:cs="宋体"/>
          <w:color w:val="auto"/>
          <w:spacing w:val="-4"/>
          <w:sz w:val="24"/>
          <w:szCs w:val="24"/>
          <w:highlight w:val="none"/>
        </w:rPr>
        <w:t>设施）。</w:t>
      </w:r>
    </w:p>
    <w:p w14:paraId="6479CA9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路灯设施维护时应加强路灯供电电源管理，定期检查线路。（对</w:t>
      </w:r>
      <w:r>
        <w:rPr>
          <w:rFonts w:hint="eastAsia" w:ascii="宋体" w:hAnsi="宋体" w:eastAsia="宋体" w:cs="宋体"/>
          <w:color w:val="auto"/>
          <w:spacing w:val="-1"/>
          <w:sz w:val="24"/>
          <w:szCs w:val="24"/>
          <w:highlight w:val="none"/>
        </w:rPr>
        <w:t>擅自偷接路灯电源的必须及时汇报</w:t>
      </w:r>
      <w:r>
        <w:rPr>
          <w:rFonts w:hint="eastAsia" w:eastAsia="宋体" w:cs="宋体"/>
          <w:color w:val="auto"/>
          <w:spacing w:val="-1"/>
          <w:sz w:val="24"/>
          <w:szCs w:val="24"/>
          <w:highlight w:val="none"/>
          <w:lang w:eastAsia="zh-CN"/>
        </w:rPr>
        <w:t>采购人</w:t>
      </w:r>
      <w:r>
        <w:rPr>
          <w:rFonts w:hint="eastAsia" w:ascii="宋体" w:hAnsi="宋体" w:eastAsia="宋体" w:cs="宋体"/>
          <w:color w:val="auto"/>
          <w:spacing w:val="-1"/>
          <w:sz w:val="24"/>
          <w:szCs w:val="24"/>
          <w:highlight w:val="none"/>
        </w:rPr>
        <w:t>）</w:t>
      </w:r>
    </w:p>
    <w:p w14:paraId="65B6BDD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勤查灯容灯貌，对</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2"/>
          <w:sz w:val="24"/>
          <w:szCs w:val="24"/>
          <w:highlight w:val="none"/>
        </w:rPr>
        <w:t>2m</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2"/>
          <w:sz w:val="24"/>
          <w:szCs w:val="24"/>
          <w:highlight w:val="none"/>
        </w:rPr>
        <w:t>及以上路灯设施上的乱张贴、乱涂写、乱</w:t>
      </w:r>
      <w:r>
        <w:rPr>
          <w:rFonts w:hint="eastAsia" w:ascii="宋体" w:hAnsi="宋体" w:eastAsia="宋体" w:cs="宋体"/>
          <w:color w:val="auto"/>
          <w:spacing w:val="-1"/>
          <w:sz w:val="24"/>
          <w:szCs w:val="24"/>
          <w:highlight w:val="none"/>
        </w:rPr>
        <w:t>悬挂，应及时清除，保持良好整洁的市容。</w:t>
      </w:r>
    </w:p>
    <w:p w14:paraId="0274A03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95104"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11" name="任意多边形 111"/>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5104;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B0NC5/FQIAAH8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1"/>
          <w:sz w:val="24"/>
          <w:szCs w:val="24"/>
          <w:highlight w:val="none"/>
        </w:rPr>
        <w:t>事故处理率：自接到通知之时起，有可能危及</w:t>
      </w:r>
      <w:r>
        <w:rPr>
          <w:rFonts w:hint="eastAsia" w:ascii="宋体" w:hAnsi="宋体" w:eastAsia="宋体" w:cs="宋体"/>
          <w:color w:val="auto"/>
          <w:spacing w:val="-2"/>
          <w:sz w:val="24"/>
          <w:szCs w:val="24"/>
          <w:highlight w:val="none"/>
        </w:rPr>
        <w:t>人身安全和扩大设</w:t>
      </w:r>
      <w:r>
        <w:rPr>
          <w:rFonts w:hint="eastAsia" w:ascii="宋体" w:hAnsi="宋体" w:eastAsia="宋体" w:cs="宋体"/>
          <w:color w:val="auto"/>
          <w:spacing w:val="2"/>
          <w:sz w:val="24"/>
          <w:szCs w:val="24"/>
          <w:highlight w:val="none"/>
        </w:rPr>
        <w:t>备损失的故障，在</w:t>
      </w:r>
      <w:r>
        <w:rPr>
          <w:rFonts w:hint="eastAsia" w:ascii="宋体" w:hAnsi="宋体" w:eastAsia="宋体" w:cs="宋体"/>
          <w:color w:val="auto"/>
          <w:spacing w:val="-43"/>
          <w:sz w:val="24"/>
          <w:szCs w:val="24"/>
          <w:highlight w:val="none"/>
        </w:rPr>
        <w:t xml:space="preserve"> </w:t>
      </w:r>
      <w:r>
        <w:rPr>
          <w:rFonts w:hint="eastAsia" w:ascii="宋体" w:hAnsi="宋体" w:eastAsia="宋体" w:cs="宋体"/>
          <w:color w:val="auto"/>
          <w:spacing w:val="2"/>
          <w:sz w:val="24"/>
          <w:szCs w:val="24"/>
          <w:highlight w:val="none"/>
        </w:rPr>
        <w:t>30</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2"/>
          <w:sz w:val="24"/>
          <w:szCs w:val="24"/>
          <w:highlight w:val="none"/>
        </w:rPr>
        <w:t>分钟内到现场处理；线路短路、断线、设备零部件损坏等一般性故障在</w:t>
      </w:r>
      <w:r>
        <w:rPr>
          <w:rFonts w:hint="eastAsia" w:ascii="宋体" w:hAnsi="宋体" w:eastAsia="宋体" w:cs="宋体"/>
          <w:color w:val="auto"/>
          <w:spacing w:val="-47"/>
          <w:sz w:val="24"/>
          <w:szCs w:val="24"/>
          <w:highlight w:val="none"/>
        </w:rPr>
        <w:t xml:space="preserve"> </w:t>
      </w:r>
      <w:r>
        <w:rPr>
          <w:rFonts w:hint="eastAsia" w:ascii="宋体" w:hAnsi="宋体" w:eastAsia="宋体" w:cs="宋体"/>
          <w:color w:val="auto"/>
          <w:spacing w:val="2"/>
          <w:sz w:val="24"/>
          <w:szCs w:val="24"/>
          <w:highlight w:val="none"/>
        </w:rPr>
        <w:t>24</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2"/>
          <w:sz w:val="24"/>
          <w:szCs w:val="24"/>
          <w:highlight w:val="none"/>
        </w:rPr>
        <w:t>小时内修复；线路、设备被盗或其他原因造成路灯不亮</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2"/>
          <w:sz w:val="24"/>
          <w:szCs w:val="24"/>
          <w:highlight w:val="none"/>
        </w:rPr>
        <w:t>24</w:t>
      </w:r>
      <w:r>
        <w:rPr>
          <w:rFonts w:hint="eastAsia" w:ascii="宋体" w:hAnsi="宋体" w:eastAsia="宋体" w:cs="宋体"/>
          <w:color w:val="auto"/>
          <w:spacing w:val="-49"/>
          <w:sz w:val="24"/>
          <w:szCs w:val="24"/>
          <w:highlight w:val="none"/>
        </w:rPr>
        <w:t xml:space="preserve"> </w:t>
      </w:r>
      <w:r>
        <w:rPr>
          <w:rFonts w:hint="eastAsia" w:ascii="宋体" w:hAnsi="宋体" w:eastAsia="宋体" w:cs="宋体"/>
          <w:color w:val="auto"/>
          <w:spacing w:val="2"/>
          <w:sz w:val="24"/>
          <w:szCs w:val="24"/>
          <w:highlight w:val="none"/>
        </w:rPr>
        <w:t>小时内无法修复的，应及时向主管部门报告，并</w:t>
      </w:r>
      <w:r>
        <w:rPr>
          <w:rFonts w:hint="eastAsia" w:ascii="宋体" w:hAnsi="宋体" w:eastAsia="宋体" w:cs="宋体"/>
          <w:color w:val="auto"/>
          <w:spacing w:val="-1"/>
          <w:sz w:val="24"/>
          <w:szCs w:val="24"/>
          <w:highlight w:val="none"/>
        </w:rPr>
        <w:t>在主管部门规定的时间内修复，线路、设备被盗应同时向</w:t>
      </w:r>
      <w:r>
        <w:rPr>
          <w:rFonts w:hint="eastAsia" w:ascii="宋体" w:hAnsi="宋体" w:eastAsia="宋体" w:cs="宋体"/>
          <w:color w:val="auto"/>
          <w:spacing w:val="-2"/>
          <w:sz w:val="24"/>
          <w:szCs w:val="24"/>
          <w:highlight w:val="none"/>
        </w:rPr>
        <w:t>公安部门报</w:t>
      </w:r>
      <w:r>
        <w:rPr>
          <w:rFonts w:hint="eastAsia" w:ascii="宋体" w:hAnsi="宋体" w:eastAsia="宋体" w:cs="宋体"/>
          <w:color w:val="auto"/>
          <w:spacing w:val="-3"/>
          <w:sz w:val="24"/>
          <w:szCs w:val="24"/>
          <w:highlight w:val="none"/>
        </w:rPr>
        <w:t>案。故障修复及时率合格标准为</w:t>
      </w:r>
      <w:r>
        <w:rPr>
          <w:rFonts w:hint="eastAsia" w:ascii="宋体" w:hAnsi="宋体" w:eastAsia="宋体" w:cs="宋体"/>
          <w:color w:val="auto"/>
          <w:spacing w:val="-22"/>
          <w:sz w:val="24"/>
          <w:szCs w:val="24"/>
          <w:highlight w:val="none"/>
        </w:rPr>
        <w:t xml:space="preserve"> </w:t>
      </w:r>
      <w:r>
        <w:rPr>
          <w:rFonts w:hint="eastAsia" w:ascii="宋体" w:hAnsi="宋体" w:eastAsia="宋体" w:cs="宋体"/>
          <w:color w:val="auto"/>
          <w:spacing w:val="-3"/>
          <w:sz w:val="24"/>
          <w:szCs w:val="24"/>
          <w:highlight w:val="none"/>
        </w:rPr>
        <w:t>100％。</w:t>
      </w:r>
    </w:p>
    <w:p w14:paraId="22DD866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（2）照明养护各项指标及说明</w:t>
      </w:r>
    </w:p>
    <w:p w14:paraId="642FC17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5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6"/>
          <w:sz w:val="24"/>
          <w:szCs w:val="24"/>
          <w:highlight w:val="none"/>
        </w:rPr>
        <w:t>1）亮灯率：月亮灯率 =Min【日常考核亮灯率；</w:t>
      </w:r>
      <w:r>
        <w:rPr>
          <w:rFonts w:hint="eastAsia" w:ascii="宋体" w:hAnsi="宋体" w:eastAsia="宋体" w:cs="宋体"/>
          <w:color w:val="auto"/>
          <w:spacing w:val="-7"/>
          <w:sz w:val="24"/>
          <w:szCs w:val="24"/>
          <w:highlight w:val="none"/>
        </w:rPr>
        <w:t>随机抽查亮灯率】</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2"/>
          <w:sz w:val="24"/>
          <w:szCs w:val="24"/>
          <w:highlight w:val="none"/>
        </w:rPr>
        <w:t>（每次抽查灯盏总数应大于200</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2"/>
          <w:sz w:val="24"/>
          <w:szCs w:val="24"/>
          <w:highlight w:val="none"/>
        </w:rPr>
        <w:t>盏）</w:t>
      </w:r>
    </w:p>
    <w:p w14:paraId="5B3E266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年亮灯率 = AVE【月亮灯率】</w:t>
      </w:r>
    </w:p>
    <w:p w14:paraId="4B2460B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2）设施完好率</w:t>
      </w:r>
    </w:p>
    <w:p w14:paraId="3898848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月设施完好率 = M1*0.5+M2*</w:t>
      </w:r>
      <w:r>
        <w:rPr>
          <w:rFonts w:hint="eastAsia" w:ascii="宋体" w:hAnsi="宋体" w:eastAsia="宋体" w:cs="宋体"/>
          <w:color w:val="auto"/>
          <w:spacing w:val="-1"/>
          <w:sz w:val="24"/>
          <w:szCs w:val="24"/>
          <w:highlight w:val="none"/>
        </w:rPr>
        <w:t>0.2+M3*0.2+M4*0.1</w:t>
      </w:r>
    </w:p>
    <w:p w14:paraId="29E8260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M1：一般设施完好率（普通路灯、中杆灯、亮化设</w:t>
      </w:r>
      <w:r>
        <w:rPr>
          <w:rFonts w:hint="eastAsia" w:ascii="宋体" w:hAnsi="宋体" w:eastAsia="宋体" w:cs="宋体"/>
          <w:color w:val="auto"/>
          <w:spacing w:val="-1"/>
          <w:sz w:val="24"/>
          <w:szCs w:val="24"/>
          <w:highlight w:val="none"/>
        </w:rPr>
        <w:t>施）</w:t>
      </w:r>
    </w:p>
    <w:p w14:paraId="4D82597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M2：管线（含架空线）设施完好率（含窨井）</w:t>
      </w:r>
    </w:p>
    <w:p w14:paraId="1F6F300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M3：配电设施完好率</w:t>
      </w:r>
    </w:p>
    <w:p w14:paraId="20D2AA8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M4：特殊设施完好率（高杆灯、激光、灯光小</w:t>
      </w:r>
      <w:r>
        <w:rPr>
          <w:rFonts w:hint="eastAsia" w:ascii="宋体" w:hAnsi="宋体" w:eastAsia="宋体" w:cs="宋体"/>
          <w:color w:val="auto"/>
          <w:spacing w:val="-1"/>
          <w:sz w:val="24"/>
          <w:szCs w:val="24"/>
          <w:highlight w:val="none"/>
        </w:rPr>
        <w:t>品等）</w:t>
      </w:r>
    </w:p>
    <w:p w14:paraId="6F7B349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年设施完好率 = AVE【月设施完好率】</w:t>
      </w:r>
    </w:p>
    <w:p w14:paraId="40544CE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2.1</w:t>
      </w:r>
      <w:r>
        <w:rPr>
          <w:rFonts w:hint="eastAsia" w:ascii="宋体" w:hAnsi="宋体" w:eastAsia="宋体" w:cs="宋体"/>
          <w:color w:val="auto"/>
          <w:spacing w:val="-48"/>
          <w:sz w:val="24"/>
          <w:szCs w:val="24"/>
          <w:highlight w:val="none"/>
        </w:rPr>
        <w:t xml:space="preserve"> </w:t>
      </w:r>
      <w:r>
        <w:rPr>
          <w:rFonts w:hint="eastAsia" w:ascii="宋体" w:hAnsi="宋体" w:eastAsia="宋体" w:cs="宋体"/>
          <w:color w:val="auto"/>
          <w:spacing w:val="-2"/>
          <w:sz w:val="24"/>
          <w:szCs w:val="24"/>
          <w:highlight w:val="none"/>
        </w:rPr>
        <w:t>计算方法：M1、M2</w:t>
      </w:r>
      <w:r>
        <w:rPr>
          <w:rFonts w:hint="eastAsia" w:ascii="宋体" w:hAnsi="宋体" w:eastAsia="宋体" w:cs="宋体"/>
          <w:color w:val="auto"/>
          <w:spacing w:val="-61"/>
          <w:sz w:val="24"/>
          <w:szCs w:val="24"/>
          <w:highlight w:val="none"/>
        </w:rPr>
        <w:t xml:space="preserve"> </w:t>
      </w:r>
      <w:r>
        <w:rPr>
          <w:rFonts w:hint="eastAsia" w:ascii="宋体" w:hAnsi="宋体" w:eastAsia="宋体" w:cs="宋体"/>
          <w:color w:val="auto"/>
          <w:spacing w:val="-2"/>
          <w:sz w:val="24"/>
          <w:szCs w:val="24"/>
          <w:highlight w:val="none"/>
        </w:rPr>
        <w:t>基数为照明设施套数。</w:t>
      </w:r>
    </w:p>
    <w:p w14:paraId="4AF2DA6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M3：基数不少于</w:t>
      </w:r>
      <w:r>
        <w:rPr>
          <w:rFonts w:hint="eastAsia" w:ascii="宋体" w:hAnsi="宋体" w:eastAsia="宋体" w:cs="宋体"/>
          <w:color w:val="auto"/>
          <w:spacing w:val="-51"/>
          <w:sz w:val="24"/>
          <w:szCs w:val="24"/>
          <w:highlight w:val="none"/>
        </w:rPr>
        <w:t xml:space="preserve"> </w:t>
      </w:r>
      <w:r>
        <w:rPr>
          <w:rFonts w:hint="eastAsia" w:ascii="宋体" w:hAnsi="宋体" w:eastAsia="宋体" w:cs="宋体"/>
          <w:color w:val="auto"/>
          <w:spacing w:val="-3"/>
          <w:sz w:val="24"/>
          <w:szCs w:val="24"/>
          <w:highlight w:val="none"/>
        </w:rPr>
        <w:t>50</w:t>
      </w:r>
      <w:r>
        <w:rPr>
          <w:rFonts w:hint="eastAsia" w:ascii="宋体" w:hAnsi="宋体" w:eastAsia="宋体" w:cs="宋体"/>
          <w:color w:val="auto"/>
          <w:spacing w:val="-55"/>
          <w:sz w:val="24"/>
          <w:szCs w:val="24"/>
          <w:highlight w:val="none"/>
        </w:rPr>
        <w:t xml:space="preserve"> </w:t>
      </w:r>
      <w:r>
        <w:rPr>
          <w:rFonts w:hint="eastAsia" w:ascii="宋体" w:hAnsi="宋体" w:eastAsia="宋体" w:cs="宋体"/>
          <w:color w:val="auto"/>
          <w:spacing w:val="-3"/>
          <w:sz w:val="24"/>
          <w:szCs w:val="24"/>
          <w:highlight w:val="none"/>
        </w:rPr>
        <w:t>处。</w:t>
      </w:r>
    </w:p>
    <w:p w14:paraId="7AB33DF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M4：每月不少于总数的三分之一。</w:t>
      </w:r>
    </w:p>
    <w:p w14:paraId="7A8951E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2.2 M3:以每一处配电设施为一个单元评分，得分</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2"/>
          <w:sz w:val="24"/>
          <w:szCs w:val="24"/>
          <w:highlight w:val="none"/>
        </w:rPr>
        <w:t>95</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2"/>
          <w:sz w:val="24"/>
          <w:szCs w:val="24"/>
          <w:highlight w:val="none"/>
        </w:rPr>
        <w:t>分及以上为合格，低于</w:t>
      </w:r>
      <w:r>
        <w:rPr>
          <w:rFonts w:hint="eastAsia" w:ascii="宋体" w:hAnsi="宋体" w:eastAsia="宋体" w:cs="宋体"/>
          <w:color w:val="auto"/>
          <w:spacing w:val="-58"/>
          <w:sz w:val="24"/>
          <w:szCs w:val="24"/>
          <w:highlight w:val="none"/>
        </w:rPr>
        <w:t xml:space="preserve"> </w:t>
      </w:r>
      <w:r>
        <w:rPr>
          <w:rFonts w:hint="eastAsia" w:ascii="宋体" w:hAnsi="宋体" w:eastAsia="宋体" w:cs="宋体"/>
          <w:color w:val="auto"/>
          <w:spacing w:val="-2"/>
          <w:sz w:val="24"/>
          <w:szCs w:val="24"/>
          <w:highlight w:val="none"/>
        </w:rPr>
        <w:t>95</w:t>
      </w:r>
      <w:r>
        <w:rPr>
          <w:rFonts w:hint="eastAsia" w:ascii="宋体" w:hAnsi="宋体" w:eastAsia="宋体" w:cs="宋体"/>
          <w:color w:val="auto"/>
          <w:spacing w:val="-57"/>
          <w:sz w:val="24"/>
          <w:szCs w:val="24"/>
          <w:highlight w:val="none"/>
        </w:rPr>
        <w:t xml:space="preserve"> </w:t>
      </w:r>
      <w:r>
        <w:rPr>
          <w:rFonts w:hint="eastAsia" w:ascii="宋体" w:hAnsi="宋体" w:eastAsia="宋体" w:cs="宋体"/>
          <w:color w:val="auto"/>
          <w:spacing w:val="-2"/>
          <w:sz w:val="24"/>
          <w:szCs w:val="24"/>
          <w:highlight w:val="none"/>
        </w:rPr>
        <w:t>分为不合格，完好率为合格配电设施/检查配电设施总</w:t>
      </w:r>
      <w:r>
        <w:rPr>
          <w:rFonts w:hint="eastAsia" w:ascii="宋体" w:hAnsi="宋体" w:eastAsia="宋体" w:cs="宋体"/>
          <w:color w:val="auto"/>
          <w:spacing w:val="-6"/>
          <w:sz w:val="24"/>
          <w:szCs w:val="24"/>
          <w:highlight w:val="none"/>
        </w:rPr>
        <w:t>数。</w:t>
      </w:r>
    </w:p>
    <w:p w14:paraId="5D4C12C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3）运行故障率</w:t>
      </w:r>
    </w:p>
    <w:p w14:paraId="13B5F49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月运行故障率 =（当月运行故障总数/当月配电设施总数*当月天</w:t>
      </w:r>
      <w:r>
        <w:rPr>
          <w:rFonts w:hint="eastAsia" w:ascii="宋体" w:hAnsi="宋体" w:eastAsia="宋体" w:cs="宋体"/>
          <w:color w:val="auto"/>
          <w:spacing w:val="-19"/>
          <w:sz w:val="24"/>
          <w:szCs w:val="24"/>
          <w:highlight w:val="none"/>
        </w:rPr>
        <w:t>数</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89"/>
          <w:sz w:val="24"/>
          <w:szCs w:val="24"/>
          <w:highlight w:val="none"/>
        </w:rPr>
        <w:t xml:space="preserve"> </w:t>
      </w:r>
      <w:r>
        <w:rPr>
          <w:rFonts w:hint="eastAsia" w:ascii="宋体" w:hAnsi="宋体" w:eastAsia="宋体" w:cs="宋体"/>
          <w:color w:val="auto"/>
          <w:spacing w:val="-19"/>
          <w:sz w:val="24"/>
          <w:szCs w:val="24"/>
          <w:highlight w:val="none"/>
        </w:rPr>
        <w:t>×</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pacing w:val="-19"/>
          <w:sz w:val="24"/>
          <w:szCs w:val="24"/>
          <w:highlight w:val="none"/>
        </w:rPr>
        <w:t>100%</w:t>
      </w:r>
    </w:p>
    <w:p w14:paraId="3E4E482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年运行故障率 = AVE【月运行故障率】</w:t>
      </w:r>
    </w:p>
    <w:p w14:paraId="1FC06AF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mc:AlternateContent>
          <mc:Choice Requires="wps">
            <w:drawing>
              <wp:anchor distT="0" distB="0" distL="114300" distR="114300" simplePos="0" relativeHeight="251696128"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12" name="任意多边形 112"/>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6128;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D1wehj2gAAAAwBAAAP&#10;AAAAAAAAAAEAIAAAACIAAABkcnMvZG93bnJldi54bWxQSwECFAAUAAAACACHTuJA7ZsYkxYCAAB/&#10;BAAADgAAAAAAAAABACAAAAApAQAAZHJzL2Uyb0RvYy54bWxQSwUGAAAAAAYABgBZAQAAsQUAAAAA&#10;" path="m0,0l8374,0,8374,14,0,14,0,0xe">
                <v:fill on="t" focussize="0,0"/>
                <v:stroke on="f"/>
                <v:imagedata o:title=""/>
                <o:lock v:ext="edit" aspectratio="f"/>
              </v:shape>
            </w:pict>
          </mc:Fallback>
        </mc:AlternateContent>
      </w:r>
      <w:r>
        <w:rPr>
          <w:rFonts w:hint="eastAsia" w:ascii="宋体" w:hAnsi="宋体" w:eastAsia="宋体" w:cs="宋体"/>
          <w:color w:val="auto"/>
          <w:spacing w:val="9"/>
          <w:sz w:val="24"/>
          <w:szCs w:val="24"/>
          <w:highlight w:val="none"/>
        </w:rPr>
        <w:t>运行故障系指因运行因素造成的成片或成线夜间灭灯和白天亮</w:t>
      </w:r>
      <w:r>
        <w:rPr>
          <w:rFonts w:hint="eastAsia" w:ascii="宋体" w:hAnsi="宋体" w:eastAsia="宋体" w:cs="宋体"/>
          <w:color w:val="auto"/>
          <w:spacing w:val="-1"/>
          <w:sz w:val="24"/>
          <w:szCs w:val="24"/>
          <w:highlight w:val="none"/>
        </w:rPr>
        <w:t>灯故障。（指接触器或单路开关故障导致的成片、成线、</w:t>
      </w:r>
      <w:r>
        <w:rPr>
          <w:rFonts w:hint="eastAsia" w:ascii="宋体" w:hAnsi="宋体" w:eastAsia="宋体" w:cs="宋体"/>
          <w:color w:val="auto"/>
          <w:spacing w:val="-2"/>
          <w:sz w:val="24"/>
          <w:szCs w:val="24"/>
          <w:highlight w:val="none"/>
        </w:rPr>
        <w:t>缺相灭灯或</w:t>
      </w:r>
    </w:p>
    <w:p w14:paraId="18BE3CB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3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1"/>
          <w:sz w:val="24"/>
          <w:szCs w:val="24"/>
          <w:highlight w:val="none"/>
        </w:rPr>
        <w:t>白天亮灯）</w:t>
      </w:r>
    </w:p>
    <w:p w14:paraId="7E3EDF3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4）故障修复及时率</w:t>
      </w:r>
    </w:p>
    <w:p w14:paraId="3C1966C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月故障修复及时率=（故障及时修复数/月故障总数）</w:t>
      </w:r>
      <w:r>
        <w:rPr>
          <w:rFonts w:hint="eastAsia" w:ascii="宋体" w:hAnsi="宋体" w:eastAsia="宋体" w:cs="宋体"/>
          <w:color w:val="auto"/>
          <w:spacing w:val="-72"/>
          <w:sz w:val="24"/>
          <w:szCs w:val="24"/>
          <w:highlight w:val="none"/>
        </w:rPr>
        <w:t xml:space="preserve"> </w:t>
      </w:r>
      <w:r>
        <w:rPr>
          <w:rFonts w:hint="eastAsia" w:ascii="宋体" w:hAnsi="宋体" w:eastAsia="宋体" w:cs="宋体"/>
          <w:color w:val="auto"/>
          <w:spacing w:val="-4"/>
          <w:sz w:val="24"/>
          <w:szCs w:val="24"/>
          <w:highlight w:val="none"/>
        </w:rPr>
        <w:t>×</w:t>
      </w:r>
      <w:r>
        <w:rPr>
          <w:rFonts w:hint="eastAsia" w:ascii="宋体" w:hAnsi="宋体" w:eastAsia="宋体" w:cs="宋体"/>
          <w:color w:val="auto"/>
          <w:spacing w:val="-111"/>
          <w:sz w:val="24"/>
          <w:szCs w:val="24"/>
          <w:highlight w:val="none"/>
        </w:rPr>
        <w:t xml:space="preserve"> </w:t>
      </w:r>
      <w:r>
        <w:rPr>
          <w:rFonts w:hint="eastAsia" w:ascii="宋体" w:hAnsi="宋体" w:eastAsia="宋体" w:cs="宋体"/>
          <w:color w:val="auto"/>
          <w:spacing w:val="-4"/>
          <w:sz w:val="24"/>
          <w:szCs w:val="24"/>
          <w:highlight w:val="none"/>
        </w:rPr>
        <w:t>100%</w:t>
      </w:r>
      <w:r>
        <w:rPr>
          <w:rFonts w:hint="eastAsia" w:ascii="宋体" w:hAnsi="宋体" w:eastAsia="宋体" w:cs="宋体"/>
          <w:color w:val="auto"/>
          <w:spacing w:val="-1"/>
          <w:sz w:val="24"/>
          <w:szCs w:val="24"/>
          <w:highlight w:val="none"/>
        </w:rPr>
        <w:t>年故障修复及时率 = AVE【月故障修复及时率】</w:t>
      </w:r>
    </w:p>
    <w:p w14:paraId="0F4616C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“当月报修故障及时修复数</w:t>
      </w:r>
      <w:r>
        <w:rPr>
          <w:rFonts w:hint="eastAsia" w:ascii="宋体" w:hAnsi="宋体" w:eastAsia="宋体" w:cs="宋体"/>
          <w:color w:val="auto"/>
          <w:spacing w:val="-105"/>
          <w:sz w:val="24"/>
          <w:szCs w:val="24"/>
          <w:highlight w:val="none"/>
        </w:rPr>
        <w:t xml:space="preserve"> </w:t>
      </w:r>
      <w:r>
        <w:rPr>
          <w:rFonts w:hint="eastAsia" w:ascii="宋体" w:hAnsi="宋体" w:eastAsia="宋体" w:cs="宋体"/>
          <w:color w:val="auto"/>
          <w:spacing w:val="-3"/>
          <w:sz w:val="24"/>
          <w:szCs w:val="24"/>
          <w:highlight w:val="none"/>
        </w:rPr>
        <w:t>”和“当月报修故障总数</w:t>
      </w:r>
      <w:r>
        <w:rPr>
          <w:rFonts w:hint="eastAsia" w:ascii="宋体" w:hAnsi="宋体" w:eastAsia="宋体" w:cs="宋体"/>
          <w:color w:val="auto"/>
          <w:spacing w:val="-105"/>
          <w:sz w:val="24"/>
          <w:szCs w:val="24"/>
          <w:highlight w:val="none"/>
        </w:rPr>
        <w:t xml:space="preserve"> </w:t>
      </w:r>
      <w:r>
        <w:rPr>
          <w:rFonts w:hint="eastAsia" w:ascii="宋体" w:hAnsi="宋体" w:eastAsia="宋体" w:cs="宋体"/>
          <w:color w:val="auto"/>
          <w:spacing w:val="-3"/>
          <w:sz w:val="24"/>
          <w:szCs w:val="24"/>
          <w:highlight w:val="none"/>
        </w:rPr>
        <w:t>”均含单灯</w:t>
      </w:r>
      <w:r>
        <w:rPr>
          <w:rFonts w:hint="eastAsia" w:ascii="宋体" w:hAnsi="宋体" w:eastAsia="宋体" w:cs="宋体"/>
          <w:color w:val="auto"/>
          <w:spacing w:val="-1"/>
          <w:sz w:val="24"/>
          <w:szCs w:val="24"/>
          <w:highlight w:val="none"/>
        </w:rPr>
        <w:t>报修、运行故障及其他报修。</w:t>
      </w:r>
    </w:p>
    <w:p w14:paraId="050ED92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5）交办事项办理及时率</w:t>
      </w:r>
    </w:p>
    <w:p w14:paraId="08B8D3D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月交办事项办理及时率=（交办事项及时办理数/月交办事项总数）</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17"/>
          <w:sz w:val="24"/>
          <w:szCs w:val="24"/>
          <w:highlight w:val="none"/>
        </w:rPr>
        <w:t>×</w:t>
      </w:r>
      <w:r>
        <w:rPr>
          <w:rFonts w:hint="eastAsia" w:ascii="宋体" w:hAnsi="宋体" w:eastAsia="宋体" w:cs="宋体"/>
          <w:color w:val="auto"/>
          <w:spacing w:val="-105"/>
          <w:sz w:val="24"/>
          <w:szCs w:val="24"/>
          <w:highlight w:val="none"/>
        </w:rPr>
        <w:t xml:space="preserve"> </w:t>
      </w:r>
      <w:r>
        <w:rPr>
          <w:rFonts w:hint="eastAsia" w:ascii="宋体" w:hAnsi="宋体" w:eastAsia="宋体" w:cs="宋体"/>
          <w:color w:val="auto"/>
          <w:spacing w:val="-17"/>
          <w:sz w:val="24"/>
          <w:szCs w:val="24"/>
          <w:highlight w:val="none"/>
        </w:rPr>
        <w:t>100%</w:t>
      </w:r>
    </w:p>
    <w:p w14:paraId="0E5BF95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年交办事项办理及时率 = AVE【月交办事项办理及时率】</w:t>
      </w:r>
    </w:p>
    <w:p w14:paraId="0BADE770">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6）正常运行率</w:t>
      </w:r>
    </w:p>
    <w:p w14:paraId="1029462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正常运行率=（1-当月三遥故障数/（维护总数*天数</w:t>
      </w:r>
      <w:r>
        <w:rPr>
          <w:rFonts w:hint="eastAsia" w:ascii="宋体" w:hAnsi="宋体" w:eastAsia="宋体" w:cs="宋体"/>
          <w:color w:val="auto"/>
          <w:spacing w:val="8"/>
          <w:sz w:val="24"/>
          <w:szCs w:val="24"/>
          <w:highlight w:val="none"/>
        </w:rPr>
        <w:t>））</w:t>
      </w:r>
      <w:r>
        <w:rPr>
          <w:rFonts w:hint="eastAsia" w:ascii="宋体" w:hAnsi="宋体" w:eastAsia="宋体" w:cs="宋体"/>
          <w:color w:val="auto"/>
          <w:spacing w:val="-1"/>
          <w:sz w:val="24"/>
          <w:szCs w:val="24"/>
          <w:highlight w:val="none"/>
        </w:rPr>
        <w:t>*100%</w:t>
      </w:r>
      <w:r>
        <w:rPr>
          <w:rFonts w:hint="eastAsia" w:ascii="宋体" w:hAnsi="宋体" w:eastAsia="宋体" w:cs="宋体"/>
          <w:color w:val="auto"/>
          <w:sz w:val="24"/>
          <w:szCs w:val="24"/>
          <w:highlight w:val="none"/>
        </w:rPr>
        <w:t xml:space="preserve"> </w:t>
      </w:r>
      <w:r>
        <w:rPr>
          <w:rFonts w:hint="eastAsia" w:ascii="宋体" w:hAnsi="宋体" w:eastAsia="宋体" w:cs="宋体"/>
          <w:color w:val="auto"/>
          <w:spacing w:val="-9"/>
          <w:sz w:val="24"/>
          <w:szCs w:val="24"/>
          <w:highlight w:val="none"/>
        </w:rPr>
        <w:t>8.</w:t>
      </w:r>
      <w:r>
        <w:rPr>
          <w:rFonts w:hint="eastAsia" w:ascii="宋体" w:hAnsi="宋体" w:eastAsia="宋体" w:cs="宋体"/>
          <w:color w:val="auto"/>
          <w:spacing w:val="60"/>
          <w:sz w:val="24"/>
          <w:szCs w:val="24"/>
          <w:highlight w:val="none"/>
        </w:rPr>
        <w:t xml:space="preserve"> </w:t>
      </w:r>
      <w:r>
        <w:rPr>
          <w:rFonts w:hint="eastAsia" w:ascii="宋体" w:hAnsi="宋体" w:eastAsia="宋体" w:cs="宋体"/>
          <w:color w:val="auto"/>
          <w:spacing w:val="-9"/>
          <w:sz w:val="24"/>
          <w:szCs w:val="24"/>
          <w:highlight w:val="none"/>
        </w:rPr>
        <w:t>日常巡查标准</w:t>
      </w:r>
    </w:p>
    <w:p w14:paraId="2A92875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8"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城市道路</w:t>
      </w:r>
    </w:p>
    <w:p w14:paraId="16E4B20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0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7"/>
          <w:sz w:val="24"/>
          <w:szCs w:val="24"/>
          <w:highlight w:val="none"/>
        </w:rPr>
        <w:t>（1）检查机动车道沥青路面是否有坑槽、</w:t>
      </w:r>
      <w:r>
        <w:rPr>
          <w:rFonts w:hint="eastAsia" w:ascii="宋体" w:hAnsi="宋体" w:eastAsia="宋体" w:cs="宋体"/>
          <w:color w:val="auto"/>
          <w:spacing w:val="6"/>
          <w:sz w:val="24"/>
          <w:szCs w:val="24"/>
          <w:highlight w:val="none"/>
        </w:rPr>
        <w:t>翻浆、沉陷、拥包、</w:t>
      </w:r>
      <w:r>
        <w:rPr>
          <w:rFonts w:hint="eastAsia" w:ascii="宋体" w:hAnsi="宋体" w:eastAsia="宋体" w:cs="宋体"/>
          <w:color w:val="auto"/>
          <w:spacing w:val="11"/>
          <w:sz w:val="24"/>
          <w:szCs w:val="24"/>
          <w:highlight w:val="none"/>
        </w:rPr>
        <w:t>松散、波浪、泛油、车辙、裂缝等；水泥路面是否有沉陷、拱起、</w:t>
      </w:r>
      <w:r>
        <w:rPr>
          <w:rFonts w:hint="eastAsia" w:ascii="宋体" w:hAnsi="宋体" w:eastAsia="宋体" w:cs="宋体"/>
          <w:color w:val="auto"/>
          <w:spacing w:val="9"/>
          <w:sz w:val="24"/>
          <w:szCs w:val="24"/>
          <w:highlight w:val="none"/>
        </w:rPr>
        <w:t>板破碎、坑洞板角露筋等。</w:t>
      </w:r>
    </w:p>
    <w:p w14:paraId="61D3F3E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（2）检查人行道路面是否平整，有无破损、错台、凸起、凹陷</w:t>
      </w:r>
      <w:r>
        <w:rPr>
          <w:rFonts w:hint="eastAsia" w:ascii="宋体" w:hAnsi="宋体" w:eastAsia="宋体" w:cs="宋体"/>
          <w:color w:val="auto"/>
          <w:spacing w:val="-1"/>
          <w:sz w:val="24"/>
          <w:szCs w:val="24"/>
          <w:highlight w:val="none"/>
        </w:rPr>
        <w:t>及大面积积水现象；人行道砖、石板是否有缺失、破损现</w:t>
      </w:r>
      <w:r>
        <w:rPr>
          <w:rFonts w:hint="eastAsia" w:ascii="宋体" w:hAnsi="宋体" w:eastAsia="宋体" w:cs="宋体"/>
          <w:color w:val="auto"/>
          <w:spacing w:val="-2"/>
          <w:sz w:val="24"/>
          <w:szCs w:val="24"/>
          <w:highlight w:val="none"/>
        </w:rPr>
        <w:t>象路沿石、</w:t>
      </w:r>
      <w:r>
        <w:rPr>
          <w:rFonts w:hint="eastAsia" w:ascii="宋体" w:hAnsi="宋体" w:eastAsia="宋体" w:cs="宋体"/>
          <w:color w:val="auto"/>
          <w:spacing w:val="-1"/>
          <w:sz w:val="24"/>
          <w:szCs w:val="24"/>
          <w:highlight w:val="none"/>
        </w:rPr>
        <w:t>镶边石、有无缺失、倾斜等；隔离墩设施是否整洁完好等。</w:t>
      </w:r>
    </w:p>
    <w:p w14:paraId="6A0A83A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（3）检查是否有未办理许可手续擅自占道挖掘、开路口及利用</w:t>
      </w:r>
      <w:r>
        <w:rPr>
          <w:rFonts w:hint="eastAsia" w:ascii="宋体" w:hAnsi="宋体" w:eastAsia="宋体" w:cs="宋体"/>
          <w:color w:val="auto"/>
          <w:spacing w:val="-1"/>
          <w:sz w:val="24"/>
          <w:szCs w:val="24"/>
          <w:highlight w:val="none"/>
        </w:rPr>
        <w:t>顶管、拖管私自穿越城市道路的。</w:t>
      </w:r>
    </w:p>
    <w:p w14:paraId="6972DB8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（4）道路隔离护栏是否完好。</w:t>
      </w:r>
    </w:p>
    <w:p w14:paraId="0129C0B5">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6"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4"/>
          <w:sz w:val="24"/>
          <w:szCs w:val="24"/>
          <w:highlight w:val="none"/>
        </w:rPr>
        <w:t>城市排水设施</w:t>
      </w:r>
    </w:p>
    <w:p w14:paraId="46E586B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（1）雨污排水管网：检查管网是否畅通，有无混流、破损、塌</w:t>
      </w:r>
      <w:r>
        <w:rPr>
          <w:rFonts w:hint="eastAsia" w:ascii="宋体" w:hAnsi="宋体" w:eastAsia="宋体" w:cs="宋体"/>
          <w:color w:val="auto"/>
          <w:spacing w:val="-1"/>
          <w:sz w:val="24"/>
          <w:szCs w:val="24"/>
          <w:highlight w:val="none"/>
        </w:rPr>
        <w:t>陷、淤积、堵塞、跑冒、漫溢，雨季路面是否有积水等现象。</w:t>
      </w:r>
    </w:p>
    <w:p w14:paraId="1E1740A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（2）雨、污水检查井、雨水斗：检查市政雨污水检查井盖、雨</w:t>
      </w:r>
      <w:r>
        <w:rPr>
          <w:rFonts w:hint="eastAsia" w:ascii="宋体" w:hAnsi="宋体" w:eastAsia="宋体" w:cs="宋体"/>
          <w:color w:val="auto"/>
          <w:spacing w:val="-1"/>
          <w:sz w:val="24"/>
          <w:szCs w:val="24"/>
          <w:highlight w:val="none"/>
        </w:rPr>
        <w:t>水箅子是否缺失，破损，雨水斗是否有沉积淤泥。</w:t>
      </w:r>
    </w:p>
    <w:p w14:paraId="6863659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8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（3）各类社会管线的检查井盖：检查其是否完好，有无破损、</w:t>
      </w:r>
      <w:r>
        <w:rPr>
          <w:rFonts w:hint="eastAsia" w:ascii="宋体" w:hAnsi="宋体" w:eastAsia="宋体" w:cs="宋体"/>
          <w:color w:val="auto"/>
          <w:spacing w:val="-2"/>
          <w:sz w:val="24"/>
          <w:szCs w:val="24"/>
          <w:highlight w:val="none"/>
        </w:rPr>
        <w:t>丢失、移位、塌陷等现象。</w:t>
      </w:r>
    </w:p>
    <w:p w14:paraId="28AA371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（4）检查是否有未办理许可手续擅自向市政雨、污管网接口等</w:t>
      </w:r>
      <w:r>
        <w:rPr>
          <w:rFonts w:hint="eastAsia" w:ascii="宋体" w:hAnsi="宋体" w:eastAsia="宋体" w:cs="宋体"/>
          <w:color w:val="auto"/>
          <w:spacing w:val="-2"/>
          <w:sz w:val="24"/>
          <w:szCs w:val="24"/>
          <w:highlight w:val="none"/>
        </w:rPr>
        <w:t>排水行为。</w:t>
      </w:r>
    </w:p>
    <w:p w14:paraId="16F10F3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城市照明</w:t>
      </w:r>
    </w:p>
    <w:p w14:paraId="4CD593D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（1）灯头是否有缺失、破损、倾斜，灯罩有无破损、缺失。</w:t>
      </w:r>
    </w:p>
    <w:p w14:paraId="5E443ED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（2）检查路灯灯臂、灯杆是否有倾斜、缺失、有无路灯被撞现</w:t>
      </w:r>
      <w:r>
        <w:rPr>
          <w:rFonts w:hint="eastAsia" w:ascii="宋体" w:hAnsi="宋体" w:eastAsia="宋体" w:cs="宋体"/>
          <w:color w:val="auto"/>
          <w:spacing w:val="-2"/>
          <w:sz w:val="24"/>
          <w:szCs w:val="24"/>
          <w:highlight w:val="none"/>
        </w:rPr>
        <w:t>象，接线门是否缺失、被盗。</w:t>
      </w:r>
    </w:p>
    <w:p w14:paraId="2989E3C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（3）接线井盖是否有掀起，缺失现象；线路是否有被破坏现象；</w:t>
      </w:r>
    </w:p>
    <w:p w14:paraId="18FA275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（4）电缆敷设位置是否有绿化及其他管线施工，是否存在安全</w:t>
      </w:r>
      <w:r>
        <w:rPr>
          <w:rFonts w:hint="eastAsia" w:ascii="宋体" w:hAnsi="宋体" w:eastAsia="宋体" w:cs="宋体"/>
          <w:color w:val="auto"/>
          <w:spacing w:val="-9"/>
          <w:sz w:val="24"/>
          <w:szCs w:val="24"/>
          <w:highlight w:val="none"/>
        </w:rPr>
        <w:t>隐患。</w:t>
      </w:r>
    </w:p>
    <w:p w14:paraId="4837BD2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（5）控制柜、箱变有无破损、锈蚀、倾斜现象。</w:t>
      </w:r>
    </w:p>
    <w:p w14:paraId="759E204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（6）有无在灯杆上安装广告牌的现象；有无乱接路灯供电线路</w:t>
      </w:r>
      <w:r>
        <w:rPr>
          <w:rFonts w:hint="eastAsia" w:ascii="宋体" w:hAnsi="宋体" w:eastAsia="宋体" w:cs="宋体"/>
          <w:color w:val="auto"/>
          <w:spacing w:val="-3"/>
          <w:sz w:val="24"/>
          <w:szCs w:val="24"/>
          <w:highlight w:val="none"/>
        </w:rPr>
        <w:t>窃电的现象。</w:t>
      </w:r>
    </w:p>
    <w:p w14:paraId="30446AA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6"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1"/>
          <w:sz w:val="24"/>
          <w:szCs w:val="24"/>
          <w:highlight w:val="none"/>
        </w:rPr>
        <w:t>（7）定期检查安全用具是否缺失，定期检验。</w:t>
      </w:r>
    </w:p>
    <w:p w14:paraId="42EC4AE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7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2"/>
          <w:sz w:val="24"/>
          <w:szCs w:val="24"/>
          <w:highlight w:val="none"/>
        </w:rPr>
        <w:t>9. 管理工作要求</w:t>
      </w:r>
    </w:p>
    <w:p w14:paraId="08DA790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（1）项目公司要加强队伍管理，建立健全巡查和应急处置办法，</w:t>
      </w:r>
      <w:r>
        <w:rPr>
          <w:rFonts w:hint="eastAsia" w:ascii="宋体" w:hAnsi="宋体" w:eastAsia="宋体" w:cs="宋体"/>
          <w:color w:val="auto"/>
          <w:sz w:val="24"/>
          <w:szCs w:val="24"/>
          <w:highlight w:val="none"/>
        </w:rPr>
        <mc:AlternateContent>
          <mc:Choice Requires="wps">
            <w:drawing>
              <wp:anchor distT="0" distB="0" distL="114300" distR="114300" simplePos="0" relativeHeight="251697152"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13" name="任意多边形 113"/>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7152;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Cl/CV+FQIAAH8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1"/>
          <w:sz w:val="24"/>
          <w:szCs w:val="24"/>
          <w:highlight w:val="none"/>
        </w:rPr>
        <w:t>做到分工明确，责任到人，认真巡查，处置及时。</w:t>
      </w:r>
    </w:p>
    <w:p w14:paraId="5B25491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（2）项目公司应按照养护规范的要求进行全面巡查，主干道</w:t>
      </w:r>
      <w:r>
        <w:rPr>
          <w:rFonts w:hint="eastAsia" w:ascii="宋体" w:hAnsi="宋体" w:eastAsia="宋体" w:cs="宋体"/>
          <w:color w:val="auto"/>
          <w:sz w:val="24"/>
          <w:szCs w:val="24"/>
          <w:highlight w:val="none"/>
        </w:rPr>
        <w:t>每天巡查2</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z w:val="24"/>
          <w:szCs w:val="24"/>
          <w:highlight w:val="none"/>
        </w:rPr>
        <w:t>次，次干道、小街巷2</w:t>
      </w:r>
      <w:r>
        <w:rPr>
          <w:rFonts w:hint="eastAsia" w:ascii="宋体" w:hAnsi="宋体" w:eastAsia="宋体" w:cs="宋体"/>
          <w:color w:val="auto"/>
          <w:spacing w:val="-53"/>
          <w:sz w:val="24"/>
          <w:szCs w:val="24"/>
          <w:highlight w:val="none"/>
        </w:rPr>
        <w:t xml:space="preserve"> </w:t>
      </w:r>
      <w:r>
        <w:rPr>
          <w:rFonts w:hint="eastAsia" w:ascii="宋体" w:hAnsi="宋体" w:eastAsia="宋体" w:cs="宋体"/>
          <w:color w:val="auto"/>
          <w:sz w:val="24"/>
          <w:szCs w:val="24"/>
          <w:highlight w:val="none"/>
        </w:rPr>
        <w:t>天巡查</w:t>
      </w:r>
      <w:r>
        <w:rPr>
          <w:rFonts w:hint="eastAsia" w:ascii="宋体" w:hAnsi="宋体" w:eastAsia="宋体" w:cs="宋体"/>
          <w:color w:val="auto"/>
          <w:spacing w:val="-39"/>
          <w:sz w:val="24"/>
          <w:szCs w:val="24"/>
          <w:highlight w:val="none"/>
        </w:rPr>
        <w:t xml:space="preserve"> </w:t>
      </w:r>
      <w:r>
        <w:rPr>
          <w:rFonts w:hint="eastAsia" w:ascii="宋体" w:hAnsi="宋体" w:eastAsia="宋体" w:cs="宋体"/>
          <w:color w:val="auto"/>
          <w:sz w:val="24"/>
          <w:szCs w:val="24"/>
          <w:highlight w:val="none"/>
        </w:rPr>
        <w:t>1</w:t>
      </w:r>
      <w:r>
        <w:rPr>
          <w:rFonts w:hint="eastAsia" w:ascii="宋体" w:hAnsi="宋体" w:eastAsia="宋体" w:cs="宋体"/>
          <w:color w:val="auto"/>
          <w:spacing w:val="-50"/>
          <w:sz w:val="24"/>
          <w:szCs w:val="24"/>
          <w:highlight w:val="none"/>
        </w:rPr>
        <w:t xml:space="preserve"> </w:t>
      </w:r>
      <w:r>
        <w:rPr>
          <w:rFonts w:hint="eastAsia" w:ascii="宋体" w:hAnsi="宋体" w:eastAsia="宋体" w:cs="宋体"/>
          <w:color w:val="auto"/>
          <w:sz w:val="24"/>
          <w:szCs w:val="24"/>
          <w:highlight w:val="none"/>
        </w:rPr>
        <w:t>次（查看车行道、人</w:t>
      </w:r>
      <w:r>
        <w:rPr>
          <w:rFonts w:hint="eastAsia" w:ascii="宋体" w:hAnsi="宋体" w:eastAsia="宋体" w:cs="宋体"/>
          <w:color w:val="auto"/>
          <w:spacing w:val="-1"/>
          <w:sz w:val="24"/>
          <w:szCs w:val="24"/>
          <w:highlight w:val="none"/>
        </w:rPr>
        <w:t>行道、排水设施、路灯的损坏情况）。巡查应及</w:t>
      </w:r>
      <w:r>
        <w:rPr>
          <w:rFonts w:hint="eastAsia" w:ascii="宋体" w:hAnsi="宋体" w:eastAsia="宋体" w:cs="宋体"/>
          <w:color w:val="auto"/>
          <w:spacing w:val="-2"/>
          <w:sz w:val="24"/>
          <w:szCs w:val="24"/>
          <w:highlight w:val="none"/>
        </w:rPr>
        <w:t>时做好巡查记录，记</w:t>
      </w:r>
      <w:r>
        <w:rPr>
          <w:rFonts w:hint="eastAsia" w:ascii="宋体" w:hAnsi="宋体" w:eastAsia="宋体" w:cs="宋体"/>
          <w:color w:val="auto"/>
          <w:spacing w:val="-1"/>
          <w:sz w:val="24"/>
          <w:szCs w:val="24"/>
          <w:highlight w:val="none"/>
        </w:rPr>
        <w:t>录是否发现新的情况，是否出现新的病害或旧病害扩展</w:t>
      </w:r>
      <w:r>
        <w:rPr>
          <w:rFonts w:hint="eastAsia" w:ascii="宋体" w:hAnsi="宋体" w:eastAsia="宋体" w:cs="宋体"/>
          <w:color w:val="auto"/>
          <w:spacing w:val="-2"/>
          <w:sz w:val="24"/>
          <w:szCs w:val="24"/>
          <w:highlight w:val="none"/>
        </w:rPr>
        <w:t>，出现障碍物</w:t>
      </w:r>
      <w:r>
        <w:rPr>
          <w:rFonts w:hint="eastAsia" w:ascii="宋体" w:hAnsi="宋体" w:eastAsia="宋体" w:cs="宋体"/>
          <w:color w:val="auto"/>
          <w:spacing w:val="-1"/>
          <w:sz w:val="24"/>
          <w:szCs w:val="24"/>
          <w:highlight w:val="none"/>
        </w:rPr>
        <w:t>或堵塞等，必要时附上现场照片及说明等。</w:t>
      </w:r>
    </w:p>
    <w:p w14:paraId="576B92D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（3）巡查人员应统一着装、整洁大方，巡查车与服装上要有明</w:t>
      </w:r>
      <w:r>
        <w:rPr>
          <w:rFonts w:hint="eastAsia" w:ascii="宋体" w:hAnsi="宋体" w:eastAsia="宋体" w:cs="宋体"/>
          <w:color w:val="auto"/>
          <w:spacing w:val="-4"/>
          <w:sz w:val="24"/>
          <w:szCs w:val="24"/>
          <w:highlight w:val="none"/>
        </w:rPr>
        <w:t>显的“市政巡查</w:t>
      </w:r>
      <w:r>
        <w:rPr>
          <w:rFonts w:hint="eastAsia" w:ascii="宋体" w:hAnsi="宋体" w:eastAsia="宋体" w:cs="宋体"/>
          <w:color w:val="auto"/>
          <w:spacing w:val="-102"/>
          <w:sz w:val="24"/>
          <w:szCs w:val="24"/>
          <w:highlight w:val="none"/>
        </w:rPr>
        <w:t xml:space="preserve"> </w:t>
      </w:r>
      <w:r>
        <w:rPr>
          <w:rFonts w:hint="eastAsia" w:ascii="宋体" w:hAnsi="宋体" w:eastAsia="宋体" w:cs="宋体"/>
          <w:color w:val="auto"/>
          <w:spacing w:val="-4"/>
          <w:sz w:val="24"/>
          <w:szCs w:val="24"/>
          <w:highlight w:val="none"/>
        </w:rPr>
        <w:t>”字样及标识。</w:t>
      </w:r>
    </w:p>
    <w:p w14:paraId="06F8939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（4）项目公司要加强现场巡查人员的安全教育，定期对巡查人</w:t>
      </w:r>
      <w:r>
        <w:rPr>
          <w:rFonts w:hint="eastAsia" w:ascii="宋体" w:hAnsi="宋体" w:eastAsia="宋体" w:cs="宋体"/>
          <w:color w:val="auto"/>
          <w:spacing w:val="-1"/>
          <w:sz w:val="24"/>
          <w:szCs w:val="24"/>
          <w:highlight w:val="none"/>
        </w:rPr>
        <w:t>员进行安全知识培训，增强安全意识，切实采取</w:t>
      </w:r>
      <w:r>
        <w:rPr>
          <w:rFonts w:hint="eastAsia" w:ascii="宋体" w:hAnsi="宋体" w:eastAsia="宋体" w:cs="宋体"/>
          <w:color w:val="auto"/>
          <w:spacing w:val="-2"/>
          <w:sz w:val="24"/>
          <w:szCs w:val="24"/>
          <w:highlight w:val="none"/>
        </w:rPr>
        <w:t>有效措施，杜绝安全生产和交通事故发生。</w:t>
      </w:r>
    </w:p>
    <w:p w14:paraId="3AF998C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（5）项目公司须配备满足所辖区域巡查的车辆等设备，巡查车</w:t>
      </w:r>
      <w:r>
        <w:rPr>
          <w:rFonts w:hint="eastAsia" w:ascii="宋体" w:hAnsi="宋体" w:eastAsia="宋体" w:cs="宋体"/>
          <w:color w:val="auto"/>
          <w:spacing w:val="-2"/>
          <w:sz w:val="24"/>
          <w:szCs w:val="24"/>
          <w:highlight w:val="none"/>
        </w:rPr>
        <w:t>辆（包括电动车）需安装</w:t>
      </w:r>
      <w:r>
        <w:rPr>
          <w:rFonts w:hint="eastAsia" w:ascii="宋体" w:hAnsi="宋体" w:eastAsia="宋体" w:cs="宋体"/>
          <w:color w:val="auto"/>
          <w:spacing w:val="-59"/>
          <w:sz w:val="24"/>
          <w:szCs w:val="24"/>
          <w:highlight w:val="none"/>
        </w:rPr>
        <w:t xml:space="preserve"> </w:t>
      </w:r>
      <w:r>
        <w:rPr>
          <w:rFonts w:hint="eastAsia" w:ascii="宋体" w:hAnsi="宋体" w:eastAsia="宋体" w:cs="宋体"/>
          <w:color w:val="auto"/>
          <w:spacing w:val="-2"/>
          <w:sz w:val="24"/>
          <w:szCs w:val="24"/>
          <w:highlight w:val="none"/>
        </w:rPr>
        <w:t>GPS</w:t>
      </w:r>
      <w:r>
        <w:rPr>
          <w:rFonts w:hint="eastAsia" w:ascii="宋体" w:hAnsi="宋体" w:eastAsia="宋体" w:cs="宋体"/>
          <w:color w:val="auto"/>
          <w:spacing w:val="-54"/>
          <w:sz w:val="24"/>
          <w:szCs w:val="24"/>
          <w:highlight w:val="none"/>
        </w:rPr>
        <w:t xml:space="preserve"> </w:t>
      </w:r>
      <w:r>
        <w:rPr>
          <w:rFonts w:hint="eastAsia" w:ascii="宋体" w:hAnsi="宋体" w:eastAsia="宋体" w:cs="宋体"/>
          <w:color w:val="auto"/>
          <w:spacing w:val="-2"/>
          <w:sz w:val="24"/>
          <w:szCs w:val="24"/>
          <w:highlight w:val="none"/>
        </w:rPr>
        <w:t>定位，以备相关考核科室监</w:t>
      </w:r>
      <w:r>
        <w:rPr>
          <w:rFonts w:hint="eastAsia" w:ascii="宋体" w:hAnsi="宋体" w:eastAsia="宋体" w:cs="宋体"/>
          <w:color w:val="auto"/>
          <w:spacing w:val="-5"/>
          <w:sz w:val="24"/>
          <w:szCs w:val="24"/>
          <w:highlight w:val="none"/>
        </w:rPr>
        <w:t>督。</w:t>
      </w:r>
    </w:p>
    <w:p w14:paraId="03E9D73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（6）巡查人员发现蓄意破坏、偷盗市政设施行为时应及时制止</w:t>
      </w:r>
      <w:r>
        <w:rPr>
          <w:rFonts w:hint="eastAsia" w:ascii="宋体" w:hAnsi="宋体" w:eastAsia="宋体" w:cs="宋体"/>
          <w:color w:val="auto"/>
          <w:spacing w:val="-3"/>
          <w:sz w:val="24"/>
          <w:szCs w:val="24"/>
          <w:highlight w:val="none"/>
        </w:rPr>
        <w:t>并上报。遇紧急情况，可拨打</w:t>
      </w:r>
      <w:r>
        <w:rPr>
          <w:rFonts w:hint="eastAsia" w:ascii="宋体" w:hAnsi="宋体" w:eastAsia="宋体" w:cs="宋体"/>
          <w:color w:val="auto"/>
          <w:spacing w:val="-32"/>
          <w:sz w:val="24"/>
          <w:szCs w:val="24"/>
          <w:highlight w:val="none"/>
        </w:rPr>
        <w:t xml:space="preserve"> </w:t>
      </w:r>
      <w:r>
        <w:rPr>
          <w:rFonts w:hint="eastAsia" w:ascii="宋体" w:hAnsi="宋体" w:eastAsia="宋体" w:cs="宋体"/>
          <w:color w:val="auto"/>
          <w:spacing w:val="-3"/>
          <w:sz w:val="24"/>
          <w:szCs w:val="24"/>
          <w:highlight w:val="none"/>
        </w:rPr>
        <w:t>110</w:t>
      </w:r>
      <w:r>
        <w:rPr>
          <w:rFonts w:hint="eastAsia" w:ascii="宋体" w:hAnsi="宋体" w:eastAsia="宋体" w:cs="宋体"/>
          <w:color w:val="auto"/>
          <w:spacing w:val="-63"/>
          <w:sz w:val="24"/>
          <w:szCs w:val="24"/>
          <w:highlight w:val="none"/>
        </w:rPr>
        <w:t xml:space="preserve"> </w:t>
      </w:r>
      <w:r>
        <w:rPr>
          <w:rFonts w:hint="eastAsia" w:ascii="宋体" w:hAnsi="宋体" w:eastAsia="宋体" w:cs="宋体"/>
          <w:color w:val="auto"/>
          <w:spacing w:val="-3"/>
          <w:sz w:val="24"/>
          <w:szCs w:val="24"/>
          <w:highlight w:val="none"/>
        </w:rPr>
        <w:t>报警处置。</w:t>
      </w:r>
    </w:p>
    <w:p w14:paraId="57250373">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（7）巡查人员发现市政设施损坏、缺失等情况时，项目公司应</w:t>
      </w:r>
      <w:r>
        <w:rPr>
          <w:rFonts w:hint="eastAsia" w:ascii="宋体" w:hAnsi="宋体" w:eastAsia="宋体" w:cs="宋体"/>
          <w:color w:val="auto"/>
          <w:spacing w:val="-1"/>
          <w:sz w:val="24"/>
          <w:szCs w:val="24"/>
          <w:highlight w:val="none"/>
        </w:rPr>
        <w:t>立即汇报</w:t>
      </w:r>
      <w:r>
        <w:rPr>
          <w:rFonts w:hint="eastAsia" w:eastAsia="宋体" w:cs="宋体"/>
          <w:color w:val="auto"/>
          <w:spacing w:val="-1"/>
          <w:sz w:val="24"/>
          <w:szCs w:val="24"/>
          <w:highlight w:val="none"/>
          <w:lang w:val="en-US" w:eastAsia="zh-CN"/>
        </w:rPr>
        <w:t>市住建局</w:t>
      </w:r>
      <w:r>
        <w:rPr>
          <w:rFonts w:hint="eastAsia" w:ascii="宋体" w:hAnsi="宋体" w:eastAsia="宋体" w:cs="宋体"/>
          <w:color w:val="auto"/>
          <w:spacing w:val="-1"/>
          <w:sz w:val="24"/>
          <w:szCs w:val="24"/>
          <w:highlight w:val="none"/>
        </w:rPr>
        <w:t>相关科室，项目公司</w:t>
      </w:r>
      <w:r>
        <w:rPr>
          <w:rFonts w:hint="eastAsia" w:ascii="宋体" w:hAnsi="宋体" w:eastAsia="宋体" w:cs="宋体"/>
          <w:color w:val="auto"/>
          <w:spacing w:val="-2"/>
          <w:sz w:val="24"/>
          <w:szCs w:val="24"/>
          <w:highlight w:val="none"/>
        </w:rPr>
        <w:t>应在设施修复</w:t>
      </w:r>
      <w:r>
        <w:rPr>
          <w:rFonts w:hint="eastAsia" w:ascii="宋体" w:hAnsi="宋体" w:eastAsia="宋体" w:cs="宋体"/>
          <w:color w:val="auto"/>
          <w:spacing w:val="-1"/>
          <w:sz w:val="24"/>
          <w:szCs w:val="24"/>
          <w:highlight w:val="none"/>
        </w:rPr>
        <w:t>前及时设置警示标志，并及时告知</w:t>
      </w:r>
      <w:r>
        <w:rPr>
          <w:rFonts w:hint="eastAsia" w:eastAsia="宋体" w:cs="宋体"/>
          <w:color w:val="auto"/>
          <w:spacing w:val="-1"/>
          <w:sz w:val="24"/>
          <w:szCs w:val="24"/>
          <w:highlight w:val="none"/>
          <w:lang w:val="en-US" w:eastAsia="zh-CN"/>
        </w:rPr>
        <w:t>市住建局</w:t>
      </w:r>
      <w:r>
        <w:rPr>
          <w:rFonts w:hint="eastAsia" w:ascii="宋体" w:hAnsi="宋体" w:eastAsia="宋体" w:cs="宋体"/>
          <w:color w:val="auto"/>
          <w:spacing w:val="-1"/>
          <w:sz w:val="24"/>
          <w:szCs w:val="24"/>
          <w:highlight w:val="none"/>
        </w:rPr>
        <w:t>。</w:t>
      </w:r>
    </w:p>
    <w:p w14:paraId="0E56F209">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（8）巡查人员对责任路段的巡检情况认真做好记录，按日填写</w:t>
      </w:r>
      <w:r>
        <w:rPr>
          <w:rFonts w:hint="eastAsia" w:ascii="宋体" w:hAnsi="宋体" w:eastAsia="宋体" w:cs="宋体"/>
          <w:color w:val="auto"/>
          <w:spacing w:val="-1"/>
          <w:sz w:val="24"/>
          <w:szCs w:val="24"/>
          <w:highlight w:val="none"/>
        </w:rPr>
        <w:t>《市政设施巡查记录表》。该表一式肆份，</w:t>
      </w:r>
      <w:r>
        <w:rPr>
          <w:rFonts w:hint="eastAsia" w:eastAsia="宋体" w:cs="宋体"/>
          <w:color w:val="auto"/>
          <w:spacing w:val="-1"/>
          <w:sz w:val="24"/>
          <w:szCs w:val="24"/>
          <w:highlight w:val="none"/>
          <w:lang w:val="en-US" w:eastAsia="zh-CN"/>
        </w:rPr>
        <w:t>市住建局</w:t>
      </w:r>
      <w:r>
        <w:rPr>
          <w:rFonts w:hint="eastAsia" w:ascii="宋体" w:hAnsi="宋体" w:eastAsia="宋体" w:cs="宋体"/>
          <w:color w:val="auto"/>
          <w:spacing w:val="-1"/>
          <w:sz w:val="24"/>
          <w:szCs w:val="24"/>
          <w:highlight w:val="none"/>
        </w:rPr>
        <w:t>二份，项目公司存档一份。</w:t>
      </w:r>
    </w:p>
    <w:p w14:paraId="5275CDC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8"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10. 作业安全防护要求</w:t>
      </w:r>
    </w:p>
    <w:p w14:paraId="6150A64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4"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3"/>
          <w:sz w:val="24"/>
          <w:szCs w:val="24"/>
          <w:highlight w:val="none"/>
        </w:rPr>
        <w:t>一般要求</w:t>
      </w:r>
    </w:p>
    <w:p w14:paraId="072D0EC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（1）养护人员上岗前必须进行安全教育和技术培训。进入养护作业现场内的人员，必须穿戴具有反光功能的安全标志服和防护</w:t>
      </w:r>
      <w:r>
        <w:rPr>
          <w:rFonts w:hint="eastAsia" w:ascii="宋体" w:hAnsi="宋体" w:eastAsia="宋体" w:cs="宋体"/>
          <w:color w:val="auto"/>
          <w:spacing w:val="3"/>
          <w:sz w:val="24"/>
          <w:szCs w:val="24"/>
          <w:highlight w:val="none"/>
        </w:rPr>
        <mc:AlternateContent>
          <mc:Choice Requires="wps">
            <w:drawing>
              <wp:anchor distT="0" distB="0" distL="114300" distR="114300" simplePos="0" relativeHeight="251698176"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15" name="任意多边形 115"/>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8176;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XB6GPaAAAADAEAAA8A&#10;AAAAAAAAAQAgAAAAIgAAAGRycy9kb3ducmV2LnhtbFBLAQIUABQAAAAIAIdO4kDWpTl9FQIAAH8E&#10;AAAOAAAAAAAAAAEAIAAAACkBAABkcnMvZTJvRG9jLnhtbFBLBQYAAAAABgAGAFkBAACwBQAAAAA=&#10;" path="m0,0l8374,0,8374,14,0,14,0,0xe">
                <v:fill on="t" focussize="0,0"/>
                <v:stroke on="f"/>
                <v:imagedata o:title=""/>
                <o:lock v:ext="edit" aspectratio="f"/>
              </v:shape>
            </w:pict>
          </mc:Fallback>
        </mc:AlternateContent>
      </w:r>
      <w:r>
        <w:rPr>
          <w:rFonts w:hint="eastAsia" w:ascii="宋体" w:hAnsi="宋体" w:eastAsia="宋体" w:cs="宋体"/>
          <w:color w:val="auto"/>
          <w:spacing w:val="3"/>
          <w:sz w:val="24"/>
          <w:szCs w:val="24"/>
          <w:highlight w:val="none"/>
        </w:rPr>
        <w:t>帽。未按规格穿戴的警示服和防护用具的人员，不得上岗。</w:t>
      </w:r>
    </w:p>
    <w:p w14:paraId="2F175E7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（2）养护作业现场应设置明显安全标志和采取有效的安全防护措施。</w:t>
      </w:r>
    </w:p>
    <w:p w14:paraId="3AEF1BD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（3）应由专职的安全人员对施工作业安全进行监督，可由经过安全培训的人员进行现场交通疏导。</w:t>
      </w:r>
    </w:p>
    <w:p w14:paraId="148DF0C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（4）养护作业人员不得随意走出安全保护区，不得将施工机具和材料置于安全保护区外。如需穿越行车道，应在确保安全的情况下通过。</w:t>
      </w:r>
    </w:p>
    <w:p w14:paraId="4CD6A93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（5）进行养护作业现场的车辆，应配置警示标志、灯具，车身两侧应注有“市政养护 ”字样，其规格、颜色、品种、性能应符合国际现行标准《道路作业交通安全标志》 （GA182）及《道路交通标志和标线》 （GB5768）的规定。</w:t>
      </w:r>
    </w:p>
    <w:p w14:paraId="0C7C016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（6）当遇大雾、大雨、冰雪天气时，应暂停养护作业。在应急抢险、排除道路积水、消除冰雪时，宜封闭交通或疏导交通。</w:t>
      </w:r>
    </w:p>
    <w:p w14:paraId="2C51B17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2"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5"/>
          <w:sz w:val="24"/>
          <w:szCs w:val="24"/>
          <w:highlight w:val="none"/>
        </w:rPr>
        <w:t>交通安全措施</w:t>
      </w:r>
    </w:p>
    <w:p w14:paraId="01D5252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（1）中修、大修的工程项目应有交通疏导方案。小修维护作业</w:t>
      </w:r>
      <w:r>
        <w:rPr>
          <w:rFonts w:hint="eastAsia" w:ascii="宋体" w:hAnsi="宋体" w:eastAsia="宋体" w:cs="宋体"/>
          <w:color w:val="auto"/>
          <w:spacing w:val="-1"/>
          <w:sz w:val="24"/>
          <w:szCs w:val="24"/>
          <w:highlight w:val="none"/>
        </w:rPr>
        <w:t>现场应采用锥形交通标、护栏划分出作业区</w:t>
      </w:r>
      <w:r>
        <w:rPr>
          <w:rFonts w:hint="eastAsia" w:ascii="宋体" w:hAnsi="宋体" w:eastAsia="宋体" w:cs="宋体"/>
          <w:color w:val="auto"/>
          <w:spacing w:val="-2"/>
          <w:sz w:val="24"/>
          <w:szCs w:val="24"/>
          <w:highlight w:val="none"/>
        </w:rPr>
        <w:t>和行驶区，夜间应设黄色屏闪警示标志。</w:t>
      </w:r>
    </w:p>
    <w:p w14:paraId="16CCA95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（2）养护作业时应依据施工宽度和现场交通条件，采取局部封</w:t>
      </w:r>
      <w:r>
        <w:rPr>
          <w:rFonts w:hint="eastAsia" w:ascii="宋体" w:hAnsi="宋体" w:eastAsia="宋体" w:cs="宋体"/>
          <w:color w:val="auto"/>
          <w:spacing w:val="-2"/>
          <w:sz w:val="24"/>
          <w:szCs w:val="24"/>
          <w:highlight w:val="none"/>
        </w:rPr>
        <w:t>闭、单车道封闭、半幅路封闭或全幅路封闭。</w:t>
      </w:r>
    </w:p>
    <w:p w14:paraId="14F85E0C">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3"/>
          <w:sz w:val="24"/>
          <w:szCs w:val="24"/>
          <w:highlight w:val="none"/>
        </w:rPr>
        <w:t>（3）采取道路局部封闭时，安全保护区的布设应按顺序分别为</w:t>
      </w:r>
      <w:r>
        <w:rPr>
          <w:rFonts w:hint="eastAsia" w:ascii="宋体" w:hAnsi="宋体" w:eastAsia="宋体" w:cs="宋体"/>
          <w:color w:val="auto"/>
          <w:spacing w:val="-1"/>
          <w:sz w:val="24"/>
          <w:szCs w:val="24"/>
          <w:highlight w:val="none"/>
        </w:rPr>
        <w:t>警告区、上游过渡区、缓冲区、作业区、下</w:t>
      </w:r>
      <w:r>
        <w:rPr>
          <w:rFonts w:hint="eastAsia" w:ascii="宋体" w:hAnsi="宋体" w:eastAsia="宋体" w:cs="宋体"/>
          <w:color w:val="auto"/>
          <w:spacing w:val="-2"/>
          <w:sz w:val="24"/>
          <w:szCs w:val="24"/>
          <w:highlight w:val="none"/>
        </w:rPr>
        <w:t>游过渡区、终止区。每个</w:t>
      </w:r>
      <w:r>
        <w:rPr>
          <w:rFonts w:hint="eastAsia" w:ascii="宋体" w:hAnsi="宋体" w:eastAsia="宋体" w:cs="宋体"/>
          <w:color w:val="auto"/>
          <w:spacing w:val="-1"/>
          <w:sz w:val="24"/>
          <w:szCs w:val="24"/>
          <w:highlight w:val="none"/>
        </w:rPr>
        <w:t>区域布设的交通标志的种类、规格、颜色、</w:t>
      </w:r>
      <w:r>
        <w:rPr>
          <w:rFonts w:hint="eastAsia" w:ascii="宋体" w:hAnsi="宋体" w:eastAsia="宋体" w:cs="宋体"/>
          <w:color w:val="auto"/>
          <w:spacing w:val="-2"/>
          <w:sz w:val="24"/>
          <w:szCs w:val="24"/>
          <w:highlight w:val="none"/>
        </w:rPr>
        <w:t>安置的距离、位置符合现行国家标准《道路交通标志和标线》GB5768</w:t>
      </w:r>
      <w:r>
        <w:rPr>
          <w:rFonts w:hint="eastAsia" w:ascii="宋体" w:hAnsi="宋体" w:eastAsia="宋体" w:cs="宋体"/>
          <w:color w:val="auto"/>
          <w:spacing w:val="-34"/>
          <w:sz w:val="24"/>
          <w:szCs w:val="24"/>
          <w:highlight w:val="none"/>
        </w:rPr>
        <w:t xml:space="preserve"> </w:t>
      </w:r>
      <w:r>
        <w:rPr>
          <w:rFonts w:hint="eastAsia" w:ascii="宋体" w:hAnsi="宋体" w:eastAsia="宋体" w:cs="宋体"/>
          <w:color w:val="auto"/>
          <w:spacing w:val="-2"/>
          <w:sz w:val="24"/>
          <w:szCs w:val="24"/>
          <w:highlight w:val="none"/>
        </w:rPr>
        <w:t>的规定。</w:t>
      </w:r>
    </w:p>
    <w:p w14:paraId="189C541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64"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pacing w:val="-4"/>
          <w:sz w:val="24"/>
          <w:szCs w:val="24"/>
          <w:highlight w:val="none"/>
        </w:rPr>
        <w:t>（4）采取道路全幅封闭时，应在绕行路口的前方设置指路标志，</w:t>
      </w:r>
      <w:r>
        <w:rPr>
          <w:rFonts w:hint="eastAsia" w:ascii="宋体" w:hAnsi="宋体" w:eastAsia="宋体" w:cs="宋体"/>
          <w:color w:val="auto"/>
          <w:spacing w:val="-1"/>
          <w:sz w:val="24"/>
          <w:szCs w:val="24"/>
          <w:highlight w:val="none"/>
        </w:rPr>
        <w:t>在安全保护区的两端设置路障及警示标志。</w:t>
      </w:r>
    </w:p>
    <w:p w14:paraId="7DE2798B">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510" w:firstLineChars="200"/>
        <w:textAlignment w:val="auto"/>
        <w:rPr>
          <w:rFonts w:hint="eastAsia" w:ascii="宋体" w:hAnsi="宋体" w:eastAsia="宋体" w:cs="宋体"/>
          <w:color w:val="auto"/>
          <w:sz w:val="24"/>
          <w:szCs w:val="24"/>
          <w:highlight w:val="none"/>
        </w:rPr>
      </w:pPr>
      <w:r>
        <w:rPr>
          <w:rFonts w:hint="eastAsia" w:ascii="宋体" w:hAnsi="宋体" w:eastAsia="宋体" w:cs="宋体"/>
          <w:b/>
          <w:bCs/>
          <w:color w:val="auto"/>
          <w:spacing w:val="7"/>
          <w:sz w:val="24"/>
          <w:szCs w:val="24"/>
          <w:highlight w:val="none"/>
        </w:rPr>
        <w:t>道路养护流动作业要求</w:t>
      </w:r>
    </w:p>
    <w:p w14:paraId="5ECD9E0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mc:AlternateContent>
          <mc:Choice Requires="wps">
            <w:drawing>
              <wp:anchor distT="0" distB="0" distL="114300" distR="114300" simplePos="0" relativeHeight="251699200" behindDoc="0" locked="0" layoutInCell="0" allowOverlap="1">
                <wp:simplePos x="0" y="0"/>
                <wp:positionH relativeFrom="page">
                  <wp:posOffset>1123315</wp:posOffset>
                </wp:positionH>
                <wp:positionV relativeFrom="page">
                  <wp:posOffset>718820</wp:posOffset>
                </wp:positionV>
                <wp:extent cx="5318125" cy="9525"/>
                <wp:effectExtent l="0" t="0" r="0" b="0"/>
                <wp:wrapNone/>
                <wp:docPr id="114" name="任意多边形 114"/>
                <wp:cNvGraphicFramePr/>
                <a:graphic xmlns:a="http://schemas.openxmlformats.org/drawingml/2006/main">
                  <a:graphicData uri="http://schemas.microsoft.com/office/word/2010/wordprocessingShape">
                    <wps:wsp>
                      <wps:cNvSpPr/>
                      <wps:spPr>
                        <a:xfrm>
                          <a:off x="0" y="0"/>
                          <a:ext cx="5318125" cy="9525"/>
                        </a:xfrm>
                        <a:custGeom>
                          <a:avLst/>
                          <a:gdLst/>
                          <a:ahLst/>
                          <a:cxnLst/>
                          <a:pathLst>
                            <a:path w="8375" h="15">
                              <a:moveTo>
                                <a:pt x="0" y="0"/>
                              </a:moveTo>
                              <a:lnTo>
                                <a:pt x="8374" y="0"/>
                              </a:lnTo>
                              <a:lnTo>
                                <a:pt x="8374" y="14"/>
                              </a:lnTo>
                              <a:lnTo>
                                <a:pt x="0" y="14"/>
                              </a:lnTo>
                              <a:lnTo>
                                <a:pt x="0" y="0"/>
                              </a:lnTo>
                              <a:close/>
                            </a:path>
                          </a:pathLst>
                        </a:custGeom>
                        <a:solidFill>
                          <a:srgbClr val="000000"/>
                        </a:solidFill>
                        <a:ln>
                          <a:noFill/>
                        </a:ln>
                      </wps:spPr>
                      <wps:bodyPr upright="1"/>
                    </wps:wsp>
                  </a:graphicData>
                </a:graphic>
              </wp:anchor>
            </w:drawing>
          </mc:Choice>
          <mc:Fallback>
            <w:pict>
              <v:shape id="_x0000_s1026" o:spid="_x0000_s1026" o:spt="100" style="position:absolute;left:0pt;margin-left:88.45pt;margin-top:56.6pt;height:0.75pt;width:418.75pt;mso-position-horizontal-relative:page;mso-position-vertical-relative:page;z-index:251699200;mso-width-relative:page;mso-height-relative:page;" fillcolor="#000000" filled="t" stroked="f" coordsize="8375,15" o:allowincell="f" o:gfxdata="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9cHoY9oAAAAMAQAADwAAAAAA&#10;AAABACAAAAAiAAAAZHJzL2Rvd25yZXYueG1sUEsBAhQAFAAAAAgAh07iQJ7CBJARAgAAfwQAAA4A&#10;AAAAAAAAAQAgAAAAKQEAAGRycy9lMm9Eb2MueG1sUEsFBgAAAAAGAAYAWQEAAKwFAAAAAA==&#10;" path="m0,0l8374,0,8374,14,0,14,0,0xe">
                <v:fill on="t" focussize="0,0"/>
                <v:stroke on="f"/>
                <v:imagedata o:title=""/>
                <o:lock v:ext="edit" aspectratio="f"/>
              </v:shape>
            </w:pict>
          </mc:Fallback>
        </mc:AlternateContent>
      </w:r>
      <w:r>
        <w:rPr>
          <w:rFonts w:hint="eastAsia" w:ascii="宋体" w:hAnsi="宋体" w:eastAsia="宋体" w:cs="宋体"/>
          <w:color w:val="auto"/>
          <w:spacing w:val="3"/>
          <w:sz w:val="24"/>
          <w:szCs w:val="24"/>
          <w:highlight w:val="none"/>
        </w:rPr>
        <w:t>（1）道路养护流动作业宜包括道路养护车、清扫车、洒水车等养护施工车辆设备的行走作业。作业车辆后方必须悬挂移动性施工标志。</w:t>
      </w:r>
    </w:p>
    <w:p w14:paraId="50D6048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（2）行走作业车辆必须开启双侧转向指示灯、警示灯或箭式导向灯牌。</w:t>
      </w:r>
    </w:p>
    <w:p w14:paraId="6472AB9A">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（3）作业车辆应限速行驶，不得任意调头、倒车和逆向行驶。</w:t>
      </w:r>
    </w:p>
    <w:p w14:paraId="5FB7E4F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（4）随车作业人员必须在车辆前方区域内作业；如需停留作业时，应在车辆后方设置锥形交通标。</w:t>
      </w:r>
    </w:p>
    <w:p w14:paraId="5E94873D">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（5）养护作业完毕，项目公司应及时清除障碍物。</w:t>
      </w:r>
    </w:p>
    <w:p w14:paraId="76A674C7">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（6）养护作业现场严禁吸烟，未经许可严禁动用明火。</w:t>
      </w:r>
    </w:p>
    <w:p w14:paraId="171B1AA4">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（7）养护作业人员进入排水管道内部检查、维护作业时，必须同时符合下列各项要求：</w:t>
      </w:r>
    </w:p>
    <w:p w14:paraId="3708A8F6">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管径不得小于 0.8m；</w:t>
      </w:r>
    </w:p>
    <w:p w14:paraId="59323DE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管内流速不得大于 0.5m/s；</w:t>
      </w:r>
    </w:p>
    <w:p w14:paraId="043B0928">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水深不得大于 0.5m；</w:t>
      </w:r>
    </w:p>
    <w:p w14:paraId="18B3A24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充满度不得大于 50%。</w:t>
      </w:r>
    </w:p>
    <w:p w14:paraId="1952B34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管道养护作业宜采用机动绞车、高压射水车、真空吸泥车、淤泥抓斗车、联合疏通车等设备。</w:t>
      </w:r>
    </w:p>
    <w:p w14:paraId="7569B111">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（8）开启井盖后，必须有人在现场监护或在井盖周围设置明显的防护栏及警示标志。开启压力井盖时，应采取相应的防爆措施。</w:t>
      </w:r>
    </w:p>
    <w:p w14:paraId="79C9C8BF">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（9）下井作业人员必须经过专业安全技术培训、考核，具备下井作业资格，并应掌握人工急救技能和防护用具、照明、通信设备的使用方法。项目公司应为下井作业人员建立个人培训档案。</w:t>
      </w:r>
    </w:p>
    <w:p w14:paraId="4E95EABE">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（10）井下作业必须履行审批手续，执行本地的下井许可证。</w:t>
      </w:r>
    </w:p>
    <w:p w14:paraId="1B057942">
      <w:pPr>
        <w:pStyle w:val="13"/>
        <w:keepNext w:val="0"/>
        <w:keepLines w:val="0"/>
        <w:pageBreakBefore w:val="0"/>
        <w:widowControl w:val="0"/>
        <w:kinsoku/>
        <w:wordWrap/>
        <w:overflowPunct/>
        <w:topLinePunct w:val="0"/>
        <w:autoSpaceDE/>
        <w:autoSpaceDN/>
        <w:bidi w:val="0"/>
        <w:adjustRightInd/>
        <w:snapToGrid/>
        <w:spacing w:after="0" w:line="360" w:lineRule="auto"/>
        <w:ind w:left="0" w:right="0" w:firstLine="492" w:firstLineChars="200"/>
        <w:textAlignment w:val="auto"/>
        <w:rPr>
          <w:rFonts w:hint="eastAsia" w:ascii="宋体" w:hAnsi="宋体" w:eastAsia="宋体" w:cs="宋体"/>
          <w:color w:val="auto"/>
          <w:spacing w:val="3"/>
          <w:sz w:val="24"/>
          <w:szCs w:val="24"/>
          <w:highlight w:val="none"/>
        </w:rPr>
      </w:pPr>
      <w:r>
        <w:rPr>
          <w:rFonts w:hint="eastAsia" w:ascii="宋体" w:hAnsi="宋体" w:eastAsia="宋体" w:cs="宋体"/>
          <w:color w:val="auto"/>
          <w:spacing w:val="3"/>
          <w:sz w:val="24"/>
          <w:szCs w:val="24"/>
          <w:highlight w:val="none"/>
        </w:rPr>
        <w:t>（11）维护、维修不当或不及时或维修过程施工安全不到位等原因所发生的安全事故及由此产生的费用完全由项目公司承担。严重的解除合同并扣除管理费。</w:t>
      </w:r>
    </w:p>
    <w:p w14:paraId="2657D635">
      <w:pPr>
        <w:keepNext w:val="0"/>
        <w:keepLines w:val="0"/>
        <w:pageBreakBefore w:val="0"/>
        <w:widowControl w:val="0"/>
        <w:kinsoku/>
        <w:overflowPunct/>
        <w:topLinePunct w:val="0"/>
        <w:autoSpaceDE/>
        <w:autoSpaceDN/>
        <w:bidi w:val="0"/>
        <w:adjustRightInd/>
        <w:ind w:left="0" w:leftChars="0" w:firstLineChars="0"/>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br w:type="page"/>
      </w:r>
      <w:r>
        <w:rPr>
          <w:rFonts w:hint="eastAsia" w:ascii="宋体" w:hAnsi="宋体" w:eastAsia="宋体"/>
          <w:b/>
          <w:bCs/>
          <w:snapToGrid w:val="0"/>
          <w:color w:val="auto"/>
          <w:sz w:val="24"/>
          <w:szCs w:val="24"/>
          <w:highlight w:val="none"/>
          <w:lang w:val="en-US" w:eastAsia="zh-CN"/>
        </w:rPr>
        <w:t>附件</w:t>
      </w:r>
      <w:r>
        <w:rPr>
          <w:rFonts w:hint="eastAsia"/>
          <w:b/>
          <w:bCs/>
          <w:snapToGrid w:val="0"/>
          <w:color w:val="auto"/>
          <w:sz w:val="24"/>
          <w:szCs w:val="24"/>
          <w:highlight w:val="none"/>
          <w:lang w:val="en-US" w:eastAsia="zh-CN"/>
        </w:rPr>
        <w:t xml:space="preserve">1 </w:t>
      </w:r>
    </w:p>
    <w:p w14:paraId="0F0C6EF9">
      <w:pPr>
        <w:keepNext w:val="0"/>
        <w:keepLines w:val="0"/>
        <w:pageBreakBefore w:val="0"/>
        <w:widowControl w:val="0"/>
        <w:kinsoku/>
        <w:overflowPunct/>
        <w:topLinePunct w:val="0"/>
        <w:autoSpaceDE/>
        <w:autoSpaceDN/>
        <w:bidi w:val="0"/>
        <w:adjustRightInd/>
        <w:spacing w:after="0" w:afterLines="-2147483648"/>
        <w:ind w:left="0" w:leftChars="0" w:firstLineChars="0"/>
        <w:jc w:val="center"/>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哈密市伊州区吐哈石油基地“市政、园林 、环卫一体化”（2026-2028年）第三方采购项目年度工程量清单</w:t>
      </w:r>
    </w:p>
    <w:p w14:paraId="06265A83">
      <w:pPr>
        <w:keepNext w:val="0"/>
        <w:keepLines w:val="0"/>
        <w:pageBreakBefore w:val="0"/>
        <w:widowControl w:val="0"/>
        <w:kinsoku/>
        <w:overflowPunct/>
        <w:topLinePunct w:val="0"/>
        <w:autoSpaceDE/>
        <w:autoSpaceDN/>
        <w:bidi w:val="0"/>
        <w:adjustRightInd/>
        <w:spacing w:after="0" w:afterLines="-2147483648"/>
        <w:ind w:left="0" w:leftChars="0" w:firstLineChars="0"/>
        <w:jc w:val="center"/>
        <w:textAlignment w:val="auto"/>
        <w:rPr>
          <w:rFonts w:hint="eastAsia"/>
          <w:b/>
          <w:bCs/>
          <w:snapToGrid w:val="0"/>
          <w:color w:val="auto"/>
          <w:sz w:val="24"/>
          <w:szCs w:val="24"/>
          <w:highlight w:val="none"/>
          <w:lang w:val="en-US" w:eastAsia="zh-CN"/>
        </w:rPr>
      </w:pPr>
      <w:r>
        <w:rPr>
          <w:rFonts w:hint="eastAsia"/>
          <w:b/>
          <w:bCs/>
          <w:snapToGrid w:val="0"/>
          <w:color w:val="auto"/>
          <w:sz w:val="24"/>
          <w:szCs w:val="24"/>
          <w:highlight w:val="none"/>
          <w:lang w:val="en-US" w:eastAsia="zh-CN"/>
        </w:rPr>
        <w:t>1、分类汇总表</w:t>
      </w:r>
    </w:p>
    <w:tbl>
      <w:tblPr>
        <w:tblStyle w:val="31"/>
        <w:tblW w:w="847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737"/>
        <w:gridCol w:w="2853"/>
        <w:gridCol w:w="2296"/>
        <w:gridCol w:w="1592"/>
      </w:tblGrid>
      <w:tr w14:paraId="3469D1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vMerge w:val="restart"/>
            <w:tcBorders>
              <w:top w:val="single" w:color="auto" w:sz="4" w:space="0"/>
              <w:left w:val="single" w:color="auto" w:sz="4" w:space="0"/>
              <w:bottom w:val="single" w:color="auto" w:sz="4" w:space="0"/>
              <w:right w:val="single" w:color="auto" w:sz="4" w:space="0"/>
            </w:tcBorders>
            <w:shd w:val="clear" w:color="auto" w:fill="63B86C"/>
            <w:vAlign w:val="center"/>
          </w:tcPr>
          <w:p w14:paraId="704D8DF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序号</w:t>
            </w:r>
          </w:p>
        </w:tc>
        <w:tc>
          <w:tcPr>
            <w:tcW w:w="2853" w:type="dxa"/>
            <w:vMerge w:val="restart"/>
            <w:tcBorders>
              <w:top w:val="single" w:color="auto" w:sz="4" w:space="0"/>
              <w:left w:val="single" w:color="auto" w:sz="4" w:space="0"/>
              <w:bottom w:val="single" w:color="auto" w:sz="4" w:space="0"/>
              <w:right w:val="single" w:color="auto" w:sz="4" w:space="0"/>
            </w:tcBorders>
            <w:shd w:val="clear" w:color="auto" w:fill="63B86C"/>
            <w:vAlign w:val="center"/>
          </w:tcPr>
          <w:p w14:paraId="7159C8B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工程内容</w:t>
            </w:r>
          </w:p>
        </w:tc>
        <w:tc>
          <w:tcPr>
            <w:tcW w:w="3888" w:type="dxa"/>
            <w:gridSpan w:val="2"/>
            <w:tcBorders>
              <w:top w:val="single" w:color="auto" w:sz="4" w:space="0"/>
              <w:left w:val="single" w:color="auto" w:sz="4" w:space="0"/>
              <w:bottom w:val="single" w:color="auto" w:sz="4" w:space="0"/>
              <w:right w:val="single" w:color="auto" w:sz="4" w:space="0"/>
            </w:tcBorders>
            <w:shd w:val="clear" w:color="auto" w:fill="63B86C"/>
            <w:vAlign w:val="center"/>
          </w:tcPr>
          <w:p w14:paraId="60A33BD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工程量</w:t>
            </w:r>
          </w:p>
        </w:tc>
      </w:tr>
      <w:tr w14:paraId="66AA32C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vMerge w:val="continue"/>
            <w:tcBorders>
              <w:top w:val="single" w:color="auto" w:sz="4" w:space="0"/>
              <w:left w:val="single" w:color="auto" w:sz="4" w:space="0"/>
              <w:bottom w:val="single" w:color="auto" w:sz="4" w:space="0"/>
              <w:right w:val="single" w:color="auto" w:sz="4" w:space="0"/>
            </w:tcBorders>
            <w:shd w:val="clear" w:color="auto" w:fill="63B86C"/>
            <w:vAlign w:val="center"/>
          </w:tcPr>
          <w:p w14:paraId="4F7E3581">
            <w:pPr>
              <w:jc w:val="center"/>
              <w:rPr>
                <w:rFonts w:hint="eastAsia" w:ascii="宋体" w:hAnsi="宋体" w:eastAsia="宋体" w:cs="宋体"/>
                <w:b/>
                <w:bCs/>
                <w:i w:val="0"/>
                <w:iCs w:val="0"/>
                <w:color w:val="auto"/>
                <w:sz w:val="21"/>
                <w:szCs w:val="21"/>
                <w:highlight w:val="none"/>
                <w:u w:val="none"/>
              </w:rPr>
            </w:pPr>
          </w:p>
        </w:tc>
        <w:tc>
          <w:tcPr>
            <w:tcW w:w="2853" w:type="dxa"/>
            <w:vMerge w:val="continue"/>
            <w:tcBorders>
              <w:top w:val="single" w:color="auto" w:sz="4" w:space="0"/>
              <w:left w:val="single" w:color="auto" w:sz="4" w:space="0"/>
              <w:bottom w:val="single" w:color="auto" w:sz="4" w:space="0"/>
              <w:right w:val="single" w:color="auto" w:sz="4" w:space="0"/>
            </w:tcBorders>
            <w:shd w:val="clear" w:color="auto" w:fill="63B86C"/>
            <w:vAlign w:val="center"/>
          </w:tcPr>
          <w:p w14:paraId="764EEB0D">
            <w:pPr>
              <w:jc w:val="center"/>
              <w:rPr>
                <w:rFonts w:hint="eastAsia" w:ascii="宋体" w:hAnsi="宋体" w:eastAsia="宋体" w:cs="宋体"/>
                <w:b/>
                <w:bCs/>
                <w:i w:val="0"/>
                <w:iCs w:val="0"/>
                <w:color w:val="auto"/>
                <w:sz w:val="21"/>
                <w:szCs w:val="21"/>
                <w:highlight w:val="none"/>
                <w:u w:val="none"/>
              </w:rPr>
            </w:pPr>
          </w:p>
        </w:tc>
        <w:tc>
          <w:tcPr>
            <w:tcW w:w="2296" w:type="dxa"/>
            <w:tcBorders>
              <w:top w:val="single" w:color="auto" w:sz="4" w:space="0"/>
              <w:left w:val="single" w:color="auto" w:sz="4" w:space="0"/>
              <w:bottom w:val="single" w:color="auto" w:sz="4" w:space="0"/>
              <w:right w:val="single" w:color="auto" w:sz="4" w:space="0"/>
            </w:tcBorders>
            <w:shd w:val="clear" w:color="auto" w:fill="63B86C"/>
            <w:vAlign w:val="center"/>
          </w:tcPr>
          <w:p w14:paraId="48D5FC9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工程量</w:t>
            </w:r>
          </w:p>
        </w:tc>
        <w:tc>
          <w:tcPr>
            <w:tcW w:w="1592" w:type="dxa"/>
            <w:tcBorders>
              <w:top w:val="single" w:color="auto" w:sz="4" w:space="0"/>
              <w:left w:val="single" w:color="auto" w:sz="4" w:space="0"/>
              <w:bottom w:val="single" w:color="auto" w:sz="4" w:space="0"/>
              <w:right w:val="single" w:color="auto" w:sz="4" w:space="0"/>
            </w:tcBorders>
            <w:shd w:val="clear" w:color="auto" w:fill="63B86C"/>
            <w:vAlign w:val="center"/>
          </w:tcPr>
          <w:p w14:paraId="1558057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单位</w:t>
            </w:r>
          </w:p>
        </w:tc>
      </w:tr>
      <w:tr w14:paraId="6B78B67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78"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15C779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道路清扫保洁</w:t>
            </w:r>
          </w:p>
        </w:tc>
      </w:tr>
      <w:tr w14:paraId="17DD21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tcBorders>
              <w:top w:val="single" w:color="auto" w:sz="4" w:space="0"/>
              <w:left w:val="single" w:color="000000" w:sz="8" w:space="0"/>
              <w:bottom w:val="single" w:color="000000" w:sz="8" w:space="0"/>
              <w:right w:val="single" w:color="000000" w:sz="8" w:space="0"/>
            </w:tcBorders>
            <w:shd w:val="clear" w:color="auto" w:fill="auto"/>
            <w:vAlign w:val="center"/>
          </w:tcPr>
          <w:p w14:paraId="217700A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w:t>
            </w:r>
          </w:p>
        </w:tc>
        <w:tc>
          <w:tcPr>
            <w:tcW w:w="2853" w:type="dxa"/>
            <w:tcBorders>
              <w:top w:val="single" w:color="auto" w:sz="4" w:space="0"/>
              <w:left w:val="single" w:color="000000" w:sz="8" w:space="0"/>
              <w:bottom w:val="single" w:color="000000" w:sz="8" w:space="0"/>
              <w:right w:val="single" w:color="000000" w:sz="8" w:space="0"/>
            </w:tcBorders>
            <w:shd w:val="clear" w:color="auto" w:fill="auto"/>
            <w:vAlign w:val="center"/>
          </w:tcPr>
          <w:p w14:paraId="7F5D55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道路清扫保洁</w:t>
            </w:r>
          </w:p>
        </w:tc>
        <w:tc>
          <w:tcPr>
            <w:tcW w:w="2296" w:type="dxa"/>
            <w:tcBorders>
              <w:top w:val="single" w:color="auto" w:sz="4" w:space="0"/>
              <w:left w:val="single" w:color="000000" w:sz="8" w:space="0"/>
              <w:bottom w:val="single" w:color="000000" w:sz="8" w:space="0"/>
              <w:right w:val="single" w:color="000000" w:sz="8" w:space="0"/>
            </w:tcBorders>
            <w:shd w:val="clear" w:color="auto" w:fill="auto"/>
            <w:vAlign w:val="center"/>
          </w:tcPr>
          <w:p w14:paraId="4B345DC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651561.2</w:t>
            </w:r>
          </w:p>
        </w:tc>
        <w:tc>
          <w:tcPr>
            <w:tcW w:w="1592" w:type="dxa"/>
            <w:tcBorders>
              <w:top w:val="single" w:color="auto" w:sz="4" w:space="0"/>
              <w:left w:val="single" w:color="000000" w:sz="8" w:space="0"/>
              <w:bottom w:val="single" w:color="000000" w:sz="8" w:space="0"/>
              <w:right w:val="single" w:color="000000" w:sz="8" w:space="0"/>
            </w:tcBorders>
            <w:shd w:val="clear" w:color="auto" w:fill="auto"/>
            <w:vAlign w:val="center"/>
          </w:tcPr>
          <w:p w14:paraId="420961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4CB534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478" w:type="dxa"/>
            <w:gridSpan w:val="4"/>
            <w:tcBorders>
              <w:top w:val="nil"/>
              <w:left w:val="single" w:color="000000" w:sz="8" w:space="0"/>
              <w:bottom w:val="single" w:color="000000" w:sz="8" w:space="0"/>
              <w:right w:val="single" w:color="000000" w:sz="8" w:space="0"/>
            </w:tcBorders>
            <w:shd w:val="clear" w:color="auto" w:fill="auto"/>
            <w:vAlign w:val="center"/>
          </w:tcPr>
          <w:p w14:paraId="5A95153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绿化带防风林清扫保洁</w:t>
            </w:r>
          </w:p>
        </w:tc>
      </w:tr>
      <w:tr w14:paraId="5DCDB36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2B3709A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28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68ECD7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绿化带防风林清扫保洁</w:t>
            </w:r>
          </w:p>
        </w:tc>
        <w:tc>
          <w:tcPr>
            <w:tcW w:w="22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D8982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760518.3</w:t>
            </w:r>
          </w:p>
        </w:tc>
        <w:tc>
          <w:tcPr>
            <w:tcW w:w="15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04AA97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2AF81B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78" w:type="dxa"/>
            <w:gridSpan w:val="4"/>
            <w:tcBorders>
              <w:top w:val="nil"/>
              <w:left w:val="single" w:color="000000" w:sz="8" w:space="0"/>
              <w:bottom w:val="single" w:color="000000" w:sz="8" w:space="0"/>
              <w:right w:val="single" w:color="000000" w:sz="8" w:space="0"/>
            </w:tcBorders>
            <w:shd w:val="clear" w:color="auto" w:fill="auto"/>
            <w:vAlign w:val="center"/>
          </w:tcPr>
          <w:p w14:paraId="4A3E1AC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垃圾清运</w:t>
            </w:r>
          </w:p>
        </w:tc>
      </w:tr>
      <w:tr w14:paraId="0ABA1E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778851F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28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2A8D7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垃圾收运</w:t>
            </w:r>
          </w:p>
        </w:tc>
        <w:tc>
          <w:tcPr>
            <w:tcW w:w="22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87DB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3650</w:t>
            </w:r>
          </w:p>
        </w:tc>
        <w:tc>
          <w:tcPr>
            <w:tcW w:w="15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5C096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吨</w:t>
            </w:r>
            <w:r>
              <w:rPr>
                <w:rStyle w:val="82"/>
                <w:rFonts w:eastAsia="宋体"/>
                <w:color w:val="auto"/>
                <w:highlight w:val="none"/>
                <w:lang w:val="en-US" w:eastAsia="zh-CN" w:bidi="ar"/>
              </w:rPr>
              <w:t>/</w:t>
            </w:r>
            <w:r>
              <w:rPr>
                <w:rFonts w:hint="eastAsia" w:ascii="宋体" w:hAnsi="宋体" w:eastAsia="宋体" w:cs="宋体"/>
                <w:i w:val="0"/>
                <w:iCs w:val="0"/>
                <w:color w:val="auto"/>
                <w:kern w:val="0"/>
                <w:sz w:val="21"/>
                <w:szCs w:val="21"/>
                <w:highlight w:val="none"/>
                <w:u w:val="none"/>
                <w:lang w:val="en-US" w:eastAsia="zh-CN" w:bidi="ar"/>
              </w:rPr>
              <w:t>年</w:t>
            </w:r>
          </w:p>
        </w:tc>
      </w:tr>
      <w:tr w14:paraId="650385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478" w:type="dxa"/>
            <w:gridSpan w:val="4"/>
            <w:tcBorders>
              <w:top w:val="nil"/>
              <w:left w:val="single" w:color="000000" w:sz="8" w:space="0"/>
              <w:bottom w:val="single" w:color="000000" w:sz="8" w:space="0"/>
              <w:right w:val="single" w:color="000000" w:sz="8" w:space="0"/>
            </w:tcBorders>
            <w:shd w:val="clear" w:color="auto" w:fill="auto"/>
            <w:vAlign w:val="center"/>
          </w:tcPr>
          <w:p w14:paraId="7178474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转运站</w:t>
            </w:r>
          </w:p>
        </w:tc>
      </w:tr>
      <w:tr w14:paraId="3FF40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0157BF6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28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144EA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转运站</w:t>
            </w:r>
          </w:p>
        </w:tc>
        <w:tc>
          <w:tcPr>
            <w:tcW w:w="22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660A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5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0C8B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r>
      <w:tr w14:paraId="58FFEDE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478" w:type="dxa"/>
            <w:gridSpan w:val="4"/>
            <w:tcBorders>
              <w:top w:val="nil"/>
              <w:left w:val="single" w:color="000000" w:sz="8" w:space="0"/>
              <w:bottom w:val="single" w:color="000000" w:sz="8" w:space="0"/>
              <w:right w:val="single" w:color="000000" w:sz="8" w:space="0"/>
            </w:tcBorders>
            <w:shd w:val="clear" w:color="auto" w:fill="auto"/>
            <w:vAlign w:val="center"/>
          </w:tcPr>
          <w:p w14:paraId="4653610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公厕保洁</w:t>
            </w:r>
          </w:p>
        </w:tc>
      </w:tr>
      <w:tr w14:paraId="21F534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7D2630C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28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929CB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公厕保洁</w:t>
            </w:r>
          </w:p>
        </w:tc>
        <w:tc>
          <w:tcPr>
            <w:tcW w:w="22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76C65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5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4F1870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座</w:t>
            </w:r>
          </w:p>
        </w:tc>
      </w:tr>
      <w:tr w14:paraId="48CFCE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478" w:type="dxa"/>
            <w:gridSpan w:val="4"/>
            <w:tcBorders>
              <w:top w:val="nil"/>
              <w:left w:val="single" w:color="000000" w:sz="8" w:space="0"/>
              <w:bottom w:val="single" w:color="000000" w:sz="8" w:space="0"/>
              <w:right w:val="single" w:color="000000" w:sz="8" w:space="0"/>
            </w:tcBorders>
            <w:shd w:val="clear" w:color="auto" w:fill="auto"/>
            <w:vAlign w:val="center"/>
          </w:tcPr>
          <w:p w14:paraId="0553C88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除雪服务</w:t>
            </w:r>
          </w:p>
        </w:tc>
      </w:tr>
      <w:tr w14:paraId="196CD2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4175C0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28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48DB46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冬季除雪</w:t>
            </w:r>
          </w:p>
        </w:tc>
        <w:tc>
          <w:tcPr>
            <w:tcW w:w="22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1B85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651561.2</w:t>
            </w:r>
          </w:p>
        </w:tc>
        <w:tc>
          <w:tcPr>
            <w:tcW w:w="15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12E07F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77521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8478" w:type="dxa"/>
            <w:gridSpan w:val="4"/>
            <w:tcBorders>
              <w:top w:val="nil"/>
              <w:left w:val="single" w:color="000000" w:sz="8" w:space="0"/>
              <w:bottom w:val="single" w:color="000000" w:sz="8" w:space="0"/>
              <w:right w:val="single" w:color="000000" w:sz="8" w:space="0"/>
            </w:tcBorders>
            <w:shd w:val="clear" w:color="auto" w:fill="auto"/>
            <w:vAlign w:val="center"/>
          </w:tcPr>
          <w:p w14:paraId="5643FFA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园林绿化及公园管理</w:t>
            </w:r>
          </w:p>
        </w:tc>
      </w:tr>
      <w:tr w14:paraId="2D0F60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532298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9</w:t>
            </w:r>
          </w:p>
        </w:tc>
        <w:tc>
          <w:tcPr>
            <w:tcW w:w="28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647F77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公园绿地养护（含保洁）</w:t>
            </w:r>
          </w:p>
        </w:tc>
        <w:tc>
          <w:tcPr>
            <w:tcW w:w="22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16352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388400</w:t>
            </w:r>
          </w:p>
        </w:tc>
        <w:tc>
          <w:tcPr>
            <w:tcW w:w="15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C26DC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2D717F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44BFF9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10</w:t>
            </w:r>
          </w:p>
        </w:tc>
        <w:tc>
          <w:tcPr>
            <w:tcW w:w="2853" w:type="dxa"/>
            <w:tcBorders>
              <w:top w:val="nil"/>
              <w:left w:val="single" w:color="000000" w:sz="8" w:space="0"/>
              <w:bottom w:val="single" w:color="000000" w:sz="8" w:space="0"/>
              <w:right w:val="single" w:color="000000" w:sz="8" w:space="0"/>
            </w:tcBorders>
            <w:shd w:val="clear" w:color="auto" w:fill="auto"/>
            <w:vAlign w:val="center"/>
          </w:tcPr>
          <w:p w14:paraId="0FDADF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公共绿地养护</w:t>
            </w:r>
          </w:p>
        </w:tc>
        <w:tc>
          <w:tcPr>
            <w:tcW w:w="2296" w:type="dxa"/>
            <w:tcBorders>
              <w:top w:val="nil"/>
              <w:left w:val="single" w:color="000000" w:sz="8" w:space="0"/>
              <w:bottom w:val="single" w:color="000000" w:sz="8" w:space="0"/>
              <w:right w:val="single" w:color="000000" w:sz="8" w:space="0"/>
            </w:tcBorders>
            <w:shd w:val="clear" w:color="auto" w:fill="auto"/>
            <w:vAlign w:val="center"/>
          </w:tcPr>
          <w:p w14:paraId="2016C43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384618.3</w:t>
            </w:r>
          </w:p>
        </w:tc>
        <w:tc>
          <w:tcPr>
            <w:tcW w:w="1592" w:type="dxa"/>
            <w:tcBorders>
              <w:top w:val="nil"/>
              <w:left w:val="single" w:color="000000" w:sz="8" w:space="0"/>
              <w:bottom w:val="single" w:color="000000" w:sz="8" w:space="0"/>
              <w:right w:val="single" w:color="000000" w:sz="8" w:space="0"/>
            </w:tcBorders>
            <w:shd w:val="clear" w:color="auto" w:fill="auto"/>
            <w:vAlign w:val="center"/>
          </w:tcPr>
          <w:p w14:paraId="735E7E6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16A628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381013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11</w:t>
            </w:r>
          </w:p>
        </w:tc>
        <w:tc>
          <w:tcPr>
            <w:tcW w:w="2853" w:type="dxa"/>
            <w:tcBorders>
              <w:top w:val="nil"/>
              <w:left w:val="single" w:color="000000" w:sz="8" w:space="0"/>
              <w:bottom w:val="single" w:color="000000" w:sz="8" w:space="0"/>
              <w:right w:val="single" w:color="000000" w:sz="8" w:space="0"/>
            </w:tcBorders>
            <w:shd w:val="clear" w:color="auto" w:fill="auto"/>
            <w:vAlign w:val="center"/>
          </w:tcPr>
          <w:p w14:paraId="7415F4F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防风林养护</w:t>
            </w:r>
          </w:p>
        </w:tc>
        <w:tc>
          <w:tcPr>
            <w:tcW w:w="2296" w:type="dxa"/>
            <w:tcBorders>
              <w:top w:val="nil"/>
              <w:left w:val="single" w:color="000000" w:sz="8" w:space="0"/>
              <w:bottom w:val="single" w:color="000000" w:sz="8" w:space="0"/>
              <w:right w:val="single" w:color="000000" w:sz="8" w:space="0"/>
            </w:tcBorders>
            <w:shd w:val="clear" w:color="auto" w:fill="auto"/>
            <w:vAlign w:val="center"/>
          </w:tcPr>
          <w:p w14:paraId="09A7644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375900</w:t>
            </w:r>
          </w:p>
        </w:tc>
        <w:tc>
          <w:tcPr>
            <w:tcW w:w="1592" w:type="dxa"/>
            <w:tcBorders>
              <w:top w:val="nil"/>
              <w:left w:val="single" w:color="000000" w:sz="8" w:space="0"/>
              <w:bottom w:val="single" w:color="000000" w:sz="8" w:space="0"/>
              <w:right w:val="single" w:color="000000" w:sz="8" w:space="0"/>
            </w:tcBorders>
            <w:shd w:val="clear" w:color="auto" w:fill="auto"/>
            <w:vAlign w:val="center"/>
          </w:tcPr>
          <w:p w14:paraId="30300A0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2EFC82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8478" w:type="dxa"/>
            <w:gridSpan w:val="4"/>
            <w:tcBorders>
              <w:top w:val="nil"/>
              <w:left w:val="single" w:color="000000" w:sz="8" w:space="0"/>
              <w:bottom w:val="single" w:color="000000" w:sz="8" w:space="0"/>
              <w:right w:val="single" w:color="000000" w:sz="8" w:space="0"/>
            </w:tcBorders>
            <w:shd w:val="clear" w:color="auto" w:fill="auto"/>
            <w:vAlign w:val="center"/>
          </w:tcPr>
          <w:p w14:paraId="41C599D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市政设施</w:t>
            </w:r>
          </w:p>
        </w:tc>
      </w:tr>
      <w:tr w14:paraId="63D6B88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0"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0A5F7D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12</w:t>
            </w:r>
          </w:p>
        </w:tc>
        <w:tc>
          <w:tcPr>
            <w:tcW w:w="2853"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B9BC7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市政道路养护</w:t>
            </w:r>
          </w:p>
        </w:tc>
        <w:tc>
          <w:tcPr>
            <w:tcW w:w="229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5220A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651561.2</w:t>
            </w:r>
          </w:p>
        </w:tc>
        <w:tc>
          <w:tcPr>
            <w:tcW w:w="1592"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D7F579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平方米</w:t>
            </w:r>
          </w:p>
        </w:tc>
      </w:tr>
      <w:tr w14:paraId="236093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 w:hRule="atLeast"/>
        </w:trPr>
        <w:tc>
          <w:tcPr>
            <w:tcW w:w="1737" w:type="dxa"/>
            <w:tcBorders>
              <w:top w:val="nil"/>
              <w:left w:val="single" w:color="000000" w:sz="8" w:space="0"/>
              <w:bottom w:val="single" w:color="000000" w:sz="8" w:space="0"/>
              <w:right w:val="single" w:color="000000" w:sz="8" w:space="0"/>
            </w:tcBorders>
            <w:shd w:val="clear" w:color="auto" w:fill="auto"/>
            <w:vAlign w:val="center"/>
          </w:tcPr>
          <w:p w14:paraId="161336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13</w:t>
            </w:r>
          </w:p>
        </w:tc>
        <w:tc>
          <w:tcPr>
            <w:tcW w:w="2853" w:type="dxa"/>
            <w:tcBorders>
              <w:top w:val="nil"/>
              <w:left w:val="single" w:color="000000" w:sz="8" w:space="0"/>
              <w:bottom w:val="single" w:color="000000" w:sz="8" w:space="0"/>
              <w:right w:val="single" w:color="000000" w:sz="8" w:space="0"/>
            </w:tcBorders>
            <w:shd w:val="clear" w:color="auto" w:fill="auto"/>
            <w:vAlign w:val="center"/>
          </w:tcPr>
          <w:p w14:paraId="2A4F958C">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路灯照明设施管养</w:t>
            </w:r>
          </w:p>
        </w:tc>
        <w:tc>
          <w:tcPr>
            <w:tcW w:w="2296" w:type="dxa"/>
            <w:tcBorders>
              <w:top w:val="nil"/>
              <w:left w:val="single" w:color="000000" w:sz="8" w:space="0"/>
              <w:bottom w:val="single" w:color="000000" w:sz="8" w:space="0"/>
              <w:right w:val="single" w:color="000000" w:sz="8" w:space="0"/>
            </w:tcBorders>
            <w:shd w:val="clear" w:color="auto" w:fill="auto"/>
            <w:vAlign w:val="center"/>
          </w:tcPr>
          <w:p w14:paraId="4666E1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highlight w:val="none"/>
                <w:u w:val="none"/>
              </w:rPr>
            </w:pPr>
            <w:r>
              <w:rPr>
                <w:rFonts w:hint="default" w:ascii="Times New Roman" w:hAnsi="Times New Roman" w:eastAsia="宋体" w:cs="Times New Roman"/>
                <w:i w:val="0"/>
                <w:iCs w:val="0"/>
                <w:color w:val="auto"/>
                <w:kern w:val="0"/>
                <w:sz w:val="21"/>
                <w:szCs w:val="21"/>
                <w:highlight w:val="none"/>
                <w:u w:val="none"/>
                <w:lang w:val="en-US" w:eastAsia="zh-CN" w:bidi="ar"/>
              </w:rPr>
              <w:t>1530</w:t>
            </w:r>
          </w:p>
        </w:tc>
        <w:tc>
          <w:tcPr>
            <w:tcW w:w="1592" w:type="dxa"/>
            <w:tcBorders>
              <w:top w:val="nil"/>
              <w:left w:val="single" w:color="000000" w:sz="8" w:space="0"/>
              <w:bottom w:val="single" w:color="000000" w:sz="8" w:space="0"/>
              <w:right w:val="single" w:color="000000" w:sz="8" w:space="0"/>
            </w:tcBorders>
            <w:shd w:val="clear" w:color="auto" w:fill="auto"/>
            <w:vAlign w:val="center"/>
          </w:tcPr>
          <w:p w14:paraId="49980A5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个</w:t>
            </w:r>
          </w:p>
        </w:tc>
      </w:tr>
    </w:tbl>
    <w:p w14:paraId="0E74E254">
      <w:pPr>
        <w:rPr>
          <w:rFonts w:hint="eastAsia" w:ascii="宋体" w:hAnsi="宋体" w:eastAsia="宋体" w:cs="宋体"/>
          <w:color w:val="auto"/>
          <w:sz w:val="24"/>
          <w:highlight w:val="none"/>
        </w:rPr>
      </w:pPr>
      <w:r>
        <w:rPr>
          <w:rFonts w:hint="eastAsia" w:eastAsia="宋体" w:cs="宋体"/>
          <w:b w:val="0"/>
          <w:bCs w:val="0"/>
          <w:color w:val="auto"/>
          <w:spacing w:val="-4"/>
          <w:sz w:val="24"/>
          <w:szCs w:val="24"/>
          <w:highlight w:val="none"/>
          <w:lang w:val="en-US" w:eastAsia="zh-CN"/>
        </w:rPr>
        <w:t>备注：以上</w:t>
      </w:r>
      <w:r>
        <w:rPr>
          <w:rFonts w:hint="eastAsia" w:cs="宋体"/>
          <w:b w:val="0"/>
          <w:bCs w:val="0"/>
          <w:color w:val="auto"/>
          <w:spacing w:val="-4"/>
          <w:sz w:val="24"/>
          <w:szCs w:val="24"/>
          <w:highlight w:val="none"/>
          <w:lang w:val="en-US" w:eastAsia="zh-CN"/>
        </w:rPr>
        <w:t>运维</w:t>
      </w:r>
      <w:r>
        <w:rPr>
          <w:rFonts w:hint="eastAsia" w:eastAsia="宋体" w:cs="宋体"/>
          <w:b w:val="0"/>
          <w:bCs w:val="0"/>
          <w:color w:val="auto"/>
          <w:spacing w:val="-4"/>
          <w:sz w:val="24"/>
          <w:szCs w:val="24"/>
          <w:highlight w:val="none"/>
          <w:lang w:val="en-US" w:eastAsia="zh-CN"/>
        </w:rPr>
        <w:t>规模为初步约定，后续若新增环卫保洁、园林绿化和公园管理、市政设施维护内容，需按照政府方要求进行运</w:t>
      </w:r>
      <w:r>
        <w:rPr>
          <w:rFonts w:hint="eastAsia" w:cs="宋体"/>
          <w:b w:val="0"/>
          <w:bCs w:val="0"/>
          <w:color w:val="auto"/>
          <w:spacing w:val="-4"/>
          <w:sz w:val="24"/>
          <w:szCs w:val="24"/>
          <w:highlight w:val="none"/>
          <w:lang w:val="en-US" w:eastAsia="zh-CN"/>
        </w:rPr>
        <w:t>行</w:t>
      </w:r>
      <w:r>
        <w:rPr>
          <w:rFonts w:hint="eastAsia" w:eastAsia="宋体" w:cs="宋体"/>
          <w:b w:val="0"/>
          <w:bCs w:val="0"/>
          <w:color w:val="auto"/>
          <w:spacing w:val="-4"/>
          <w:sz w:val="24"/>
          <w:szCs w:val="24"/>
          <w:highlight w:val="none"/>
          <w:lang w:val="en-US" w:eastAsia="zh-CN"/>
        </w:rPr>
        <w:t>维护。实际运</w:t>
      </w:r>
      <w:r>
        <w:rPr>
          <w:rFonts w:hint="eastAsia" w:cs="宋体"/>
          <w:b w:val="0"/>
          <w:bCs w:val="0"/>
          <w:color w:val="auto"/>
          <w:spacing w:val="-4"/>
          <w:sz w:val="24"/>
          <w:szCs w:val="24"/>
          <w:highlight w:val="none"/>
          <w:lang w:val="en-US" w:eastAsia="zh-CN"/>
        </w:rPr>
        <w:t>行</w:t>
      </w:r>
      <w:r>
        <w:rPr>
          <w:rFonts w:hint="eastAsia" w:eastAsia="宋体" w:cs="宋体"/>
          <w:b w:val="0"/>
          <w:bCs w:val="0"/>
          <w:color w:val="auto"/>
          <w:spacing w:val="-4"/>
          <w:sz w:val="24"/>
          <w:szCs w:val="24"/>
          <w:highlight w:val="none"/>
          <w:lang w:val="en-US" w:eastAsia="zh-CN"/>
        </w:rPr>
        <w:t>维护工作量以经审计确认的工作量为准。</w:t>
      </w:r>
      <w:bookmarkEnd w:id="513"/>
      <w:bookmarkEnd w:id="514"/>
    </w:p>
    <w:p w14:paraId="5D87035F">
      <w:pPr>
        <w:pStyle w:val="57"/>
        <w:pageBreakBefore w:val="0"/>
        <w:shd w:val="clear" w:color="auto" w:fill="auto"/>
        <w:kinsoku/>
        <w:wordWrap/>
        <w:overflowPunct/>
        <w:topLinePunct w:val="0"/>
        <w:bidi w:val="0"/>
        <w:spacing w:line="360" w:lineRule="auto"/>
        <w:ind w:firstLine="424" w:firstLineChars="177"/>
        <w:rPr>
          <w:rFonts w:hint="eastAsia" w:ascii="宋体" w:hAnsi="宋体" w:eastAsia="宋体" w:cs="宋体"/>
          <w:color w:val="auto"/>
          <w:sz w:val="24"/>
          <w:highlight w:val="none"/>
        </w:rPr>
        <w:sectPr>
          <w:headerReference r:id="rId7" w:type="default"/>
          <w:footerReference r:id="rId8" w:type="default"/>
          <w:pgSz w:w="11906" w:h="16838"/>
          <w:pgMar w:top="1440" w:right="1706" w:bottom="1440" w:left="180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75587E04">
      <w:pPr>
        <w:keepNext w:val="0"/>
        <w:keepLines w:val="0"/>
        <w:pageBreakBefore w:val="0"/>
        <w:widowControl w:val="0"/>
        <w:kinsoku/>
        <w:overflowPunct/>
        <w:topLinePunct w:val="0"/>
        <w:autoSpaceDE/>
        <w:autoSpaceDN/>
        <w:bidi w:val="0"/>
        <w:adjustRightInd/>
        <w:spacing w:line="240" w:lineRule="auto"/>
        <w:ind w:left="0" w:leftChars="0" w:firstLineChars="0"/>
        <w:jc w:val="center"/>
        <w:textAlignment w:val="auto"/>
        <w:rPr>
          <w:rFonts w:hint="eastAsia"/>
          <w:b/>
          <w:bCs/>
          <w:snapToGrid w:val="0"/>
          <w:color w:val="auto"/>
          <w:sz w:val="24"/>
          <w:szCs w:val="24"/>
          <w:highlight w:val="none"/>
          <w:lang w:val="en-US" w:eastAsia="zh-CN"/>
        </w:rPr>
      </w:pPr>
      <w:r>
        <w:rPr>
          <w:rFonts w:hint="eastAsia" w:cs="宋体"/>
          <w:b/>
          <w:bCs/>
          <w:i w:val="0"/>
          <w:iCs w:val="0"/>
          <w:color w:val="auto"/>
          <w:sz w:val="24"/>
          <w:szCs w:val="24"/>
          <w:highlight w:val="none"/>
          <w:u w:val="none"/>
          <w:lang w:val="en-US" w:eastAsia="zh-CN"/>
        </w:rPr>
        <w:t>2、</w:t>
      </w:r>
      <w:r>
        <w:rPr>
          <w:rFonts w:hint="eastAsia" w:ascii="宋体" w:hAnsi="宋体" w:eastAsia="宋体" w:cs="宋体"/>
          <w:b/>
          <w:bCs/>
          <w:i w:val="0"/>
          <w:iCs w:val="0"/>
          <w:color w:val="auto"/>
          <w:sz w:val="24"/>
          <w:szCs w:val="24"/>
          <w:highlight w:val="none"/>
          <w:u w:val="none"/>
        </w:rPr>
        <w:t>分类明细表</w:t>
      </w:r>
    </w:p>
    <w:p w14:paraId="4A42EF34">
      <w:pPr>
        <w:pStyle w:val="4"/>
        <w:spacing w:after="0"/>
        <w:ind w:left="0" w:firstLine="0"/>
        <w:rPr>
          <w:rFonts w:hint="default" w:cs="Times New Roman"/>
          <w:color w:val="auto"/>
          <w:sz w:val="21"/>
          <w:szCs w:val="21"/>
          <w:highlight w:val="none"/>
          <w:lang w:val="en-US" w:eastAsia="zh-CN"/>
        </w:rPr>
      </w:pPr>
      <w:bookmarkStart w:id="522" w:name="_Toc827"/>
      <w:r>
        <w:rPr>
          <w:rFonts w:hint="eastAsia"/>
          <w:color w:val="auto"/>
          <w:sz w:val="21"/>
          <w:szCs w:val="21"/>
          <w:highlight w:val="none"/>
          <w:lang w:val="en-US" w:eastAsia="zh-CN"/>
        </w:rPr>
        <w:t>表2-</w:t>
      </w:r>
      <w:r>
        <w:rPr>
          <w:rFonts w:hint="eastAsia" w:cs="Times New Roman"/>
          <w:color w:val="auto"/>
          <w:sz w:val="21"/>
          <w:szCs w:val="21"/>
          <w:highlight w:val="none"/>
          <w:lang w:val="en-US" w:eastAsia="zh-CN"/>
        </w:rPr>
        <w:t>1：</w:t>
      </w:r>
      <w:r>
        <w:rPr>
          <w:rFonts w:cs="Times New Roman"/>
          <w:color w:val="auto"/>
          <w:sz w:val="21"/>
          <w:szCs w:val="21"/>
          <w:highlight w:val="none"/>
          <w:lang w:eastAsia="zh-CN"/>
        </w:rPr>
        <w:t>道路清扫保洁面积</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绿化养护等级、</w:t>
      </w:r>
      <w:r>
        <w:rPr>
          <w:rFonts w:hint="eastAsia" w:cs="Times New Roman"/>
          <w:color w:val="auto"/>
          <w:sz w:val="21"/>
          <w:szCs w:val="21"/>
          <w:highlight w:val="none"/>
          <w:lang w:eastAsia="zh-CN"/>
        </w:rPr>
        <w:t>冬季除雪</w:t>
      </w:r>
      <w:r>
        <w:rPr>
          <w:rFonts w:hint="eastAsia" w:cs="Times New Roman"/>
          <w:color w:val="auto"/>
          <w:sz w:val="21"/>
          <w:szCs w:val="21"/>
          <w:highlight w:val="none"/>
          <w:lang w:val="en-US" w:eastAsia="zh-CN"/>
        </w:rPr>
        <w:t>面积（去除绿化带）</w:t>
      </w:r>
      <w:bookmarkEnd w:id="522"/>
    </w:p>
    <w:tbl>
      <w:tblPr>
        <w:tblStyle w:val="31"/>
        <w:tblW w:w="4977" w:type="pct"/>
        <w:tblInd w:w="0" w:type="dxa"/>
        <w:tblLayout w:type="fixed"/>
        <w:tblCellMar>
          <w:top w:w="0" w:type="dxa"/>
          <w:left w:w="108" w:type="dxa"/>
          <w:bottom w:w="0" w:type="dxa"/>
          <w:right w:w="108" w:type="dxa"/>
        </w:tblCellMar>
      </w:tblPr>
      <w:tblGrid>
        <w:gridCol w:w="647"/>
        <w:gridCol w:w="2174"/>
        <w:gridCol w:w="987"/>
        <w:gridCol w:w="1467"/>
        <w:gridCol w:w="1797"/>
        <w:gridCol w:w="1522"/>
        <w:gridCol w:w="1839"/>
        <w:gridCol w:w="1893"/>
        <w:gridCol w:w="1025"/>
        <w:gridCol w:w="1106"/>
      </w:tblGrid>
      <w:tr w14:paraId="2E2E64B5">
        <w:tblPrEx>
          <w:tblCellMar>
            <w:top w:w="0" w:type="dxa"/>
            <w:left w:w="108" w:type="dxa"/>
            <w:bottom w:w="0" w:type="dxa"/>
            <w:right w:w="108" w:type="dxa"/>
          </w:tblCellMar>
        </w:tblPrEx>
        <w:trPr>
          <w:trHeight w:val="352" w:hRule="atLeast"/>
          <w:tblHeader/>
        </w:trPr>
        <w:tc>
          <w:tcPr>
            <w:tcW w:w="223" w:type="pct"/>
            <w:vMerge w:val="restart"/>
            <w:tcBorders>
              <w:top w:val="single" w:color="auto" w:sz="8" w:space="0"/>
              <w:left w:val="single" w:color="auto" w:sz="8" w:space="0"/>
              <w:bottom w:val="single" w:color="000000" w:sz="8" w:space="0"/>
              <w:right w:val="single" w:color="auto" w:sz="4" w:space="0"/>
            </w:tcBorders>
            <w:shd w:val="clear" w:color="auto" w:fill="63B86C"/>
            <w:vAlign w:val="center"/>
          </w:tcPr>
          <w:p w14:paraId="2B7473A7">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序号</w:t>
            </w:r>
          </w:p>
        </w:tc>
        <w:tc>
          <w:tcPr>
            <w:tcW w:w="751" w:type="pct"/>
            <w:vMerge w:val="restart"/>
            <w:tcBorders>
              <w:top w:val="single" w:color="auto" w:sz="8" w:space="0"/>
              <w:left w:val="single" w:color="auto" w:sz="4" w:space="0"/>
              <w:bottom w:val="single" w:color="000000" w:sz="8" w:space="0"/>
              <w:right w:val="single" w:color="auto" w:sz="4" w:space="0"/>
            </w:tcBorders>
            <w:shd w:val="clear" w:color="auto" w:fill="63B86C"/>
            <w:vAlign w:val="center"/>
          </w:tcPr>
          <w:p w14:paraId="647974BD">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道路名称</w:t>
            </w:r>
          </w:p>
        </w:tc>
        <w:tc>
          <w:tcPr>
            <w:tcW w:w="341" w:type="pct"/>
            <w:vMerge w:val="restart"/>
            <w:tcBorders>
              <w:top w:val="single" w:color="auto" w:sz="8" w:space="0"/>
              <w:left w:val="single" w:color="auto" w:sz="4" w:space="0"/>
              <w:bottom w:val="single" w:color="000000" w:sz="8" w:space="0"/>
              <w:right w:val="single" w:color="auto" w:sz="4" w:space="0"/>
            </w:tcBorders>
            <w:shd w:val="clear" w:color="auto" w:fill="63B86C"/>
            <w:vAlign w:val="center"/>
          </w:tcPr>
          <w:p w14:paraId="30218C4B">
            <w:pPr>
              <w:kinsoku/>
              <w:autoSpaceDE/>
              <w:autoSpaceDN/>
              <w:adjustRightInd/>
              <w:snapToGrid/>
              <w:spacing w:line="240" w:lineRule="auto"/>
              <w:ind w:firstLine="0" w:firstLineChars="0"/>
              <w:jc w:val="center"/>
              <w:textAlignment w:val="auto"/>
              <w:rPr>
                <w:rFonts w:hint="eastAsia"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长度</w:t>
            </w:r>
          </w:p>
          <w:p w14:paraId="4DC9D236">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（m）</w:t>
            </w:r>
          </w:p>
        </w:tc>
        <w:tc>
          <w:tcPr>
            <w:tcW w:w="507" w:type="pct"/>
            <w:vMerge w:val="restart"/>
            <w:tcBorders>
              <w:top w:val="single" w:color="auto" w:sz="8" w:space="0"/>
              <w:left w:val="single" w:color="auto" w:sz="4" w:space="0"/>
              <w:bottom w:val="single" w:color="000000" w:sz="8" w:space="0"/>
              <w:right w:val="single" w:color="auto" w:sz="4" w:space="0"/>
            </w:tcBorders>
            <w:shd w:val="clear" w:color="auto" w:fill="63B86C"/>
            <w:vAlign w:val="center"/>
          </w:tcPr>
          <w:p w14:paraId="35659B20">
            <w:pPr>
              <w:kinsoku/>
              <w:autoSpaceDE/>
              <w:autoSpaceDN/>
              <w:adjustRightInd/>
              <w:snapToGrid/>
              <w:spacing w:line="240" w:lineRule="auto"/>
              <w:ind w:firstLine="0" w:firstLineChars="0"/>
              <w:jc w:val="center"/>
              <w:textAlignment w:val="auto"/>
              <w:rPr>
                <w:rFonts w:hint="eastAsia" w:cs="Times New Roman"/>
                <w:b/>
                <w:bCs/>
                <w:snapToGrid/>
                <w:color w:val="auto"/>
                <w:sz w:val="20"/>
                <w:szCs w:val="20"/>
                <w:highlight w:val="none"/>
                <w:lang w:eastAsia="zh-CN"/>
              </w:rPr>
            </w:pPr>
            <w:r>
              <w:rPr>
                <w:rFonts w:hint="eastAsia" w:cs="Times New Roman"/>
                <w:b/>
                <w:bCs/>
                <w:snapToGrid/>
                <w:color w:val="auto"/>
                <w:sz w:val="20"/>
                <w:szCs w:val="20"/>
                <w:highlight w:val="none"/>
                <w:lang w:val="en-US" w:eastAsia="zh-CN"/>
              </w:rPr>
              <w:t>总</w:t>
            </w:r>
            <w:r>
              <w:rPr>
                <w:rFonts w:hint="eastAsia" w:cs="Times New Roman"/>
                <w:b/>
                <w:bCs/>
                <w:snapToGrid/>
                <w:color w:val="auto"/>
                <w:sz w:val="20"/>
                <w:szCs w:val="20"/>
                <w:highlight w:val="none"/>
                <w:lang w:eastAsia="zh-CN"/>
              </w:rPr>
              <w:t>面积</w:t>
            </w:r>
          </w:p>
          <w:p w14:paraId="5AEA4C58">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（m</w:t>
            </w:r>
            <w:r>
              <w:rPr>
                <w:rFonts w:ascii="Calibri" w:hAnsi="Calibri" w:cs="Calibri"/>
                <w:b/>
                <w:bCs/>
                <w:snapToGrid/>
                <w:color w:val="auto"/>
                <w:sz w:val="20"/>
                <w:szCs w:val="20"/>
                <w:highlight w:val="none"/>
                <w:lang w:eastAsia="zh-CN"/>
              </w:rPr>
              <w:t>²</w:t>
            </w:r>
            <w:r>
              <w:rPr>
                <w:rFonts w:hint="eastAsia" w:ascii="仿宋" w:hAnsi="仿宋" w:cs="仿宋"/>
                <w:b/>
                <w:bCs/>
                <w:snapToGrid/>
                <w:color w:val="auto"/>
                <w:sz w:val="20"/>
                <w:szCs w:val="20"/>
                <w:highlight w:val="none"/>
                <w:lang w:eastAsia="zh-CN"/>
              </w:rPr>
              <w:t>）</w:t>
            </w:r>
          </w:p>
        </w:tc>
        <w:tc>
          <w:tcPr>
            <w:tcW w:w="2438" w:type="pct"/>
            <w:gridSpan w:val="4"/>
            <w:tcBorders>
              <w:top w:val="single" w:color="auto" w:sz="8" w:space="0"/>
              <w:left w:val="nil"/>
              <w:bottom w:val="single" w:color="auto" w:sz="4" w:space="0"/>
              <w:right w:val="single" w:color="auto" w:sz="4" w:space="0"/>
            </w:tcBorders>
            <w:shd w:val="clear" w:color="auto" w:fill="63B86C"/>
            <w:vAlign w:val="center"/>
          </w:tcPr>
          <w:p w14:paraId="4D77EAED">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道路各部分面积</w:t>
            </w:r>
          </w:p>
        </w:tc>
        <w:tc>
          <w:tcPr>
            <w:tcW w:w="354" w:type="pct"/>
            <w:vMerge w:val="restart"/>
            <w:tcBorders>
              <w:top w:val="single" w:color="auto" w:sz="8" w:space="0"/>
              <w:left w:val="single" w:color="auto" w:sz="4" w:space="0"/>
              <w:bottom w:val="single" w:color="000000" w:sz="8" w:space="0"/>
              <w:right w:val="single" w:color="auto" w:sz="4" w:space="0"/>
            </w:tcBorders>
            <w:shd w:val="clear" w:color="auto" w:fill="63B86C"/>
            <w:vAlign w:val="center"/>
          </w:tcPr>
          <w:p w14:paraId="4EF0931D">
            <w:pPr>
              <w:kinsoku/>
              <w:autoSpaceDE/>
              <w:autoSpaceDN/>
              <w:adjustRightInd/>
              <w:snapToGrid/>
              <w:spacing w:line="240" w:lineRule="auto"/>
              <w:ind w:firstLine="0" w:firstLineChars="0"/>
              <w:jc w:val="center"/>
              <w:textAlignment w:val="auto"/>
              <w:rPr>
                <w:rFonts w:hint="eastAsia"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保洁</w:t>
            </w:r>
          </w:p>
          <w:p w14:paraId="124864CD">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级别</w:t>
            </w:r>
          </w:p>
        </w:tc>
        <w:tc>
          <w:tcPr>
            <w:tcW w:w="382" w:type="pct"/>
            <w:vMerge w:val="restart"/>
            <w:tcBorders>
              <w:top w:val="single" w:color="auto" w:sz="8" w:space="0"/>
              <w:left w:val="single" w:color="auto" w:sz="4" w:space="0"/>
              <w:bottom w:val="single" w:color="000000" w:sz="8" w:space="0"/>
              <w:right w:val="single" w:color="auto" w:sz="8" w:space="0"/>
            </w:tcBorders>
            <w:shd w:val="clear" w:color="auto" w:fill="63B86C"/>
            <w:vAlign w:val="center"/>
          </w:tcPr>
          <w:p w14:paraId="75942883">
            <w:pPr>
              <w:kinsoku/>
              <w:autoSpaceDE/>
              <w:autoSpaceDN/>
              <w:adjustRightInd/>
              <w:snapToGrid/>
              <w:spacing w:line="240" w:lineRule="auto"/>
              <w:ind w:firstLine="0" w:firstLineChars="0"/>
              <w:jc w:val="center"/>
              <w:textAlignment w:val="auto"/>
              <w:rPr>
                <w:rFonts w:hint="default" w:cs="Times New Roman"/>
                <w:b/>
                <w:bCs/>
                <w:snapToGrid/>
                <w:color w:val="auto"/>
                <w:sz w:val="20"/>
                <w:szCs w:val="20"/>
                <w:highlight w:val="none"/>
                <w:lang w:val="en-US" w:eastAsia="zh-CN"/>
              </w:rPr>
            </w:pPr>
            <w:r>
              <w:rPr>
                <w:rFonts w:hint="eastAsia" w:cs="Times New Roman"/>
                <w:b/>
                <w:bCs/>
                <w:snapToGrid/>
                <w:color w:val="auto"/>
                <w:sz w:val="20"/>
                <w:szCs w:val="20"/>
                <w:highlight w:val="none"/>
                <w:lang w:val="en-US" w:eastAsia="zh-CN"/>
              </w:rPr>
              <w:t>绿化养护等级</w:t>
            </w:r>
          </w:p>
        </w:tc>
      </w:tr>
      <w:tr w14:paraId="795237CA">
        <w:tblPrEx>
          <w:tblCellMar>
            <w:top w:w="0" w:type="dxa"/>
            <w:left w:w="108" w:type="dxa"/>
            <w:bottom w:w="0" w:type="dxa"/>
            <w:right w:w="108" w:type="dxa"/>
          </w:tblCellMar>
        </w:tblPrEx>
        <w:trPr>
          <w:trHeight w:val="620" w:hRule="atLeast"/>
          <w:tblHeader/>
        </w:trPr>
        <w:tc>
          <w:tcPr>
            <w:tcW w:w="223" w:type="pct"/>
            <w:vMerge w:val="continue"/>
            <w:tcBorders>
              <w:top w:val="single" w:color="auto" w:sz="8" w:space="0"/>
              <w:left w:val="single" w:color="auto" w:sz="8" w:space="0"/>
              <w:bottom w:val="single" w:color="auto" w:sz="4" w:space="0"/>
              <w:right w:val="single" w:color="auto" w:sz="4" w:space="0"/>
            </w:tcBorders>
            <w:vAlign w:val="center"/>
          </w:tcPr>
          <w:p w14:paraId="60F20EE8">
            <w:pPr>
              <w:kinsoku/>
              <w:autoSpaceDE/>
              <w:autoSpaceDN/>
              <w:adjustRightInd/>
              <w:snapToGrid/>
              <w:spacing w:line="240" w:lineRule="auto"/>
              <w:ind w:firstLine="0" w:firstLineChars="0"/>
              <w:jc w:val="center"/>
              <w:textAlignment w:val="auto"/>
              <w:rPr>
                <w:rFonts w:ascii="微软雅黑" w:hAnsi="微软雅黑" w:eastAsia="微软雅黑" w:cs="宋体"/>
                <w:b/>
                <w:bCs/>
                <w:snapToGrid/>
                <w:color w:val="auto"/>
                <w:sz w:val="22"/>
                <w:szCs w:val="22"/>
                <w:highlight w:val="none"/>
                <w:lang w:eastAsia="zh-CN"/>
              </w:rPr>
            </w:pPr>
          </w:p>
        </w:tc>
        <w:tc>
          <w:tcPr>
            <w:tcW w:w="751" w:type="pct"/>
            <w:vMerge w:val="continue"/>
            <w:tcBorders>
              <w:top w:val="single" w:color="auto" w:sz="8" w:space="0"/>
              <w:left w:val="single" w:color="auto" w:sz="4" w:space="0"/>
              <w:bottom w:val="single" w:color="auto" w:sz="4" w:space="0"/>
              <w:right w:val="single" w:color="auto" w:sz="4" w:space="0"/>
            </w:tcBorders>
            <w:vAlign w:val="center"/>
          </w:tcPr>
          <w:p w14:paraId="69771201">
            <w:pPr>
              <w:kinsoku/>
              <w:autoSpaceDE/>
              <w:autoSpaceDN/>
              <w:adjustRightInd/>
              <w:snapToGrid/>
              <w:spacing w:line="240" w:lineRule="auto"/>
              <w:ind w:firstLine="0" w:firstLineChars="0"/>
              <w:jc w:val="center"/>
              <w:textAlignment w:val="auto"/>
              <w:rPr>
                <w:rFonts w:ascii="微软雅黑" w:hAnsi="微软雅黑" w:eastAsia="微软雅黑" w:cs="宋体"/>
                <w:b/>
                <w:bCs/>
                <w:snapToGrid/>
                <w:color w:val="auto"/>
                <w:sz w:val="22"/>
                <w:szCs w:val="22"/>
                <w:highlight w:val="none"/>
                <w:lang w:eastAsia="zh-CN"/>
              </w:rPr>
            </w:pPr>
          </w:p>
        </w:tc>
        <w:tc>
          <w:tcPr>
            <w:tcW w:w="341" w:type="pct"/>
            <w:vMerge w:val="continue"/>
            <w:tcBorders>
              <w:top w:val="single" w:color="auto" w:sz="8" w:space="0"/>
              <w:left w:val="single" w:color="auto" w:sz="4" w:space="0"/>
              <w:bottom w:val="single" w:color="auto" w:sz="4" w:space="0"/>
              <w:right w:val="single" w:color="auto" w:sz="4" w:space="0"/>
            </w:tcBorders>
            <w:vAlign w:val="center"/>
          </w:tcPr>
          <w:p w14:paraId="4DC62515">
            <w:pPr>
              <w:kinsoku/>
              <w:autoSpaceDE/>
              <w:autoSpaceDN/>
              <w:adjustRightInd/>
              <w:snapToGrid/>
              <w:spacing w:line="240" w:lineRule="auto"/>
              <w:ind w:firstLine="0" w:firstLineChars="0"/>
              <w:jc w:val="center"/>
              <w:textAlignment w:val="auto"/>
              <w:rPr>
                <w:rFonts w:ascii="微软雅黑" w:hAnsi="微软雅黑" w:eastAsia="微软雅黑" w:cs="宋体"/>
                <w:b/>
                <w:bCs/>
                <w:snapToGrid/>
                <w:color w:val="auto"/>
                <w:sz w:val="22"/>
                <w:szCs w:val="22"/>
                <w:highlight w:val="none"/>
                <w:lang w:eastAsia="zh-CN"/>
              </w:rPr>
            </w:pPr>
          </w:p>
        </w:tc>
        <w:tc>
          <w:tcPr>
            <w:tcW w:w="507" w:type="pct"/>
            <w:vMerge w:val="continue"/>
            <w:tcBorders>
              <w:top w:val="single" w:color="auto" w:sz="8" w:space="0"/>
              <w:left w:val="single" w:color="auto" w:sz="4" w:space="0"/>
              <w:bottom w:val="single" w:color="auto" w:sz="4" w:space="0"/>
              <w:right w:val="single" w:color="auto" w:sz="4" w:space="0"/>
            </w:tcBorders>
            <w:vAlign w:val="center"/>
          </w:tcPr>
          <w:p w14:paraId="1B6E847A">
            <w:pPr>
              <w:kinsoku/>
              <w:autoSpaceDE/>
              <w:autoSpaceDN/>
              <w:adjustRightInd/>
              <w:snapToGrid/>
              <w:spacing w:line="240" w:lineRule="auto"/>
              <w:ind w:firstLine="0" w:firstLineChars="0"/>
              <w:jc w:val="center"/>
              <w:textAlignment w:val="auto"/>
              <w:rPr>
                <w:rFonts w:ascii="微软雅黑" w:hAnsi="微软雅黑" w:eastAsia="微软雅黑" w:cs="宋体"/>
                <w:b/>
                <w:bCs/>
                <w:snapToGrid/>
                <w:color w:val="auto"/>
                <w:sz w:val="22"/>
                <w:szCs w:val="22"/>
                <w:highlight w:val="none"/>
                <w:lang w:eastAsia="zh-CN"/>
              </w:rPr>
            </w:pPr>
          </w:p>
        </w:tc>
        <w:tc>
          <w:tcPr>
            <w:tcW w:w="621" w:type="pct"/>
            <w:tcBorders>
              <w:top w:val="nil"/>
              <w:left w:val="nil"/>
              <w:bottom w:val="single" w:color="auto" w:sz="4" w:space="0"/>
              <w:right w:val="single" w:color="auto" w:sz="4" w:space="0"/>
            </w:tcBorders>
            <w:shd w:val="clear" w:color="auto" w:fill="63B86C"/>
            <w:vAlign w:val="center"/>
          </w:tcPr>
          <w:p w14:paraId="1319D0BB">
            <w:pPr>
              <w:kinsoku/>
              <w:autoSpaceDE/>
              <w:autoSpaceDN/>
              <w:adjustRightInd/>
              <w:snapToGrid/>
              <w:spacing w:line="240" w:lineRule="auto"/>
              <w:ind w:firstLine="0" w:firstLineChars="0"/>
              <w:jc w:val="center"/>
              <w:textAlignment w:val="auto"/>
              <w:rPr>
                <w:rFonts w:hint="eastAsia" w:cs="Times New Roman"/>
                <w:b/>
                <w:bCs/>
                <w:snapToGrid/>
                <w:color w:val="auto"/>
                <w:sz w:val="20"/>
                <w:szCs w:val="20"/>
                <w:highlight w:val="none"/>
                <w:lang w:val="en-US" w:eastAsia="zh-CN"/>
              </w:rPr>
            </w:pPr>
            <w:r>
              <w:rPr>
                <w:rFonts w:hint="eastAsia" w:cs="Times New Roman"/>
                <w:b/>
                <w:bCs/>
                <w:snapToGrid/>
                <w:color w:val="auto"/>
                <w:sz w:val="20"/>
                <w:szCs w:val="20"/>
                <w:highlight w:val="none"/>
                <w:lang w:val="en-US" w:eastAsia="zh-CN"/>
              </w:rPr>
              <w:t>主路</w:t>
            </w:r>
          </w:p>
          <w:p w14:paraId="59DCFBD8">
            <w:pPr>
              <w:kinsoku/>
              <w:autoSpaceDE/>
              <w:autoSpaceDN/>
              <w:adjustRightInd/>
              <w:snapToGrid/>
              <w:spacing w:line="240" w:lineRule="auto"/>
              <w:ind w:firstLine="0" w:firstLineChars="0"/>
              <w:jc w:val="center"/>
              <w:textAlignment w:val="auto"/>
              <w:rPr>
                <w:rFonts w:hint="default" w:cs="Times New Roman"/>
                <w:b/>
                <w:bCs/>
                <w:snapToGrid/>
                <w:color w:val="auto"/>
                <w:sz w:val="20"/>
                <w:szCs w:val="20"/>
                <w:highlight w:val="none"/>
                <w:lang w:val="en-US" w:eastAsia="zh-CN"/>
              </w:rPr>
            </w:pPr>
            <w:r>
              <w:rPr>
                <w:rFonts w:hint="eastAsia" w:cs="Times New Roman"/>
                <w:b/>
                <w:bCs/>
                <w:snapToGrid/>
                <w:color w:val="auto"/>
                <w:sz w:val="20"/>
                <w:szCs w:val="20"/>
                <w:highlight w:val="none"/>
                <w:lang w:val="en-US" w:eastAsia="zh-CN"/>
              </w:rPr>
              <w:t>（㎡）</w:t>
            </w:r>
          </w:p>
        </w:tc>
        <w:tc>
          <w:tcPr>
            <w:tcW w:w="526" w:type="pct"/>
            <w:tcBorders>
              <w:top w:val="nil"/>
              <w:left w:val="nil"/>
              <w:bottom w:val="single" w:color="auto" w:sz="4" w:space="0"/>
              <w:right w:val="single" w:color="auto" w:sz="4" w:space="0"/>
            </w:tcBorders>
            <w:shd w:val="clear" w:color="auto" w:fill="63B86C"/>
            <w:vAlign w:val="center"/>
          </w:tcPr>
          <w:p w14:paraId="246C4814">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val="en-US" w:eastAsia="zh-CN"/>
              </w:rPr>
              <w:t>非机动车道（㎡）</w:t>
            </w:r>
          </w:p>
        </w:tc>
        <w:tc>
          <w:tcPr>
            <w:tcW w:w="636" w:type="pct"/>
            <w:tcBorders>
              <w:top w:val="nil"/>
              <w:left w:val="nil"/>
              <w:bottom w:val="single" w:color="auto" w:sz="4" w:space="0"/>
              <w:right w:val="single" w:color="auto" w:sz="4" w:space="0"/>
            </w:tcBorders>
            <w:shd w:val="clear" w:color="auto" w:fill="63B86C"/>
            <w:vAlign w:val="center"/>
          </w:tcPr>
          <w:p w14:paraId="2338BDD2">
            <w:pPr>
              <w:kinsoku/>
              <w:autoSpaceDE/>
              <w:autoSpaceDN/>
              <w:adjustRightInd/>
              <w:snapToGrid/>
              <w:spacing w:line="240" w:lineRule="auto"/>
              <w:ind w:firstLine="0" w:firstLineChars="0"/>
              <w:jc w:val="center"/>
              <w:textAlignment w:val="auto"/>
              <w:rPr>
                <w:rFonts w:hint="eastAsia" w:cs="Times New Roman"/>
                <w:b/>
                <w:bCs/>
                <w:snapToGrid/>
                <w:color w:val="auto"/>
                <w:sz w:val="20"/>
                <w:szCs w:val="20"/>
                <w:highlight w:val="none"/>
                <w:lang w:val="en-US" w:eastAsia="zh-CN"/>
              </w:rPr>
            </w:pPr>
            <w:r>
              <w:rPr>
                <w:rFonts w:hint="eastAsia" w:cs="Times New Roman"/>
                <w:b/>
                <w:bCs/>
                <w:snapToGrid/>
                <w:color w:val="auto"/>
                <w:sz w:val="20"/>
                <w:szCs w:val="20"/>
                <w:highlight w:val="none"/>
                <w:lang w:val="en-US" w:eastAsia="zh-CN"/>
              </w:rPr>
              <w:t>人行道</w:t>
            </w:r>
          </w:p>
          <w:p w14:paraId="3BAB1DE6">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w:t>
            </w:r>
            <w:r>
              <w:rPr>
                <w:rFonts w:hint="eastAsia" w:cs="Times New Roman"/>
                <w:b/>
                <w:bCs/>
                <w:snapToGrid/>
                <w:color w:val="auto"/>
                <w:sz w:val="20"/>
                <w:szCs w:val="20"/>
                <w:highlight w:val="none"/>
                <w:lang w:val="en-US" w:eastAsia="zh-CN"/>
              </w:rPr>
              <w:t>㎡</w:t>
            </w:r>
            <w:r>
              <w:rPr>
                <w:rFonts w:hint="eastAsia" w:cs="Times New Roman"/>
                <w:b/>
                <w:bCs/>
                <w:snapToGrid/>
                <w:color w:val="auto"/>
                <w:sz w:val="20"/>
                <w:szCs w:val="20"/>
                <w:highlight w:val="none"/>
                <w:lang w:eastAsia="zh-CN"/>
              </w:rPr>
              <w:t>）</w:t>
            </w:r>
          </w:p>
        </w:tc>
        <w:tc>
          <w:tcPr>
            <w:tcW w:w="654" w:type="pct"/>
            <w:tcBorders>
              <w:top w:val="nil"/>
              <w:left w:val="nil"/>
              <w:bottom w:val="single" w:color="auto" w:sz="4" w:space="0"/>
              <w:right w:val="single" w:color="auto" w:sz="4" w:space="0"/>
            </w:tcBorders>
            <w:shd w:val="clear" w:color="auto" w:fill="63B86C"/>
            <w:vAlign w:val="center"/>
          </w:tcPr>
          <w:p w14:paraId="4A3E3972">
            <w:pPr>
              <w:kinsoku/>
              <w:autoSpaceDE/>
              <w:autoSpaceDN/>
              <w:adjustRightInd/>
              <w:snapToGrid/>
              <w:spacing w:line="240" w:lineRule="auto"/>
              <w:ind w:firstLine="0" w:firstLineChars="0"/>
              <w:jc w:val="center"/>
              <w:textAlignment w:val="auto"/>
              <w:rPr>
                <w:rFonts w:hint="eastAsia" w:cs="Times New Roman"/>
                <w:b/>
                <w:bCs/>
                <w:snapToGrid/>
                <w:color w:val="auto"/>
                <w:sz w:val="20"/>
                <w:szCs w:val="20"/>
                <w:highlight w:val="none"/>
                <w:lang w:val="en-US" w:eastAsia="zh-CN"/>
              </w:rPr>
            </w:pPr>
            <w:r>
              <w:rPr>
                <w:rFonts w:hint="eastAsia" w:cs="Times New Roman"/>
                <w:b/>
                <w:bCs/>
                <w:snapToGrid/>
                <w:color w:val="auto"/>
                <w:sz w:val="20"/>
                <w:szCs w:val="20"/>
                <w:highlight w:val="none"/>
                <w:lang w:val="en-US" w:eastAsia="zh-CN"/>
              </w:rPr>
              <w:t>绿化带</w:t>
            </w:r>
          </w:p>
          <w:p w14:paraId="6F61990A">
            <w:pPr>
              <w:kinsoku/>
              <w:autoSpaceDE/>
              <w:autoSpaceDN/>
              <w:adjustRightInd/>
              <w:snapToGrid/>
              <w:spacing w:line="240" w:lineRule="auto"/>
              <w:ind w:firstLine="0" w:firstLineChars="0"/>
              <w:jc w:val="center"/>
              <w:textAlignment w:val="auto"/>
              <w:rPr>
                <w:rFonts w:cs="Times New Roman"/>
                <w:b/>
                <w:bCs/>
                <w:snapToGrid/>
                <w:color w:val="auto"/>
                <w:sz w:val="20"/>
                <w:szCs w:val="20"/>
                <w:highlight w:val="none"/>
                <w:lang w:eastAsia="zh-CN"/>
              </w:rPr>
            </w:pPr>
            <w:r>
              <w:rPr>
                <w:rFonts w:hint="eastAsia" w:cs="Times New Roman"/>
                <w:b/>
                <w:bCs/>
                <w:snapToGrid/>
                <w:color w:val="auto"/>
                <w:sz w:val="20"/>
                <w:szCs w:val="20"/>
                <w:highlight w:val="none"/>
                <w:lang w:eastAsia="zh-CN"/>
              </w:rPr>
              <w:t>（</w:t>
            </w:r>
            <w:r>
              <w:rPr>
                <w:rFonts w:hint="eastAsia" w:cs="Times New Roman"/>
                <w:b/>
                <w:bCs/>
                <w:snapToGrid/>
                <w:color w:val="auto"/>
                <w:sz w:val="20"/>
                <w:szCs w:val="20"/>
                <w:highlight w:val="none"/>
                <w:lang w:val="en-US" w:eastAsia="zh-CN"/>
              </w:rPr>
              <w:t>㎡</w:t>
            </w:r>
            <w:r>
              <w:rPr>
                <w:rFonts w:hint="eastAsia" w:cs="Times New Roman"/>
                <w:b/>
                <w:bCs/>
                <w:snapToGrid/>
                <w:color w:val="auto"/>
                <w:sz w:val="20"/>
                <w:szCs w:val="20"/>
                <w:highlight w:val="none"/>
                <w:lang w:eastAsia="zh-CN"/>
              </w:rPr>
              <w:t>）</w:t>
            </w:r>
          </w:p>
        </w:tc>
        <w:tc>
          <w:tcPr>
            <w:tcW w:w="354" w:type="pct"/>
            <w:vMerge w:val="continue"/>
            <w:tcBorders>
              <w:top w:val="single" w:color="auto" w:sz="8" w:space="0"/>
              <w:left w:val="single" w:color="auto" w:sz="4" w:space="0"/>
              <w:bottom w:val="single" w:color="auto" w:sz="4" w:space="0"/>
              <w:right w:val="single" w:color="auto" w:sz="4" w:space="0"/>
            </w:tcBorders>
            <w:vAlign w:val="center"/>
          </w:tcPr>
          <w:p w14:paraId="19862742">
            <w:pPr>
              <w:kinsoku/>
              <w:autoSpaceDE/>
              <w:autoSpaceDN/>
              <w:adjustRightInd/>
              <w:snapToGrid/>
              <w:spacing w:line="240" w:lineRule="auto"/>
              <w:ind w:firstLine="0" w:firstLineChars="0"/>
              <w:jc w:val="center"/>
              <w:textAlignment w:val="auto"/>
              <w:rPr>
                <w:rFonts w:ascii="微软雅黑" w:hAnsi="微软雅黑" w:eastAsia="微软雅黑" w:cs="宋体"/>
                <w:b/>
                <w:bCs/>
                <w:snapToGrid/>
                <w:color w:val="auto"/>
                <w:sz w:val="22"/>
                <w:szCs w:val="22"/>
                <w:highlight w:val="none"/>
                <w:lang w:eastAsia="zh-CN"/>
              </w:rPr>
            </w:pPr>
          </w:p>
        </w:tc>
        <w:tc>
          <w:tcPr>
            <w:tcW w:w="382" w:type="pct"/>
            <w:vMerge w:val="continue"/>
            <w:tcBorders>
              <w:top w:val="single" w:color="auto" w:sz="8" w:space="0"/>
              <w:left w:val="single" w:color="auto" w:sz="4" w:space="0"/>
              <w:bottom w:val="single" w:color="auto" w:sz="4" w:space="0"/>
              <w:right w:val="single" w:color="auto" w:sz="8" w:space="0"/>
            </w:tcBorders>
            <w:vAlign w:val="center"/>
          </w:tcPr>
          <w:p w14:paraId="72E2C4B5">
            <w:pPr>
              <w:kinsoku/>
              <w:autoSpaceDE/>
              <w:autoSpaceDN/>
              <w:adjustRightInd/>
              <w:snapToGrid/>
              <w:spacing w:line="240" w:lineRule="auto"/>
              <w:ind w:firstLine="0" w:firstLineChars="0"/>
              <w:jc w:val="center"/>
              <w:textAlignment w:val="auto"/>
              <w:rPr>
                <w:rFonts w:ascii="微软雅黑" w:hAnsi="微软雅黑" w:eastAsia="微软雅黑" w:cs="宋体"/>
                <w:b/>
                <w:bCs/>
                <w:snapToGrid/>
                <w:color w:val="auto"/>
                <w:sz w:val="22"/>
                <w:szCs w:val="22"/>
                <w:highlight w:val="none"/>
                <w:lang w:eastAsia="zh-CN"/>
              </w:rPr>
            </w:pPr>
          </w:p>
        </w:tc>
      </w:tr>
      <w:tr w14:paraId="5F24060B">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EEC07E1">
            <w:pPr>
              <w:kinsoku/>
              <w:autoSpaceDE/>
              <w:autoSpaceDN/>
              <w:adjustRightInd/>
              <w:snapToGrid/>
              <w:spacing w:line="240" w:lineRule="auto"/>
              <w:ind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1</w:t>
            </w:r>
          </w:p>
        </w:tc>
        <w:tc>
          <w:tcPr>
            <w:tcW w:w="751" w:type="pct"/>
            <w:tcBorders>
              <w:top w:val="single" w:color="auto" w:sz="4" w:space="0"/>
              <w:left w:val="nil"/>
              <w:bottom w:val="single" w:color="auto" w:sz="4" w:space="0"/>
              <w:right w:val="single" w:color="auto" w:sz="4" w:space="0"/>
            </w:tcBorders>
            <w:shd w:val="clear" w:color="auto" w:fill="auto"/>
            <w:vAlign w:val="center"/>
          </w:tcPr>
          <w:p w14:paraId="0D22C7D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迎宾东路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5CDA355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460</w:t>
            </w:r>
          </w:p>
        </w:tc>
        <w:tc>
          <w:tcPr>
            <w:tcW w:w="507" w:type="pct"/>
            <w:tcBorders>
              <w:top w:val="single" w:color="auto" w:sz="4" w:space="0"/>
              <w:left w:val="nil"/>
              <w:bottom w:val="single" w:color="auto" w:sz="4" w:space="0"/>
              <w:right w:val="single" w:color="auto" w:sz="4" w:space="0"/>
            </w:tcBorders>
            <w:shd w:val="clear" w:color="auto" w:fill="auto"/>
            <w:vAlign w:val="center"/>
          </w:tcPr>
          <w:p w14:paraId="74D799C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15410</w:t>
            </w:r>
          </w:p>
        </w:tc>
        <w:tc>
          <w:tcPr>
            <w:tcW w:w="621" w:type="pct"/>
            <w:tcBorders>
              <w:top w:val="single" w:color="auto" w:sz="4" w:space="0"/>
              <w:left w:val="nil"/>
              <w:bottom w:val="single" w:color="auto" w:sz="4" w:space="0"/>
              <w:right w:val="single" w:color="auto" w:sz="4" w:space="0"/>
            </w:tcBorders>
            <w:shd w:val="clear" w:color="auto" w:fill="auto"/>
            <w:vAlign w:val="center"/>
          </w:tcPr>
          <w:p w14:paraId="0AF1928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6900</w:t>
            </w:r>
          </w:p>
        </w:tc>
        <w:tc>
          <w:tcPr>
            <w:tcW w:w="526" w:type="pct"/>
            <w:tcBorders>
              <w:top w:val="single" w:color="auto" w:sz="4" w:space="0"/>
              <w:left w:val="nil"/>
              <w:bottom w:val="single" w:color="auto" w:sz="4" w:space="0"/>
              <w:right w:val="single" w:color="auto" w:sz="4" w:space="0"/>
            </w:tcBorders>
            <w:shd w:val="clear" w:color="auto" w:fill="auto"/>
            <w:vAlign w:val="center"/>
          </w:tcPr>
          <w:p w14:paraId="34DA80D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3220</w:t>
            </w:r>
          </w:p>
        </w:tc>
        <w:tc>
          <w:tcPr>
            <w:tcW w:w="636" w:type="pct"/>
            <w:tcBorders>
              <w:top w:val="single" w:color="auto" w:sz="4" w:space="0"/>
              <w:left w:val="nil"/>
              <w:bottom w:val="single" w:color="auto" w:sz="4" w:space="0"/>
              <w:right w:val="single" w:color="auto" w:sz="4" w:space="0"/>
            </w:tcBorders>
            <w:shd w:val="clear" w:color="auto" w:fill="auto"/>
            <w:vAlign w:val="center"/>
          </w:tcPr>
          <w:p w14:paraId="2B8090E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4140</w:t>
            </w:r>
          </w:p>
        </w:tc>
        <w:tc>
          <w:tcPr>
            <w:tcW w:w="654" w:type="pct"/>
            <w:tcBorders>
              <w:top w:val="single" w:color="auto" w:sz="4" w:space="0"/>
              <w:left w:val="nil"/>
              <w:bottom w:val="single" w:color="auto" w:sz="4" w:space="0"/>
              <w:right w:val="single" w:color="auto" w:sz="4" w:space="0"/>
            </w:tcBorders>
            <w:shd w:val="clear" w:color="auto" w:fill="auto"/>
            <w:vAlign w:val="center"/>
          </w:tcPr>
          <w:p w14:paraId="4322B66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1150</w:t>
            </w:r>
          </w:p>
        </w:tc>
        <w:tc>
          <w:tcPr>
            <w:tcW w:w="354" w:type="pct"/>
            <w:tcBorders>
              <w:top w:val="single" w:color="auto" w:sz="4" w:space="0"/>
              <w:left w:val="nil"/>
              <w:bottom w:val="single" w:color="auto" w:sz="4" w:space="0"/>
              <w:right w:val="single" w:color="auto" w:sz="4" w:space="0"/>
            </w:tcBorders>
            <w:shd w:val="clear" w:color="auto" w:fill="auto"/>
            <w:vAlign w:val="center"/>
          </w:tcPr>
          <w:p w14:paraId="69F41866">
            <w:pPr>
              <w:kinsoku/>
              <w:autoSpaceDE/>
              <w:autoSpaceDN/>
              <w:adjustRightInd/>
              <w:snapToGrid/>
              <w:spacing w:line="240" w:lineRule="auto"/>
              <w:ind w:firstLine="0" w:firstLineChars="0"/>
              <w:jc w:val="center"/>
              <w:textAlignment w:val="auto"/>
              <w:rPr>
                <w:rFonts w:ascii="Times New Roman" w:hAnsi="Times New Roman" w:cs="Times New Roman"/>
                <w:snapToGrid/>
                <w:color w:val="auto"/>
                <w:sz w:val="20"/>
                <w:szCs w:val="20"/>
                <w:highlight w:val="none"/>
                <w:lang w:eastAsia="zh-CN"/>
              </w:rPr>
            </w:pPr>
            <w:r>
              <w:rPr>
                <w:rFonts w:hint="eastAsia" w:cs="Times New Roman"/>
                <w:snapToGrid/>
                <w:color w:val="auto"/>
                <w:sz w:val="20"/>
                <w:szCs w:val="20"/>
                <w:highlight w:val="none"/>
                <w:lang w:val="en-US" w:eastAsia="zh-CN"/>
              </w:rPr>
              <w:t>二类</w:t>
            </w:r>
          </w:p>
        </w:tc>
        <w:tc>
          <w:tcPr>
            <w:tcW w:w="382" w:type="pct"/>
            <w:tcBorders>
              <w:top w:val="single" w:color="auto" w:sz="4" w:space="0"/>
              <w:left w:val="nil"/>
              <w:bottom w:val="single" w:color="auto" w:sz="4" w:space="0"/>
              <w:right w:val="single" w:color="auto" w:sz="4" w:space="0"/>
            </w:tcBorders>
            <w:shd w:val="clear" w:color="auto" w:fill="auto"/>
            <w:vAlign w:val="center"/>
          </w:tcPr>
          <w:p w14:paraId="5F038539">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二类</w:t>
            </w:r>
          </w:p>
        </w:tc>
      </w:tr>
      <w:tr w14:paraId="7E9CE40C">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A958E85">
            <w:pPr>
              <w:kinsoku/>
              <w:autoSpaceDE/>
              <w:autoSpaceDN/>
              <w:adjustRightInd/>
              <w:snapToGrid/>
              <w:spacing w:line="240" w:lineRule="auto"/>
              <w:ind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2</w:t>
            </w:r>
          </w:p>
        </w:tc>
        <w:tc>
          <w:tcPr>
            <w:tcW w:w="751" w:type="pct"/>
            <w:tcBorders>
              <w:top w:val="single" w:color="auto" w:sz="4" w:space="0"/>
              <w:left w:val="nil"/>
              <w:bottom w:val="single" w:color="auto" w:sz="4" w:space="0"/>
              <w:right w:val="single" w:color="auto" w:sz="4" w:space="0"/>
            </w:tcBorders>
            <w:shd w:val="clear" w:color="auto" w:fill="auto"/>
            <w:vAlign w:val="center"/>
          </w:tcPr>
          <w:p w14:paraId="2364E76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迎宾西路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462E620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550</w:t>
            </w:r>
          </w:p>
        </w:tc>
        <w:tc>
          <w:tcPr>
            <w:tcW w:w="507" w:type="pct"/>
            <w:tcBorders>
              <w:top w:val="single" w:color="auto" w:sz="4" w:space="0"/>
              <w:left w:val="nil"/>
              <w:bottom w:val="single" w:color="auto" w:sz="4" w:space="0"/>
              <w:right w:val="single" w:color="auto" w:sz="4" w:space="0"/>
            </w:tcBorders>
            <w:shd w:val="clear" w:color="auto" w:fill="auto"/>
            <w:vAlign w:val="center"/>
          </w:tcPr>
          <w:p w14:paraId="38CAD7C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12375</w:t>
            </w:r>
          </w:p>
        </w:tc>
        <w:tc>
          <w:tcPr>
            <w:tcW w:w="621" w:type="pct"/>
            <w:tcBorders>
              <w:top w:val="single" w:color="auto" w:sz="4" w:space="0"/>
              <w:left w:val="nil"/>
              <w:bottom w:val="single" w:color="auto" w:sz="4" w:space="0"/>
              <w:right w:val="single" w:color="auto" w:sz="4" w:space="0"/>
            </w:tcBorders>
            <w:shd w:val="clear" w:color="auto" w:fill="auto"/>
            <w:vAlign w:val="center"/>
          </w:tcPr>
          <w:p w14:paraId="0C74D6C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6050</w:t>
            </w:r>
          </w:p>
        </w:tc>
        <w:tc>
          <w:tcPr>
            <w:tcW w:w="526" w:type="pct"/>
            <w:tcBorders>
              <w:top w:val="single" w:color="auto" w:sz="4" w:space="0"/>
              <w:left w:val="nil"/>
              <w:bottom w:val="single" w:color="auto" w:sz="4" w:space="0"/>
              <w:right w:val="single" w:color="auto" w:sz="4" w:space="0"/>
            </w:tcBorders>
            <w:shd w:val="clear" w:color="auto" w:fill="auto"/>
            <w:vAlign w:val="center"/>
          </w:tcPr>
          <w:p w14:paraId="7C9C04A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3BFB7F23">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4950</w:t>
            </w:r>
          </w:p>
        </w:tc>
        <w:tc>
          <w:tcPr>
            <w:tcW w:w="654" w:type="pct"/>
            <w:tcBorders>
              <w:top w:val="single" w:color="auto" w:sz="4" w:space="0"/>
              <w:left w:val="nil"/>
              <w:bottom w:val="single" w:color="auto" w:sz="4" w:space="0"/>
              <w:right w:val="single" w:color="auto" w:sz="4" w:space="0"/>
            </w:tcBorders>
            <w:shd w:val="clear" w:color="auto" w:fill="auto"/>
            <w:vAlign w:val="center"/>
          </w:tcPr>
          <w:p w14:paraId="561F468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1375</w:t>
            </w:r>
          </w:p>
        </w:tc>
        <w:tc>
          <w:tcPr>
            <w:tcW w:w="354" w:type="pct"/>
            <w:tcBorders>
              <w:top w:val="single" w:color="auto" w:sz="4" w:space="0"/>
              <w:left w:val="nil"/>
              <w:bottom w:val="single" w:color="auto" w:sz="4" w:space="0"/>
              <w:right w:val="single" w:color="auto" w:sz="4" w:space="0"/>
            </w:tcBorders>
            <w:shd w:val="clear" w:color="auto" w:fill="auto"/>
            <w:vAlign w:val="center"/>
          </w:tcPr>
          <w:p w14:paraId="7B85B0EB">
            <w:pPr>
              <w:kinsoku/>
              <w:autoSpaceDE/>
              <w:autoSpaceDN/>
              <w:adjustRightInd/>
              <w:snapToGrid/>
              <w:spacing w:line="240" w:lineRule="auto"/>
              <w:ind w:left="0" w:leftChars="0"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44245F74">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5A220693">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AC3C47F">
            <w:pPr>
              <w:kinsoku/>
              <w:autoSpaceDE/>
              <w:autoSpaceDN/>
              <w:adjustRightInd/>
              <w:snapToGrid/>
              <w:spacing w:line="240" w:lineRule="auto"/>
              <w:ind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3</w:t>
            </w:r>
          </w:p>
        </w:tc>
        <w:tc>
          <w:tcPr>
            <w:tcW w:w="751" w:type="pct"/>
            <w:tcBorders>
              <w:top w:val="single" w:color="auto" w:sz="4" w:space="0"/>
              <w:left w:val="nil"/>
              <w:bottom w:val="single" w:color="auto" w:sz="4" w:space="0"/>
              <w:right w:val="single" w:color="auto" w:sz="4" w:space="0"/>
            </w:tcBorders>
            <w:shd w:val="clear" w:color="auto" w:fill="auto"/>
            <w:vAlign w:val="center"/>
          </w:tcPr>
          <w:p w14:paraId="05FEDE2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0CB86A2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2820</w:t>
            </w:r>
          </w:p>
        </w:tc>
        <w:tc>
          <w:tcPr>
            <w:tcW w:w="507" w:type="pct"/>
            <w:tcBorders>
              <w:top w:val="single" w:color="auto" w:sz="4" w:space="0"/>
              <w:left w:val="nil"/>
              <w:bottom w:val="single" w:color="auto" w:sz="4" w:space="0"/>
              <w:right w:val="single" w:color="auto" w:sz="4" w:space="0"/>
            </w:tcBorders>
            <w:shd w:val="clear" w:color="auto" w:fill="auto"/>
            <w:vAlign w:val="center"/>
          </w:tcPr>
          <w:p w14:paraId="152EC22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50799</w:t>
            </w:r>
          </w:p>
        </w:tc>
        <w:tc>
          <w:tcPr>
            <w:tcW w:w="621" w:type="pct"/>
            <w:tcBorders>
              <w:top w:val="single" w:color="auto" w:sz="4" w:space="0"/>
              <w:left w:val="nil"/>
              <w:bottom w:val="single" w:color="auto" w:sz="4" w:space="0"/>
              <w:right w:val="single" w:color="auto" w:sz="4" w:space="0"/>
            </w:tcBorders>
            <w:shd w:val="clear" w:color="auto" w:fill="auto"/>
            <w:vAlign w:val="center"/>
          </w:tcPr>
          <w:p w14:paraId="18EB0FD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31020</w:t>
            </w:r>
          </w:p>
        </w:tc>
        <w:tc>
          <w:tcPr>
            <w:tcW w:w="526" w:type="pct"/>
            <w:tcBorders>
              <w:top w:val="single" w:color="auto" w:sz="4" w:space="0"/>
              <w:left w:val="nil"/>
              <w:bottom w:val="single" w:color="auto" w:sz="4" w:space="0"/>
              <w:right w:val="single" w:color="auto" w:sz="4" w:space="0"/>
            </w:tcBorders>
            <w:shd w:val="clear" w:color="auto" w:fill="auto"/>
            <w:vAlign w:val="center"/>
          </w:tcPr>
          <w:p w14:paraId="7C74772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5FCE066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17941</w:t>
            </w:r>
          </w:p>
        </w:tc>
        <w:tc>
          <w:tcPr>
            <w:tcW w:w="654" w:type="pct"/>
            <w:tcBorders>
              <w:top w:val="single" w:color="auto" w:sz="4" w:space="0"/>
              <w:left w:val="nil"/>
              <w:bottom w:val="single" w:color="auto" w:sz="4" w:space="0"/>
              <w:right w:val="single" w:color="auto" w:sz="4" w:space="0"/>
            </w:tcBorders>
            <w:shd w:val="clear" w:color="auto" w:fill="auto"/>
            <w:vAlign w:val="center"/>
          </w:tcPr>
          <w:p w14:paraId="50AB4CF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1838</w:t>
            </w:r>
          </w:p>
        </w:tc>
        <w:tc>
          <w:tcPr>
            <w:tcW w:w="354" w:type="pct"/>
            <w:tcBorders>
              <w:top w:val="single" w:color="auto" w:sz="4" w:space="0"/>
              <w:left w:val="nil"/>
              <w:bottom w:val="single" w:color="auto" w:sz="4" w:space="0"/>
              <w:right w:val="single" w:color="auto" w:sz="4" w:space="0"/>
            </w:tcBorders>
            <w:shd w:val="clear" w:color="auto" w:fill="auto"/>
            <w:vAlign w:val="center"/>
          </w:tcPr>
          <w:p w14:paraId="61242287">
            <w:pPr>
              <w:kinsoku/>
              <w:autoSpaceDE/>
              <w:autoSpaceDN/>
              <w:adjustRightInd/>
              <w:snapToGrid/>
              <w:spacing w:line="240" w:lineRule="auto"/>
              <w:ind w:left="0" w:leftChars="0"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1F446256">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726422ED">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29BA30C8">
            <w:pPr>
              <w:kinsoku/>
              <w:autoSpaceDE/>
              <w:autoSpaceDN/>
              <w:adjustRightInd/>
              <w:snapToGrid/>
              <w:spacing w:line="240" w:lineRule="auto"/>
              <w:ind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4</w:t>
            </w:r>
          </w:p>
        </w:tc>
        <w:tc>
          <w:tcPr>
            <w:tcW w:w="751" w:type="pct"/>
            <w:tcBorders>
              <w:top w:val="single" w:color="auto" w:sz="4" w:space="0"/>
              <w:left w:val="nil"/>
              <w:bottom w:val="single" w:color="auto" w:sz="4" w:space="0"/>
              <w:right w:val="single" w:color="auto" w:sz="4" w:space="0"/>
            </w:tcBorders>
            <w:shd w:val="clear" w:color="auto" w:fill="auto"/>
            <w:vAlign w:val="center"/>
          </w:tcPr>
          <w:p w14:paraId="0EEF967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304084D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2820</w:t>
            </w:r>
          </w:p>
        </w:tc>
        <w:tc>
          <w:tcPr>
            <w:tcW w:w="507" w:type="pct"/>
            <w:tcBorders>
              <w:top w:val="single" w:color="auto" w:sz="4" w:space="0"/>
              <w:left w:val="nil"/>
              <w:bottom w:val="single" w:color="auto" w:sz="4" w:space="0"/>
              <w:right w:val="single" w:color="auto" w:sz="4" w:space="0"/>
            </w:tcBorders>
            <w:shd w:val="clear" w:color="auto" w:fill="auto"/>
            <w:vAlign w:val="center"/>
          </w:tcPr>
          <w:p w14:paraId="1DFC94D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84339</w:t>
            </w:r>
          </w:p>
        </w:tc>
        <w:tc>
          <w:tcPr>
            <w:tcW w:w="621" w:type="pct"/>
            <w:tcBorders>
              <w:top w:val="single" w:color="auto" w:sz="4" w:space="0"/>
              <w:left w:val="nil"/>
              <w:bottom w:val="single" w:color="auto" w:sz="4" w:space="0"/>
              <w:right w:val="single" w:color="auto" w:sz="4" w:space="0"/>
            </w:tcBorders>
            <w:shd w:val="clear" w:color="auto" w:fill="auto"/>
            <w:vAlign w:val="center"/>
          </w:tcPr>
          <w:p w14:paraId="53A1971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40460</w:t>
            </w:r>
          </w:p>
        </w:tc>
        <w:tc>
          <w:tcPr>
            <w:tcW w:w="526" w:type="pct"/>
            <w:tcBorders>
              <w:top w:val="single" w:color="auto" w:sz="4" w:space="0"/>
              <w:left w:val="nil"/>
              <w:bottom w:val="single" w:color="auto" w:sz="4" w:space="0"/>
              <w:right w:val="single" w:color="auto" w:sz="4" w:space="0"/>
            </w:tcBorders>
            <w:shd w:val="clear" w:color="auto" w:fill="auto"/>
            <w:vAlign w:val="center"/>
          </w:tcPr>
          <w:p w14:paraId="7CA8F4E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16520</w:t>
            </w:r>
          </w:p>
        </w:tc>
        <w:tc>
          <w:tcPr>
            <w:tcW w:w="636" w:type="pct"/>
            <w:tcBorders>
              <w:top w:val="single" w:color="auto" w:sz="4" w:space="0"/>
              <w:left w:val="nil"/>
              <w:bottom w:val="single" w:color="auto" w:sz="4" w:space="0"/>
              <w:right w:val="single" w:color="auto" w:sz="4" w:space="0"/>
            </w:tcBorders>
            <w:shd w:val="clear" w:color="auto" w:fill="auto"/>
            <w:vAlign w:val="center"/>
          </w:tcPr>
          <w:p w14:paraId="10F2E7F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24184</w:t>
            </w:r>
          </w:p>
        </w:tc>
        <w:tc>
          <w:tcPr>
            <w:tcW w:w="654" w:type="pct"/>
            <w:tcBorders>
              <w:top w:val="single" w:color="auto" w:sz="4" w:space="0"/>
              <w:left w:val="nil"/>
              <w:bottom w:val="single" w:color="auto" w:sz="4" w:space="0"/>
              <w:right w:val="single" w:color="auto" w:sz="4" w:space="0"/>
            </w:tcBorders>
            <w:shd w:val="clear" w:color="auto" w:fill="auto"/>
            <w:vAlign w:val="center"/>
          </w:tcPr>
          <w:p w14:paraId="1FE599C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3175</w:t>
            </w:r>
          </w:p>
        </w:tc>
        <w:tc>
          <w:tcPr>
            <w:tcW w:w="354" w:type="pct"/>
            <w:tcBorders>
              <w:top w:val="single" w:color="auto" w:sz="4" w:space="0"/>
              <w:left w:val="nil"/>
              <w:bottom w:val="single" w:color="auto" w:sz="4" w:space="0"/>
              <w:right w:val="single" w:color="auto" w:sz="4" w:space="0"/>
            </w:tcBorders>
            <w:shd w:val="clear" w:color="auto" w:fill="auto"/>
            <w:vAlign w:val="center"/>
          </w:tcPr>
          <w:p w14:paraId="26659386">
            <w:pPr>
              <w:kinsoku/>
              <w:autoSpaceDE/>
              <w:autoSpaceDN/>
              <w:adjustRightInd/>
              <w:snapToGrid/>
              <w:spacing w:line="240" w:lineRule="auto"/>
              <w:ind w:left="0" w:leftChars="0"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7D46021F">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3895DAE4">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B07B865">
            <w:pPr>
              <w:kinsoku/>
              <w:autoSpaceDE/>
              <w:autoSpaceDN/>
              <w:adjustRightInd/>
              <w:snapToGrid/>
              <w:spacing w:line="240" w:lineRule="auto"/>
              <w:ind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5</w:t>
            </w:r>
          </w:p>
        </w:tc>
        <w:tc>
          <w:tcPr>
            <w:tcW w:w="751" w:type="pct"/>
            <w:tcBorders>
              <w:top w:val="single" w:color="auto" w:sz="4" w:space="0"/>
              <w:left w:val="nil"/>
              <w:bottom w:val="single" w:color="auto" w:sz="4" w:space="0"/>
              <w:right w:val="single" w:color="auto" w:sz="4" w:space="0"/>
            </w:tcBorders>
            <w:shd w:val="clear" w:color="auto" w:fill="auto"/>
            <w:vAlign w:val="center"/>
          </w:tcPr>
          <w:p w14:paraId="33E5823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3768B2D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490</w:t>
            </w:r>
          </w:p>
        </w:tc>
        <w:tc>
          <w:tcPr>
            <w:tcW w:w="507" w:type="pct"/>
            <w:tcBorders>
              <w:top w:val="single" w:color="auto" w:sz="4" w:space="0"/>
              <w:left w:val="nil"/>
              <w:bottom w:val="single" w:color="auto" w:sz="4" w:space="0"/>
              <w:right w:val="single" w:color="auto" w:sz="4" w:space="0"/>
            </w:tcBorders>
            <w:shd w:val="clear" w:color="auto" w:fill="auto"/>
            <w:vAlign w:val="center"/>
          </w:tcPr>
          <w:p w14:paraId="18A9BF5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10066</w:t>
            </w:r>
          </w:p>
        </w:tc>
        <w:tc>
          <w:tcPr>
            <w:tcW w:w="621" w:type="pct"/>
            <w:tcBorders>
              <w:top w:val="single" w:color="auto" w:sz="4" w:space="0"/>
              <w:left w:val="nil"/>
              <w:bottom w:val="single" w:color="auto" w:sz="4" w:space="0"/>
              <w:right w:val="single" w:color="auto" w:sz="4" w:space="0"/>
            </w:tcBorders>
            <w:shd w:val="clear" w:color="auto" w:fill="auto"/>
            <w:vAlign w:val="center"/>
          </w:tcPr>
          <w:p w14:paraId="41749D1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6125</w:t>
            </w:r>
          </w:p>
        </w:tc>
        <w:tc>
          <w:tcPr>
            <w:tcW w:w="526" w:type="pct"/>
            <w:tcBorders>
              <w:top w:val="single" w:color="auto" w:sz="4" w:space="0"/>
              <w:left w:val="nil"/>
              <w:bottom w:val="single" w:color="auto" w:sz="4" w:space="0"/>
              <w:right w:val="single" w:color="auto" w:sz="4" w:space="0"/>
            </w:tcBorders>
            <w:shd w:val="clear" w:color="auto" w:fill="auto"/>
            <w:vAlign w:val="center"/>
          </w:tcPr>
          <w:p w14:paraId="22A3C1F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50DAE15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3328</w:t>
            </w:r>
          </w:p>
        </w:tc>
        <w:tc>
          <w:tcPr>
            <w:tcW w:w="654" w:type="pct"/>
            <w:tcBorders>
              <w:top w:val="single" w:color="auto" w:sz="4" w:space="0"/>
              <w:left w:val="nil"/>
              <w:bottom w:val="single" w:color="auto" w:sz="4" w:space="0"/>
              <w:right w:val="single" w:color="auto" w:sz="4" w:space="0"/>
            </w:tcBorders>
            <w:shd w:val="clear" w:color="auto" w:fill="auto"/>
            <w:vAlign w:val="center"/>
          </w:tcPr>
          <w:p w14:paraId="762EA5B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613</w:t>
            </w:r>
          </w:p>
        </w:tc>
        <w:tc>
          <w:tcPr>
            <w:tcW w:w="354" w:type="pct"/>
            <w:tcBorders>
              <w:top w:val="single" w:color="auto" w:sz="4" w:space="0"/>
              <w:left w:val="nil"/>
              <w:bottom w:val="single" w:color="auto" w:sz="4" w:space="0"/>
              <w:right w:val="single" w:color="auto" w:sz="4" w:space="0"/>
            </w:tcBorders>
            <w:shd w:val="clear" w:color="auto" w:fill="auto"/>
            <w:vAlign w:val="center"/>
          </w:tcPr>
          <w:p w14:paraId="00A5AE17">
            <w:pPr>
              <w:kinsoku/>
              <w:autoSpaceDE/>
              <w:autoSpaceDN/>
              <w:adjustRightInd/>
              <w:snapToGrid/>
              <w:spacing w:line="240" w:lineRule="auto"/>
              <w:ind w:left="0" w:leftChars="0"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1C364119">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12131028">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1D99B23">
            <w:pPr>
              <w:kinsoku/>
              <w:autoSpaceDE/>
              <w:autoSpaceDN/>
              <w:adjustRightInd/>
              <w:snapToGrid/>
              <w:spacing w:line="240" w:lineRule="auto"/>
              <w:ind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6</w:t>
            </w:r>
          </w:p>
        </w:tc>
        <w:tc>
          <w:tcPr>
            <w:tcW w:w="751" w:type="pct"/>
            <w:tcBorders>
              <w:top w:val="single" w:color="auto" w:sz="4" w:space="0"/>
              <w:left w:val="nil"/>
              <w:bottom w:val="single" w:color="auto" w:sz="4" w:space="0"/>
              <w:right w:val="single" w:color="auto" w:sz="4" w:space="0"/>
            </w:tcBorders>
            <w:shd w:val="clear" w:color="auto" w:fill="auto"/>
            <w:vAlign w:val="center"/>
          </w:tcPr>
          <w:p w14:paraId="57E07E7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52CB5F1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490</w:t>
            </w:r>
          </w:p>
        </w:tc>
        <w:tc>
          <w:tcPr>
            <w:tcW w:w="507" w:type="pct"/>
            <w:tcBorders>
              <w:top w:val="single" w:color="auto" w:sz="4" w:space="0"/>
              <w:left w:val="nil"/>
              <w:bottom w:val="single" w:color="auto" w:sz="4" w:space="0"/>
              <w:right w:val="single" w:color="auto" w:sz="4" w:space="0"/>
            </w:tcBorders>
            <w:shd w:val="clear" w:color="auto" w:fill="auto"/>
            <w:vAlign w:val="center"/>
          </w:tcPr>
          <w:p w14:paraId="28AD29C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9873</w:t>
            </w:r>
          </w:p>
        </w:tc>
        <w:tc>
          <w:tcPr>
            <w:tcW w:w="621" w:type="pct"/>
            <w:tcBorders>
              <w:top w:val="single" w:color="auto" w:sz="4" w:space="0"/>
              <w:left w:val="nil"/>
              <w:bottom w:val="single" w:color="auto" w:sz="4" w:space="0"/>
              <w:right w:val="single" w:color="auto" w:sz="4" w:space="0"/>
            </w:tcBorders>
            <w:shd w:val="clear" w:color="auto" w:fill="auto"/>
            <w:vAlign w:val="center"/>
          </w:tcPr>
          <w:p w14:paraId="1E889BB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5390</w:t>
            </w:r>
          </w:p>
        </w:tc>
        <w:tc>
          <w:tcPr>
            <w:tcW w:w="526" w:type="pct"/>
            <w:tcBorders>
              <w:top w:val="single" w:color="auto" w:sz="4" w:space="0"/>
              <w:left w:val="nil"/>
              <w:bottom w:val="single" w:color="auto" w:sz="4" w:space="0"/>
              <w:right w:val="single" w:color="auto" w:sz="4" w:space="0"/>
            </w:tcBorders>
            <w:shd w:val="clear" w:color="auto" w:fill="auto"/>
            <w:vAlign w:val="center"/>
          </w:tcPr>
          <w:p w14:paraId="40E0985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06F8E3C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3328</w:t>
            </w:r>
          </w:p>
        </w:tc>
        <w:tc>
          <w:tcPr>
            <w:tcW w:w="654" w:type="pct"/>
            <w:tcBorders>
              <w:top w:val="single" w:color="auto" w:sz="4" w:space="0"/>
              <w:left w:val="nil"/>
              <w:bottom w:val="single" w:color="auto" w:sz="4" w:space="0"/>
              <w:right w:val="single" w:color="auto" w:sz="4" w:space="0"/>
            </w:tcBorders>
            <w:shd w:val="clear" w:color="auto" w:fill="auto"/>
            <w:vAlign w:val="center"/>
          </w:tcPr>
          <w:p w14:paraId="7C36952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1155</w:t>
            </w:r>
          </w:p>
        </w:tc>
        <w:tc>
          <w:tcPr>
            <w:tcW w:w="354" w:type="pct"/>
            <w:tcBorders>
              <w:top w:val="single" w:color="auto" w:sz="4" w:space="0"/>
              <w:left w:val="nil"/>
              <w:bottom w:val="single" w:color="auto" w:sz="4" w:space="0"/>
              <w:right w:val="single" w:color="auto" w:sz="4" w:space="0"/>
            </w:tcBorders>
            <w:shd w:val="clear" w:color="auto" w:fill="auto"/>
            <w:vAlign w:val="center"/>
          </w:tcPr>
          <w:p w14:paraId="374D2E1B">
            <w:pPr>
              <w:kinsoku/>
              <w:autoSpaceDE/>
              <w:autoSpaceDN/>
              <w:adjustRightInd/>
              <w:snapToGrid/>
              <w:spacing w:line="240" w:lineRule="auto"/>
              <w:ind w:left="0" w:leftChars="0" w:firstLine="0" w:firstLineChars="0"/>
              <w:jc w:val="center"/>
              <w:textAlignment w:val="auto"/>
              <w:rPr>
                <w:rFonts w:ascii="Times New Roman" w:hAnsi="Times New Roman" w:cs="Times New Roman"/>
                <w:snapToGrid/>
                <w:color w:val="auto"/>
                <w:sz w:val="20"/>
                <w:szCs w:val="20"/>
                <w:highlight w:val="none"/>
                <w:lang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658A1435">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490A762A">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CF9C77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7</w:t>
            </w:r>
          </w:p>
        </w:tc>
        <w:tc>
          <w:tcPr>
            <w:tcW w:w="751" w:type="pct"/>
            <w:tcBorders>
              <w:top w:val="single" w:color="auto" w:sz="4" w:space="0"/>
              <w:left w:val="nil"/>
              <w:bottom w:val="single" w:color="auto" w:sz="4" w:space="0"/>
              <w:right w:val="single" w:color="auto" w:sz="4" w:space="0"/>
            </w:tcBorders>
            <w:shd w:val="clear" w:color="auto" w:fill="auto"/>
            <w:vAlign w:val="center"/>
          </w:tcPr>
          <w:p w14:paraId="3C8C538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2A15E70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2820</w:t>
            </w:r>
          </w:p>
        </w:tc>
        <w:tc>
          <w:tcPr>
            <w:tcW w:w="507" w:type="pct"/>
            <w:tcBorders>
              <w:top w:val="single" w:color="auto" w:sz="4" w:space="0"/>
              <w:left w:val="nil"/>
              <w:bottom w:val="single" w:color="auto" w:sz="4" w:space="0"/>
              <w:right w:val="single" w:color="auto" w:sz="4" w:space="0"/>
            </w:tcBorders>
            <w:shd w:val="clear" w:color="auto" w:fill="auto"/>
            <w:vAlign w:val="center"/>
          </w:tcPr>
          <w:p w14:paraId="657A785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84057</w:t>
            </w:r>
          </w:p>
        </w:tc>
        <w:tc>
          <w:tcPr>
            <w:tcW w:w="621" w:type="pct"/>
            <w:tcBorders>
              <w:top w:val="single" w:color="auto" w:sz="4" w:space="0"/>
              <w:left w:val="nil"/>
              <w:bottom w:val="single" w:color="auto" w:sz="4" w:space="0"/>
              <w:right w:val="single" w:color="auto" w:sz="4" w:space="0"/>
            </w:tcBorders>
            <w:shd w:val="clear" w:color="auto" w:fill="auto"/>
            <w:vAlign w:val="center"/>
          </w:tcPr>
          <w:p w14:paraId="4C8292F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40340</w:t>
            </w:r>
          </w:p>
        </w:tc>
        <w:tc>
          <w:tcPr>
            <w:tcW w:w="526" w:type="pct"/>
            <w:tcBorders>
              <w:top w:val="single" w:color="auto" w:sz="4" w:space="0"/>
              <w:left w:val="nil"/>
              <w:bottom w:val="single" w:color="auto" w:sz="4" w:space="0"/>
              <w:right w:val="single" w:color="auto" w:sz="4" w:space="0"/>
            </w:tcBorders>
            <w:shd w:val="clear" w:color="auto" w:fill="auto"/>
            <w:vAlign w:val="center"/>
          </w:tcPr>
          <w:p w14:paraId="34BA4DE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16310</w:t>
            </w:r>
          </w:p>
        </w:tc>
        <w:tc>
          <w:tcPr>
            <w:tcW w:w="636" w:type="pct"/>
            <w:tcBorders>
              <w:top w:val="single" w:color="auto" w:sz="4" w:space="0"/>
              <w:left w:val="nil"/>
              <w:bottom w:val="single" w:color="auto" w:sz="4" w:space="0"/>
              <w:right w:val="single" w:color="auto" w:sz="4" w:space="0"/>
            </w:tcBorders>
            <w:shd w:val="clear" w:color="auto" w:fill="auto"/>
            <w:vAlign w:val="center"/>
          </w:tcPr>
          <w:p w14:paraId="78ECB79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23732</w:t>
            </w:r>
          </w:p>
        </w:tc>
        <w:tc>
          <w:tcPr>
            <w:tcW w:w="654" w:type="pct"/>
            <w:tcBorders>
              <w:top w:val="single" w:color="auto" w:sz="4" w:space="0"/>
              <w:left w:val="nil"/>
              <w:bottom w:val="single" w:color="auto" w:sz="4" w:space="0"/>
              <w:right w:val="single" w:color="auto" w:sz="4" w:space="0"/>
            </w:tcBorders>
            <w:shd w:val="clear" w:color="auto" w:fill="auto"/>
            <w:vAlign w:val="center"/>
          </w:tcPr>
          <w:p w14:paraId="1F9B19B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3675</w:t>
            </w:r>
          </w:p>
        </w:tc>
        <w:tc>
          <w:tcPr>
            <w:tcW w:w="354" w:type="pct"/>
            <w:tcBorders>
              <w:top w:val="single" w:color="auto" w:sz="4" w:space="0"/>
              <w:left w:val="nil"/>
              <w:bottom w:val="single" w:color="auto" w:sz="4" w:space="0"/>
              <w:right w:val="single" w:color="auto" w:sz="4" w:space="0"/>
            </w:tcBorders>
            <w:shd w:val="clear" w:color="auto" w:fill="auto"/>
            <w:vAlign w:val="center"/>
          </w:tcPr>
          <w:p w14:paraId="662AAA35">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24822D11">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5E6ED88D">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4FA43963">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w:t>
            </w:r>
          </w:p>
        </w:tc>
        <w:tc>
          <w:tcPr>
            <w:tcW w:w="751" w:type="pct"/>
            <w:tcBorders>
              <w:top w:val="single" w:color="auto" w:sz="4" w:space="0"/>
              <w:left w:val="nil"/>
              <w:bottom w:val="single" w:color="auto" w:sz="4" w:space="0"/>
              <w:right w:val="single" w:color="auto" w:sz="4" w:space="0"/>
            </w:tcBorders>
            <w:shd w:val="clear" w:color="auto" w:fill="auto"/>
            <w:vAlign w:val="center"/>
          </w:tcPr>
          <w:p w14:paraId="6E7DA6E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2FC5932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4290</w:t>
            </w:r>
          </w:p>
        </w:tc>
        <w:tc>
          <w:tcPr>
            <w:tcW w:w="507" w:type="pct"/>
            <w:tcBorders>
              <w:top w:val="single" w:color="auto" w:sz="4" w:space="0"/>
              <w:left w:val="nil"/>
              <w:bottom w:val="single" w:color="auto" w:sz="4" w:space="0"/>
              <w:right w:val="single" w:color="auto" w:sz="4" w:space="0"/>
            </w:tcBorders>
            <w:shd w:val="clear" w:color="auto" w:fill="auto"/>
            <w:vAlign w:val="center"/>
          </w:tcPr>
          <w:p w14:paraId="511B1C9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69920</w:t>
            </w:r>
          </w:p>
        </w:tc>
        <w:tc>
          <w:tcPr>
            <w:tcW w:w="621" w:type="pct"/>
            <w:tcBorders>
              <w:top w:val="single" w:color="auto" w:sz="4" w:space="0"/>
              <w:left w:val="nil"/>
              <w:bottom w:val="single" w:color="auto" w:sz="4" w:space="0"/>
              <w:right w:val="single" w:color="auto" w:sz="4" w:space="0"/>
            </w:tcBorders>
            <w:shd w:val="clear" w:color="auto" w:fill="auto"/>
            <w:vAlign w:val="center"/>
          </w:tcPr>
          <w:p w14:paraId="7328DE3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47190</w:t>
            </w:r>
          </w:p>
        </w:tc>
        <w:tc>
          <w:tcPr>
            <w:tcW w:w="526" w:type="pct"/>
            <w:tcBorders>
              <w:top w:val="single" w:color="auto" w:sz="4" w:space="0"/>
              <w:left w:val="nil"/>
              <w:bottom w:val="single" w:color="auto" w:sz="4" w:space="0"/>
              <w:right w:val="single" w:color="auto" w:sz="4" w:space="0"/>
            </w:tcBorders>
            <w:shd w:val="clear" w:color="auto" w:fill="auto"/>
            <w:vAlign w:val="center"/>
          </w:tcPr>
          <w:p w14:paraId="24427E8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2C3D5C8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10592</w:t>
            </w:r>
          </w:p>
        </w:tc>
        <w:tc>
          <w:tcPr>
            <w:tcW w:w="654" w:type="pct"/>
            <w:tcBorders>
              <w:top w:val="single" w:color="auto" w:sz="4" w:space="0"/>
              <w:left w:val="nil"/>
              <w:bottom w:val="single" w:color="auto" w:sz="4" w:space="0"/>
              <w:right w:val="single" w:color="auto" w:sz="4" w:space="0"/>
            </w:tcBorders>
            <w:shd w:val="clear" w:color="auto" w:fill="auto"/>
            <w:vAlign w:val="center"/>
          </w:tcPr>
          <w:p w14:paraId="282C4EA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12138</w:t>
            </w:r>
          </w:p>
        </w:tc>
        <w:tc>
          <w:tcPr>
            <w:tcW w:w="354" w:type="pct"/>
            <w:tcBorders>
              <w:top w:val="single" w:color="auto" w:sz="4" w:space="0"/>
              <w:left w:val="nil"/>
              <w:bottom w:val="single" w:color="auto" w:sz="4" w:space="0"/>
              <w:right w:val="single" w:color="auto" w:sz="4" w:space="0"/>
            </w:tcBorders>
            <w:shd w:val="clear" w:color="auto" w:fill="auto"/>
            <w:vAlign w:val="center"/>
          </w:tcPr>
          <w:p w14:paraId="080FBA79">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0A75B550">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0FA268FD">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7D06D8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9</w:t>
            </w:r>
          </w:p>
        </w:tc>
        <w:tc>
          <w:tcPr>
            <w:tcW w:w="751" w:type="pct"/>
            <w:tcBorders>
              <w:top w:val="single" w:color="auto" w:sz="4" w:space="0"/>
              <w:left w:val="nil"/>
              <w:bottom w:val="single" w:color="auto" w:sz="4" w:space="0"/>
              <w:right w:val="single" w:color="auto" w:sz="4" w:space="0"/>
            </w:tcBorders>
            <w:shd w:val="clear" w:color="auto" w:fill="auto"/>
            <w:vAlign w:val="center"/>
          </w:tcPr>
          <w:p w14:paraId="580CAA4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广场南路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4948FB4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200</w:t>
            </w:r>
          </w:p>
        </w:tc>
        <w:tc>
          <w:tcPr>
            <w:tcW w:w="507" w:type="pct"/>
            <w:tcBorders>
              <w:top w:val="single" w:color="auto" w:sz="4" w:space="0"/>
              <w:left w:val="nil"/>
              <w:bottom w:val="single" w:color="auto" w:sz="4" w:space="0"/>
              <w:right w:val="single" w:color="auto" w:sz="4" w:space="0"/>
            </w:tcBorders>
            <w:shd w:val="clear" w:color="auto" w:fill="auto"/>
            <w:vAlign w:val="center"/>
          </w:tcPr>
          <w:p w14:paraId="7BA82A4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5100</w:t>
            </w:r>
          </w:p>
        </w:tc>
        <w:tc>
          <w:tcPr>
            <w:tcW w:w="621" w:type="pct"/>
            <w:tcBorders>
              <w:top w:val="single" w:color="auto" w:sz="4" w:space="0"/>
              <w:left w:val="nil"/>
              <w:bottom w:val="single" w:color="auto" w:sz="4" w:space="0"/>
              <w:right w:val="single" w:color="auto" w:sz="4" w:space="0"/>
            </w:tcBorders>
            <w:shd w:val="clear" w:color="auto" w:fill="auto"/>
            <w:vAlign w:val="center"/>
          </w:tcPr>
          <w:p w14:paraId="53CB933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2200</w:t>
            </w:r>
          </w:p>
        </w:tc>
        <w:tc>
          <w:tcPr>
            <w:tcW w:w="526" w:type="pct"/>
            <w:tcBorders>
              <w:top w:val="single" w:color="auto" w:sz="4" w:space="0"/>
              <w:left w:val="nil"/>
              <w:bottom w:val="single" w:color="auto" w:sz="4" w:space="0"/>
              <w:right w:val="single" w:color="auto" w:sz="4" w:space="0"/>
            </w:tcBorders>
            <w:shd w:val="clear" w:color="auto" w:fill="auto"/>
            <w:vAlign w:val="center"/>
          </w:tcPr>
          <w:p w14:paraId="2963D1E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1000</w:t>
            </w:r>
          </w:p>
        </w:tc>
        <w:tc>
          <w:tcPr>
            <w:tcW w:w="636" w:type="pct"/>
            <w:tcBorders>
              <w:top w:val="single" w:color="auto" w:sz="4" w:space="0"/>
              <w:left w:val="nil"/>
              <w:bottom w:val="single" w:color="auto" w:sz="4" w:space="0"/>
              <w:right w:val="single" w:color="auto" w:sz="4" w:space="0"/>
            </w:tcBorders>
            <w:shd w:val="clear" w:color="auto" w:fill="auto"/>
            <w:vAlign w:val="center"/>
          </w:tcPr>
          <w:p w14:paraId="562A696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1400</w:t>
            </w:r>
          </w:p>
        </w:tc>
        <w:tc>
          <w:tcPr>
            <w:tcW w:w="654" w:type="pct"/>
            <w:tcBorders>
              <w:top w:val="single" w:color="auto" w:sz="4" w:space="0"/>
              <w:left w:val="nil"/>
              <w:bottom w:val="single" w:color="auto" w:sz="4" w:space="0"/>
              <w:right w:val="single" w:color="auto" w:sz="4" w:space="0"/>
            </w:tcBorders>
            <w:shd w:val="clear" w:color="auto" w:fill="auto"/>
            <w:vAlign w:val="center"/>
          </w:tcPr>
          <w:p w14:paraId="13ECC33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500</w:t>
            </w:r>
          </w:p>
        </w:tc>
        <w:tc>
          <w:tcPr>
            <w:tcW w:w="354" w:type="pct"/>
            <w:tcBorders>
              <w:top w:val="single" w:color="auto" w:sz="4" w:space="0"/>
              <w:left w:val="nil"/>
              <w:bottom w:val="single" w:color="auto" w:sz="4" w:space="0"/>
              <w:right w:val="single" w:color="auto" w:sz="4" w:space="0"/>
            </w:tcBorders>
            <w:shd w:val="clear" w:color="auto" w:fill="auto"/>
            <w:vAlign w:val="center"/>
          </w:tcPr>
          <w:p w14:paraId="392339CB">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0B7ECFC8">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00921594">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60D160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w:t>
            </w:r>
          </w:p>
        </w:tc>
        <w:tc>
          <w:tcPr>
            <w:tcW w:w="751" w:type="pct"/>
            <w:tcBorders>
              <w:top w:val="single" w:color="auto" w:sz="4" w:space="0"/>
              <w:left w:val="nil"/>
              <w:bottom w:val="single" w:color="auto" w:sz="4" w:space="0"/>
              <w:right w:val="single" w:color="auto" w:sz="4" w:space="0"/>
            </w:tcBorders>
            <w:shd w:val="clear" w:color="auto" w:fill="auto"/>
            <w:vAlign w:val="center"/>
          </w:tcPr>
          <w:p w14:paraId="175A6F1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广场北路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77A4EA0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200</w:t>
            </w:r>
          </w:p>
        </w:tc>
        <w:tc>
          <w:tcPr>
            <w:tcW w:w="507" w:type="pct"/>
            <w:tcBorders>
              <w:top w:val="single" w:color="auto" w:sz="4" w:space="0"/>
              <w:left w:val="nil"/>
              <w:bottom w:val="single" w:color="auto" w:sz="4" w:space="0"/>
              <w:right w:val="single" w:color="auto" w:sz="4" w:space="0"/>
            </w:tcBorders>
            <w:shd w:val="clear" w:color="auto" w:fill="auto"/>
            <w:vAlign w:val="center"/>
          </w:tcPr>
          <w:p w14:paraId="10234F6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5100</w:t>
            </w:r>
          </w:p>
        </w:tc>
        <w:tc>
          <w:tcPr>
            <w:tcW w:w="621" w:type="pct"/>
            <w:tcBorders>
              <w:top w:val="single" w:color="auto" w:sz="4" w:space="0"/>
              <w:left w:val="nil"/>
              <w:bottom w:val="single" w:color="auto" w:sz="4" w:space="0"/>
              <w:right w:val="single" w:color="auto" w:sz="4" w:space="0"/>
            </w:tcBorders>
            <w:shd w:val="clear" w:color="auto" w:fill="auto"/>
            <w:vAlign w:val="center"/>
          </w:tcPr>
          <w:p w14:paraId="353695E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2200</w:t>
            </w:r>
          </w:p>
        </w:tc>
        <w:tc>
          <w:tcPr>
            <w:tcW w:w="526" w:type="pct"/>
            <w:tcBorders>
              <w:top w:val="single" w:color="auto" w:sz="4" w:space="0"/>
              <w:left w:val="nil"/>
              <w:bottom w:val="single" w:color="auto" w:sz="4" w:space="0"/>
              <w:right w:val="single" w:color="auto" w:sz="4" w:space="0"/>
            </w:tcBorders>
            <w:shd w:val="clear" w:color="auto" w:fill="auto"/>
            <w:vAlign w:val="center"/>
          </w:tcPr>
          <w:p w14:paraId="1E90D963">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1000</w:t>
            </w:r>
          </w:p>
        </w:tc>
        <w:tc>
          <w:tcPr>
            <w:tcW w:w="636" w:type="pct"/>
            <w:tcBorders>
              <w:top w:val="single" w:color="auto" w:sz="4" w:space="0"/>
              <w:left w:val="nil"/>
              <w:bottom w:val="single" w:color="auto" w:sz="4" w:space="0"/>
              <w:right w:val="single" w:color="auto" w:sz="4" w:space="0"/>
            </w:tcBorders>
            <w:shd w:val="clear" w:color="auto" w:fill="auto"/>
            <w:vAlign w:val="center"/>
          </w:tcPr>
          <w:p w14:paraId="2CEB992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1400</w:t>
            </w:r>
          </w:p>
        </w:tc>
        <w:tc>
          <w:tcPr>
            <w:tcW w:w="654" w:type="pct"/>
            <w:tcBorders>
              <w:top w:val="single" w:color="auto" w:sz="4" w:space="0"/>
              <w:left w:val="nil"/>
              <w:bottom w:val="single" w:color="auto" w:sz="4" w:space="0"/>
              <w:right w:val="single" w:color="auto" w:sz="4" w:space="0"/>
            </w:tcBorders>
            <w:shd w:val="clear" w:color="auto" w:fill="auto"/>
            <w:vAlign w:val="center"/>
          </w:tcPr>
          <w:p w14:paraId="33AFDF9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500</w:t>
            </w:r>
          </w:p>
        </w:tc>
        <w:tc>
          <w:tcPr>
            <w:tcW w:w="354" w:type="pct"/>
            <w:tcBorders>
              <w:top w:val="single" w:color="auto" w:sz="4" w:space="0"/>
              <w:left w:val="nil"/>
              <w:bottom w:val="single" w:color="auto" w:sz="4" w:space="0"/>
              <w:right w:val="single" w:color="auto" w:sz="4" w:space="0"/>
            </w:tcBorders>
            <w:shd w:val="clear" w:color="auto" w:fill="auto"/>
            <w:vAlign w:val="center"/>
          </w:tcPr>
          <w:p w14:paraId="77D00EEE">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5599151D">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42E5C6DD">
        <w:tblPrEx>
          <w:tblCellMar>
            <w:top w:w="0" w:type="dxa"/>
            <w:left w:w="108" w:type="dxa"/>
            <w:bottom w:w="0" w:type="dxa"/>
            <w:right w:w="108" w:type="dxa"/>
          </w:tblCellMar>
        </w:tblPrEx>
        <w:trPr>
          <w:trHeight w:val="577"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29EBF8F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11</w:t>
            </w:r>
          </w:p>
        </w:tc>
        <w:tc>
          <w:tcPr>
            <w:tcW w:w="751" w:type="pct"/>
            <w:tcBorders>
              <w:top w:val="single" w:color="auto" w:sz="4" w:space="0"/>
              <w:left w:val="nil"/>
              <w:bottom w:val="single" w:color="auto" w:sz="4" w:space="0"/>
              <w:right w:val="single" w:color="auto" w:sz="4" w:space="0"/>
            </w:tcBorders>
            <w:shd w:val="clear" w:color="auto" w:fill="auto"/>
            <w:vAlign w:val="center"/>
          </w:tcPr>
          <w:p w14:paraId="7BA3B8F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购物中心与建行门前路段</w:t>
            </w:r>
          </w:p>
        </w:tc>
        <w:tc>
          <w:tcPr>
            <w:tcW w:w="341" w:type="pct"/>
            <w:tcBorders>
              <w:top w:val="single" w:color="auto" w:sz="4" w:space="0"/>
              <w:left w:val="nil"/>
              <w:bottom w:val="single" w:color="auto" w:sz="4" w:space="0"/>
              <w:right w:val="single" w:color="auto" w:sz="4" w:space="0"/>
            </w:tcBorders>
            <w:shd w:val="clear" w:color="auto" w:fill="auto"/>
            <w:vAlign w:val="center"/>
          </w:tcPr>
          <w:p w14:paraId="3E84573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150</w:t>
            </w:r>
          </w:p>
        </w:tc>
        <w:tc>
          <w:tcPr>
            <w:tcW w:w="507" w:type="pct"/>
            <w:tcBorders>
              <w:top w:val="single" w:color="auto" w:sz="4" w:space="0"/>
              <w:left w:val="nil"/>
              <w:bottom w:val="single" w:color="auto" w:sz="4" w:space="0"/>
              <w:right w:val="single" w:color="auto" w:sz="4" w:space="0"/>
            </w:tcBorders>
            <w:shd w:val="clear" w:color="auto" w:fill="auto"/>
            <w:vAlign w:val="center"/>
          </w:tcPr>
          <w:p w14:paraId="0AFA6EF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2610</w:t>
            </w:r>
          </w:p>
        </w:tc>
        <w:tc>
          <w:tcPr>
            <w:tcW w:w="621" w:type="pct"/>
            <w:tcBorders>
              <w:top w:val="single" w:color="auto" w:sz="4" w:space="0"/>
              <w:left w:val="nil"/>
              <w:bottom w:val="single" w:color="auto" w:sz="4" w:space="0"/>
              <w:right w:val="single" w:color="auto" w:sz="4" w:space="0"/>
            </w:tcBorders>
            <w:shd w:val="clear" w:color="auto" w:fill="auto"/>
            <w:vAlign w:val="center"/>
          </w:tcPr>
          <w:p w14:paraId="5FF4C99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1650</w:t>
            </w:r>
          </w:p>
        </w:tc>
        <w:tc>
          <w:tcPr>
            <w:tcW w:w="526" w:type="pct"/>
            <w:tcBorders>
              <w:top w:val="single" w:color="auto" w:sz="4" w:space="0"/>
              <w:left w:val="nil"/>
              <w:bottom w:val="single" w:color="auto" w:sz="4" w:space="0"/>
              <w:right w:val="single" w:color="auto" w:sz="4" w:space="0"/>
            </w:tcBorders>
            <w:shd w:val="clear" w:color="auto" w:fill="auto"/>
            <w:vAlign w:val="center"/>
          </w:tcPr>
          <w:p w14:paraId="0082734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154682E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960</w:t>
            </w:r>
          </w:p>
        </w:tc>
        <w:tc>
          <w:tcPr>
            <w:tcW w:w="654" w:type="pct"/>
            <w:tcBorders>
              <w:top w:val="single" w:color="auto" w:sz="4" w:space="0"/>
              <w:left w:val="nil"/>
              <w:bottom w:val="single" w:color="auto" w:sz="4" w:space="0"/>
              <w:right w:val="single" w:color="auto" w:sz="4" w:space="0"/>
            </w:tcBorders>
            <w:shd w:val="clear" w:color="auto" w:fill="auto"/>
            <w:vAlign w:val="center"/>
          </w:tcPr>
          <w:p w14:paraId="5694982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0</w:t>
            </w:r>
          </w:p>
        </w:tc>
        <w:tc>
          <w:tcPr>
            <w:tcW w:w="354" w:type="pct"/>
            <w:tcBorders>
              <w:top w:val="single" w:color="auto" w:sz="4" w:space="0"/>
              <w:left w:val="nil"/>
              <w:bottom w:val="single" w:color="auto" w:sz="4" w:space="0"/>
              <w:right w:val="single" w:color="auto" w:sz="4" w:space="0"/>
            </w:tcBorders>
            <w:shd w:val="clear" w:color="auto" w:fill="auto"/>
            <w:vAlign w:val="center"/>
          </w:tcPr>
          <w:p w14:paraId="14677A7E">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648A7923">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20589A98">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3C1B76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12</w:t>
            </w:r>
          </w:p>
        </w:tc>
        <w:tc>
          <w:tcPr>
            <w:tcW w:w="751" w:type="pct"/>
            <w:tcBorders>
              <w:top w:val="single" w:color="auto" w:sz="4" w:space="0"/>
              <w:left w:val="nil"/>
              <w:bottom w:val="single" w:color="auto" w:sz="4" w:space="0"/>
              <w:right w:val="single" w:color="auto" w:sz="4" w:space="0"/>
            </w:tcBorders>
            <w:shd w:val="clear" w:color="auto" w:fill="auto"/>
            <w:vAlign w:val="center"/>
          </w:tcPr>
          <w:p w14:paraId="0013762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公园南路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7652634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460</w:t>
            </w:r>
          </w:p>
        </w:tc>
        <w:tc>
          <w:tcPr>
            <w:tcW w:w="507" w:type="pct"/>
            <w:tcBorders>
              <w:top w:val="single" w:color="auto" w:sz="4" w:space="0"/>
              <w:left w:val="nil"/>
              <w:bottom w:val="single" w:color="auto" w:sz="4" w:space="0"/>
              <w:right w:val="single" w:color="auto" w:sz="4" w:space="0"/>
            </w:tcBorders>
            <w:shd w:val="clear" w:color="auto" w:fill="auto"/>
            <w:vAlign w:val="center"/>
          </w:tcPr>
          <w:p w14:paraId="261C6933">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11339</w:t>
            </w:r>
          </w:p>
        </w:tc>
        <w:tc>
          <w:tcPr>
            <w:tcW w:w="621" w:type="pct"/>
            <w:tcBorders>
              <w:top w:val="single" w:color="auto" w:sz="4" w:space="0"/>
              <w:left w:val="nil"/>
              <w:bottom w:val="single" w:color="auto" w:sz="4" w:space="0"/>
              <w:right w:val="single" w:color="auto" w:sz="4" w:space="0"/>
            </w:tcBorders>
            <w:shd w:val="clear" w:color="auto" w:fill="auto"/>
            <w:vAlign w:val="center"/>
          </w:tcPr>
          <w:p w14:paraId="672B370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5060</w:t>
            </w:r>
          </w:p>
        </w:tc>
        <w:tc>
          <w:tcPr>
            <w:tcW w:w="526" w:type="pct"/>
            <w:tcBorders>
              <w:top w:val="single" w:color="auto" w:sz="4" w:space="0"/>
              <w:left w:val="nil"/>
              <w:bottom w:val="single" w:color="auto" w:sz="4" w:space="0"/>
              <w:right w:val="single" w:color="auto" w:sz="4" w:space="0"/>
            </w:tcBorders>
            <w:shd w:val="clear" w:color="auto" w:fill="auto"/>
            <w:vAlign w:val="center"/>
          </w:tcPr>
          <w:p w14:paraId="428A0D6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2760</w:t>
            </w:r>
          </w:p>
        </w:tc>
        <w:tc>
          <w:tcPr>
            <w:tcW w:w="636" w:type="pct"/>
            <w:tcBorders>
              <w:top w:val="single" w:color="auto" w:sz="4" w:space="0"/>
              <w:left w:val="nil"/>
              <w:bottom w:val="single" w:color="auto" w:sz="4" w:space="0"/>
              <w:right w:val="single" w:color="auto" w:sz="4" w:space="0"/>
            </w:tcBorders>
            <w:shd w:val="clear" w:color="auto" w:fill="auto"/>
            <w:vAlign w:val="center"/>
          </w:tcPr>
          <w:p w14:paraId="645EC3C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2944</w:t>
            </w:r>
          </w:p>
        </w:tc>
        <w:tc>
          <w:tcPr>
            <w:tcW w:w="654" w:type="pct"/>
            <w:tcBorders>
              <w:top w:val="single" w:color="auto" w:sz="4" w:space="0"/>
              <w:left w:val="nil"/>
              <w:bottom w:val="single" w:color="auto" w:sz="4" w:space="0"/>
              <w:right w:val="single" w:color="auto" w:sz="4" w:space="0"/>
            </w:tcBorders>
            <w:shd w:val="clear" w:color="auto" w:fill="auto"/>
            <w:vAlign w:val="center"/>
          </w:tcPr>
          <w:p w14:paraId="43953C7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575</w:t>
            </w:r>
          </w:p>
        </w:tc>
        <w:tc>
          <w:tcPr>
            <w:tcW w:w="354" w:type="pct"/>
            <w:tcBorders>
              <w:top w:val="single" w:color="auto" w:sz="4" w:space="0"/>
              <w:left w:val="nil"/>
              <w:bottom w:val="single" w:color="auto" w:sz="4" w:space="0"/>
              <w:right w:val="single" w:color="auto" w:sz="4" w:space="0"/>
            </w:tcBorders>
            <w:shd w:val="clear" w:color="auto" w:fill="auto"/>
            <w:vAlign w:val="center"/>
          </w:tcPr>
          <w:p w14:paraId="7D1C7685">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6BCD4DDB">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50DF5BAE">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E8E122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13</w:t>
            </w:r>
          </w:p>
        </w:tc>
        <w:tc>
          <w:tcPr>
            <w:tcW w:w="751" w:type="pct"/>
            <w:tcBorders>
              <w:top w:val="single" w:color="auto" w:sz="4" w:space="0"/>
              <w:left w:val="nil"/>
              <w:bottom w:val="single" w:color="auto" w:sz="4" w:space="0"/>
              <w:right w:val="single" w:color="auto" w:sz="4" w:space="0"/>
            </w:tcBorders>
            <w:shd w:val="clear" w:color="auto" w:fill="auto"/>
            <w:vAlign w:val="center"/>
          </w:tcPr>
          <w:p w14:paraId="54B06DB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公园北路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30D555A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490</w:t>
            </w:r>
          </w:p>
        </w:tc>
        <w:tc>
          <w:tcPr>
            <w:tcW w:w="507" w:type="pct"/>
            <w:tcBorders>
              <w:top w:val="single" w:color="auto" w:sz="4" w:space="0"/>
              <w:left w:val="nil"/>
              <w:bottom w:val="single" w:color="auto" w:sz="4" w:space="0"/>
              <w:right w:val="single" w:color="auto" w:sz="4" w:space="0"/>
            </w:tcBorders>
            <w:shd w:val="clear" w:color="auto" w:fill="auto"/>
            <w:vAlign w:val="center"/>
          </w:tcPr>
          <w:p w14:paraId="12507B2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10045</w:t>
            </w:r>
          </w:p>
        </w:tc>
        <w:tc>
          <w:tcPr>
            <w:tcW w:w="621" w:type="pct"/>
            <w:tcBorders>
              <w:top w:val="single" w:color="auto" w:sz="4" w:space="0"/>
              <w:left w:val="nil"/>
              <w:bottom w:val="single" w:color="auto" w:sz="4" w:space="0"/>
              <w:right w:val="single" w:color="auto" w:sz="4" w:space="0"/>
            </w:tcBorders>
            <w:shd w:val="clear" w:color="auto" w:fill="auto"/>
            <w:vAlign w:val="center"/>
          </w:tcPr>
          <w:p w14:paraId="44E6468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5390</w:t>
            </w:r>
          </w:p>
        </w:tc>
        <w:tc>
          <w:tcPr>
            <w:tcW w:w="526" w:type="pct"/>
            <w:tcBorders>
              <w:top w:val="single" w:color="auto" w:sz="4" w:space="0"/>
              <w:left w:val="nil"/>
              <w:bottom w:val="single" w:color="auto" w:sz="4" w:space="0"/>
              <w:right w:val="single" w:color="auto" w:sz="4" w:space="0"/>
            </w:tcBorders>
            <w:shd w:val="clear" w:color="auto" w:fill="auto"/>
            <w:vAlign w:val="center"/>
          </w:tcPr>
          <w:p w14:paraId="25823B5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1BEDDF4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3430</w:t>
            </w:r>
          </w:p>
        </w:tc>
        <w:tc>
          <w:tcPr>
            <w:tcW w:w="654" w:type="pct"/>
            <w:tcBorders>
              <w:top w:val="single" w:color="auto" w:sz="4" w:space="0"/>
              <w:left w:val="nil"/>
              <w:bottom w:val="single" w:color="auto" w:sz="4" w:space="0"/>
              <w:right w:val="single" w:color="auto" w:sz="4" w:space="0"/>
            </w:tcBorders>
            <w:shd w:val="clear" w:color="auto" w:fill="auto"/>
            <w:vAlign w:val="center"/>
          </w:tcPr>
          <w:p w14:paraId="0346FDE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1225</w:t>
            </w:r>
          </w:p>
        </w:tc>
        <w:tc>
          <w:tcPr>
            <w:tcW w:w="354" w:type="pct"/>
            <w:tcBorders>
              <w:top w:val="single" w:color="auto" w:sz="4" w:space="0"/>
              <w:left w:val="nil"/>
              <w:bottom w:val="single" w:color="auto" w:sz="4" w:space="0"/>
              <w:right w:val="single" w:color="auto" w:sz="4" w:space="0"/>
            </w:tcBorders>
            <w:shd w:val="clear" w:color="auto" w:fill="auto"/>
            <w:vAlign w:val="center"/>
          </w:tcPr>
          <w:p w14:paraId="0418A81E">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52FA68EE">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6A40119F">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6F5D5B9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w:t>
            </w:r>
          </w:p>
        </w:tc>
        <w:tc>
          <w:tcPr>
            <w:tcW w:w="751" w:type="pct"/>
            <w:tcBorders>
              <w:top w:val="single" w:color="auto" w:sz="4" w:space="0"/>
              <w:left w:val="nil"/>
              <w:bottom w:val="single" w:color="auto" w:sz="4" w:space="0"/>
              <w:right w:val="single" w:color="auto" w:sz="4" w:space="0"/>
            </w:tcBorders>
            <w:shd w:val="clear" w:color="auto" w:fill="auto"/>
            <w:vAlign w:val="center"/>
          </w:tcPr>
          <w:p w14:paraId="131B276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公园路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2DDF6ED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250</w:t>
            </w:r>
          </w:p>
        </w:tc>
        <w:tc>
          <w:tcPr>
            <w:tcW w:w="507" w:type="pct"/>
            <w:tcBorders>
              <w:top w:val="single" w:color="auto" w:sz="4" w:space="0"/>
              <w:left w:val="nil"/>
              <w:bottom w:val="single" w:color="auto" w:sz="4" w:space="0"/>
              <w:right w:val="single" w:color="auto" w:sz="4" w:space="0"/>
            </w:tcBorders>
            <w:shd w:val="clear" w:color="auto" w:fill="auto"/>
            <w:vAlign w:val="center"/>
          </w:tcPr>
          <w:p w14:paraId="58A52F1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6250</w:t>
            </w:r>
          </w:p>
        </w:tc>
        <w:tc>
          <w:tcPr>
            <w:tcW w:w="621" w:type="pct"/>
            <w:tcBorders>
              <w:top w:val="single" w:color="auto" w:sz="4" w:space="0"/>
              <w:left w:val="nil"/>
              <w:bottom w:val="single" w:color="auto" w:sz="4" w:space="0"/>
              <w:right w:val="single" w:color="auto" w:sz="4" w:space="0"/>
            </w:tcBorders>
            <w:shd w:val="clear" w:color="auto" w:fill="auto"/>
            <w:vAlign w:val="center"/>
          </w:tcPr>
          <w:p w14:paraId="411C6A5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4500</w:t>
            </w:r>
          </w:p>
        </w:tc>
        <w:tc>
          <w:tcPr>
            <w:tcW w:w="526" w:type="pct"/>
            <w:tcBorders>
              <w:top w:val="single" w:color="auto" w:sz="4" w:space="0"/>
              <w:left w:val="nil"/>
              <w:bottom w:val="single" w:color="auto" w:sz="4" w:space="0"/>
              <w:right w:val="single" w:color="auto" w:sz="4" w:space="0"/>
            </w:tcBorders>
            <w:shd w:val="clear" w:color="auto" w:fill="auto"/>
            <w:vAlign w:val="center"/>
          </w:tcPr>
          <w:p w14:paraId="13EEF6A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37F6A3C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1750</w:t>
            </w:r>
          </w:p>
        </w:tc>
        <w:tc>
          <w:tcPr>
            <w:tcW w:w="654" w:type="pct"/>
            <w:tcBorders>
              <w:top w:val="single" w:color="auto" w:sz="4" w:space="0"/>
              <w:left w:val="nil"/>
              <w:bottom w:val="single" w:color="auto" w:sz="4" w:space="0"/>
              <w:right w:val="single" w:color="auto" w:sz="4" w:space="0"/>
            </w:tcBorders>
            <w:shd w:val="clear" w:color="auto" w:fill="auto"/>
            <w:vAlign w:val="center"/>
          </w:tcPr>
          <w:p w14:paraId="78C2D88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0</w:t>
            </w:r>
          </w:p>
        </w:tc>
        <w:tc>
          <w:tcPr>
            <w:tcW w:w="354" w:type="pct"/>
            <w:tcBorders>
              <w:top w:val="single" w:color="auto" w:sz="4" w:space="0"/>
              <w:left w:val="nil"/>
              <w:bottom w:val="single" w:color="auto" w:sz="4" w:space="0"/>
              <w:right w:val="single" w:color="auto" w:sz="4" w:space="0"/>
            </w:tcBorders>
            <w:shd w:val="clear" w:color="auto" w:fill="auto"/>
            <w:vAlign w:val="center"/>
          </w:tcPr>
          <w:p w14:paraId="55429944">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6C94BF4A">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1CD92154">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5FB2093">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15</w:t>
            </w:r>
          </w:p>
        </w:tc>
        <w:tc>
          <w:tcPr>
            <w:tcW w:w="751" w:type="pct"/>
            <w:tcBorders>
              <w:top w:val="single" w:color="auto" w:sz="4" w:space="0"/>
              <w:left w:val="nil"/>
              <w:bottom w:val="single" w:color="auto" w:sz="4" w:space="0"/>
              <w:right w:val="single" w:color="auto" w:sz="4" w:space="0"/>
            </w:tcBorders>
            <w:shd w:val="clear" w:color="auto" w:fill="auto"/>
            <w:vAlign w:val="center"/>
          </w:tcPr>
          <w:p w14:paraId="096EB4F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校园路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68B7440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490</w:t>
            </w:r>
          </w:p>
        </w:tc>
        <w:tc>
          <w:tcPr>
            <w:tcW w:w="507" w:type="pct"/>
            <w:tcBorders>
              <w:top w:val="single" w:color="auto" w:sz="4" w:space="0"/>
              <w:left w:val="nil"/>
              <w:bottom w:val="single" w:color="auto" w:sz="4" w:space="0"/>
              <w:right w:val="single" w:color="auto" w:sz="4" w:space="0"/>
            </w:tcBorders>
            <w:shd w:val="clear" w:color="auto" w:fill="auto"/>
            <w:vAlign w:val="center"/>
          </w:tcPr>
          <w:p w14:paraId="0DFB56C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8330</w:t>
            </w:r>
          </w:p>
        </w:tc>
        <w:tc>
          <w:tcPr>
            <w:tcW w:w="621" w:type="pct"/>
            <w:tcBorders>
              <w:top w:val="single" w:color="auto" w:sz="4" w:space="0"/>
              <w:left w:val="nil"/>
              <w:bottom w:val="single" w:color="auto" w:sz="4" w:space="0"/>
              <w:right w:val="single" w:color="auto" w:sz="4" w:space="0"/>
            </w:tcBorders>
            <w:shd w:val="clear" w:color="auto" w:fill="auto"/>
            <w:vAlign w:val="center"/>
          </w:tcPr>
          <w:p w14:paraId="515D084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5390</w:t>
            </w:r>
          </w:p>
        </w:tc>
        <w:tc>
          <w:tcPr>
            <w:tcW w:w="526" w:type="pct"/>
            <w:tcBorders>
              <w:top w:val="single" w:color="auto" w:sz="4" w:space="0"/>
              <w:left w:val="nil"/>
              <w:bottom w:val="single" w:color="auto" w:sz="4" w:space="0"/>
              <w:right w:val="single" w:color="auto" w:sz="4" w:space="0"/>
            </w:tcBorders>
            <w:shd w:val="clear" w:color="auto" w:fill="auto"/>
            <w:vAlign w:val="center"/>
          </w:tcPr>
          <w:p w14:paraId="44B5623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55C89A4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1715</w:t>
            </w:r>
          </w:p>
        </w:tc>
        <w:tc>
          <w:tcPr>
            <w:tcW w:w="654" w:type="pct"/>
            <w:tcBorders>
              <w:top w:val="single" w:color="auto" w:sz="4" w:space="0"/>
              <w:left w:val="nil"/>
              <w:bottom w:val="single" w:color="auto" w:sz="4" w:space="0"/>
              <w:right w:val="single" w:color="auto" w:sz="4" w:space="0"/>
            </w:tcBorders>
            <w:shd w:val="clear" w:color="auto" w:fill="auto"/>
            <w:vAlign w:val="center"/>
          </w:tcPr>
          <w:p w14:paraId="369D786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1225</w:t>
            </w:r>
          </w:p>
        </w:tc>
        <w:tc>
          <w:tcPr>
            <w:tcW w:w="354" w:type="pct"/>
            <w:tcBorders>
              <w:top w:val="single" w:color="auto" w:sz="4" w:space="0"/>
              <w:left w:val="nil"/>
              <w:bottom w:val="single" w:color="auto" w:sz="4" w:space="0"/>
              <w:right w:val="single" w:color="auto" w:sz="4" w:space="0"/>
            </w:tcBorders>
            <w:shd w:val="clear" w:color="auto" w:fill="auto"/>
            <w:vAlign w:val="center"/>
          </w:tcPr>
          <w:p w14:paraId="55AABF23">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77AB95C6">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69C4CA98">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37A61BA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w:t>
            </w:r>
          </w:p>
        </w:tc>
        <w:tc>
          <w:tcPr>
            <w:tcW w:w="751" w:type="pct"/>
            <w:tcBorders>
              <w:top w:val="single" w:color="auto" w:sz="4" w:space="0"/>
              <w:left w:val="nil"/>
              <w:bottom w:val="single" w:color="auto" w:sz="4" w:space="0"/>
              <w:right w:val="single" w:color="auto" w:sz="4" w:space="0"/>
            </w:tcBorders>
            <w:shd w:val="clear" w:color="auto" w:fill="auto"/>
            <w:vAlign w:val="center"/>
          </w:tcPr>
          <w:p w14:paraId="1A209B9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外环东路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32C09BE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2318</w:t>
            </w:r>
          </w:p>
        </w:tc>
        <w:tc>
          <w:tcPr>
            <w:tcW w:w="507" w:type="pct"/>
            <w:tcBorders>
              <w:top w:val="single" w:color="auto" w:sz="4" w:space="0"/>
              <w:left w:val="nil"/>
              <w:bottom w:val="single" w:color="auto" w:sz="4" w:space="0"/>
              <w:right w:val="single" w:color="auto" w:sz="4" w:space="0"/>
            </w:tcBorders>
            <w:shd w:val="clear" w:color="auto" w:fill="auto"/>
            <w:vAlign w:val="center"/>
          </w:tcPr>
          <w:p w14:paraId="3263F16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45828.2</w:t>
            </w:r>
          </w:p>
        </w:tc>
        <w:tc>
          <w:tcPr>
            <w:tcW w:w="621" w:type="pct"/>
            <w:tcBorders>
              <w:top w:val="single" w:color="auto" w:sz="4" w:space="0"/>
              <w:left w:val="nil"/>
              <w:bottom w:val="single" w:color="auto" w:sz="4" w:space="0"/>
              <w:right w:val="single" w:color="auto" w:sz="4" w:space="0"/>
            </w:tcBorders>
            <w:shd w:val="clear" w:color="auto" w:fill="auto"/>
            <w:vAlign w:val="center"/>
          </w:tcPr>
          <w:p w14:paraId="477332C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25498</w:t>
            </w:r>
          </w:p>
        </w:tc>
        <w:tc>
          <w:tcPr>
            <w:tcW w:w="526" w:type="pct"/>
            <w:tcBorders>
              <w:top w:val="single" w:color="auto" w:sz="4" w:space="0"/>
              <w:left w:val="nil"/>
              <w:bottom w:val="single" w:color="auto" w:sz="4" w:space="0"/>
              <w:right w:val="single" w:color="auto" w:sz="4" w:space="0"/>
            </w:tcBorders>
            <w:shd w:val="clear" w:color="auto" w:fill="auto"/>
            <w:vAlign w:val="center"/>
          </w:tcPr>
          <w:p w14:paraId="2A4F07C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022FDE1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14835.2</w:t>
            </w:r>
          </w:p>
        </w:tc>
        <w:tc>
          <w:tcPr>
            <w:tcW w:w="654" w:type="pct"/>
            <w:tcBorders>
              <w:top w:val="single" w:color="auto" w:sz="4" w:space="0"/>
              <w:left w:val="nil"/>
              <w:bottom w:val="single" w:color="auto" w:sz="4" w:space="0"/>
              <w:right w:val="single" w:color="auto" w:sz="4" w:space="0"/>
            </w:tcBorders>
            <w:shd w:val="clear" w:color="auto" w:fill="auto"/>
            <w:vAlign w:val="center"/>
          </w:tcPr>
          <w:p w14:paraId="0C25C92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5495</w:t>
            </w:r>
          </w:p>
        </w:tc>
        <w:tc>
          <w:tcPr>
            <w:tcW w:w="354" w:type="pct"/>
            <w:tcBorders>
              <w:top w:val="single" w:color="auto" w:sz="4" w:space="0"/>
              <w:left w:val="nil"/>
              <w:bottom w:val="single" w:color="auto" w:sz="4" w:space="0"/>
              <w:right w:val="single" w:color="auto" w:sz="4" w:space="0"/>
            </w:tcBorders>
            <w:shd w:val="clear" w:color="auto" w:fill="auto"/>
            <w:vAlign w:val="center"/>
          </w:tcPr>
          <w:p w14:paraId="72378D79">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23DB53A2">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571611EA">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FC1266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w:t>
            </w:r>
          </w:p>
        </w:tc>
        <w:tc>
          <w:tcPr>
            <w:tcW w:w="751" w:type="pct"/>
            <w:tcBorders>
              <w:top w:val="single" w:color="auto" w:sz="4" w:space="0"/>
              <w:left w:val="nil"/>
              <w:bottom w:val="single" w:color="auto" w:sz="4" w:space="0"/>
              <w:right w:val="single" w:color="auto" w:sz="4" w:space="0"/>
            </w:tcBorders>
            <w:shd w:val="clear" w:color="auto" w:fill="auto"/>
            <w:vAlign w:val="center"/>
          </w:tcPr>
          <w:p w14:paraId="12CA2EB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内环东路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1B32B123">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2475</w:t>
            </w:r>
          </w:p>
        </w:tc>
        <w:tc>
          <w:tcPr>
            <w:tcW w:w="507" w:type="pct"/>
            <w:tcBorders>
              <w:top w:val="single" w:color="auto" w:sz="4" w:space="0"/>
              <w:left w:val="nil"/>
              <w:bottom w:val="single" w:color="auto" w:sz="4" w:space="0"/>
              <w:right w:val="single" w:color="auto" w:sz="4" w:space="0"/>
            </w:tcBorders>
            <w:shd w:val="clear" w:color="auto" w:fill="auto"/>
            <w:vAlign w:val="center"/>
          </w:tcPr>
          <w:p w14:paraId="79AFF90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72305</w:t>
            </w:r>
          </w:p>
        </w:tc>
        <w:tc>
          <w:tcPr>
            <w:tcW w:w="621" w:type="pct"/>
            <w:tcBorders>
              <w:top w:val="single" w:color="auto" w:sz="4" w:space="0"/>
              <w:left w:val="nil"/>
              <w:bottom w:val="single" w:color="auto" w:sz="4" w:space="0"/>
              <w:right w:val="single" w:color="auto" w:sz="4" w:space="0"/>
            </w:tcBorders>
            <w:shd w:val="clear" w:color="auto" w:fill="auto"/>
            <w:vAlign w:val="center"/>
          </w:tcPr>
          <w:p w14:paraId="537A9C6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33005</w:t>
            </w:r>
          </w:p>
        </w:tc>
        <w:tc>
          <w:tcPr>
            <w:tcW w:w="526" w:type="pct"/>
            <w:tcBorders>
              <w:top w:val="single" w:color="auto" w:sz="4" w:space="0"/>
              <w:left w:val="nil"/>
              <w:bottom w:val="single" w:color="auto" w:sz="4" w:space="0"/>
              <w:right w:val="single" w:color="auto" w:sz="4" w:space="0"/>
            </w:tcBorders>
            <w:shd w:val="clear" w:color="auto" w:fill="auto"/>
            <w:vAlign w:val="center"/>
          </w:tcPr>
          <w:p w14:paraId="4DBAC86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13265</w:t>
            </w:r>
          </w:p>
        </w:tc>
        <w:tc>
          <w:tcPr>
            <w:tcW w:w="636" w:type="pct"/>
            <w:tcBorders>
              <w:top w:val="single" w:color="auto" w:sz="4" w:space="0"/>
              <w:left w:val="nil"/>
              <w:bottom w:val="single" w:color="auto" w:sz="4" w:space="0"/>
              <w:right w:val="single" w:color="auto" w:sz="4" w:space="0"/>
            </w:tcBorders>
            <w:shd w:val="clear" w:color="auto" w:fill="auto"/>
            <w:vAlign w:val="center"/>
          </w:tcPr>
          <w:p w14:paraId="242C16D9">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19597</w:t>
            </w:r>
          </w:p>
        </w:tc>
        <w:tc>
          <w:tcPr>
            <w:tcW w:w="654" w:type="pct"/>
            <w:tcBorders>
              <w:top w:val="single" w:color="auto" w:sz="4" w:space="0"/>
              <w:left w:val="nil"/>
              <w:bottom w:val="single" w:color="auto" w:sz="4" w:space="0"/>
              <w:right w:val="single" w:color="auto" w:sz="4" w:space="0"/>
            </w:tcBorders>
            <w:shd w:val="clear" w:color="auto" w:fill="auto"/>
            <w:vAlign w:val="center"/>
          </w:tcPr>
          <w:p w14:paraId="3E67411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6438</w:t>
            </w:r>
          </w:p>
        </w:tc>
        <w:tc>
          <w:tcPr>
            <w:tcW w:w="354" w:type="pct"/>
            <w:tcBorders>
              <w:top w:val="single" w:color="auto" w:sz="4" w:space="0"/>
              <w:left w:val="nil"/>
              <w:bottom w:val="single" w:color="auto" w:sz="4" w:space="0"/>
              <w:right w:val="single" w:color="auto" w:sz="4" w:space="0"/>
            </w:tcBorders>
            <w:shd w:val="clear" w:color="auto" w:fill="auto"/>
            <w:vAlign w:val="center"/>
          </w:tcPr>
          <w:p w14:paraId="616794C8">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2BE33ED1">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1B7B15C4">
        <w:tblPrEx>
          <w:tblCellMar>
            <w:top w:w="0" w:type="dxa"/>
            <w:left w:w="108" w:type="dxa"/>
            <w:bottom w:w="0" w:type="dxa"/>
            <w:right w:w="108" w:type="dxa"/>
          </w:tblCellMar>
        </w:tblPrEx>
        <w:trPr>
          <w:trHeight w:val="577"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F85304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18</w:t>
            </w:r>
          </w:p>
        </w:tc>
        <w:tc>
          <w:tcPr>
            <w:tcW w:w="751" w:type="pct"/>
            <w:tcBorders>
              <w:top w:val="single" w:color="auto" w:sz="4" w:space="0"/>
              <w:left w:val="nil"/>
              <w:bottom w:val="single" w:color="auto" w:sz="4" w:space="0"/>
              <w:right w:val="single" w:color="auto" w:sz="4" w:space="0"/>
            </w:tcBorders>
            <w:shd w:val="clear" w:color="auto" w:fill="auto"/>
            <w:vAlign w:val="center"/>
          </w:tcPr>
          <w:p w14:paraId="131E089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商业西路（商贸邮局物业）</w:t>
            </w:r>
          </w:p>
        </w:tc>
        <w:tc>
          <w:tcPr>
            <w:tcW w:w="341" w:type="pct"/>
            <w:tcBorders>
              <w:top w:val="single" w:color="auto" w:sz="4" w:space="0"/>
              <w:left w:val="nil"/>
              <w:bottom w:val="single" w:color="auto" w:sz="4" w:space="0"/>
              <w:right w:val="single" w:color="auto" w:sz="4" w:space="0"/>
            </w:tcBorders>
            <w:shd w:val="clear" w:color="auto" w:fill="auto"/>
            <w:vAlign w:val="center"/>
          </w:tcPr>
          <w:p w14:paraId="398355D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500</w:t>
            </w:r>
          </w:p>
        </w:tc>
        <w:tc>
          <w:tcPr>
            <w:tcW w:w="507" w:type="pct"/>
            <w:tcBorders>
              <w:top w:val="single" w:color="auto" w:sz="4" w:space="0"/>
              <w:left w:val="nil"/>
              <w:bottom w:val="single" w:color="auto" w:sz="4" w:space="0"/>
              <w:right w:val="single" w:color="auto" w:sz="4" w:space="0"/>
            </w:tcBorders>
            <w:shd w:val="clear" w:color="auto" w:fill="auto"/>
            <w:vAlign w:val="center"/>
          </w:tcPr>
          <w:p w14:paraId="1609AB0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11875</w:t>
            </w:r>
          </w:p>
        </w:tc>
        <w:tc>
          <w:tcPr>
            <w:tcW w:w="621" w:type="pct"/>
            <w:tcBorders>
              <w:top w:val="single" w:color="auto" w:sz="4" w:space="0"/>
              <w:left w:val="nil"/>
              <w:bottom w:val="single" w:color="auto" w:sz="4" w:space="0"/>
              <w:right w:val="single" w:color="auto" w:sz="4" w:space="0"/>
            </w:tcBorders>
            <w:shd w:val="clear" w:color="auto" w:fill="auto"/>
            <w:vAlign w:val="center"/>
          </w:tcPr>
          <w:p w14:paraId="55C7647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5500</w:t>
            </w:r>
          </w:p>
        </w:tc>
        <w:tc>
          <w:tcPr>
            <w:tcW w:w="526" w:type="pct"/>
            <w:tcBorders>
              <w:top w:val="single" w:color="auto" w:sz="4" w:space="0"/>
              <w:left w:val="nil"/>
              <w:bottom w:val="single" w:color="auto" w:sz="4" w:space="0"/>
              <w:right w:val="single" w:color="auto" w:sz="4" w:space="0"/>
            </w:tcBorders>
            <w:shd w:val="clear" w:color="auto" w:fill="auto"/>
            <w:vAlign w:val="center"/>
          </w:tcPr>
          <w:p w14:paraId="28419A9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2500</w:t>
            </w:r>
          </w:p>
        </w:tc>
        <w:tc>
          <w:tcPr>
            <w:tcW w:w="636" w:type="pct"/>
            <w:tcBorders>
              <w:top w:val="single" w:color="auto" w:sz="4" w:space="0"/>
              <w:left w:val="nil"/>
              <w:bottom w:val="single" w:color="auto" w:sz="4" w:space="0"/>
              <w:right w:val="single" w:color="auto" w:sz="4" w:space="0"/>
            </w:tcBorders>
            <w:shd w:val="clear" w:color="auto" w:fill="auto"/>
            <w:vAlign w:val="center"/>
          </w:tcPr>
          <w:p w14:paraId="23574FA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3500</w:t>
            </w:r>
          </w:p>
        </w:tc>
        <w:tc>
          <w:tcPr>
            <w:tcW w:w="654" w:type="pct"/>
            <w:tcBorders>
              <w:top w:val="single" w:color="auto" w:sz="4" w:space="0"/>
              <w:left w:val="nil"/>
              <w:bottom w:val="single" w:color="auto" w:sz="4" w:space="0"/>
              <w:right w:val="single" w:color="auto" w:sz="4" w:space="0"/>
            </w:tcBorders>
            <w:shd w:val="clear" w:color="auto" w:fill="auto"/>
            <w:vAlign w:val="center"/>
          </w:tcPr>
          <w:p w14:paraId="762783E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375</w:t>
            </w:r>
          </w:p>
        </w:tc>
        <w:tc>
          <w:tcPr>
            <w:tcW w:w="354" w:type="pct"/>
            <w:tcBorders>
              <w:top w:val="single" w:color="auto" w:sz="4" w:space="0"/>
              <w:left w:val="nil"/>
              <w:bottom w:val="single" w:color="auto" w:sz="4" w:space="0"/>
              <w:right w:val="single" w:color="auto" w:sz="4" w:space="0"/>
            </w:tcBorders>
            <w:shd w:val="clear" w:color="auto" w:fill="auto"/>
            <w:vAlign w:val="center"/>
          </w:tcPr>
          <w:p w14:paraId="22C02A1D">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2061DC35">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3788FEA3">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152676C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19</w:t>
            </w:r>
          </w:p>
        </w:tc>
        <w:tc>
          <w:tcPr>
            <w:tcW w:w="751" w:type="pct"/>
            <w:tcBorders>
              <w:top w:val="single" w:color="auto" w:sz="4" w:space="0"/>
              <w:left w:val="nil"/>
              <w:bottom w:val="single" w:color="auto" w:sz="4" w:space="0"/>
              <w:right w:val="single" w:color="auto" w:sz="4" w:space="0"/>
            </w:tcBorders>
            <w:shd w:val="clear" w:color="auto" w:fill="auto"/>
            <w:vAlign w:val="center"/>
          </w:tcPr>
          <w:p w14:paraId="2A10A49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内环西路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29E7CBE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2453</w:t>
            </w:r>
          </w:p>
        </w:tc>
        <w:tc>
          <w:tcPr>
            <w:tcW w:w="507" w:type="pct"/>
            <w:tcBorders>
              <w:top w:val="single" w:color="auto" w:sz="4" w:space="0"/>
              <w:left w:val="nil"/>
              <w:bottom w:val="single" w:color="auto" w:sz="4" w:space="0"/>
              <w:right w:val="single" w:color="auto" w:sz="4" w:space="0"/>
            </w:tcBorders>
            <w:shd w:val="clear" w:color="auto" w:fill="auto"/>
            <w:vAlign w:val="center"/>
          </w:tcPr>
          <w:p w14:paraId="2563FD7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57837</w:t>
            </w:r>
          </w:p>
        </w:tc>
        <w:tc>
          <w:tcPr>
            <w:tcW w:w="621" w:type="pct"/>
            <w:tcBorders>
              <w:top w:val="single" w:color="auto" w:sz="4" w:space="0"/>
              <w:left w:val="nil"/>
              <w:bottom w:val="single" w:color="auto" w:sz="4" w:space="0"/>
              <w:right w:val="single" w:color="auto" w:sz="4" w:space="0"/>
            </w:tcBorders>
            <w:shd w:val="clear" w:color="auto" w:fill="auto"/>
            <w:vAlign w:val="center"/>
          </w:tcPr>
          <w:p w14:paraId="4D0113D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26983</w:t>
            </w:r>
          </w:p>
        </w:tc>
        <w:tc>
          <w:tcPr>
            <w:tcW w:w="526" w:type="pct"/>
            <w:tcBorders>
              <w:top w:val="single" w:color="auto" w:sz="4" w:space="0"/>
              <w:left w:val="nil"/>
              <w:bottom w:val="single" w:color="auto" w:sz="4" w:space="0"/>
              <w:right w:val="single" w:color="auto" w:sz="4" w:space="0"/>
            </w:tcBorders>
            <w:shd w:val="clear" w:color="auto" w:fill="auto"/>
            <w:vAlign w:val="center"/>
          </w:tcPr>
          <w:p w14:paraId="63524FE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8550</w:t>
            </w:r>
          </w:p>
        </w:tc>
        <w:tc>
          <w:tcPr>
            <w:tcW w:w="636" w:type="pct"/>
            <w:tcBorders>
              <w:top w:val="single" w:color="auto" w:sz="4" w:space="0"/>
              <w:left w:val="nil"/>
              <w:bottom w:val="single" w:color="auto" w:sz="4" w:space="0"/>
              <w:right w:val="single" w:color="auto" w:sz="4" w:space="0"/>
            </w:tcBorders>
            <w:shd w:val="clear" w:color="auto" w:fill="auto"/>
            <w:vAlign w:val="center"/>
          </w:tcPr>
          <w:p w14:paraId="0A35BD9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17171</w:t>
            </w:r>
          </w:p>
        </w:tc>
        <w:tc>
          <w:tcPr>
            <w:tcW w:w="654" w:type="pct"/>
            <w:tcBorders>
              <w:top w:val="single" w:color="auto" w:sz="4" w:space="0"/>
              <w:left w:val="nil"/>
              <w:bottom w:val="single" w:color="auto" w:sz="4" w:space="0"/>
              <w:right w:val="single" w:color="auto" w:sz="4" w:space="0"/>
            </w:tcBorders>
            <w:shd w:val="clear" w:color="auto" w:fill="auto"/>
            <w:vAlign w:val="center"/>
          </w:tcPr>
          <w:p w14:paraId="0279939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5133</w:t>
            </w:r>
          </w:p>
        </w:tc>
        <w:tc>
          <w:tcPr>
            <w:tcW w:w="354" w:type="pct"/>
            <w:tcBorders>
              <w:top w:val="single" w:color="auto" w:sz="4" w:space="0"/>
              <w:left w:val="nil"/>
              <w:bottom w:val="single" w:color="auto" w:sz="4" w:space="0"/>
              <w:right w:val="single" w:color="auto" w:sz="4" w:space="0"/>
            </w:tcBorders>
            <w:shd w:val="clear" w:color="auto" w:fill="auto"/>
            <w:vAlign w:val="center"/>
          </w:tcPr>
          <w:p w14:paraId="7D349477">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74B6E040">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6FE1C41B">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211541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20</w:t>
            </w:r>
          </w:p>
        </w:tc>
        <w:tc>
          <w:tcPr>
            <w:tcW w:w="751" w:type="pct"/>
            <w:tcBorders>
              <w:top w:val="single" w:color="auto" w:sz="4" w:space="0"/>
              <w:left w:val="nil"/>
              <w:bottom w:val="single" w:color="auto" w:sz="4" w:space="0"/>
              <w:right w:val="single" w:color="auto" w:sz="4" w:space="0"/>
            </w:tcBorders>
            <w:shd w:val="clear" w:color="auto" w:fill="auto"/>
            <w:vAlign w:val="center"/>
          </w:tcPr>
          <w:p w14:paraId="053474D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外环西路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033BCA7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2318</w:t>
            </w:r>
          </w:p>
        </w:tc>
        <w:tc>
          <w:tcPr>
            <w:tcW w:w="507" w:type="pct"/>
            <w:tcBorders>
              <w:top w:val="single" w:color="auto" w:sz="4" w:space="0"/>
              <w:left w:val="nil"/>
              <w:bottom w:val="single" w:color="auto" w:sz="4" w:space="0"/>
              <w:right w:val="single" w:color="auto" w:sz="4" w:space="0"/>
            </w:tcBorders>
            <w:shd w:val="clear" w:color="auto" w:fill="auto"/>
            <w:vAlign w:val="center"/>
          </w:tcPr>
          <w:p w14:paraId="2BB9775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46519</w:t>
            </w:r>
          </w:p>
        </w:tc>
        <w:tc>
          <w:tcPr>
            <w:tcW w:w="621" w:type="pct"/>
            <w:tcBorders>
              <w:top w:val="single" w:color="auto" w:sz="4" w:space="0"/>
              <w:left w:val="nil"/>
              <w:bottom w:val="single" w:color="auto" w:sz="4" w:space="0"/>
              <w:right w:val="single" w:color="auto" w:sz="4" w:space="0"/>
            </w:tcBorders>
            <w:shd w:val="clear" w:color="auto" w:fill="auto"/>
            <w:vAlign w:val="center"/>
          </w:tcPr>
          <w:p w14:paraId="2B6C1C0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25498</w:t>
            </w:r>
          </w:p>
        </w:tc>
        <w:tc>
          <w:tcPr>
            <w:tcW w:w="526" w:type="pct"/>
            <w:tcBorders>
              <w:top w:val="single" w:color="auto" w:sz="4" w:space="0"/>
              <w:left w:val="nil"/>
              <w:bottom w:val="single" w:color="auto" w:sz="4" w:space="0"/>
              <w:right w:val="single" w:color="auto" w:sz="4" w:space="0"/>
            </w:tcBorders>
            <w:shd w:val="clear" w:color="auto" w:fill="auto"/>
            <w:vAlign w:val="center"/>
          </w:tcPr>
          <w:p w14:paraId="3687366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6AB9343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16226</w:t>
            </w:r>
          </w:p>
        </w:tc>
        <w:tc>
          <w:tcPr>
            <w:tcW w:w="654" w:type="pct"/>
            <w:tcBorders>
              <w:top w:val="single" w:color="auto" w:sz="4" w:space="0"/>
              <w:left w:val="nil"/>
              <w:bottom w:val="single" w:color="auto" w:sz="4" w:space="0"/>
              <w:right w:val="single" w:color="auto" w:sz="4" w:space="0"/>
            </w:tcBorders>
            <w:shd w:val="clear" w:color="auto" w:fill="auto"/>
            <w:vAlign w:val="center"/>
          </w:tcPr>
          <w:p w14:paraId="6A6576F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4795</w:t>
            </w:r>
          </w:p>
        </w:tc>
        <w:tc>
          <w:tcPr>
            <w:tcW w:w="354" w:type="pct"/>
            <w:tcBorders>
              <w:top w:val="single" w:color="auto" w:sz="4" w:space="0"/>
              <w:left w:val="nil"/>
              <w:bottom w:val="single" w:color="auto" w:sz="4" w:space="0"/>
              <w:right w:val="single" w:color="auto" w:sz="4" w:space="0"/>
            </w:tcBorders>
            <w:shd w:val="clear" w:color="auto" w:fill="auto"/>
            <w:vAlign w:val="center"/>
          </w:tcPr>
          <w:p w14:paraId="23C1FEBD">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3F0017FC">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2E6BC937">
        <w:tblPrEx>
          <w:tblCellMar>
            <w:top w:w="0" w:type="dxa"/>
            <w:left w:w="108" w:type="dxa"/>
            <w:bottom w:w="0" w:type="dxa"/>
            <w:right w:w="108" w:type="dxa"/>
          </w:tblCellMar>
        </w:tblPrEx>
        <w:trPr>
          <w:trHeight w:val="310"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23A244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21</w:t>
            </w:r>
          </w:p>
        </w:tc>
        <w:tc>
          <w:tcPr>
            <w:tcW w:w="751" w:type="pct"/>
            <w:tcBorders>
              <w:top w:val="single" w:color="auto" w:sz="4" w:space="0"/>
              <w:left w:val="nil"/>
              <w:bottom w:val="single" w:color="auto" w:sz="4" w:space="0"/>
              <w:right w:val="single" w:color="auto" w:sz="4" w:space="0"/>
            </w:tcBorders>
            <w:shd w:val="clear" w:color="auto" w:fill="auto"/>
            <w:vAlign w:val="center"/>
          </w:tcPr>
          <w:p w14:paraId="6222943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科技路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76C1DB4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540</w:t>
            </w:r>
          </w:p>
        </w:tc>
        <w:tc>
          <w:tcPr>
            <w:tcW w:w="507" w:type="pct"/>
            <w:tcBorders>
              <w:top w:val="single" w:color="auto" w:sz="4" w:space="0"/>
              <w:left w:val="nil"/>
              <w:bottom w:val="single" w:color="auto" w:sz="4" w:space="0"/>
              <w:right w:val="single" w:color="auto" w:sz="4" w:space="0"/>
            </w:tcBorders>
            <w:shd w:val="clear" w:color="auto" w:fill="auto"/>
            <w:vAlign w:val="center"/>
          </w:tcPr>
          <w:p w14:paraId="374F2F1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8155</w:t>
            </w:r>
          </w:p>
        </w:tc>
        <w:tc>
          <w:tcPr>
            <w:tcW w:w="621" w:type="pct"/>
            <w:tcBorders>
              <w:top w:val="single" w:color="auto" w:sz="4" w:space="0"/>
              <w:left w:val="nil"/>
              <w:bottom w:val="single" w:color="auto" w:sz="4" w:space="0"/>
              <w:right w:val="single" w:color="auto" w:sz="4" w:space="0"/>
            </w:tcBorders>
            <w:shd w:val="clear" w:color="auto" w:fill="auto"/>
            <w:vAlign w:val="center"/>
          </w:tcPr>
          <w:p w14:paraId="18DDF6E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4050</w:t>
            </w:r>
          </w:p>
        </w:tc>
        <w:tc>
          <w:tcPr>
            <w:tcW w:w="526" w:type="pct"/>
            <w:tcBorders>
              <w:top w:val="single" w:color="auto" w:sz="4" w:space="0"/>
              <w:left w:val="nil"/>
              <w:bottom w:val="single" w:color="auto" w:sz="4" w:space="0"/>
              <w:right w:val="single" w:color="auto" w:sz="4" w:space="0"/>
            </w:tcBorders>
            <w:shd w:val="clear" w:color="auto" w:fill="auto"/>
            <w:vAlign w:val="center"/>
          </w:tcPr>
          <w:p w14:paraId="5FC7DCC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623E4D7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3780</w:t>
            </w:r>
          </w:p>
        </w:tc>
        <w:tc>
          <w:tcPr>
            <w:tcW w:w="654" w:type="pct"/>
            <w:tcBorders>
              <w:top w:val="single" w:color="auto" w:sz="4" w:space="0"/>
              <w:left w:val="nil"/>
              <w:bottom w:val="single" w:color="auto" w:sz="4" w:space="0"/>
              <w:right w:val="single" w:color="auto" w:sz="4" w:space="0"/>
            </w:tcBorders>
            <w:shd w:val="clear" w:color="auto" w:fill="auto"/>
            <w:vAlign w:val="center"/>
          </w:tcPr>
          <w:p w14:paraId="02E5BA3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325</w:t>
            </w:r>
          </w:p>
        </w:tc>
        <w:tc>
          <w:tcPr>
            <w:tcW w:w="354" w:type="pct"/>
            <w:tcBorders>
              <w:top w:val="single" w:color="auto" w:sz="4" w:space="0"/>
              <w:left w:val="nil"/>
              <w:bottom w:val="single" w:color="auto" w:sz="4" w:space="0"/>
              <w:right w:val="single" w:color="auto" w:sz="4" w:space="0"/>
            </w:tcBorders>
            <w:shd w:val="clear" w:color="auto" w:fill="auto"/>
            <w:vAlign w:val="center"/>
          </w:tcPr>
          <w:p w14:paraId="063554E2">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72528726">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38253AA1">
        <w:tblPrEx>
          <w:tblCellMar>
            <w:top w:w="0" w:type="dxa"/>
            <w:left w:w="108" w:type="dxa"/>
            <w:bottom w:w="0" w:type="dxa"/>
            <w:right w:w="108" w:type="dxa"/>
          </w:tblCellMar>
        </w:tblPrEx>
        <w:trPr>
          <w:trHeight w:val="577"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5A7E351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22</w:t>
            </w:r>
          </w:p>
        </w:tc>
        <w:tc>
          <w:tcPr>
            <w:tcW w:w="751" w:type="pct"/>
            <w:tcBorders>
              <w:top w:val="single" w:color="auto" w:sz="4" w:space="0"/>
              <w:left w:val="nil"/>
              <w:bottom w:val="single" w:color="auto" w:sz="4" w:space="0"/>
              <w:right w:val="single" w:color="auto" w:sz="4" w:space="0"/>
            </w:tcBorders>
            <w:shd w:val="clear" w:color="auto" w:fill="auto"/>
            <w:vAlign w:val="center"/>
          </w:tcPr>
          <w:p w14:paraId="142BA3C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外环西一路 （练车场西侧）</w:t>
            </w:r>
          </w:p>
        </w:tc>
        <w:tc>
          <w:tcPr>
            <w:tcW w:w="341" w:type="pct"/>
            <w:tcBorders>
              <w:top w:val="single" w:color="auto" w:sz="4" w:space="0"/>
              <w:left w:val="nil"/>
              <w:bottom w:val="single" w:color="auto" w:sz="4" w:space="0"/>
              <w:right w:val="single" w:color="auto" w:sz="4" w:space="0"/>
            </w:tcBorders>
            <w:shd w:val="clear" w:color="auto" w:fill="auto"/>
            <w:vAlign w:val="center"/>
          </w:tcPr>
          <w:p w14:paraId="45B3D48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718</w:t>
            </w:r>
          </w:p>
        </w:tc>
        <w:tc>
          <w:tcPr>
            <w:tcW w:w="507" w:type="pct"/>
            <w:tcBorders>
              <w:top w:val="single" w:color="auto" w:sz="4" w:space="0"/>
              <w:left w:val="nil"/>
              <w:bottom w:val="single" w:color="auto" w:sz="4" w:space="0"/>
              <w:right w:val="single" w:color="auto" w:sz="4" w:space="0"/>
            </w:tcBorders>
            <w:shd w:val="clear" w:color="auto" w:fill="auto"/>
            <w:vAlign w:val="center"/>
          </w:tcPr>
          <w:p w14:paraId="76264F97">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28939</w:t>
            </w:r>
          </w:p>
        </w:tc>
        <w:tc>
          <w:tcPr>
            <w:tcW w:w="621" w:type="pct"/>
            <w:tcBorders>
              <w:top w:val="single" w:color="auto" w:sz="4" w:space="0"/>
              <w:left w:val="nil"/>
              <w:bottom w:val="single" w:color="auto" w:sz="4" w:space="0"/>
              <w:right w:val="single" w:color="auto" w:sz="4" w:space="0"/>
            </w:tcBorders>
            <w:shd w:val="clear" w:color="auto" w:fill="auto"/>
            <w:vAlign w:val="center"/>
          </w:tcPr>
          <w:p w14:paraId="6ADBA60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25498</w:t>
            </w:r>
          </w:p>
        </w:tc>
        <w:tc>
          <w:tcPr>
            <w:tcW w:w="526" w:type="pct"/>
            <w:tcBorders>
              <w:top w:val="single" w:color="auto" w:sz="4" w:space="0"/>
              <w:left w:val="nil"/>
              <w:bottom w:val="single" w:color="auto" w:sz="4" w:space="0"/>
              <w:right w:val="single" w:color="auto" w:sz="4" w:space="0"/>
            </w:tcBorders>
            <w:shd w:val="clear" w:color="auto" w:fill="auto"/>
            <w:vAlign w:val="center"/>
          </w:tcPr>
          <w:p w14:paraId="13C0FC2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09CE195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2656</w:t>
            </w:r>
          </w:p>
        </w:tc>
        <w:tc>
          <w:tcPr>
            <w:tcW w:w="654" w:type="pct"/>
            <w:tcBorders>
              <w:top w:val="single" w:color="auto" w:sz="4" w:space="0"/>
              <w:left w:val="nil"/>
              <w:bottom w:val="single" w:color="auto" w:sz="4" w:space="0"/>
              <w:right w:val="single" w:color="auto" w:sz="4" w:space="0"/>
            </w:tcBorders>
            <w:shd w:val="clear" w:color="auto" w:fill="auto"/>
            <w:vAlign w:val="center"/>
          </w:tcPr>
          <w:p w14:paraId="0CDDCAB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785</w:t>
            </w:r>
          </w:p>
        </w:tc>
        <w:tc>
          <w:tcPr>
            <w:tcW w:w="354" w:type="pct"/>
            <w:tcBorders>
              <w:top w:val="single" w:color="auto" w:sz="4" w:space="0"/>
              <w:left w:val="nil"/>
              <w:bottom w:val="single" w:color="auto" w:sz="4" w:space="0"/>
              <w:right w:val="single" w:color="auto" w:sz="4" w:space="0"/>
            </w:tcBorders>
            <w:shd w:val="clear" w:color="auto" w:fill="auto"/>
            <w:vAlign w:val="center"/>
          </w:tcPr>
          <w:p w14:paraId="6B9E2B83">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二类</w:t>
            </w:r>
          </w:p>
        </w:tc>
        <w:tc>
          <w:tcPr>
            <w:tcW w:w="382" w:type="pct"/>
            <w:tcBorders>
              <w:top w:val="single" w:color="auto" w:sz="4" w:space="0"/>
              <w:left w:val="nil"/>
              <w:bottom w:val="single" w:color="auto" w:sz="4" w:space="0"/>
              <w:right w:val="single" w:color="auto" w:sz="4" w:space="0"/>
            </w:tcBorders>
            <w:shd w:val="clear" w:color="auto" w:fill="auto"/>
            <w:vAlign w:val="center"/>
          </w:tcPr>
          <w:p w14:paraId="36538473">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34A23FCC">
        <w:tblPrEx>
          <w:tblCellMar>
            <w:top w:w="0" w:type="dxa"/>
            <w:left w:w="108" w:type="dxa"/>
            <w:bottom w:w="0" w:type="dxa"/>
            <w:right w:w="108" w:type="dxa"/>
          </w:tblCellMar>
        </w:tblPrEx>
        <w:trPr>
          <w:trHeight w:val="577"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B50183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23</w:t>
            </w:r>
          </w:p>
        </w:tc>
        <w:tc>
          <w:tcPr>
            <w:tcW w:w="751" w:type="pct"/>
            <w:tcBorders>
              <w:top w:val="single" w:color="auto" w:sz="4" w:space="0"/>
              <w:left w:val="nil"/>
              <w:bottom w:val="single" w:color="auto" w:sz="4" w:space="0"/>
              <w:right w:val="single" w:color="auto" w:sz="4" w:space="0"/>
            </w:tcBorders>
            <w:shd w:val="clear" w:color="auto" w:fill="auto"/>
            <w:vAlign w:val="center"/>
          </w:tcPr>
          <w:p w14:paraId="2E9EAE2F">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工业区水电处门前路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7264C73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2940</w:t>
            </w:r>
          </w:p>
        </w:tc>
        <w:tc>
          <w:tcPr>
            <w:tcW w:w="507" w:type="pct"/>
            <w:tcBorders>
              <w:top w:val="single" w:color="auto" w:sz="4" w:space="0"/>
              <w:left w:val="nil"/>
              <w:bottom w:val="single" w:color="auto" w:sz="4" w:space="0"/>
              <w:right w:val="single" w:color="auto" w:sz="4" w:space="0"/>
            </w:tcBorders>
            <w:shd w:val="clear" w:color="auto" w:fill="auto"/>
            <w:vAlign w:val="center"/>
          </w:tcPr>
          <w:p w14:paraId="2E1B949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23765</w:t>
            </w:r>
          </w:p>
        </w:tc>
        <w:tc>
          <w:tcPr>
            <w:tcW w:w="621" w:type="pct"/>
            <w:tcBorders>
              <w:top w:val="single" w:color="auto" w:sz="4" w:space="0"/>
              <w:left w:val="nil"/>
              <w:bottom w:val="single" w:color="auto" w:sz="4" w:space="0"/>
              <w:right w:val="single" w:color="auto" w:sz="4" w:space="0"/>
            </w:tcBorders>
            <w:shd w:val="clear" w:color="auto" w:fill="auto"/>
            <w:vAlign w:val="center"/>
          </w:tcPr>
          <w:p w14:paraId="7D2D234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14850</w:t>
            </w:r>
          </w:p>
        </w:tc>
        <w:tc>
          <w:tcPr>
            <w:tcW w:w="526" w:type="pct"/>
            <w:tcBorders>
              <w:top w:val="single" w:color="auto" w:sz="4" w:space="0"/>
              <w:left w:val="nil"/>
              <w:bottom w:val="single" w:color="auto" w:sz="4" w:space="0"/>
              <w:right w:val="single" w:color="auto" w:sz="4" w:space="0"/>
            </w:tcBorders>
            <w:shd w:val="clear" w:color="auto" w:fill="auto"/>
            <w:vAlign w:val="center"/>
          </w:tcPr>
          <w:p w14:paraId="1E3DBBF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42FF8C32">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8640</w:t>
            </w:r>
          </w:p>
        </w:tc>
        <w:tc>
          <w:tcPr>
            <w:tcW w:w="654" w:type="pct"/>
            <w:tcBorders>
              <w:top w:val="single" w:color="auto" w:sz="4" w:space="0"/>
              <w:left w:val="nil"/>
              <w:bottom w:val="single" w:color="auto" w:sz="4" w:space="0"/>
              <w:right w:val="single" w:color="auto" w:sz="4" w:space="0"/>
            </w:tcBorders>
            <w:shd w:val="clear" w:color="auto" w:fill="auto"/>
            <w:vAlign w:val="center"/>
          </w:tcPr>
          <w:p w14:paraId="34907E9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275</w:t>
            </w:r>
          </w:p>
        </w:tc>
        <w:tc>
          <w:tcPr>
            <w:tcW w:w="354" w:type="pct"/>
            <w:tcBorders>
              <w:top w:val="single" w:color="auto" w:sz="4" w:space="0"/>
              <w:left w:val="nil"/>
              <w:bottom w:val="single" w:color="auto" w:sz="4" w:space="0"/>
              <w:right w:val="single" w:color="auto" w:sz="4" w:space="0"/>
            </w:tcBorders>
            <w:shd w:val="clear" w:color="auto" w:fill="auto"/>
            <w:vAlign w:val="center"/>
          </w:tcPr>
          <w:p w14:paraId="2086E625">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53879297">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27E82DFE">
        <w:tblPrEx>
          <w:tblCellMar>
            <w:top w:w="0" w:type="dxa"/>
            <w:left w:w="108" w:type="dxa"/>
            <w:bottom w:w="0" w:type="dxa"/>
            <w:right w:w="108" w:type="dxa"/>
          </w:tblCellMar>
        </w:tblPrEx>
        <w:trPr>
          <w:trHeight w:val="577"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701DABAA">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24</w:t>
            </w:r>
          </w:p>
        </w:tc>
        <w:tc>
          <w:tcPr>
            <w:tcW w:w="751" w:type="pct"/>
            <w:tcBorders>
              <w:top w:val="single" w:color="auto" w:sz="4" w:space="0"/>
              <w:left w:val="nil"/>
              <w:bottom w:val="single" w:color="auto" w:sz="4" w:space="0"/>
              <w:right w:val="single" w:color="auto" w:sz="4" w:space="0"/>
            </w:tcBorders>
            <w:shd w:val="clear" w:color="auto" w:fill="auto"/>
            <w:vAlign w:val="center"/>
          </w:tcPr>
          <w:p w14:paraId="3720E4BE">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工业区维修中心门前路</w:t>
            </w:r>
          </w:p>
        </w:tc>
        <w:tc>
          <w:tcPr>
            <w:tcW w:w="341" w:type="pct"/>
            <w:tcBorders>
              <w:top w:val="single" w:color="auto" w:sz="4" w:space="0"/>
              <w:left w:val="nil"/>
              <w:bottom w:val="single" w:color="auto" w:sz="4" w:space="0"/>
              <w:right w:val="single" w:color="auto" w:sz="4" w:space="0"/>
            </w:tcBorders>
            <w:shd w:val="clear" w:color="auto" w:fill="auto"/>
            <w:vAlign w:val="center"/>
          </w:tcPr>
          <w:p w14:paraId="2119964B">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600</w:t>
            </w:r>
          </w:p>
        </w:tc>
        <w:tc>
          <w:tcPr>
            <w:tcW w:w="507" w:type="pct"/>
            <w:tcBorders>
              <w:top w:val="single" w:color="auto" w:sz="4" w:space="0"/>
              <w:left w:val="nil"/>
              <w:bottom w:val="single" w:color="auto" w:sz="4" w:space="0"/>
              <w:right w:val="single" w:color="auto" w:sz="4" w:space="0"/>
            </w:tcBorders>
            <w:shd w:val="clear" w:color="auto" w:fill="auto"/>
            <w:vAlign w:val="center"/>
          </w:tcPr>
          <w:p w14:paraId="4F07354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23765</w:t>
            </w:r>
          </w:p>
        </w:tc>
        <w:tc>
          <w:tcPr>
            <w:tcW w:w="621" w:type="pct"/>
            <w:tcBorders>
              <w:top w:val="single" w:color="auto" w:sz="4" w:space="0"/>
              <w:left w:val="nil"/>
              <w:bottom w:val="single" w:color="auto" w:sz="4" w:space="0"/>
              <w:right w:val="single" w:color="auto" w:sz="4" w:space="0"/>
            </w:tcBorders>
            <w:shd w:val="clear" w:color="auto" w:fill="auto"/>
            <w:vAlign w:val="center"/>
          </w:tcPr>
          <w:p w14:paraId="22A8BBD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14850</w:t>
            </w:r>
          </w:p>
        </w:tc>
        <w:tc>
          <w:tcPr>
            <w:tcW w:w="526" w:type="pct"/>
            <w:tcBorders>
              <w:top w:val="single" w:color="auto" w:sz="4" w:space="0"/>
              <w:left w:val="nil"/>
              <w:bottom w:val="single" w:color="auto" w:sz="4" w:space="0"/>
              <w:right w:val="single" w:color="auto" w:sz="4" w:space="0"/>
            </w:tcBorders>
            <w:shd w:val="clear" w:color="auto" w:fill="auto"/>
            <w:vAlign w:val="center"/>
          </w:tcPr>
          <w:p w14:paraId="4CB08730">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36" w:type="pct"/>
            <w:tcBorders>
              <w:top w:val="single" w:color="auto" w:sz="4" w:space="0"/>
              <w:left w:val="nil"/>
              <w:bottom w:val="single" w:color="auto" w:sz="4" w:space="0"/>
              <w:right w:val="single" w:color="auto" w:sz="4" w:space="0"/>
            </w:tcBorders>
            <w:shd w:val="clear" w:color="auto" w:fill="auto"/>
            <w:vAlign w:val="center"/>
          </w:tcPr>
          <w:p w14:paraId="5158F0B1">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8640</w:t>
            </w:r>
          </w:p>
        </w:tc>
        <w:tc>
          <w:tcPr>
            <w:tcW w:w="654" w:type="pct"/>
            <w:tcBorders>
              <w:top w:val="single" w:color="auto" w:sz="4" w:space="0"/>
              <w:left w:val="nil"/>
              <w:bottom w:val="single" w:color="auto" w:sz="4" w:space="0"/>
              <w:right w:val="single" w:color="auto" w:sz="4" w:space="0"/>
            </w:tcBorders>
            <w:shd w:val="clear" w:color="auto" w:fill="auto"/>
            <w:vAlign w:val="center"/>
          </w:tcPr>
          <w:p w14:paraId="6DB1D254">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275</w:t>
            </w:r>
          </w:p>
        </w:tc>
        <w:tc>
          <w:tcPr>
            <w:tcW w:w="354" w:type="pct"/>
            <w:tcBorders>
              <w:top w:val="single" w:color="auto" w:sz="4" w:space="0"/>
              <w:left w:val="nil"/>
              <w:bottom w:val="single" w:color="auto" w:sz="4" w:space="0"/>
              <w:right w:val="single" w:color="auto" w:sz="4" w:space="0"/>
            </w:tcBorders>
            <w:shd w:val="clear" w:color="auto" w:fill="auto"/>
            <w:vAlign w:val="center"/>
          </w:tcPr>
          <w:p w14:paraId="0CD80A82">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c>
          <w:tcPr>
            <w:tcW w:w="382" w:type="pct"/>
            <w:tcBorders>
              <w:top w:val="single" w:color="auto" w:sz="4" w:space="0"/>
              <w:left w:val="nil"/>
              <w:bottom w:val="single" w:color="auto" w:sz="4" w:space="0"/>
              <w:right w:val="single" w:color="auto" w:sz="4" w:space="0"/>
            </w:tcBorders>
            <w:shd w:val="clear" w:color="auto" w:fill="auto"/>
            <w:vAlign w:val="center"/>
          </w:tcPr>
          <w:p w14:paraId="5B8241D5">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二级</w:t>
            </w:r>
          </w:p>
        </w:tc>
      </w:tr>
      <w:tr w14:paraId="77CCB369">
        <w:tblPrEx>
          <w:tblCellMar>
            <w:top w:w="0" w:type="dxa"/>
            <w:left w:w="108" w:type="dxa"/>
            <w:bottom w:w="0" w:type="dxa"/>
            <w:right w:w="108" w:type="dxa"/>
          </w:tblCellMar>
        </w:tblPrEx>
        <w:trPr>
          <w:trHeight w:val="352" w:hRule="atLeast"/>
        </w:trPr>
        <w:tc>
          <w:tcPr>
            <w:tcW w:w="223" w:type="pct"/>
            <w:tcBorders>
              <w:top w:val="single" w:color="auto" w:sz="4" w:space="0"/>
              <w:left w:val="single" w:color="auto" w:sz="4" w:space="0"/>
              <w:bottom w:val="single" w:color="auto" w:sz="4" w:space="0"/>
              <w:right w:val="single" w:color="auto" w:sz="4" w:space="0"/>
            </w:tcBorders>
            <w:shd w:val="clear" w:color="auto" w:fill="auto"/>
            <w:vAlign w:val="center"/>
          </w:tcPr>
          <w:p w14:paraId="073D11D6">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751" w:type="pct"/>
            <w:tcBorders>
              <w:top w:val="single" w:color="auto" w:sz="4" w:space="0"/>
              <w:left w:val="nil"/>
              <w:bottom w:val="single" w:color="auto" w:sz="4" w:space="0"/>
              <w:right w:val="single" w:color="auto" w:sz="4" w:space="0"/>
            </w:tcBorders>
            <w:shd w:val="clear" w:color="auto" w:fill="auto"/>
            <w:vAlign w:val="center"/>
          </w:tcPr>
          <w:p w14:paraId="3B8A7151">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合计</w:t>
            </w:r>
          </w:p>
        </w:tc>
        <w:tc>
          <w:tcPr>
            <w:tcW w:w="341" w:type="pct"/>
            <w:tcBorders>
              <w:top w:val="single" w:color="auto" w:sz="4" w:space="0"/>
              <w:left w:val="nil"/>
              <w:bottom w:val="single" w:color="auto" w:sz="4" w:space="0"/>
              <w:right w:val="single" w:color="auto" w:sz="4" w:space="0"/>
            </w:tcBorders>
            <w:shd w:val="clear" w:color="auto" w:fill="auto"/>
            <w:vAlign w:val="center"/>
          </w:tcPr>
          <w:p w14:paraId="10AC4ABC">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31842</w:t>
            </w:r>
          </w:p>
        </w:tc>
        <w:tc>
          <w:tcPr>
            <w:tcW w:w="507" w:type="pct"/>
            <w:tcBorders>
              <w:top w:val="single" w:color="auto" w:sz="4" w:space="0"/>
              <w:left w:val="nil"/>
              <w:bottom w:val="single" w:color="auto" w:sz="4" w:space="0"/>
              <w:right w:val="single" w:color="auto" w:sz="4" w:space="0"/>
            </w:tcBorders>
            <w:shd w:val="clear" w:color="auto" w:fill="auto"/>
            <w:vAlign w:val="center"/>
          </w:tcPr>
          <w:p w14:paraId="1B3907FD">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621" w:type="pct"/>
            <w:tcBorders>
              <w:top w:val="single" w:color="auto" w:sz="4" w:space="0"/>
              <w:left w:val="nil"/>
              <w:bottom w:val="single" w:color="auto" w:sz="4" w:space="0"/>
              <w:right w:val="single" w:color="auto" w:sz="4" w:space="0"/>
            </w:tcBorders>
            <w:shd w:val="clear" w:color="auto" w:fill="auto"/>
            <w:vAlign w:val="center"/>
          </w:tcPr>
          <w:p w14:paraId="53DF07A9">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385597</w:t>
            </w:r>
          </w:p>
        </w:tc>
        <w:tc>
          <w:tcPr>
            <w:tcW w:w="526" w:type="pct"/>
            <w:tcBorders>
              <w:top w:val="single" w:color="auto" w:sz="4" w:space="0"/>
              <w:left w:val="nil"/>
              <w:bottom w:val="single" w:color="auto" w:sz="4" w:space="0"/>
              <w:right w:val="single" w:color="auto" w:sz="4" w:space="0"/>
            </w:tcBorders>
            <w:shd w:val="clear" w:color="auto" w:fill="auto"/>
            <w:vAlign w:val="center"/>
          </w:tcPr>
          <w:p w14:paraId="7FB9C7FC">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65125</w:t>
            </w:r>
          </w:p>
        </w:tc>
        <w:tc>
          <w:tcPr>
            <w:tcW w:w="636" w:type="pct"/>
            <w:tcBorders>
              <w:top w:val="single" w:color="auto" w:sz="4" w:space="0"/>
              <w:left w:val="nil"/>
              <w:bottom w:val="single" w:color="auto" w:sz="4" w:space="0"/>
              <w:right w:val="single" w:color="auto" w:sz="4" w:space="0"/>
            </w:tcBorders>
            <w:shd w:val="clear" w:color="auto" w:fill="auto"/>
            <w:vAlign w:val="center"/>
          </w:tcPr>
          <w:p w14:paraId="75B9DBD4">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200839.2</w:t>
            </w:r>
          </w:p>
        </w:tc>
        <w:tc>
          <w:tcPr>
            <w:tcW w:w="654" w:type="pct"/>
            <w:tcBorders>
              <w:top w:val="single" w:color="auto" w:sz="4" w:space="0"/>
              <w:left w:val="nil"/>
              <w:bottom w:val="single" w:color="auto" w:sz="4" w:space="0"/>
              <w:right w:val="single" w:color="auto" w:sz="4" w:space="0"/>
            </w:tcBorders>
            <w:shd w:val="clear" w:color="auto" w:fill="auto"/>
            <w:vAlign w:val="center"/>
          </w:tcPr>
          <w:p w14:paraId="740F7298">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53040</w:t>
            </w:r>
          </w:p>
        </w:tc>
        <w:tc>
          <w:tcPr>
            <w:tcW w:w="354" w:type="pct"/>
            <w:tcBorders>
              <w:top w:val="single" w:color="auto" w:sz="4" w:space="0"/>
              <w:left w:val="nil"/>
              <w:bottom w:val="single" w:color="auto" w:sz="4" w:space="0"/>
              <w:right w:val="single" w:color="auto" w:sz="4" w:space="0"/>
            </w:tcBorders>
            <w:shd w:val="clear" w:color="auto" w:fill="auto"/>
            <w:vAlign w:val="center"/>
          </w:tcPr>
          <w:p w14:paraId="3D419641">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p>
        </w:tc>
        <w:tc>
          <w:tcPr>
            <w:tcW w:w="382" w:type="pct"/>
            <w:tcBorders>
              <w:top w:val="single" w:color="auto" w:sz="4" w:space="0"/>
              <w:left w:val="nil"/>
              <w:bottom w:val="single" w:color="auto" w:sz="4" w:space="0"/>
              <w:right w:val="single" w:color="auto" w:sz="4" w:space="0"/>
            </w:tcBorders>
            <w:shd w:val="clear" w:color="auto" w:fill="auto"/>
            <w:vAlign w:val="center"/>
          </w:tcPr>
          <w:p w14:paraId="099C6DBC">
            <w:pPr>
              <w:kinsoku/>
              <w:autoSpaceDE/>
              <w:autoSpaceDN/>
              <w:adjustRightInd/>
              <w:snapToGrid/>
              <w:spacing w:line="240" w:lineRule="auto"/>
              <w:ind w:left="0" w:leftChars="0" w:firstLine="0" w:firstLineChars="0"/>
              <w:jc w:val="center"/>
              <w:textAlignment w:val="auto"/>
              <w:rPr>
                <w:rFonts w:hint="eastAsia" w:ascii="Times New Roman" w:hAnsi="Times New Roman" w:cs="Times New Roman"/>
                <w:snapToGrid/>
                <w:color w:val="auto"/>
                <w:sz w:val="20"/>
                <w:szCs w:val="20"/>
                <w:highlight w:val="none"/>
                <w:lang w:val="en-US" w:eastAsia="zh-CN"/>
              </w:rPr>
            </w:pPr>
          </w:p>
        </w:tc>
      </w:tr>
    </w:tbl>
    <w:p w14:paraId="244937E9">
      <w:pPr>
        <w:pStyle w:val="4"/>
        <w:spacing w:after="0"/>
        <w:ind w:left="0" w:leftChars="0" w:firstLine="0" w:firstLineChars="0"/>
        <w:rPr>
          <w:rFonts w:hint="eastAsia" w:ascii="宋体" w:hAnsi="宋体" w:eastAsia="宋体" w:cstheme="minorBidi"/>
          <w:b/>
          <w:bCs/>
          <w:snapToGrid/>
          <w:color w:val="auto"/>
          <w:sz w:val="21"/>
          <w:szCs w:val="21"/>
          <w:highlight w:val="none"/>
          <w:lang w:val="en-US" w:eastAsia="zh-CN" w:bidi="ar-SA"/>
        </w:rPr>
      </w:pPr>
      <w:bookmarkStart w:id="523" w:name="_Toc18550"/>
      <w:r>
        <w:rPr>
          <w:rFonts w:hint="eastAsia" w:cstheme="minorBidi"/>
          <w:b/>
          <w:bCs/>
          <w:snapToGrid/>
          <w:color w:val="auto"/>
          <w:sz w:val="21"/>
          <w:szCs w:val="21"/>
          <w:highlight w:val="none"/>
          <w:lang w:val="en-US" w:eastAsia="zh-CN" w:bidi="ar-SA"/>
        </w:rPr>
        <w:t>表2-2 厕所明细</w:t>
      </w:r>
      <w:bookmarkEnd w:id="523"/>
    </w:p>
    <w:tbl>
      <w:tblPr>
        <w:tblStyle w:val="31"/>
        <w:tblpPr w:leftFromText="180" w:rightFromText="180" w:vertAnchor="text" w:horzAnchor="page" w:tblpX="1430" w:tblpY="628"/>
        <w:tblOverlap w:val="never"/>
        <w:tblW w:w="4994" w:type="pct"/>
        <w:tblInd w:w="0" w:type="dxa"/>
        <w:tblLayout w:type="autofit"/>
        <w:tblCellMar>
          <w:top w:w="0" w:type="dxa"/>
          <w:left w:w="108" w:type="dxa"/>
          <w:bottom w:w="0" w:type="dxa"/>
          <w:right w:w="108" w:type="dxa"/>
        </w:tblCellMar>
      </w:tblPr>
      <w:tblGrid>
        <w:gridCol w:w="2017"/>
        <w:gridCol w:w="3750"/>
        <w:gridCol w:w="2224"/>
        <w:gridCol w:w="2018"/>
        <w:gridCol w:w="2151"/>
        <w:gridCol w:w="2346"/>
      </w:tblGrid>
      <w:tr w14:paraId="4A5E0033">
        <w:tblPrEx>
          <w:tblCellMar>
            <w:top w:w="0" w:type="dxa"/>
            <w:left w:w="108" w:type="dxa"/>
            <w:bottom w:w="0" w:type="dxa"/>
            <w:right w:w="108" w:type="dxa"/>
          </w:tblCellMar>
        </w:tblPrEx>
        <w:trPr>
          <w:trHeight w:val="486" w:hRule="atLeast"/>
          <w:tblHeader/>
        </w:trPr>
        <w:tc>
          <w:tcPr>
            <w:tcW w:w="695" w:type="pct"/>
            <w:tcBorders>
              <w:top w:val="single" w:color="auto" w:sz="4" w:space="0"/>
              <w:left w:val="single" w:color="auto" w:sz="4" w:space="0"/>
              <w:bottom w:val="single" w:color="auto" w:sz="4" w:space="0"/>
              <w:right w:val="single" w:color="auto" w:sz="4" w:space="0"/>
            </w:tcBorders>
            <w:shd w:val="clear" w:color="auto" w:fill="63B86C"/>
            <w:vAlign w:val="center"/>
          </w:tcPr>
          <w:p w14:paraId="505A93ED">
            <w:pPr>
              <w:kinsoku/>
              <w:autoSpaceDE/>
              <w:autoSpaceDN/>
              <w:adjustRightInd/>
              <w:snapToGrid/>
              <w:spacing w:line="240" w:lineRule="auto"/>
              <w:ind w:firstLine="0" w:firstLineChars="0"/>
              <w:jc w:val="center"/>
              <w:textAlignment w:val="auto"/>
              <w:rPr>
                <w:rFonts w:eastAsia="宋体" w:cs="Times New Roman"/>
                <w:b/>
                <w:bCs/>
                <w:snapToGrid/>
                <w:color w:val="auto"/>
                <w:sz w:val="20"/>
                <w:szCs w:val="20"/>
                <w:highlight w:val="none"/>
                <w:lang w:eastAsia="zh-CN"/>
              </w:rPr>
            </w:pPr>
            <w:r>
              <w:rPr>
                <w:rFonts w:hint="eastAsia" w:eastAsia="宋体" w:cs="Times New Roman"/>
                <w:b/>
                <w:bCs/>
                <w:snapToGrid/>
                <w:color w:val="auto"/>
                <w:sz w:val="20"/>
                <w:szCs w:val="20"/>
                <w:highlight w:val="none"/>
                <w:lang w:val="en-US" w:eastAsia="zh-CN"/>
              </w:rPr>
              <w:t>序号</w:t>
            </w:r>
          </w:p>
        </w:tc>
        <w:tc>
          <w:tcPr>
            <w:tcW w:w="1292" w:type="pct"/>
            <w:tcBorders>
              <w:top w:val="single" w:color="auto" w:sz="4" w:space="0"/>
              <w:left w:val="nil"/>
              <w:bottom w:val="single" w:color="auto" w:sz="4" w:space="0"/>
              <w:right w:val="single" w:color="auto" w:sz="4" w:space="0"/>
            </w:tcBorders>
            <w:shd w:val="clear" w:color="auto" w:fill="63B86C"/>
            <w:vAlign w:val="center"/>
          </w:tcPr>
          <w:p w14:paraId="2646422F">
            <w:pPr>
              <w:kinsoku/>
              <w:autoSpaceDE/>
              <w:autoSpaceDN/>
              <w:adjustRightInd/>
              <w:snapToGrid/>
              <w:spacing w:line="240" w:lineRule="auto"/>
              <w:ind w:firstLine="0" w:firstLineChars="0"/>
              <w:jc w:val="center"/>
              <w:textAlignment w:val="auto"/>
              <w:rPr>
                <w:rFonts w:eastAsia="宋体" w:cs="Times New Roman"/>
                <w:b/>
                <w:bCs/>
                <w:snapToGrid/>
                <w:color w:val="auto"/>
                <w:sz w:val="20"/>
                <w:szCs w:val="20"/>
                <w:highlight w:val="none"/>
                <w:lang w:eastAsia="zh-CN"/>
              </w:rPr>
            </w:pPr>
            <w:r>
              <w:rPr>
                <w:rFonts w:eastAsia="宋体" w:cs="Times New Roman"/>
                <w:b/>
                <w:bCs/>
                <w:snapToGrid/>
                <w:color w:val="auto"/>
                <w:sz w:val="20"/>
                <w:szCs w:val="20"/>
                <w:highlight w:val="none"/>
                <w:lang w:eastAsia="zh-CN"/>
              </w:rPr>
              <w:t>公共厕所名称</w:t>
            </w:r>
          </w:p>
        </w:tc>
        <w:tc>
          <w:tcPr>
            <w:tcW w:w="766" w:type="pct"/>
            <w:tcBorders>
              <w:top w:val="single" w:color="auto" w:sz="4" w:space="0"/>
              <w:left w:val="nil"/>
              <w:bottom w:val="single" w:color="auto" w:sz="4" w:space="0"/>
              <w:right w:val="single" w:color="auto" w:sz="4" w:space="0"/>
            </w:tcBorders>
            <w:shd w:val="clear" w:color="auto" w:fill="63B86C"/>
            <w:vAlign w:val="center"/>
          </w:tcPr>
          <w:p w14:paraId="35621ED2">
            <w:pPr>
              <w:kinsoku/>
              <w:autoSpaceDE/>
              <w:autoSpaceDN/>
              <w:adjustRightInd/>
              <w:snapToGrid/>
              <w:spacing w:line="240" w:lineRule="auto"/>
              <w:ind w:firstLine="0" w:firstLineChars="0"/>
              <w:jc w:val="center"/>
              <w:textAlignment w:val="auto"/>
              <w:rPr>
                <w:rFonts w:hint="default" w:eastAsia="宋体" w:cs="Times New Roman"/>
                <w:b/>
                <w:bCs/>
                <w:snapToGrid/>
                <w:color w:val="auto"/>
                <w:sz w:val="20"/>
                <w:szCs w:val="20"/>
                <w:highlight w:val="none"/>
                <w:lang w:val="en-US" w:eastAsia="zh-CN"/>
              </w:rPr>
            </w:pPr>
            <w:r>
              <w:rPr>
                <w:rFonts w:hint="eastAsia" w:eastAsia="宋体" w:cs="Times New Roman"/>
                <w:b/>
                <w:bCs/>
                <w:snapToGrid/>
                <w:color w:val="auto"/>
                <w:sz w:val="20"/>
                <w:szCs w:val="20"/>
                <w:highlight w:val="none"/>
                <w:lang w:val="en-US" w:eastAsia="zh-CN"/>
              </w:rPr>
              <w:t>数量</w:t>
            </w:r>
          </w:p>
        </w:tc>
        <w:tc>
          <w:tcPr>
            <w:tcW w:w="695" w:type="pct"/>
            <w:tcBorders>
              <w:top w:val="single" w:color="auto" w:sz="4" w:space="0"/>
              <w:left w:val="nil"/>
              <w:bottom w:val="single" w:color="auto" w:sz="4" w:space="0"/>
              <w:right w:val="single" w:color="auto" w:sz="4" w:space="0"/>
            </w:tcBorders>
            <w:shd w:val="clear" w:color="auto" w:fill="63B86C"/>
            <w:vAlign w:val="center"/>
          </w:tcPr>
          <w:p w14:paraId="5039C979">
            <w:pPr>
              <w:kinsoku/>
              <w:autoSpaceDE/>
              <w:autoSpaceDN/>
              <w:adjustRightInd/>
              <w:snapToGrid/>
              <w:spacing w:line="240" w:lineRule="auto"/>
              <w:ind w:firstLine="0" w:firstLineChars="0"/>
              <w:jc w:val="center"/>
              <w:textAlignment w:val="auto"/>
              <w:rPr>
                <w:rFonts w:hint="default" w:eastAsia="宋体" w:cs="Times New Roman"/>
                <w:b/>
                <w:bCs/>
                <w:snapToGrid/>
                <w:color w:val="auto"/>
                <w:sz w:val="20"/>
                <w:szCs w:val="20"/>
                <w:highlight w:val="none"/>
                <w:lang w:val="en-US" w:eastAsia="zh-CN"/>
              </w:rPr>
            </w:pPr>
            <w:r>
              <w:rPr>
                <w:rFonts w:hint="eastAsia" w:eastAsia="宋体" w:cs="Times New Roman"/>
                <w:b/>
                <w:bCs/>
                <w:snapToGrid/>
                <w:color w:val="auto"/>
                <w:sz w:val="20"/>
                <w:szCs w:val="20"/>
                <w:highlight w:val="none"/>
                <w:lang w:val="en-US" w:eastAsia="zh-CN"/>
              </w:rPr>
              <w:t>类型</w:t>
            </w:r>
          </w:p>
        </w:tc>
        <w:tc>
          <w:tcPr>
            <w:tcW w:w="741" w:type="pct"/>
            <w:tcBorders>
              <w:top w:val="single" w:color="auto" w:sz="4" w:space="0"/>
              <w:left w:val="nil"/>
              <w:bottom w:val="single" w:color="auto" w:sz="4" w:space="0"/>
              <w:right w:val="single" w:color="auto" w:sz="4" w:space="0"/>
            </w:tcBorders>
            <w:shd w:val="clear" w:color="auto" w:fill="63B86C"/>
            <w:vAlign w:val="center"/>
          </w:tcPr>
          <w:p w14:paraId="719F9883">
            <w:pPr>
              <w:kinsoku/>
              <w:autoSpaceDE/>
              <w:autoSpaceDN/>
              <w:adjustRightInd/>
              <w:snapToGrid/>
              <w:spacing w:line="240" w:lineRule="auto"/>
              <w:ind w:firstLine="0" w:firstLineChars="0"/>
              <w:jc w:val="center"/>
              <w:textAlignment w:val="auto"/>
              <w:rPr>
                <w:rFonts w:hint="default" w:eastAsia="宋体" w:cs="Times New Roman"/>
                <w:b/>
                <w:bCs/>
                <w:snapToGrid/>
                <w:color w:val="auto"/>
                <w:sz w:val="20"/>
                <w:szCs w:val="20"/>
                <w:highlight w:val="none"/>
                <w:lang w:val="en-US" w:eastAsia="zh-CN"/>
              </w:rPr>
            </w:pPr>
            <w:r>
              <w:rPr>
                <w:rFonts w:hint="eastAsia" w:eastAsia="宋体" w:cs="Times New Roman"/>
                <w:b/>
                <w:bCs/>
                <w:snapToGrid/>
                <w:color w:val="auto"/>
                <w:sz w:val="20"/>
                <w:szCs w:val="20"/>
                <w:highlight w:val="none"/>
                <w:lang w:val="en-US" w:eastAsia="zh-CN"/>
              </w:rPr>
              <w:t>取暖方式</w:t>
            </w:r>
          </w:p>
        </w:tc>
        <w:tc>
          <w:tcPr>
            <w:tcW w:w="808" w:type="pct"/>
            <w:tcBorders>
              <w:top w:val="single" w:color="auto" w:sz="4" w:space="0"/>
              <w:left w:val="nil"/>
              <w:bottom w:val="single" w:color="auto" w:sz="4" w:space="0"/>
              <w:right w:val="single" w:color="auto" w:sz="4" w:space="0"/>
            </w:tcBorders>
            <w:shd w:val="clear" w:color="auto" w:fill="63B86C"/>
            <w:vAlign w:val="center"/>
          </w:tcPr>
          <w:p w14:paraId="740DC495">
            <w:pPr>
              <w:kinsoku/>
              <w:autoSpaceDE/>
              <w:autoSpaceDN/>
              <w:adjustRightInd/>
              <w:snapToGrid/>
              <w:spacing w:line="240" w:lineRule="auto"/>
              <w:ind w:firstLine="0" w:firstLineChars="0"/>
              <w:jc w:val="center"/>
              <w:textAlignment w:val="auto"/>
              <w:rPr>
                <w:rFonts w:hint="eastAsia" w:eastAsia="宋体" w:cs="Times New Roman"/>
                <w:b/>
                <w:bCs/>
                <w:snapToGrid/>
                <w:color w:val="auto"/>
                <w:sz w:val="20"/>
                <w:szCs w:val="20"/>
                <w:highlight w:val="none"/>
                <w:lang w:eastAsia="zh-CN"/>
              </w:rPr>
            </w:pPr>
            <w:r>
              <w:rPr>
                <w:rFonts w:hint="eastAsia" w:eastAsia="宋体" w:cs="Times New Roman"/>
                <w:b/>
                <w:bCs/>
                <w:snapToGrid/>
                <w:color w:val="auto"/>
                <w:sz w:val="20"/>
                <w:szCs w:val="20"/>
                <w:highlight w:val="none"/>
                <w:lang w:eastAsia="zh-CN"/>
              </w:rPr>
              <w:t>是否</w:t>
            </w:r>
          </w:p>
          <w:p w14:paraId="192FE7E9">
            <w:pPr>
              <w:kinsoku/>
              <w:autoSpaceDE/>
              <w:autoSpaceDN/>
              <w:adjustRightInd/>
              <w:snapToGrid/>
              <w:spacing w:line="240" w:lineRule="auto"/>
              <w:ind w:firstLine="0" w:firstLineChars="0"/>
              <w:jc w:val="center"/>
              <w:textAlignment w:val="auto"/>
              <w:rPr>
                <w:rFonts w:eastAsia="宋体" w:cs="Times New Roman"/>
                <w:b/>
                <w:bCs/>
                <w:snapToGrid/>
                <w:color w:val="auto"/>
                <w:sz w:val="20"/>
                <w:szCs w:val="20"/>
                <w:highlight w:val="none"/>
                <w:lang w:eastAsia="zh-CN"/>
              </w:rPr>
            </w:pPr>
            <w:r>
              <w:rPr>
                <w:rFonts w:hint="eastAsia" w:eastAsia="宋体" w:cs="Times New Roman"/>
                <w:b/>
                <w:bCs/>
                <w:snapToGrid/>
                <w:color w:val="auto"/>
                <w:sz w:val="20"/>
                <w:szCs w:val="20"/>
                <w:highlight w:val="none"/>
                <w:lang w:eastAsia="zh-CN"/>
              </w:rPr>
              <w:t>有化粪池</w:t>
            </w:r>
          </w:p>
        </w:tc>
      </w:tr>
      <w:tr w14:paraId="5FE6F206">
        <w:tblPrEx>
          <w:tblCellMar>
            <w:top w:w="0" w:type="dxa"/>
            <w:left w:w="108" w:type="dxa"/>
            <w:bottom w:w="0" w:type="dxa"/>
            <w:right w:w="108" w:type="dxa"/>
          </w:tblCellMar>
        </w:tblPrEx>
        <w:trPr>
          <w:trHeight w:val="588" w:hRule="atLeast"/>
        </w:trPr>
        <w:tc>
          <w:tcPr>
            <w:tcW w:w="6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11CE9CB">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w:t>
            </w:r>
          </w:p>
        </w:tc>
        <w:tc>
          <w:tcPr>
            <w:tcW w:w="129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3CAF9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石油基地厕所</w:t>
            </w:r>
          </w:p>
        </w:tc>
        <w:tc>
          <w:tcPr>
            <w:tcW w:w="766"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4865E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5</w:t>
            </w:r>
          </w:p>
        </w:tc>
        <w:tc>
          <w:tcPr>
            <w:tcW w:w="695"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E6E157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水冲式</w:t>
            </w:r>
          </w:p>
        </w:tc>
        <w:tc>
          <w:tcPr>
            <w:tcW w:w="74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0D8B98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集中供热</w:t>
            </w:r>
          </w:p>
        </w:tc>
        <w:tc>
          <w:tcPr>
            <w:tcW w:w="80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1B969FD">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否</w:t>
            </w:r>
          </w:p>
        </w:tc>
      </w:tr>
    </w:tbl>
    <w:p w14:paraId="62502B26">
      <w:pPr>
        <w:pStyle w:val="4"/>
        <w:ind w:left="142" w:leftChars="0" w:firstLine="561" w:firstLineChars="0"/>
        <w:rPr>
          <w:rFonts w:cs="Times New Roman"/>
          <w:color w:val="auto"/>
          <w:highlight w:val="none"/>
          <w:lang w:eastAsia="zh-CN"/>
        </w:rPr>
        <w:sectPr>
          <w:pgSz w:w="16841" w:h="11907" w:orient="landscape"/>
          <w:pgMar w:top="1769" w:right="1236" w:bottom="1763" w:left="1298" w:header="879" w:footer="850" w:gutter="0"/>
          <w:pgNumType w:fmt="decimal"/>
          <w:cols w:space="720" w:num="1"/>
          <w:docGrid w:linePitch="381" w:charSpace="0"/>
        </w:sectPr>
      </w:pPr>
    </w:p>
    <w:p w14:paraId="670E0C37">
      <w:pPr>
        <w:pStyle w:val="4"/>
        <w:spacing w:before="157" w:beforeLines="50" w:after="157" w:afterLines="50" w:line="240" w:lineRule="auto"/>
        <w:ind w:left="0" w:leftChars="0" w:firstLine="0" w:firstLineChars="0"/>
        <w:rPr>
          <w:rFonts w:cs="Times New Roman"/>
          <w:color w:val="auto"/>
          <w:sz w:val="21"/>
          <w:szCs w:val="21"/>
          <w:highlight w:val="none"/>
          <w:lang w:eastAsia="zh-CN"/>
        </w:rPr>
      </w:pPr>
      <w:bookmarkStart w:id="524" w:name="_Toc24350"/>
      <w:r>
        <w:rPr>
          <w:rFonts w:hint="eastAsia" w:cs="Times New Roman"/>
          <w:color w:val="auto"/>
          <w:sz w:val="21"/>
          <w:szCs w:val="21"/>
          <w:highlight w:val="none"/>
          <w:lang w:val="en-US" w:eastAsia="zh-CN"/>
        </w:rPr>
        <w:t xml:space="preserve">表2-3 </w:t>
      </w:r>
      <w:r>
        <w:rPr>
          <w:rFonts w:hint="eastAsia" w:cs="Times New Roman"/>
          <w:color w:val="auto"/>
          <w:sz w:val="21"/>
          <w:szCs w:val="21"/>
          <w:highlight w:val="none"/>
          <w:lang w:eastAsia="zh-CN"/>
        </w:rPr>
        <w:t>园林绿化及公园管理</w:t>
      </w:r>
      <w:r>
        <w:rPr>
          <w:rFonts w:cs="Times New Roman"/>
          <w:color w:val="auto"/>
          <w:sz w:val="21"/>
          <w:szCs w:val="21"/>
          <w:highlight w:val="none"/>
          <w:lang w:eastAsia="zh-CN"/>
        </w:rPr>
        <w:t>面积</w:t>
      </w:r>
      <w:bookmarkEnd w:id="524"/>
    </w:p>
    <w:p w14:paraId="4382739D">
      <w:pPr>
        <w:pStyle w:val="5"/>
        <w:spacing w:before="157" w:beforeLines="50" w:after="157" w:afterLines="50" w:line="240" w:lineRule="auto"/>
        <w:ind w:left="0" w:right="280" w:firstLine="0" w:firstLineChars="0"/>
        <w:rPr>
          <w:rFonts w:hint="default"/>
          <w:color w:val="auto"/>
          <w:sz w:val="21"/>
          <w:szCs w:val="21"/>
          <w:highlight w:val="none"/>
          <w:lang w:val="en-US" w:eastAsia="zh-CN"/>
        </w:rPr>
      </w:pPr>
      <w:r>
        <w:rPr>
          <w:rFonts w:hint="eastAsia"/>
          <w:color w:val="auto"/>
          <w:sz w:val="21"/>
          <w:szCs w:val="21"/>
          <w:highlight w:val="none"/>
          <w:lang w:val="en-US" w:eastAsia="zh-CN"/>
        </w:rPr>
        <w:t>表2</w:t>
      </w:r>
      <w:r>
        <w:rPr>
          <w:rFonts w:hint="eastAsia"/>
          <w:color w:val="auto"/>
          <w:sz w:val="21"/>
          <w:szCs w:val="21"/>
          <w:highlight w:val="none"/>
          <w:lang w:eastAsia="zh-CN"/>
        </w:rPr>
        <w:t>-</w:t>
      </w:r>
      <w:r>
        <w:rPr>
          <w:rFonts w:hint="eastAsia"/>
          <w:color w:val="auto"/>
          <w:sz w:val="21"/>
          <w:szCs w:val="21"/>
          <w:highlight w:val="none"/>
          <w:lang w:val="en-US" w:eastAsia="zh-CN"/>
        </w:rPr>
        <w:t>3</w:t>
      </w:r>
      <w:r>
        <w:rPr>
          <w:rFonts w:hint="eastAsia"/>
          <w:color w:val="auto"/>
          <w:sz w:val="21"/>
          <w:szCs w:val="21"/>
          <w:highlight w:val="none"/>
          <w:lang w:eastAsia="zh-CN"/>
        </w:rPr>
        <w:t>-</w:t>
      </w:r>
      <w:r>
        <w:rPr>
          <w:rFonts w:hint="eastAsia"/>
          <w:color w:val="auto"/>
          <w:sz w:val="21"/>
          <w:szCs w:val="21"/>
          <w:highlight w:val="none"/>
          <w:lang w:val="en-US" w:eastAsia="zh-CN"/>
        </w:rPr>
        <w:t>1公园绿化面积</w:t>
      </w:r>
    </w:p>
    <w:tbl>
      <w:tblPr>
        <w:tblStyle w:val="31"/>
        <w:tblpPr w:leftFromText="180" w:rightFromText="180" w:vertAnchor="text" w:horzAnchor="page" w:tblpX="1896" w:tblpY="98"/>
        <w:tblOverlap w:val="never"/>
        <w:tblW w:w="84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420"/>
        <w:gridCol w:w="2764"/>
        <w:gridCol w:w="2651"/>
        <w:gridCol w:w="2626"/>
      </w:tblGrid>
      <w:tr w14:paraId="2CA535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0" w:hRule="atLeast"/>
        </w:trPr>
        <w:tc>
          <w:tcPr>
            <w:tcW w:w="420" w:type="dxa"/>
            <w:tcBorders>
              <w:top w:val="single" w:color="000000" w:sz="4" w:space="0"/>
              <w:left w:val="single" w:color="000000" w:sz="4" w:space="0"/>
              <w:bottom w:val="single" w:color="000000" w:sz="4" w:space="0"/>
              <w:right w:val="single" w:color="000000" w:sz="4" w:space="0"/>
            </w:tcBorders>
            <w:shd w:val="clear" w:color="auto" w:fill="63B86C"/>
            <w:vAlign w:val="center"/>
          </w:tcPr>
          <w:p w14:paraId="2109F378">
            <w:pPr>
              <w:kinsoku/>
              <w:autoSpaceDE/>
              <w:autoSpaceDN/>
              <w:adjustRightInd/>
              <w:snapToGrid/>
              <w:spacing w:line="240" w:lineRule="auto"/>
              <w:ind w:firstLine="0" w:firstLineChars="0"/>
              <w:jc w:val="center"/>
              <w:textAlignment w:val="auto"/>
              <w:rPr>
                <w:rFonts w:ascii="Times New Roman" w:hAnsi="Times New Roman" w:eastAsia="宋体" w:cs="Times New Roman"/>
                <w:b/>
                <w:bCs/>
                <w:snapToGrid/>
                <w:color w:val="auto"/>
                <w:sz w:val="20"/>
                <w:szCs w:val="20"/>
                <w:highlight w:val="none"/>
                <w:lang w:eastAsia="zh-CN"/>
              </w:rPr>
            </w:pPr>
            <w:r>
              <w:rPr>
                <w:rFonts w:ascii="Times New Roman" w:hAnsi="Times New Roman" w:eastAsia="宋体" w:cs="Times New Roman"/>
                <w:b/>
                <w:bCs/>
                <w:snapToGrid/>
                <w:color w:val="auto"/>
                <w:sz w:val="20"/>
                <w:szCs w:val="20"/>
                <w:highlight w:val="none"/>
                <w:lang w:val="en-US" w:eastAsia="zh-CN"/>
              </w:rPr>
              <w:t>序号</w:t>
            </w:r>
          </w:p>
        </w:tc>
        <w:tc>
          <w:tcPr>
            <w:tcW w:w="2764" w:type="dxa"/>
            <w:tcBorders>
              <w:top w:val="single" w:color="000000" w:sz="4" w:space="0"/>
              <w:left w:val="single" w:color="000000" w:sz="4" w:space="0"/>
              <w:bottom w:val="single" w:color="000000" w:sz="4" w:space="0"/>
              <w:right w:val="single" w:color="000000" w:sz="4" w:space="0"/>
            </w:tcBorders>
            <w:shd w:val="clear" w:color="auto" w:fill="63B86C"/>
            <w:vAlign w:val="center"/>
          </w:tcPr>
          <w:p w14:paraId="41D47A99">
            <w:pPr>
              <w:kinsoku/>
              <w:autoSpaceDE/>
              <w:autoSpaceDN/>
              <w:adjustRightInd/>
              <w:snapToGrid/>
              <w:spacing w:line="240" w:lineRule="auto"/>
              <w:ind w:firstLine="0" w:firstLineChars="0"/>
              <w:jc w:val="center"/>
              <w:textAlignment w:val="auto"/>
              <w:rPr>
                <w:rFonts w:ascii="Times New Roman" w:hAnsi="Times New Roman" w:eastAsia="宋体" w:cs="Times New Roman"/>
                <w:b/>
                <w:bCs/>
                <w:snapToGrid/>
                <w:color w:val="auto"/>
                <w:sz w:val="20"/>
                <w:szCs w:val="20"/>
                <w:highlight w:val="none"/>
                <w:lang w:eastAsia="zh-CN"/>
              </w:rPr>
            </w:pPr>
            <w:r>
              <w:rPr>
                <w:rFonts w:ascii="Times New Roman" w:hAnsi="Times New Roman" w:eastAsia="宋体" w:cs="Times New Roman"/>
                <w:b/>
                <w:bCs/>
                <w:snapToGrid/>
                <w:color w:val="auto"/>
                <w:sz w:val="20"/>
                <w:szCs w:val="20"/>
                <w:highlight w:val="none"/>
                <w:lang w:val="en-US" w:eastAsia="zh-CN"/>
              </w:rPr>
              <w:t>名称</w:t>
            </w:r>
          </w:p>
        </w:tc>
        <w:tc>
          <w:tcPr>
            <w:tcW w:w="2651" w:type="dxa"/>
            <w:tcBorders>
              <w:top w:val="single" w:color="000000" w:sz="4" w:space="0"/>
              <w:left w:val="single" w:color="000000" w:sz="4" w:space="0"/>
              <w:bottom w:val="single" w:color="000000" w:sz="4" w:space="0"/>
              <w:right w:val="single" w:color="000000" w:sz="4" w:space="0"/>
            </w:tcBorders>
            <w:shd w:val="clear" w:color="auto" w:fill="63B86C"/>
            <w:vAlign w:val="center"/>
          </w:tcPr>
          <w:p w14:paraId="08781010">
            <w:pPr>
              <w:kinsoku/>
              <w:autoSpaceDE/>
              <w:autoSpaceDN/>
              <w:adjustRightInd/>
              <w:snapToGrid/>
              <w:spacing w:line="240" w:lineRule="auto"/>
              <w:ind w:firstLine="0" w:firstLineChars="0"/>
              <w:jc w:val="center"/>
              <w:textAlignment w:val="auto"/>
              <w:rPr>
                <w:rFonts w:ascii="Times New Roman" w:hAnsi="Times New Roman" w:eastAsia="宋体" w:cs="Times New Roman"/>
                <w:b/>
                <w:bCs/>
                <w:snapToGrid/>
                <w:color w:val="auto"/>
                <w:sz w:val="20"/>
                <w:szCs w:val="20"/>
                <w:highlight w:val="none"/>
                <w:lang w:eastAsia="zh-CN"/>
              </w:rPr>
            </w:pPr>
            <w:r>
              <w:rPr>
                <w:rFonts w:ascii="Times New Roman" w:hAnsi="Times New Roman" w:eastAsia="宋体" w:cs="Times New Roman"/>
                <w:b/>
                <w:bCs/>
                <w:snapToGrid/>
                <w:color w:val="auto"/>
                <w:sz w:val="20"/>
                <w:szCs w:val="20"/>
                <w:highlight w:val="none"/>
                <w:lang w:val="en-US" w:eastAsia="zh-CN"/>
              </w:rPr>
              <w:t>面积 (</w:t>
            </w:r>
            <w:r>
              <w:rPr>
                <w:rFonts w:hint="eastAsia" w:ascii="Times New Roman" w:hAnsi="Times New Roman" w:eastAsia="宋体" w:cs="Times New Roman"/>
                <w:b/>
                <w:bCs/>
                <w:snapToGrid/>
                <w:color w:val="auto"/>
                <w:sz w:val="20"/>
                <w:szCs w:val="20"/>
                <w:highlight w:val="none"/>
                <w:lang w:val="en-US" w:eastAsia="zh-CN"/>
              </w:rPr>
              <w:t>㎡</w:t>
            </w:r>
            <w:r>
              <w:rPr>
                <w:rFonts w:ascii="Times New Roman" w:hAnsi="Times New Roman" w:eastAsia="宋体" w:cs="Times New Roman"/>
                <w:b/>
                <w:bCs/>
                <w:snapToGrid/>
                <w:color w:val="auto"/>
                <w:sz w:val="20"/>
                <w:szCs w:val="20"/>
                <w:highlight w:val="none"/>
                <w:lang w:val="en-US" w:eastAsia="zh-CN"/>
              </w:rPr>
              <w:t>)</w:t>
            </w:r>
          </w:p>
        </w:tc>
        <w:tc>
          <w:tcPr>
            <w:tcW w:w="2626" w:type="dxa"/>
            <w:tcBorders>
              <w:top w:val="single" w:color="000000" w:sz="4" w:space="0"/>
              <w:left w:val="single" w:color="000000" w:sz="4" w:space="0"/>
              <w:bottom w:val="single" w:color="000000" w:sz="4" w:space="0"/>
              <w:right w:val="single" w:color="000000" w:sz="4" w:space="0"/>
            </w:tcBorders>
            <w:shd w:val="clear" w:color="auto" w:fill="63B86C"/>
            <w:vAlign w:val="center"/>
          </w:tcPr>
          <w:p w14:paraId="7F6E198A">
            <w:pPr>
              <w:kinsoku/>
              <w:autoSpaceDE/>
              <w:autoSpaceDN/>
              <w:adjustRightInd/>
              <w:snapToGrid/>
              <w:spacing w:line="240" w:lineRule="auto"/>
              <w:ind w:firstLine="0" w:firstLineChars="0"/>
              <w:jc w:val="center"/>
              <w:textAlignment w:val="auto"/>
              <w:rPr>
                <w:rFonts w:ascii="Times New Roman" w:hAnsi="Times New Roman" w:eastAsia="宋体" w:cs="Times New Roman"/>
                <w:b/>
                <w:bCs/>
                <w:snapToGrid/>
                <w:color w:val="auto"/>
                <w:sz w:val="20"/>
                <w:szCs w:val="20"/>
                <w:highlight w:val="none"/>
                <w:lang w:val="en-US" w:eastAsia="zh-CN"/>
              </w:rPr>
            </w:pPr>
            <w:r>
              <w:rPr>
                <w:rFonts w:hint="eastAsia" w:eastAsia="宋体" w:cs="Times New Roman"/>
                <w:b/>
                <w:bCs/>
                <w:snapToGrid/>
                <w:color w:val="auto"/>
                <w:sz w:val="20"/>
                <w:szCs w:val="20"/>
                <w:highlight w:val="none"/>
                <w:lang w:val="en-US" w:eastAsia="zh-CN"/>
              </w:rPr>
              <w:t>养护等级</w:t>
            </w:r>
          </w:p>
        </w:tc>
      </w:tr>
      <w:tr w14:paraId="12EDBF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32933E">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90A2D">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石油公园</w:t>
            </w: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5CBBB">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220000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1A86">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一级</w:t>
            </w:r>
          </w:p>
        </w:tc>
      </w:tr>
      <w:tr w14:paraId="2ABE24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8701BE">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B6E09">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六区公园</w:t>
            </w: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A2EA4F">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73000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905D1">
            <w:pPr>
              <w:kinsoku/>
              <w:autoSpaceDE/>
              <w:autoSpaceDN/>
              <w:adjustRightInd/>
              <w:snapToGrid/>
              <w:spacing w:line="240" w:lineRule="auto"/>
              <w:ind w:left="0" w:leftChars="0"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一级</w:t>
            </w:r>
          </w:p>
        </w:tc>
      </w:tr>
      <w:tr w14:paraId="016354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9"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64F56">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3</w:t>
            </w: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12AF8">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带状公园</w:t>
            </w: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20AEC">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95400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5186EB">
            <w:pPr>
              <w:kinsoku/>
              <w:autoSpaceDE/>
              <w:autoSpaceDN/>
              <w:adjustRightInd/>
              <w:snapToGrid/>
              <w:spacing w:line="240" w:lineRule="auto"/>
              <w:ind w:left="0" w:leftChars="0"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一级</w:t>
            </w:r>
          </w:p>
        </w:tc>
      </w:tr>
      <w:tr w14:paraId="40196B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8" w:hRule="atLeast"/>
        </w:trPr>
        <w:tc>
          <w:tcPr>
            <w:tcW w:w="4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5C5BAA">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p>
        </w:tc>
        <w:tc>
          <w:tcPr>
            <w:tcW w:w="27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0961C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合计</w:t>
            </w:r>
          </w:p>
        </w:tc>
        <w:tc>
          <w:tcPr>
            <w:tcW w:w="265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ACB2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388400</w:t>
            </w:r>
          </w:p>
        </w:tc>
        <w:tc>
          <w:tcPr>
            <w:tcW w:w="262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57FD3E">
            <w:pPr>
              <w:kinsoku/>
              <w:autoSpaceDE/>
              <w:autoSpaceDN/>
              <w:adjustRightInd/>
              <w:snapToGrid/>
              <w:spacing w:line="240" w:lineRule="auto"/>
              <w:ind w:left="0" w:leftChars="0" w:firstLine="0" w:firstLineChars="0"/>
              <w:jc w:val="center"/>
              <w:textAlignment w:val="auto"/>
              <w:rPr>
                <w:rFonts w:hint="eastAsia" w:eastAsia="宋体" w:cs="Times New Roman"/>
                <w:snapToGrid/>
                <w:color w:val="auto"/>
                <w:sz w:val="20"/>
                <w:szCs w:val="20"/>
                <w:highlight w:val="none"/>
                <w:lang w:val="en-US" w:eastAsia="zh-CN"/>
              </w:rPr>
            </w:pPr>
          </w:p>
        </w:tc>
      </w:tr>
    </w:tbl>
    <w:p w14:paraId="6690CDFD">
      <w:pPr>
        <w:pStyle w:val="4"/>
        <w:spacing w:before="157" w:beforeLines="50" w:after="157" w:afterLines="50" w:line="240" w:lineRule="auto"/>
        <w:ind w:left="0" w:right="280" w:firstLine="0"/>
        <w:rPr>
          <w:rFonts w:hint="eastAsia" w:cs="Times New Roman"/>
          <w:color w:val="auto"/>
          <w:sz w:val="21"/>
          <w:szCs w:val="21"/>
          <w:highlight w:val="none"/>
          <w:lang w:val="en-US" w:eastAsia="zh-CN"/>
        </w:rPr>
      </w:pPr>
      <w:r>
        <w:rPr>
          <w:rFonts w:hint="eastAsia" w:cs="Times New Roman"/>
          <w:color w:val="auto"/>
          <w:sz w:val="21"/>
          <w:szCs w:val="21"/>
          <w:highlight w:val="none"/>
          <w:lang w:val="en-US" w:eastAsia="zh-CN"/>
        </w:rPr>
        <w:t>表</w:t>
      </w:r>
      <w:r>
        <w:rPr>
          <w:rFonts w:hint="eastAsia" w:cs="Times New Roman"/>
          <w:color w:val="auto"/>
          <w:sz w:val="21"/>
          <w:szCs w:val="21"/>
          <w:highlight w:val="none"/>
          <w:lang w:eastAsia="zh-CN"/>
        </w:rPr>
        <w:t>2-</w:t>
      </w:r>
      <w:r>
        <w:rPr>
          <w:rFonts w:hint="eastAsia" w:cs="Times New Roman"/>
          <w:color w:val="auto"/>
          <w:sz w:val="21"/>
          <w:szCs w:val="21"/>
          <w:highlight w:val="none"/>
          <w:lang w:val="en-US" w:eastAsia="zh-CN"/>
        </w:rPr>
        <w:t>3</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2公共</w:t>
      </w:r>
      <w:r>
        <w:rPr>
          <w:rFonts w:hint="eastAsia" w:cs="Times New Roman"/>
          <w:color w:val="auto"/>
          <w:sz w:val="21"/>
          <w:szCs w:val="21"/>
          <w:highlight w:val="none"/>
          <w:lang w:eastAsia="zh-CN"/>
        </w:rPr>
        <w:t>绿化面积</w:t>
      </w:r>
      <w:r>
        <w:rPr>
          <w:rFonts w:hint="eastAsia" w:cs="Times New Roman"/>
          <w:color w:val="auto"/>
          <w:sz w:val="21"/>
          <w:szCs w:val="21"/>
          <w:highlight w:val="none"/>
          <w:lang w:val="en-US" w:eastAsia="zh-CN"/>
        </w:rPr>
        <w:t>及防风林绿化面积</w:t>
      </w:r>
    </w:p>
    <w:tbl>
      <w:tblPr>
        <w:tblStyle w:val="31"/>
        <w:tblW w:w="4903" w:type="pct"/>
        <w:tblInd w:w="0" w:type="dxa"/>
        <w:tblLayout w:type="autofit"/>
        <w:tblCellMar>
          <w:top w:w="0" w:type="dxa"/>
          <w:left w:w="108" w:type="dxa"/>
          <w:bottom w:w="0" w:type="dxa"/>
          <w:right w:w="108" w:type="dxa"/>
        </w:tblCellMar>
      </w:tblPr>
      <w:tblGrid>
        <w:gridCol w:w="1217"/>
        <w:gridCol w:w="3881"/>
        <w:gridCol w:w="1918"/>
        <w:gridCol w:w="1341"/>
      </w:tblGrid>
      <w:tr w14:paraId="584264BB">
        <w:tblPrEx>
          <w:tblCellMar>
            <w:top w:w="0" w:type="dxa"/>
            <w:left w:w="108" w:type="dxa"/>
            <w:bottom w:w="0" w:type="dxa"/>
            <w:right w:w="108" w:type="dxa"/>
          </w:tblCellMar>
        </w:tblPrEx>
        <w:trPr>
          <w:trHeight w:val="20" w:hRule="atLeast"/>
          <w:tblHeader/>
        </w:trPr>
        <w:tc>
          <w:tcPr>
            <w:tcW w:w="728" w:type="pct"/>
            <w:tcBorders>
              <w:top w:val="single" w:color="auto" w:sz="4" w:space="0"/>
              <w:left w:val="single" w:color="auto" w:sz="4" w:space="0"/>
              <w:bottom w:val="single" w:color="auto" w:sz="4" w:space="0"/>
              <w:right w:val="single" w:color="auto" w:sz="4" w:space="0"/>
            </w:tcBorders>
            <w:shd w:val="clear" w:color="auto" w:fill="63B86C"/>
            <w:vAlign w:val="center"/>
          </w:tcPr>
          <w:p w14:paraId="6DDD7110">
            <w:pPr>
              <w:kinsoku/>
              <w:autoSpaceDE/>
              <w:autoSpaceDN/>
              <w:adjustRightInd/>
              <w:snapToGrid/>
              <w:spacing w:line="240" w:lineRule="auto"/>
              <w:ind w:firstLine="0" w:firstLineChars="0"/>
              <w:jc w:val="center"/>
              <w:textAlignment w:val="auto"/>
              <w:rPr>
                <w:rFonts w:eastAsia="宋体" w:cs="Times New Roman"/>
                <w:b/>
                <w:bCs/>
                <w:snapToGrid/>
                <w:color w:val="auto"/>
                <w:sz w:val="20"/>
                <w:szCs w:val="20"/>
                <w:highlight w:val="none"/>
                <w:lang w:eastAsia="zh-CN"/>
              </w:rPr>
            </w:pPr>
            <w:r>
              <w:rPr>
                <w:rFonts w:hint="eastAsia" w:eastAsia="宋体" w:cs="Times New Roman"/>
                <w:b/>
                <w:bCs/>
                <w:snapToGrid/>
                <w:color w:val="auto"/>
                <w:sz w:val="20"/>
                <w:szCs w:val="20"/>
                <w:highlight w:val="none"/>
                <w:lang w:val="en-US" w:eastAsia="zh-CN"/>
              </w:rPr>
              <w:t>序号</w:t>
            </w:r>
          </w:p>
        </w:tc>
        <w:tc>
          <w:tcPr>
            <w:tcW w:w="2321" w:type="pct"/>
            <w:tcBorders>
              <w:top w:val="single" w:color="auto" w:sz="4" w:space="0"/>
              <w:left w:val="nil"/>
              <w:bottom w:val="single" w:color="auto" w:sz="4" w:space="0"/>
              <w:right w:val="single" w:color="auto" w:sz="4" w:space="0"/>
            </w:tcBorders>
            <w:shd w:val="clear" w:color="auto" w:fill="63B86C"/>
            <w:vAlign w:val="center"/>
          </w:tcPr>
          <w:p w14:paraId="72B42216">
            <w:pPr>
              <w:kinsoku/>
              <w:autoSpaceDE/>
              <w:autoSpaceDN/>
              <w:adjustRightInd/>
              <w:snapToGrid/>
              <w:spacing w:line="240" w:lineRule="auto"/>
              <w:ind w:firstLine="0" w:firstLineChars="0"/>
              <w:jc w:val="center"/>
              <w:textAlignment w:val="auto"/>
              <w:rPr>
                <w:rFonts w:eastAsia="宋体" w:cs="Times New Roman"/>
                <w:b/>
                <w:bCs/>
                <w:snapToGrid/>
                <w:color w:val="auto"/>
                <w:sz w:val="20"/>
                <w:szCs w:val="20"/>
                <w:highlight w:val="none"/>
                <w:lang w:eastAsia="zh-CN"/>
              </w:rPr>
            </w:pPr>
            <w:r>
              <w:rPr>
                <w:rFonts w:hint="eastAsia" w:eastAsia="宋体" w:cs="Times New Roman"/>
                <w:b/>
                <w:bCs/>
                <w:snapToGrid/>
                <w:color w:val="auto"/>
                <w:sz w:val="20"/>
                <w:szCs w:val="20"/>
                <w:highlight w:val="none"/>
                <w:lang w:val="en-US" w:eastAsia="zh-CN"/>
              </w:rPr>
              <w:t>名称</w:t>
            </w:r>
          </w:p>
        </w:tc>
        <w:tc>
          <w:tcPr>
            <w:tcW w:w="1147" w:type="pct"/>
            <w:tcBorders>
              <w:top w:val="single" w:color="auto" w:sz="4" w:space="0"/>
              <w:left w:val="nil"/>
              <w:bottom w:val="single" w:color="auto" w:sz="4" w:space="0"/>
              <w:right w:val="single" w:color="auto" w:sz="4" w:space="0"/>
            </w:tcBorders>
            <w:shd w:val="clear" w:color="auto" w:fill="63B86C"/>
            <w:vAlign w:val="center"/>
          </w:tcPr>
          <w:p w14:paraId="41759F68">
            <w:pPr>
              <w:kinsoku/>
              <w:autoSpaceDE/>
              <w:autoSpaceDN/>
              <w:adjustRightInd/>
              <w:snapToGrid/>
              <w:spacing w:line="240" w:lineRule="auto"/>
              <w:ind w:firstLine="0" w:firstLineChars="0"/>
              <w:jc w:val="center"/>
              <w:textAlignment w:val="auto"/>
              <w:rPr>
                <w:rFonts w:hint="default" w:eastAsia="宋体" w:cs="Times New Roman"/>
                <w:b/>
                <w:bCs/>
                <w:snapToGrid/>
                <w:color w:val="auto"/>
                <w:sz w:val="20"/>
                <w:szCs w:val="20"/>
                <w:highlight w:val="none"/>
                <w:lang w:val="en-US" w:eastAsia="zh-CN"/>
              </w:rPr>
            </w:pPr>
            <w:r>
              <w:rPr>
                <w:rFonts w:hint="eastAsia" w:eastAsia="宋体" w:cs="Times New Roman"/>
                <w:b/>
                <w:bCs/>
                <w:snapToGrid/>
                <w:color w:val="auto"/>
                <w:sz w:val="20"/>
                <w:szCs w:val="20"/>
                <w:highlight w:val="none"/>
                <w:lang w:val="en-US" w:eastAsia="zh-CN"/>
              </w:rPr>
              <w:t>面积（㎡）</w:t>
            </w:r>
          </w:p>
        </w:tc>
        <w:tc>
          <w:tcPr>
            <w:tcW w:w="802" w:type="pct"/>
            <w:tcBorders>
              <w:top w:val="single" w:color="auto" w:sz="4" w:space="0"/>
              <w:left w:val="nil"/>
              <w:bottom w:val="single" w:color="auto" w:sz="4" w:space="0"/>
              <w:right w:val="single" w:color="auto" w:sz="4" w:space="0"/>
            </w:tcBorders>
            <w:shd w:val="clear" w:color="auto" w:fill="63B86C"/>
            <w:vAlign w:val="center"/>
          </w:tcPr>
          <w:p w14:paraId="7E19516B">
            <w:pPr>
              <w:kinsoku/>
              <w:autoSpaceDE/>
              <w:autoSpaceDN/>
              <w:adjustRightInd/>
              <w:snapToGrid/>
              <w:spacing w:line="240" w:lineRule="auto"/>
              <w:ind w:firstLine="0" w:firstLineChars="0"/>
              <w:jc w:val="center"/>
              <w:textAlignment w:val="auto"/>
              <w:rPr>
                <w:rFonts w:hint="default" w:eastAsia="宋体" w:cs="Times New Roman"/>
                <w:b/>
                <w:bCs/>
                <w:snapToGrid/>
                <w:color w:val="auto"/>
                <w:sz w:val="20"/>
                <w:szCs w:val="20"/>
                <w:highlight w:val="none"/>
                <w:lang w:val="en-US" w:eastAsia="zh-CN"/>
              </w:rPr>
            </w:pPr>
            <w:r>
              <w:rPr>
                <w:rFonts w:hint="eastAsia" w:eastAsia="宋体" w:cs="Times New Roman"/>
                <w:b/>
                <w:bCs/>
                <w:snapToGrid/>
                <w:color w:val="auto"/>
                <w:sz w:val="20"/>
                <w:szCs w:val="20"/>
                <w:highlight w:val="none"/>
                <w:lang w:val="en-US" w:eastAsia="zh-CN"/>
              </w:rPr>
              <w:t>养护等级</w:t>
            </w:r>
          </w:p>
        </w:tc>
      </w:tr>
      <w:tr w14:paraId="152D0155">
        <w:tblPrEx>
          <w:tblCellMar>
            <w:top w:w="0" w:type="dxa"/>
            <w:left w:w="108" w:type="dxa"/>
            <w:bottom w:w="0" w:type="dxa"/>
            <w:right w:w="108" w:type="dxa"/>
          </w:tblCellMar>
        </w:tblPrEx>
        <w:trPr>
          <w:trHeight w:val="189"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47D7E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w:t>
            </w:r>
          </w:p>
        </w:tc>
        <w:tc>
          <w:tcPr>
            <w:tcW w:w="23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047A8F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迎宾东路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C53115D">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1150</w:t>
            </w:r>
          </w:p>
        </w:tc>
        <w:tc>
          <w:tcPr>
            <w:tcW w:w="8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A7B2A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2A301938">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77D1A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p>
        </w:tc>
        <w:tc>
          <w:tcPr>
            <w:tcW w:w="23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92AE2D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迎宾西路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FE0BB1C">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1375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40A0146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54860BC0">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67474D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3</w:t>
            </w:r>
          </w:p>
        </w:tc>
        <w:tc>
          <w:tcPr>
            <w:tcW w:w="23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CDFF57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B2221DC">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1838</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3D447BD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0FF942B4">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84AC5D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4</w:t>
            </w:r>
          </w:p>
        </w:tc>
        <w:tc>
          <w:tcPr>
            <w:tcW w:w="23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B45C9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C55B786">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3175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51F3471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1B70BDC5">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B2C077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5</w:t>
            </w:r>
          </w:p>
        </w:tc>
        <w:tc>
          <w:tcPr>
            <w:tcW w:w="23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9EFF57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5E8D315">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613</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2AA926C2">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1603459F">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DC28F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6</w:t>
            </w:r>
          </w:p>
        </w:tc>
        <w:tc>
          <w:tcPr>
            <w:tcW w:w="2321"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FC2C53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1B77E6C">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1155</w:t>
            </w:r>
          </w:p>
        </w:tc>
        <w:tc>
          <w:tcPr>
            <w:tcW w:w="8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3BD23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59527E70">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53557D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7</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57BC5EC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E1EC658">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3675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41945C9A">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1B38C275">
        <w:tblPrEx>
          <w:tblCellMar>
            <w:top w:w="0" w:type="dxa"/>
            <w:left w:w="108" w:type="dxa"/>
            <w:bottom w:w="0" w:type="dxa"/>
            <w:right w:w="108" w:type="dxa"/>
          </w:tblCellMar>
        </w:tblPrEx>
        <w:trPr>
          <w:trHeight w:val="9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A9C84D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8</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27D8DA5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F1703E">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12138</w:t>
            </w:r>
          </w:p>
        </w:tc>
        <w:tc>
          <w:tcPr>
            <w:tcW w:w="8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4598D42">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2F2F11FD">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B101DC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9</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5667469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广场南路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5693C0">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500</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6B0666EF">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21DFE5EA">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59A369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10</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50C4A58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广场北路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F43BA70">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500</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2A3505D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660CBA98">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7E6E0F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11</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26E1615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公园南路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43761A">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575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29741EC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2D777088">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3B5DED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12</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3413B81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公园北路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44CFFE">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1225</w:t>
            </w:r>
          </w:p>
        </w:tc>
        <w:tc>
          <w:tcPr>
            <w:tcW w:w="802"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3A513C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0B19B0B2">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A0C37E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13</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1038241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校园路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00F2364">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1225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301F5DA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2E892BC7">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36317E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w:t>
            </w:r>
            <w:r>
              <w:rPr>
                <w:rFonts w:hint="eastAsia" w:eastAsia="宋体" w:cs="Times New Roman"/>
                <w:snapToGrid/>
                <w:color w:val="auto"/>
                <w:sz w:val="20"/>
                <w:szCs w:val="20"/>
                <w:highlight w:val="none"/>
                <w:lang w:val="en-US" w:eastAsia="zh-CN"/>
              </w:rPr>
              <w:t>4</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72268F1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外环东路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2D9794C">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5495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4791AFE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309032B5">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64996A52">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w:t>
            </w:r>
            <w:r>
              <w:rPr>
                <w:rFonts w:hint="eastAsia" w:eastAsia="宋体" w:cs="Times New Roman"/>
                <w:snapToGrid/>
                <w:color w:val="auto"/>
                <w:sz w:val="20"/>
                <w:szCs w:val="20"/>
                <w:highlight w:val="none"/>
                <w:lang w:val="en-US" w:eastAsia="zh-CN"/>
              </w:rPr>
              <w:t>5</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1F973DA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内环东路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8FC634">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6438</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2901E3B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599DC935">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040660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w:t>
            </w:r>
            <w:r>
              <w:rPr>
                <w:rFonts w:hint="eastAsia" w:eastAsia="宋体" w:cs="Times New Roman"/>
                <w:snapToGrid/>
                <w:color w:val="auto"/>
                <w:sz w:val="20"/>
                <w:szCs w:val="20"/>
                <w:highlight w:val="none"/>
                <w:lang w:val="en-US" w:eastAsia="zh-CN"/>
              </w:rPr>
              <w:t>6</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595AEAD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商业西路（商贸邮局物业）</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5477B32">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375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6858E78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53A1094F">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3FB77B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w:t>
            </w:r>
            <w:r>
              <w:rPr>
                <w:rFonts w:hint="eastAsia" w:eastAsia="宋体" w:cs="Times New Roman"/>
                <w:snapToGrid/>
                <w:color w:val="auto"/>
                <w:sz w:val="20"/>
                <w:szCs w:val="20"/>
                <w:highlight w:val="none"/>
                <w:lang w:val="en-US" w:eastAsia="zh-CN"/>
              </w:rPr>
              <w:t>7</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66F4085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内环西路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C4B6D90">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5133</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445F91D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3CBDCA17">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17CCC1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w:t>
            </w:r>
            <w:r>
              <w:rPr>
                <w:rFonts w:hint="eastAsia" w:eastAsia="宋体" w:cs="Times New Roman"/>
                <w:snapToGrid/>
                <w:color w:val="auto"/>
                <w:sz w:val="20"/>
                <w:szCs w:val="20"/>
                <w:highlight w:val="none"/>
                <w:lang w:val="en-US" w:eastAsia="zh-CN"/>
              </w:rPr>
              <w:t>8</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7BA5997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外环西路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2608711">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4795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21C9EA8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4C9ECBB4">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E52D3FB">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r>
              <w:rPr>
                <w:rFonts w:hint="eastAsia" w:eastAsia="宋体" w:cs="Times New Roman"/>
                <w:snapToGrid/>
                <w:color w:val="auto"/>
                <w:sz w:val="20"/>
                <w:szCs w:val="20"/>
                <w:highlight w:val="none"/>
                <w:lang w:val="en-US" w:eastAsia="zh-CN"/>
              </w:rPr>
              <w:t>9</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3EB2894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科技路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C953431">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325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3FCADA9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10F062A4">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4FBDB95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r>
              <w:rPr>
                <w:rFonts w:hint="eastAsia" w:eastAsia="宋体" w:cs="Times New Roman"/>
                <w:snapToGrid/>
                <w:color w:val="auto"/>
                <w:sz w:val="20"/>
                <w:szCs w:val="20"/>
                <w:highlight w:val="none"/>
                <w:lang w:val="en-US" w:eastAsia="zh-CN"/>
              </w:rPr>
              <w:t>0</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3D0C0B5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外环西一路 （练车场西侧）</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2BA22B6D">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785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456AFAD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009EE780">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1870C5C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r>
              <w:rPr>
                <w:rFonts w:hint="eastAsia" w:eastAsia="宋体" w:cs="Times New Roman"/>
                <w:snapToGrid/>
                <w:color w:val="auto"/>
                <w:sz w:val="20"/>
                <w:szCs w:val="20"/>
                <w:highlight w:val="none"/>
                <w:lang w:val="en-US" w:eastAsia="zh-CN"/>
              </w:rPr>
              <w:t>1</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1DBEA15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工业区水电处门前路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615FC3A">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275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0EEAB93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674C760A">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5E7A93B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r>
              <w:rPr>
                <w:rFonts w:hint="eastAsia" w:eastAsia="宋体" w:cs="Times New Roman"/>
                <w:snapToGrid/>
                <w:color w:val="auto"/>
                <w:sz w:val="20"/>
                <w:szCs w:val="20"/>
                <w:highlight w:val="none"/>
                <w:lang w:val="en-US" w:eastAsia="zh-CN"/>
              </w:rPr>
              <w:t>2</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5DB1E3C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工业区维修中心门前路</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88E15A8">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275</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64FAABC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667EC21F">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8AC0B3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r>
              <w:rPr>
                <w:rFonts w:hint="eastAsia" w:eastAsia="宋体" w:cs="Times New Roman"/>
                <w:snapToGrid/>
                <w:color w:val="auto"/>
                <w:sz w:val="20"/>
                <w:szCs w:val="20"/>
                <w:highlight w:val="none"/>
                <w:lang w:val="en-US" w:eastAsia="zh-CN"/>
              </w:rPr>
              <w:t>3</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526B844A">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其</w:t>
            </w:r>
            <w:r>
              <w:rPr>
                <w:rFonts w:hint="eastAsia" w:ascii="Times New Roman" w:hAnsi="Times New Roman" w:cs="Times New Roman"/>
                <w:snapToGrid/>
                <w:color w:val="auto"/>
                <w:sz w:val="20"/>
                <w:szCs w:val="20"/>
                <w:highlight w:val="none"/>
                <w:lang w:val="en-US" w:eastAsia="zh-CN"/>
              </w:rPr>
              <w:t>他公共绿地（五九、锅炉房院外绿地等）</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7735C5B">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87178.3</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64E0314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50F8B8BD">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960BF5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r>
              <w:rPr>
                <w:rFonts w:hint="eastAsia" w:eastAsia="宋体" w:cs="Times New Roman"/>
                <w:snapToGrid/>
                <w:color w:val="auto"/>
                <w:sz w:val="20"/>
                <w:szCs w:val="20"/>
                <w:highlight w:val="none"/>
                <w:lang w:val="en-US" w:eastAsia="zh-CN"/>
              </w:rPr>
              <w:t>4</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1BB2D60D">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经济林带</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640C811">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244400</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24BC678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2E48A9F6">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358078B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w:t>
            </w:r>
            <w:r>
              <w:rPr>
                <w:rFonts w:hint="eastAsia" w:eastAsia="宋体" w:cs="Times New Roman"/>
                <w:snapToGrid/>
                <w:color w:val="auto"/>
                <w:sz w:val="20"/>
                <w:szCs w:val="20"/>
                <w:highlight w:val="none"/>
                <w:lang w:val="en-US" w:eastAsia="zh-CN"/>
              </w:rPr>
              <w:t>5</w:t>
            </w: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763E3A40">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防风林带</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4EC64AD">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375900</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7927A48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二级</w:t>
            </w:r>
          </w:p>
        </w:tc>
      </w:tr>
      <w:tr w14:paraId="211DB808">
        <w:tblPrEx>
          <w:tblCellMar>
            <w:top w:w="0" w:type="dxa"/>
            <w:left w:w="108" w:type="dxa"/>
            <w:bottom w:w="0" w:type="dxa"/>
            <w:right w:w="108" w:type="dxa"/>
          </w:tblCellMar>
        </w:tblPrEx>
        <w:trPr>
          <w:trHeight w:val="20" w:hRule="atLeast"/>
        </w:trPr>
        <w:tc>
          <w:tcPr>
            <w:tcW w:w="728" w:type="pct"/>
            <w:tcBorders>
              <w:top w:val="single" w:color="auto" w:sz="4" w:space="0"/>
              <w:left w:val="single" w:color="auto" w:sz="4" w:space="0"/>
              <w:bottom w:val="single" w:color="auto" w:sz="4" w:space="0"/>
              <w:right w:val="single" w:color="auto" w:sz="4" w:space="0"/>
            </w:tcBorders>
            <w:shd w:val="clear" w:color="auto" w:fill="auto"/>
            <w:noWrap/>
            <w:vAlign w:val="center"/>
          </w:tcPr>
          <w:p w14:paraId="024E1908">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p>
        </w:tc>
        <w:tc>
          <w:tcPr>
            <w:tcW w:w="2321" w:type="pct"/>
            <w:tcBorders>
              <w:top w:val="single" w:color="auto" w:sz="4" w:space="0"/>
              <w:left w:val="single" w:color="auto" w:sz="4" w:space="0"/>
              <w:bottom w:val="single" w:color="auto" w:sz="4" w:space="0"/>
              <w:right w:val="single" w:color="auto" w:sz="4" w:space="0"/>
            </w:tcBorders>
            <w:shd w:val="clear" w:color="auto" w:fill="auto"/>
            <w:vAlign w:val="center"/>
          </w:tcPr>
          <w:p w14:paraId="164287D9">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合计</w:t>
            </w:r>
          </w:p>
        </w:tc>
        <w:tc>
          <w:tcPr>
            <w:tcW w:w="1147" w:type="pct"/>
            <w:tcBorders>
              <w:top w:val="single" w:color="auto" w:sz="4" w:space="0"/>
              <w:left w:val="single" w:color="auto" w:sz="4" w:space="0"/>
              <w:bottom w:val="single" w:color="auto" w:sz="4" w:space="0"/>
              <w:right w:val="single" w:color="auto" w:sz="4" w:space="0"/>
            </w:tcBorders>
            <w:shd w:val="clear" w:color="auto" w:fill="auto"/>
            <w:noWrap/>
            <w:vAlign w:val="center"/>
          </w:tcPr>
          <w:p w14:paraId="77AFCA38">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760518.3</w:t>
            </w:r>
          </w:p>
        </w:tc>
        <w:tc>
          <w:tcPr>
            <w:tcW w:w="802" w:type="pct"/>
            <w:tcBorders>
              <w:top w:val="single" w:color="auto" w:sz="4" w:space="0"/>
              <w:left w:val="single" w:color="auto" w:sz="4" w:space="0"/>
              <w:bottom w:val="single" w:color="auto" w:sz="4" w:space="0"/>
              <w:right w:val="single" w:color="auto" w:sz="4" w:space="0"/>
            </w:tcBorders>
            <w:shd w:val="clear" w:color="auto" w:fill="auto"/>
            <w:vAlign w:val="center"/>
          </w:tcPr>
          <w:p w14:paraId="7A6297D8">
            <w:pPr>
              <w:kinsoku/>
              <w:autoSpaceDE/>
              <w:autoSpaceDN/>
              <w:adjustRightInd/>
              <w:snapToGrid/>
              <w:spacing w:line="240" w:lineRule="auto"/>
              <w:ind w:firstLine="0" w:firstLineChars="0"/>
              <w:jc w:val="center"/>
              <w:textAlignment w:val="auto"/>
              <w:rPr>
                <w:rFonts w:hint="eastAsia" w:eastAsia="宋体" w:cs="Times New Roman"/>
                <w:snapToGrid/>
                <w:color w:val="auto"/>
                <w:sz w:val="20"/>
                <w:szCs w:val="20"/>
                <w:highlight w:val="none"/>
                <w:lang w:val="en-US" w:eastAsia="zh-CN"/>
              </w:rPr>
            </w:pPr>
          </w:p>
        </w:tc>
      </w:tr>
    </w:tbl>
    <w:p w14:paraId="26FE39C0">
      <w:pPr>
        <w:pStyle w:val="4"/>
        <w:ind w:left="0" w:leftChars="0" w:firstLine="0" w:firstLineChars="0"/>
        <w:rPr>
          <w:rFonts w:hint="eastAsia" w:cs="Times New Roman"/>
          <w:color w:val="auto"/>
          <w:highlight w:val="none"/>
          <w:lang w:val="en-US" w:eastAsia="zh-CN"/>
        </w:rPr>
      </w:pPr>
      <w:r>
        <w:rPr>
          <w:rFonts w:hint="eastAsia" w:cs="Times New Roman"/>
          <w:color w:val="auto"/>
          <w:highlight w:val="none"/>
          <w:lang w:val="en-US" w:eastAsia="zh-CN"/>
        </w:rPr>
        <w:t xml:space="preserve">                     </w:t>
      </w:r>
    </w:p>
    <w:p w14:paraId="22A83AF1">
      <w:pPr>
        <w:rPr>
          <w:rFonts w:hint="default"/>
          <w:color w:val="auto"/>
          <w:highlight w:val="none"/>
          <w:lang w:val="en-US" w:eastAsia="zh-CN"/>
        </w:rPr>
      </w:pPr>
    </w:p>
    <w:p w14:paraId="5337703C">
      <w:pPr>
        <w:pStyle w:val="5"/>
        <w:spacing w:before="157" w:beforeLines="50" w:after="157" w:afterLines="50" w:line="240" w:lineRule="auto"/>
        <w:ind w:left="0" w:right="280" w:firstLine="0"/>
        <w:rPr>
          <w:rFonts w:hint="eastAsia" w:cstheme="majorBidi"/>
          <w:color w:val="auto"/>
          <w:sz w:val="21"/>
          <w:szCs w:val="21"/>
          <w:highlight w:val="none"/>
          <w:lang w:eastAsia="zh-CN"/>
        </w:rPr>
      </w:pPr>
      <w:bookmarkStart w:id="525" w:name="_Toc21134"/>
      <w:r>
        <w:rPr>
          <w:rFonts w:hint="eastAsia" w:cstheme="majorBidi"/>
          <w:color w:val="auto"/>
          <w:sz w:val="21"/>
          <w:szCs w:val="21"/>
          <w:highlight w:val="none"/>
          <w:lang w:val="en-US" w:eastAsia="zh-CN"/>
        </w:rPr>
        <w:t>表2-4 市政道路管护面积</w:t>
      </w:r>
      <w:bookmarkEnd w:id="525"/>
    </w:p>
    <w:tbl>
      <w:tblPr>
        <w:tblStyle w:val="31"/>
        <w:tblW w:w="4856" w:type="pct"/>
        <w:tblInd w:w="0" w:type="dxa"/>
        <w:tblLayout w:type="fixed"/>
        <w:tblCellMar>
          <w:top w:w="0" w:type="dxa"/>
          <w:left w:w="108" w:type="dxa"/>
          <w:bottom w:w="0" w:type="dxa"/>
          <w:right w:w="108" w:type="dxa"/>
        </w:tblCellMar>
      </w:tblPr>
      <w:tblGrid>
        <w:gridCol w:w="770"/>
        <w:gridCol w:w="2224"/>
        <w:gridCol w:w="1501"/>
        <w:gridCol w:w="1425"/>
        <w:gridCol w:w="1128"/>
        <w:gridCol w:w="1229"/>
      </w:tblGrid>
      <w:tr w14:paraId="187F930A">
        <w:tblPrEx>
          <w:tblCellMar>
            <w:top w:w="0" w:type="dxa"/>
            <w:left w:w="108" w:type="dxa"/>
            <w:bottom w:w="0" w:type="dxa"/>
            <w:right w:w="108" w:type="dxa"/>
          </w:tblCellMar>
        </w:tblPrEx>
        <w:trPr>
          <w:trHeight w:val="631" w:hRule="atLeast"/>
          <w:tblHeader/>
        </w:trPr>
        <w:tc>
          <w:tcPr>
            <w:tcW w:w="770" w:type="dxa"/>
            <w:tcBorders>
              <w:top w:val="single" w:color="auto" w:sz="4" w:space="0"/>
              <w:left w:val="single" w:color="auto" w:sz="4" w:space="0"/>
              <w:bottom w:val="single" w:color="auto" w:sz="4" w:space="0"/>
              <w:right w:val="single" w:color="auto" w:sz="4" w:space="0"/>
            </w:tcBorders>
            <w:shd w:val="clear" w:color="auto" w:fill="63B86C"/>
            <w:vAlign w:val="center"/>
          </w:tcPr>
          <w:p w14:paraId="707ABEFF">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b/>
                <w:bCs/>
                <w:snapToGrid/>
                <w:color w:val="auto"/>
                <w:sz w:val="20"/>
                <w:szCs w:val="20"/>
                <w:highlight w:val="none"/>
                <w:lang w:val="en-US" w:eastAsia="zh-CN"/>
              </w:rPr>
            </w:pPr>
            <w:r>
              <w:rPr>
                <w:rFonts w:hint="eastAsia" w:ascii="Times New Roman" w:hAnsi="Times New Roman" w:eastAsia="宋体" w:cs="Times New Roman"/>
                <w:b/>
                <w:bCs/>
                <w:snapToGrid/>
                <w:color w:val="auto"/>
                <w:sz w:val="20"/>
                <w:szCs w:val="20"/>
                <w:highlight w:val="none"/>
                <w:lang w:val="en-US" w:eastAsia="zh-CN"/>
              </w:rPr>
              <w:t>序号</w:t>
            </w:r>
          </w:p>
        </w:tc>
        <w:tc>
          <w:tcPr>
            <w:tcW w:w="2224" w:type="dxa"/>
            <w:tcBorders>
              <w:top w:val="single" w:color="auto" w:sz="4" w:space="0"/>
              <w:left w:val="nil"/>
              <w:bottom w:val="single" w:color="auto" w:sz="4" w:space="0"/>
              <w:right w:val="single" w:color="auto" w:sz="4" w:space="0"/>
            </w:tcBorders>
            <w:shd w:val="clear" w:color="auto" w:fill="63B86C"/>
            <w:vAlign w:val="center"/>
          </w:tcPr>
          <w:p w14:paraId="1EB6EA89">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b/>
                <w:bCs/>
                <w:snapToGrid/>
                <w:color w:val="auto"/>
                <w:sz w:val="20"/>
                <w:szCs w:val="20"/>
                <w:highlight w:val="none"/>
                <w:lang w:val="en-US" w:eastAsia="zh-CN"/>
              </w:rPr>
            </w:pPr>
            <w:r>
              <w:rPr>
                <w:rFonts w:hint="eastAsia" w:ascii="Times New Roman" w:hAnsi="Times New Roman" w:eastAsia="宋体" w:cs="Times New Roman"/>
                <w:b/>
                <w:bCs/>
                <w:snapToGrid/>
                <w:color w:val="auto"/>
                <w:sz w:val="20"/>
                <w:szCs w:val="20"/>
                <w:highlight w:val="none"/>
                <w:lang w:val="en-US" w:eastAsia="zh-CN"/>
              </w:rPr>
              <w:t>道路名称</w:t>
            </w:r>
          </w:p>
        </w:tc>
        <w:tc>
          <w:tcPr>
            <w:tcW w:w="1501" w:type="dxa"/>
            <w:tcBorders>
              <w:top w:val="single" w:color="auto" w:sz="4" w:space="0"/>
              <w:left w:val="nil"/>
              <w:bottom w:val="single" w:color="auto" w:sz="4" w:space="0"/>
              <w:right w:val="single" w:color="auto" w:sz="4" w:space="0"/>
            </w:tcBorders>
            <w:shd w:val="clear" w:color="auto" w:fill="63B86C"/>
            <w:vAlign w:val="center"/>
          </w:tcPr>
          <w:p w14:paraId="1EFDF7A2">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b/>
                <w:bCs/>
                <w:snapToGrid/>
                <w:color w:val="auto"/>
                <w:sz w:val="20"/>
                <w:szCs w:val="20"/>
                <w:highlight w:val="none"/>
                <w:lang w:val="en-US" w:eastAsia="zh-CN"/>
              </w:rPr>
            </w:pPr>
            <w:r>
              <w:rPr>
                <w:rFonts w:hint="eastAsia" w:ascii="Times New Roman" w:hAnsi="Times New Roman" w:eastAsia="宋体" w:cs="Times New Roman"/>
                <w:b/>
                <w:bCs/>
                <w:snapToGrid/>
                <w:color w:val="auto"/>
                <w:sz w:val="20"/>
                <w:szCs w:val="20"/>
                <w:highlight w:val="none"/>
                <w:lang w:val="en-US" w:eastAsia="zh-CN"/>
              </w:rPr>
              <w:t>机动车道（㎡）</w:t>
            </w:r>
          </w:p>
        </w:tc>
        <w:tc>
          <w:tcPr>
            <w:tcW w:w="1425" w:type="dxa"/>
            <w:tcBorders>
              <w:top w:val="single" w:color="auto" w:sz="4" w:space="0"/>
              <w:left w:val="nil"/>
              <w:bottom w:val="single" w:color="auto" w:sz="4" w:space="0"/>
              <w:right w:val="single" w:color="auto" w:sz="4" w:space="0"/>
            </w:tcBorders>
            <w:shd w:val="clear" w:color="auto" w:fill="63B86C"/>
            <w:vAlign w:val="center"/>
          </w:tcPr>
          <w:p w14:paraId="1838FB3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b/>
                <w:bCs/>
                <w:snapToGrid/>
                <w:color w:val="auto"/>
                <w:sz w:val="20"/>
                <w:szCs w:val="20"/>
                <w:highlight w:val="none"/>
                <w:lang w:val="en-US" w:eastAsia="zh-CN"/>
              </w:rPr>
            </w:pPr>
            <w:r>
              <w:rPr>
                <w:rFonts w:hint="eastAsia" w:ascii="Times New Roman" w:hAnsi="Times New Roman" w:eastAsia="宋体" w:cs="Times New Roman"/>
                <w:b/>
                <w:bCs/>
                <w:snapToGrid/>
                <w:color w:val="auto"/>
                <w:sz w:val="20"/>
                <w:szCs w:val="20"/>
                <w:highlight w:val="none"/>
                <w:lang w:val="en-US" w:eastAsia="zh-CN"/>
              </w:rPr>
              <w:t>非机动车道（㎡）</w:t>
            </w:r>
          </w:p>
        </w:tc>
        <w:tc>
          <w:tcPr>
            <w:tcW w:w="1128" w:type="dxa"/>
            <w:tcBorders>
              <w:top w:val="single" w:color="auto" w:sz="4" w:space="0"/>
              <w:left w:val="nil"/>
              <w:bottom w:val="single" w:color="auto" w:sz="4" w:space="0"/>
              <w:right w:val="single" w:color="auto" w:sz="4" w:space="0"/>
            </w:tcBorders>
            <w:shd w:val="clear" w:color="auto" w:fill="63B86C"/>
            <w:vAlign w:val="center"/>
          </w:tcPr>
          <w:p w14:paraId="39491344">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b/>
                <w:bCs/>
                <w:snapToGrid/>
                <w:color w:val="auto"/>
                <w:sz w:val="20"/>
                <w:szCs w:val="20"/>
                <w:highlight w:val="none"/>
                <w:lang w:val="en-US" w:eastAsia="zh-CN"/>
              </w:rPr>
            </w:pPr>
            <w:r>
              <w:rPr>
                <w:rFonts w:hint="eastAsia" w:ascii="Times New Roman" w:hAnsi="Times New Roman" w:eastAsia="宋体" w:cs="Times New Roman"/>
                <w:b/>
                <w:bCs/>
                <w:snapToGrid/>
                <w:color w:val="auto"/>
                <w:sz w:val="20"/>
                <w:szCs w:val="20"/>
                <w:highlight w:val="none"/>
                <w:lang w:val="en-US" w:eastAsia="zh-CN"/>
              </w:rPr>
              <w:t>人行道面积（㎡）</w:t>
            </w:r>
          </w:p>
        </w:tc>
        <w:tc>
          <w:tcPr>
            <w:tcW w:w="1229" w:type="dxa"/>
            <w:tcBorders>
              <w:top w:val="single" w:color="auto" w:sz="4" w:space="0"/>
              <w:left w:val="nil"/>
              <w:bottom w:val="single" w:color="auto" w:sz="4" w:space="0"/>
              <w:right w:val="single" w:color="auto" w:sz="4" w:space="0"/>
            </w:tcBorders>
            <w:shd w:val="clear" w:color="auto" w:fill="63B86C"/>
            <w:vAlign w:val="center"/>
          </w:tcPr>
          <w:p w14:paraId="584DBEA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b/>
                <w:bCs/>
                <w:snapToGrid/>
                <w:color w:val="auto"/>
                <w:sz w:val="20"/>
                <w:szCs w:val="20"/>
                <w:highlight w:val="none"/>
                <w:lang w:val="en-US" w:eastAsia="zh-CN"/>
              </w:rPr>
            </w:pPr>
            <w:r>
              <w:rPr>
                <w:rFonts w:hint="eastAsia" w:ascii="Times New Roman" w:hAnsi="Times New Roman" w:eastAsia="宋体" w:cs="Times New Roman"/>
                <w:b/>
                <w:bCs/>
                <w:snapToGrid/>
                <w:color w:val="auto"/>
                <w:sz w:val="20"/>
                <w:szCs w:val="20"/>
                <w:highlight w:val="none"/>
                <w:lang w:val="en-US" w:eastAsia="zh-CN"/>
              </w:rPr>
              <w:t>合计（㎡）</w:t>
            </w:r>
          </w:p>
        </w:tc>
      </w:tr>
      <w:tr w14:paraId="21C6AE6F">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4E157C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w:t>
            </w:r>
          </w:p>
        </w:tc>
        <w:tc>
          <w:tcPr>
            <w:tcW w:w="222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880C9B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迎宾东路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99218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6900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4B2563D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3220</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14:paraId="7BC4340A">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4140</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30C0B865">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14260</w:t>
            </w:r>
          </w:p>
        </w:tc>
      </w:tr>
      <w:tr w14:paraId="5A9FD1D8">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782B3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2</w:t>
            </w:r>
          </w:p>
        </w:tc>
        <w:tc>
          <w:tcPr>
            <w:tcW w:w="222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3A870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迎宾西路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74592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6050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57D975C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14:paraId="1F7038BB">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4950</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445B398C">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11000</w:t>
            </w:r>
          </w:p>
        </w:tc>
      </w:tr>
      <w:tr w14:paraId="59026CB4">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6A507A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3</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23721F6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A81EBE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31020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E657D8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14:paraId="126A9BC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17941</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79E9FFF2">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48961</w:t>
            </w:r>
          </w:p>
        </w:tc>
      </w:tr>
      <w:tr w14:paraId="083D8AAD">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02424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4</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7DB7C6F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F2CE4A">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40460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0C2EDF5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16520</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14:paraId="6B6BE233">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24184</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181C1D4E">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81164</w:t>
            </w:r>
          </w:p>
        </w:tc>
      </w:tr>
      <w:tr w14:paraId="769A134F">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A99E81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5</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12D74A0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9B92222">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6125</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361ECA1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14:paraId="23A7F40A">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3328</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76F77BC8">
            <w:pPr>
              <w:kinsoku/>
              <w:autoSpaceDE/>
              <w:autoSpaceDN/>
              <w:adjustRightInd/>
              <w:snapToGrid/>
              <w:spacing w:line="240" w:lineRule="auto"/>
              <w:ind w:firstLine="0" w:firstLineChars="0"/>
              <w:jc w:val="center"/>
              <w:textAlignment w:val="auto"/>
              <w:rPr>
                <w:rFonts w:hint="eastAsia" w:ascii="Times New Roman" w:hAnsi="Times New Roman"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9453</w:t>
            </w:r>
          </w:p>
        </w:tc>
      </w:tr>
      <w:tr w14:paraId="1945DDC5">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C9AC2F">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6</w:t>
            </w:r>
          </w:p>
        </w:tc>
        <w:tc>
          <w:tcPr>
            <w:tcW w:w="2224"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20C315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7D3C5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5390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DEF249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14:paraId="0C33A0F3">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3328</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1EC52AA2">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8718</w:t>
            </w:r>
          </w:p>
        </w:tc>
      </w:tr>
      <w:tr w14:paraId="5F2D1B67">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BA549B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7</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2BB0325F">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7B3091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40340</w:t>
            </w:r>
          </w:p>
        </w:tc>
        <w:tc>
          <w:tcPr>
            <w:tcW w:w="1425" w:type="dxa"/>
            <w:tcBorders>
              <w:top w:val="single" w:color="auto" w:sz="4" w:space="0"/>
              <w:left w:val="single" w:color="auto" w:sz="4" w:space="0"/>
              <w:bottom w:val="single" w:color="auto" w:sz="4" w:space="0"/>
              <w:right w:val="single" w:color="auto" w:sz="4" w:space="0"/>
            </w:tcBorders>
            <w:shd w:val="clear" w:color="auto" w:fill="auto"/>
            <w:vAlign w:val="center"/>
          </w:tcPr>
          <w:p w14:paraId="25A3FFE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16310</w:t>
            </w:r>
          </w:p>
        </w:tc>
        <w:tc>
          <w:tcPr>
            <w:tcW w:w="1128" w:type="dxa"/>
            <w:tcBorders>
              <w:top w:val="single" w:color="auto" w:sz="4" w:space="0"/>
              <w:left w:val="single" w:color="auto" w:sz="4" w:space="0"/>
              <w:bottom w:val="single" w:color="auto" w:sz="4" w:space="0"/>
              <w:right w:val="single" w:color="auto" w:sz="4" w:space="0"/>
            </w:tcBorders>
            <w:shd w:val="clear" w:color="auto" w:fill="auto"/>
            <w:vAlign w:val="center"/>
          </w:tcPr>
          <w:p w14:paraId="36AD12C4">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23732</w:t>
            </w:r>
          </w:p>
        </w:tc>
        <w:tc>
          <w:tcPr>
            <w:tcW w:w="1229" w:type="dxa"/>
            <w:tcBorders>
              <w:top w:val="single" w:color="auto" w:sz="4" w:space="0"/>
              <w:left w:val="single" w:color="auto" w:sz="4" w:space="0"/>
              <w:bottom w:val="single" w:color="auto" w:sz="4" w:space="0"/>
              <w:right w:val="single" w:color="auto" w:sz="4" w:space="0"/>
            </w:tcBorders>
            <w:shd w:val="clear" w:color="auto" w:fill="auto"/>
            <w:vAlign w:val="center"/>
          </w:tcPr>
          <w:p w14:paraId="53B6D91E">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80382</w:t>
            </w:r>
          </w:p>
        </w:tc>
      </w:tr>
      <w:tr w14:paraId="0C4E5548">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D0D23F">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8</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0B9EDC1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8A180C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47190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70878FF">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4159FC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10592</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2D7FB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57782</w:t>
            </w:r>
          </w:p>
        </w:tc>
      </w:tr>
      <w:tr w14:paraId="264E86DB">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2FC9DC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9</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2618BC12">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广场南路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D50B6CA">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2200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6CD8E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1000</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22A915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1400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4DD01F1">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4600</w:t>
            </w:r>
          </w:p>
        </w:tc>
      </w:tr>
      <w:tr w14:paraId="26A66BCD">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FB0D5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10</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4778B84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广场北路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CE4C1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2200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C4762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1000</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E78711F">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1400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DE4707D">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4600</w:t>
            </w:r>
          </w:p>
        </w:tc>
      </w:tr>
      <w:tr w14:paraId="208D330F">
        <w:tblPrEx>
          <w:tblCellMar>
            <w:top w:w="0" w:type="dxa"/>
            <w:left w:w="108" w:type="dxa"/>
            <w:bottom w:w="0" w:type="dxa"/>
            <w:right w:w="108" w:type="dxa"/>
          </w:tblCellMar>
        </w:tblPrEx>
        <w:trPr>
          <w:trHeight w:val="63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3F92F">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11</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1541EF3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购物中心与建行门前路段</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0FF26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1650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EED66B">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3DDC9E9">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960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A168EC9">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2610</w:t>
            </w:r>
          </w:p>
        </w:tc>
      </w:tr>
      <w:tr w14:paraId="11076917">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E382F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12</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598D1A8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公园南路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79778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5060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499492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2760</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A08003">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2944</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6CD2C08">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10764</w:t>
            </w:r>
          </w:p>
        </w:tc>
      </w:tr>
      <w:tr w14:paraId="5E953DA1">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F5535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13</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0F46306A">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公园北路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FAF2EA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5390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5F176F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2100BB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3430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A35ACA">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8820</w:t>
            </w:r>
          </w:p>
        </w:tc>
      </w:tr>
      <w:tr w14:paraId="69514BED">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36C52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14</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3427BEA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公园路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00B66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4500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E5ED7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4ED3C2E">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1750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00E947B">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6250</w:t>
            </w:r>
          </w:p>
        </w:tc>
      </w:tr>
      <w:tr w14:paraId="66A4B4F0">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547B37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15</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23C73CF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校园路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687AEB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5390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CFAE0DB">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743C18D">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1715</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60E7F5A">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7105</w:t>
            </w:r>
          </w:p>
        </w:tc>
      </w:tr>
      <w:tr w14:paraId="2AD23868">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2D11A5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16</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5CB56AB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外环东路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9C33F2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25498</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F23AA1B">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3F2BD1D">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14835.2</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1382D56">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40333.2</w:t>
            </w:r>
          </w:p>
        </w:tc>
      </w:tr>
      <w:tr w14:paraId="27F14042">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74CB5B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17</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75E66B1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内环东路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2C25CA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33005</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387343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13265</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A0262A">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19597</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811052E">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65867</w:t>
            </w:r>
          </w:p>
        </w:tc>
      </w:tr>
      <w:tr w14:paraId="1C12CEB7">
        <w:tblPrEx>
          <w:tblCellMar>
            <w:top w:w="0" w:type="dxa"/>
            <w:left w:w="108" w:type="dxa"/>
            <w:bottom w:w="0" w:type="dxa"/>
            <w:right w:w="108" w:type="dxa"/>
          </w:tblCellMar>
        </w:tblPrEx>
        <w:trPr>
          <w:trHeight w:val="63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5317BA2">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18</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6C6D0C1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商业西路（商贸邮局物业）</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4FD48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5500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EE856B">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2500</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F99FAFB">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3500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5E5B8B">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11500</w:t>
            </w:r>
          </w:p>
        </w:tc>
      </w:tr>
      <w:tr w14:paraId="54D6E626">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E1F02D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19</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421DAC6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内环西路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05B33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26983</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0B119B7">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8550</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0EED32B">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17171</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B2690E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52704</w:t>
            </w:r>
          </w:p>
        </w:tc>
      </w:tr>
      <w:tr w14:paraId="6D1A55DC">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B4B3A7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20</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1324FBE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外环西路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67B19A">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25498</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0DC999B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EACD638">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16226</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1990882">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41724</w:t>
            </w:r>
          </w:p>
        </w:tc>
      </w:tr>
      <w:tr w14:paraId="6A865282">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907B00">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21</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4B19A05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科技路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853E095">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4050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D70A59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44C5DD">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3780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C3B2F4">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7830</w:t>
            </w:r>
          </w:p>
        </w:tc>
      </w:tr>
      <w:tr w14:paraId="19EF1DBE">
        <w:tblPrEx>
          <w:tblCellMar>
            <w:top w:w="0" w:type="dxa"/>
            <w:left w:w="108" w:type="dxa"/>
            <w:bottom w:w="0" w:type="dxa"/>
            <w:right w:w="108" w:type="dxa"/>
          </w:tblCellMar>
        </w:tblPrEx>
        <w:trPr>
          <w:trHeight w:val="63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9BFC89A">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22</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300C560E">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外环西一路 （练车场西侧）</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80D0C4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25498</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F50400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A858E71">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2656</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46977D5">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28154</w:t>
            </w:r>
          </w:p>
        </w:tc>
      </w:tr>
      <w:tr w14:paraId="6960B6CA">
        <w:tblPrEx>
          <w:tblCellMar>
            <w:top w:w="0" w:type="dxa"/>
            <w:left w:w="108" w:type="dxa"/>
            <w:bottom w:w="0" w:type="dxa"/>
            <w:right w:w="108" w:type="dxa"/>
          </w:tblCellMar>
        </w:tblPrEx>
        <w:trPr>
          <w:trHeight w:val="32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35952BD">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23</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11E8D9CF">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工业区水电处门前路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E74D5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14850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76E5EAA">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CEC26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8640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07665E6">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23490</w:t>
            </w:r>
          </w:p>
        </w:tc>
      </w:tr>
      <w:tr w14:paraId="239EDAD5">
        <w:tblPrEx>
          <w:tblCellMar>
            <w:top w:w="0" w:type="dxa"/>
            <w:left w:w="108" w:type="dxa"/>
            <w:bottom w:w="0" w:type="dxa"/>
            <w:right w:w="108" w:type="dxa"/>
          </w:tblCellMar>
        </w:tblPrEx>
        <w:trPr>
          <w:trHeight w:val="63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6382BF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default" w:ascii="Times New Roman" w:hAnsi="Times New Roman" w:eastAsia="宋体" w:cs="Times New Roman"/>
                <w:snapToGrid/>
                <w:color w:val="auto"/>
                <w:sz w:val="20"/>
                <w:szCs w:val="20"/>
                <w:highlight w:val="none"/>
                <w:lang w:val="en-US" w:eastAsia="zh-CN"/>
              </w:rPr>
              <w:t>24</w:t>
            </w: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0750498C">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工业区维修中心门前路</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F252756">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14850</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5148D2E3">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772054C">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cs="Times New Roman"/>
                <w:snapToGrid/>
                <w:color w:val="auto"/>
                <w:sz w:val="20"/>
                <w:szCs w:val="20"/>
                <w:highlight w:val="none"/>
                <w:lang w:val="en-US" w:eastAsia="zh-CN"/>
              </w:rPr>
              <w:t>8640</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648846E7">
            <w:pPr>
              <w:kinsoku/>
              <w:autoSpaceDE/>
              <w:autoSpaceDN/>
              <w:adjustRightInd/>
              <w:snapToGrid/>
              <w:spacing w:line="240" w:lineRule="auto"/>
              <w:ind w:firstLine="0" w:firstLineChars="0"/>
              <w:jc w:val="center"/>
              <w:textAlignment w:val="auto"/>
              <w:rPr>
                <w:rFonts w:hint="eastAsia" w:ascii="Times New Roman" w:hAnsi="Times New Roman" w:eastAsia="宋体" w:cs="Times New Roman"/>
                <w:snapToGrid/>
                <w:color w:val="auto"/>
                <w:sz w:val="20"/>
                <w:szCs w:val="20"/>
                <w:highlight w:val="none"/>
                <w:lang w:val="en-US" w:eastAsia="zh-CN"/>
              </w:rPr>
            </w:pPr>
            <w:r>
              <w:rPr>
                <w:rFonts w:hint="eastAsia" w:ascii="Times New Roman" w:hAnsi="Times New Roman" w:eastAsia="宋体" w:cs="Times New Roman"/>
                <w:snapToGrid/>
                <w:color w:val="auto"/>
                <w:sz w:val="20"/>
                <w:szCs w:val="20"/>
                <w:highlight w:val="none"/>
                <w:lang w:val="en-US" w:eastAsia="zh-CN"/>
              </w:rPr>
              <w:t>23490</w:t>
            </w:r>
          </w:p>
        </w:tc>
      </w:tr>
      <w:tr w14:paraId="55BD1CC5">
        <w:tblPrEx>
          <w:tblCellMar>
            <w:top w:w="0" w:type="dxa"/>
            <w:left w:w="108" w:type="dxa"/>
            <w:bottom w:w="0" w:type="dxa"/>
            <w:right w:w="108" w:type="dxa"/>
          </w:tblCellMar>
        </w:tblPrEx>
        <w:trPr>
          <w:trHeight w:val="331" w:hRule="atLeast"/>
        </w:trPr>
        <w:tc>
          <w:tcPr>
            <w:tcW w:w="77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130A3441">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p>
        </w:tc>
        <w:tc>
          <w:tcPr>
            <w:tcW w:w="2224" w:type="dxa"/>
            <w:tcBorders>
              <w:top w:val="single" w:color="auto" w:sz="4" w:space="0"/>
              <w:left w:val="single" w:color="auto" w:sz="4" w:space="0"/>
              <w:bottom w:val="single" w:color="auto" w:sz="4" w:space="0"/>
              <w:right w:val="single" w:color="auto" w:sz="4" w:space="0"/>
            </w:tcBorders>
            <w:shd w:val="clear" w:color="auto" w:fill="auto"/>
            <w:vAlign w:val="center"/>
          </w:tcPr>
          <w:p w14:paraId="3E69DB79">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合计</w:t>
            </w:r>
          </w:p>
        </w:tc>
        <w:tc>
          <w:tcPr>
            <w:tcW w:w="1501"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EC72B43">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385597</w:t>
            </w:r>
          </w:p>
        </w:tc>
        <w:tc>
          <w:tcPr>
            <w:tcW w:w="14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662E17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65125</w:t>
            </w:r>
          </w:p>
        </w:tc>
        <w:tc>
          <w:tcPr>
            <w:tcW w:w="112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5D19174">
            <w:pPr>
              <w:kinsoku/>
              <w:autoSpaceDE/>
              <w:autoSpaceDN/>
              <w:adjustRightInd/>
              <w:snapToGrid/>
              <w:spacing w:line="240" w:lineRule="auto"/>
              <w:ind w:firstLine="0" w:firstLineChars="0"/>
              <w:jc w:val="center"/>
              <w:textAlignment w:val="auto"/>
              <w:rPr>
                <w:rFonts w:hint="default" w:ascii="Times New Roman" w:hAnsi="Times New Roman" w:cs="Times New Roman"/>
                <w:snapToGrid/>
                <w:color w:val="auto"/>
                <w:sz w:val="20"/>
                <w:szCs w:val="20"/>
                <w:highlight w:val="none"/>
                <w:lang w:val="en-US" w:eastAsia="zh-CN"/>
              </w:rPr>
            </w:pPr>
            <w:r>
              <w:rPr>
                <w:rFonts w:hint="eastAsia" w:cs="Times New Roman"/>
                <w:snapToGrid/>
                <w:color w:val="auto"/>
                <w:sz w:val="20"/>
                <w:szCs w:val="20"/>
                <w:highlight w:val="none"/>
                <w:lang w:val="en-US" w:eastAsia="zh-CN"/>
              </w:rPr>
              <w:t>200839.2</w:t>
            </w:r>
          </w:p>
        </w:tc>
        <w:tc>
          <w:tcPr>
            <w:tcW w:w="1229"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C0E6194">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651561.2</w:t>
            </w:r>
          </w:p>
        </w:tc>
      </w:tr>
    </w:tbl>
    <w:p w14:paraId="15FA89AD">
      <w:pPr>
        <w:pStyle w:val="5"/>
        <w:spacing w:before="157" w:beforeLines="50" w:after="157" w:afterLines="50" w:line="240" w:lineRule="auto"/>
        <w:ind w:left="0" w:right="280" w:firstLine="0"/>
        <w:rPr>
          <w:rFonts w:hint="eastAsia" w:cstheme="majorBidi"/>
          <w:color w:val="auto"/>
          <w:sz w:val="21"/>
          <w:szCs w:val="21"/>
          <w:highlight w:val="none"/>
          <w:lang w:val="en-US" w:eastAsia="zh-CN"/>
        </w:rPr>
      </w:pPr>
      <w:bookmarkStart w:id="526" w:name="_Toc21172"/>
      <w:r>
        <w:rPr>
          <w:rFonts w:hint="eastAsia" w:cstheme="majorBidi"/>
          <w:b/>
          <w:bCs/>
          <w:snapToGrid/>
          <w:color w:val="auto"/>
          <w:sz w:val="21"/>
          <w:szCs w:val="21"/>
          <w:highlight w:val="none"/>
          <w:lang w:val="en-US" w:eastAsia="zh-CN" w:bidi="ar-SA"/>
        </w:rPr>
        <w:t>表2-5路灯</w:t>
      </w:r>
      <w:r>
        <w:rPr>
          <w:rFonts w:hint="eastAsia" w:cstheme="majorBidi"/>
          <w:color w:val="auto"/>
          <w:sz w:val="21"/>
          <w:szCs w:val="21"/>
          <w:highlight w:val="none"/>
          <w:lang w:val="en-US" w:eastAsia="zh-CN"/>
        </w:rPr>
        <w:t>维护</w:t>
      </w:r>
      <w:bookmarkEnd w:id="526"/>
    </w:p>
    <w:tbl>
      <w:tblPr>
        <w:tblStyle w:val="31"/>
        <w:tblW w:w="489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38"/>
        <w:gridCol w:w="4281"/>
        <w:gridCol w:w="2119"/>
      </w:tblGrid>
      <w:tr w14:paraId="33C936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blHeader/>
        </w:trPr>
        <w:tc>
          <w:tcPr>
            <w:tcW w:w="1162" w:type="pct"/>
            <w:shd w:val="clear" w:color="auto" w:fill="63B86C"/>
            <w:vAlign w:val="center"/>
          </w:tcPr>
          <w:p w14:paraId="37E9668E">
            <w:pPr>
              <w:kinsoku/>
              <w:autoSpaceDE/>
              <w:autoSpaceDN/>
              <w:adjustRightInd/>
              <w:snapToGrid/>
              <w:spacing w:line="240" w:lineRule="auto"/>
              <w:ind w:firstLine="0" w:firstLineChars="0"/>
              <w:jc w:val="center"/>
              <w:textAlignment w:val="auto"/>
              <w:rPr>
                <w:rFonts w:hint="default" w:ascii="黑体" w:hAnsi="黑体" w:eastAsia="黑体" w:cs="宋体"/>
                <w:snapToGrid/>
                <w:color w:val="auto"/>
                <w:sz w:val="22"/>
                <w:szCs w:val="22"/>
                <w:highlight w:val="none"/>
                <w:lang w:val="en-US" w:eastAsia="zh-CN"/>
              </w:rPr>
            </w:pPr>
            <w:r>
              <w:rPr>
                <w:rFonts w:hint="eastAsia" w:ascii="黑体" w:hAnsi="黑体" w:eastAsia="黑体" w:cs="宋体"/>
                <w:snapToGrid/>
                <w:color w:val="auto"/>
                <w:sz w:val="22"/>
                <w:szCs w:val="22"/>
                <w:highlight w:val="none"/>
                <w:lang w:val="en-US" w:eastAsia="zh-CN"/>
              </w:rPr>
              <w:t>序号</w:t>
            </w:r>
          </w:p>
        </w:tc>
        <w:tc>
          <w:tcPr>
            <w:tcW w:w="2567" w:type="pct"/>
            <w:shd w:val="clear" w:color="auto" w:fill="63B86C"/>
            <w:vAlign w:val="center"/>
          </w:tcPr>
          <w:p w14:paraId="5E38A1DE">
            <w:pPr>
              <w:kinsoku/>
              <w:autoSpaceDE/>
              <w:autoSpaceDN/>
              <w:adjustRightInd/>
              <w:snapToGrid/>
              <w:spacing w:line="240" w:lineRule="auto"/>
              <w:ind w:firstLine="0" w:firstLineChars="0"/>
              <w:jc w:val="center"/>
              <w:textAlignment w:val="auto"/>
              <w:rPr>
                <w:rFonts w:hint="default" w:ascii="黑体" w:hAnsi="黑体" w:eastAsia="黑体" w:cs="宋体"/>
                <w:snapToGrid/>
                <w:color w:val="auto"/>
                <w:sz w:val="22"/>
                <w:szCs w:val="22"/>
                <w:highlight w:val="none"/>
                <w:lang w:val="en-US" w:eastAsia="zh-CN"/>
              </w:rPr>
            </w:pPr>
            <w:r>
              <w:rPr>
                <w:rFonts w:hint="eastAsia" w:ascii="黑体" w:hAnsi="黑体" w:eastAsia="黑体" w:cs="宋体"/>
                <w:snapToGrid/>
                <w:color w:val="auto"/>
                <w:sz w:val="22"/>
                <w:szCs w:val="22"/>
                <w:highlight w:val="none"/>
                <w:lang w:val="en-US" w:eastAsia="zh-CN"/>
              </w:rPr>
              <w:t>道路名称</w:t>
            </w:r>
          </w:p>
        </w:tc>
        <w:tc>
          <w:tcPr>
            <w:tcW w:w="1270" w:type="pct"/>
            <w:shd w:val="clear" w:color="auto" w:fill="63B86C"/>
            <w:vAlign w:val="center"/>
          </w:tcPr>
          <w:p w14:paraId="4387C5B7">
            <w:pPr>
              <w:kinsoku/>
              <w:autoSpaceDE/>
              <w:autoSpaceDN/>
              <w:adjustRightInd/>
              <w:snapToGrid/>
              <w:spacing w:line="240" w:lineRule="auto"/>
              <w:ind w:firstLine="0" w:firstLineChars="0"/>
              <w:jc w:val="center"/>
              <w:textAlignment w:val="auto"/>
              <w:rPr>
                <w:rFonts w:hint="default" w:ascii="黑体" w:hAnsi="黑体" w:eastAsia="黑体" w:cs="宋体"/>
                <w:snapToGrid/>
                <w:color w:val="auto"/>
                <w:sz w:val="22"/>
                <w:szCs w:val="22"/>
                <w:highlight w:val="none"/>
                <w:lang w:val="en-US" w:eastAsia="zh-CN"/>
              </w:rPr>
            </w:pPr>
            <w:r>
              <w:rPr>
                <w:rFonts w:hint="eastAsia" w:ascii="黑体" w:hAnsi="黑体" w:eastAsia="黑体" w:cs="宋体"/>
                <w:snapToGrid/>
                <w:color w:val="auto"/>
                <w:sz w:val="22"/>
                <w:szCs w:val="22"/>
                <w:highlight w:val="none"/>
                <w:lang w:val="en-US" w:eastAsia="zh-CN"/>
              </w:rPr>
              <w:t>灯杆/根</w:t>
            </w:r>
          </w:p>
        </w:tc>
      </w:tr>
      <w:tr w14:paraId="659AB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trPr>
        <w:tc>
          <w:tcPr>
            <w:tcW w:w="1162" w:type="pct"/>
            <w:shd w:val="clear" w:color="auto" w:fill="auto"/>
            <w:noWrap/>
            <w:vAlign w:val="top"/>
          </w:tcPr>
          <w:p w14:paraId="3F807B29">
            <w:pPr>
              <w:kinsoku/>
              <w:autoSpaceDE/>
              <w:autoSpaceDN/>
              <w:adjustRightInd/>
              <w:snapToGrid/>
              <w:spacing w:line="240" w:lineRule="auto"/>
              <w:ind w:firstLine="0" w:firstLineChars="0"/>
              <w:jc w:val="center"/>
              <w:textAlignment w:val="auto"/>
              <w:rPr>
                <w:rFonts w:ascii="Times New Roman" w:hAnsi="Times New Roman" w:eastAsia="宋体" w:cs="Times New Roman"/>
                <w:snapToGrid/>
                <w:color w:val="auto"/>
                <w:sz w:val="20"/>
                <w:szCs w:val="20"/>
                <w:highlight w:val="none"/>
                <w:lang w:eastAsia="zh-CN"/>
              </w:rPr>
            </w:pPr>
            <w:r>
              <w:rPr>
                <w:rFonts w:hint="eastAsia" w:ascii="Times New Roman" w:hAnsi="Times New Roman" w:eastAsia="宋体" w:cs="Times New Roman"/>
                <w:snapToGrid/>
                <w:color w:val="auto"/>
                <w:sz w:val="20"/>
                <w:szCs w:val="20"/>
                <w:highlight w:val="none"/>
                <w:lang w:eastAsia="zh-CN"/>
              </w:rPr>
              <w:t>1</w:t>
            </w:r>
          </w:p>
        </w:tc>
        <w:tc>
          <w:tcPr>
            <w:tcW w:w="2567" w:type="pct"/>
            <w:shd w:val="clear" w:color="auto" w:fill="auto"/>
            <w:noWrap/>
            <w:vAlign w:val="top"/>
          </w:tcPr>
          <w:p w14:paraId="68B69639">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石油基地</w:t>
            </w:r>
          </w:p>
        </w:tc>
        <w:tc>
          <w:tcPr>
            <w:tcW w:w="1270" w:type="pct"/>
            <w:shd w:val="clear" w:color="auto" w:fill="auto"/>
            <w:noWrap/>
            <w:vAlign w:val="top"/>
          </w:tcPr>
          <w:p w14:paraId="2977D088">
            <w:pPr>
              <w:kinsoku/>
              <w:autoSpaceDE/>
              <w:autoSpaceDN/>
              <w:adjustRightInd/>
              <w:snapToGrid/>
              <w:spacing w:line="240" w:lineRule="auto"/>
              <w:ind w:firstLine="0" w:firstLineChars="0"/>
              <w:jc w:val="center"/>
              <w:textAlignment w:val="auto"/>
              <w:rPr>
                <w:rFonts w:hint="default" w:ascii="Times New Roman" w:hAnsi="Times New Roman" w:eastAsia="宋体" w:cs="Times New Roman"/>
                <w:snapToGrid/>
                <w:color w:val="auto"/>
                <w:sz w:val="20"/>
                <w:szCs w:val="20"/>
                <w:highlight w:val="none"/>
                <w:lang w:val="en-US" w:eastAsia="zh-CN"/>
              </w:rPr>
            </w:pPr>
            <w:r>
              <w:rPr>
                <w:rFonts w:hint="eastAsia" w:eastAsia="宋体" w:cs="Times New Roman"/>
                <w:snapToGrid/>
                <w:color w:val="auto"/>
                <w:sz w:val="20"/>
                <w:szCs w:val="20"/>
                <w:highlight w:val="none"/>
                <w:lang w:val="en-US" w:eastAsia="zh-CN"/>
              </w:rPr>
              <w:t>1530</w:t>
            </w:r>
          </w:p>
        </w:tc>
      </w:tr>
    </w:tbl>
    <w:p w14:paraId="2386F074">
      <w:pPr>
        <w:kinsoku/>
        <w:autoSpaceDE/>
        <w:autoSpaceDN/>
        <w:adjustRightInd/>
        <w:snapToGrid/>
        <w:spacing w:line="240" w:lineRule="auto"/>
        <w:ind w:firstLine="0" w:firstLineChars="0"/>
        <w:jc w:val="left"/>
        <w:textAlignment w:val="auto"/>
        <w:rPr>
          <w:rFonts w:cs="Times New Roman"/>
          <w:b/>
          <w:bCs/>
          <w:color w:val="auto"/>
          <w:szCs w:val="32"/>
          <w:highlight w:val="none"/>
          <w:lang w:eastAsia="zh-CN"/>
        </w:rPr>
      </w:pPr>
      <w:r>
        <w:rPr>
          <w:rFonts w:cs="Times New Roman"/>
          <w:color w:val="auto"/>
          <w:highlight w:val="none"/>
          <w:lang w:eastAsia="zh-CN"/>
        </w:rPr>
        <w:br w:type="page"/>
      </w:r>
    </w:p>
    <w:p w14:paraId="023557C0">
      <w:pPr>
        <w:pageBreakBefore w:val="0"/>
        <w:shd w:val="clear" w:color="auto" w:fill="auto"/>
        <w:tabs>
          <w:tab w:val="left" w:pos="933"/>
        </w:tabs>
        <w:kinsoku/>
        <w:wordWrap/>
        <w:overflowPunct/>
        <w:topLinePunct w:val="0"/>
        <w:bidi w:val="0"/>
        <w:ind w:firstLineChars="177"/>
        <w:rPr>
          <w:rFonts w:hint="default"/>
          <w:color w:val="auto"/>
          <w:highlight w:val="none"/>
          <w:lang w:val="en-US" w:eastAsia="zh-CN"/>
        </w:rPr>
        <w:sectPr>
          <w:pgSz w:w="11906" w:h="16838"/>
          <w:pgMar w:top="1440" w:right="1800" w:bottom="1440" w:left="180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1EC5B892">
      <w:pPr>
        <w:pStyle w:val="57"/>
        <w:pageBreakBefore w:val="0"/>
        <w:shd w:val="clear" w:color="auto" w:fill="auto"/>
        <w:kinsoku/>
        <w:wordWrap/>
        <w:overflowPunct/>
        <w:topLinePunct w:val="0"/>
        <w:bidi w:val="0"/>
        <w:spacing w:line="360" w:lineRule="auto"/>
        <w:rPr>
          <w:rFonts w:hint="default" w:ascii="宋体" w:hAnsi="宋体" w:eastAsia="宋体" w:cs="宋体"/>
          <w:b/>
          <w:bCs/>
          <w:color w:val="auto"/>
          <w:sz w:val="24"/>
          <w:highlight w:val="none"/>
          <w:lang w:val="en-US" w:eastAsia="zh-CN"/>
        </w:rPr>
      </w:pPr>
      <w:r>
        <w:rPr>
          <w:rFonts w:hint="eastAsia" w:ascii="宋体" w:hAnsi="宋体" w:cs="宋体"/>
          <w:b/>
          <w:bCs/>
          <w:color w:val="auto"/>
          <w:sz w:val="24"/>
          <w:highlight w:val="none"/>
          <w:lang w:val="en-US" w:eastAsia="zh-CN"/>
        </w:rPr>
        <w:t>附件3</w:t>
      </w:r>
    </w:p>
    <w:p w14:paraId="08BEC8F1">
      <w:pPr>
        <w:rPr>
          <w:rFonts w:hint="eastAsia"/>
          <w:color w:val="auto"/>
          <w:highlight w:val="none"/>
          <w:lang w:val="zh-CN" w:eastAsia="zh-CN"/>
        </w:rPr>
      </w:pPr>
    </w:p>
    <w:p w14:paraId="75CA2BC6">
      <w:pPr>
        <w:keepNext w:val="0"/>
        <w:keepLines w:val="0"/>
        <w:pageBreakBefore w:val="0"/>
        <w:widowControl/>
        <w:kinsoku/>
        <w:wordWrap/>
        <w:overflowPunct/>
        <w:topLinePunct w:val="0"/>
        <w:autoSpaceDE/>
        <w:autoSpaceDN/>
        <w:bidi w:val="0"/>
        <w:adjustRightInd/>
        <w:snapToGrid/>
        <w:spacing w:before="0" w:after="0" w:line="560" w:lineRule="exact"/>
        <w:jc w:val="center"/>
        <w:textAlignment w:val="auto"/>
        <w:outlineLvl w:val="9"/>
        <w:rPr>
          <w:rFonts w:hint="eastAsia" w:ascii="方正小标宋简体" w:hAnsi="方正小标宋简体" w:eastAsia="方正小标宋简体" w:cs="方正小标宋简体"/>
          <w:color w:val="auto"/>
          <w:sz w:val="40"/>
          <w:szCs w:val="40"/>
          <w:highlight w:val="none"/>
        </w:rPr>
      </w:pPr>
      <w:r>
        <w:rPr>
          <w:rFonts w:hint="eastAsia" w:ascii="方正小标宋简体" w:hAnsi="方正小标宋简体" w:eastAsia="方正小标宋简体" w:cs="方正小标宋简体"/>
          <w:color w:val="auto"/>
          <w:sz w:val="40"/>
          <w:szCs w:val="40"/>
          <w:highlight w:val="none"/>
          <w:lang w:val="en-US" w:eastAsia="zh-CN"/>
        </w:rPr>
        <w:t>石油基地“</w:t>
      </w:r>
      <w:r>
        <w:rPr>
          <w:rFonts w:hint="eastAsia" w:ascii="方正小标宋简体" w:hAnsi="方正小标宋简体" w:eastAsia="方正小标宋简体" w:cs="方正小标宋简体"/>
          <w:color w:val="auto"/>
          <w:sz w:val="40"/>
          <w:szCs w:val="40"/>
          <w:highlight w:val="none"/>
        </w:rPr>
        <w:t>市政、园林、环卫一体化</w:t>
      </w:r>
      <w:r>
        <w:rPr>
          <w:rFonts w:hint="eastAsia" w:ascii="方正小标宋简体" w:hAnsi="方正小标宋简体" w:eastAsia="方正小标宋简体" w:cs="方正小标宋简体"/>
          <w:color w:val="auto"/>
          <w:sz w:val="40"/>
          <w:szCs w:val="40"/>
          <w:highlight w:val="none"/>
          <w:lang w:eastAsia="zh-CN"/>
        </w:rPr>
        <w:t>”</w:t>
      </w:r>
      <w:r>
        <w:rPr>
          <w:rFonts w:hint="eastAsia" w:ascii="方正小标宋简体" w:hAnsi="方正小标宋简体" w:eastAsia="方正小标宋简体" w:cs="方正小标宋简体"/>
          <w:color w:val="auto"/>
          <w:sz w:val="40"/>
          <w:szCs w:val="40"/>
          <w:highlight w:val="none"/>
        </w:rPr>
        <w:t>项目</w:t>
      </w:r>
    </w:p>
    <w:p w14:paraId="16B9D81C">
      <w:pPr>
        <w:spacing w:before="62" w:line="219" w:lineRule="auto"/>
        <w:jc w:val="center"/>
        <w:rPr>
          <w:rFonts w:hint="eastAsia" w:ascii="宋体" w:hAnsi="宋体" w:eastAsia="宋体" w:cs="宋体"/>
          <w:b/>
          <w:bCs/>
          <w:color w:val="auto"/>
          <w:spacing w:val="-5"/>
          <w:sz w:val="28"/>
          <w:szCs w:val="28"/>
          <w:highlight w:val="none"/>
        </w:rPr>
      </w:pPr>
      <w:r>
        <w:rPr>
          <w:rFonts w:hint="eastAsia" w:ascii="方正小标宋简体" w:hAnsi="方正小标宋简体" w:eastAsia="方正小标宋简体" w:cs="方正小标宋简体"/>
          <w:color w:val="auto"/>
          <w:sz w:val="40"/>
          <w:szCs w:val="40"/>
          <w:highlight w:val="none"/>
        </w:rPr>
        <w:t>考核</w:t>
      </w:r>
      <w:r>
        <w:rPr>
          <w:rFonts w:hint="eastAsia" w:ascii="方正小标宋简体" w:hAnsi="方正小标宋简体" w:eastAsia="方正小标宋简体" w:cs="方正小标宋简体"/>
          <w:color w:val="auto"/>
          <w:sz w:val="40"/>
          <w:szCs w:val="40"/>
          <w:highlight w:val="none"/>
          <w:lang w:eastAsia="zh-CN"/>
        </w:rPr>
        <w:t>评价</w:t>
      </w:r>
      <w:r>
        <w:rPr>
          <w:rFonts w:hint="eastAsia" w:ascii="方正小标宋简体" w:hAnsi="方正小标宋简体" w:eastAsia="方正小标宋简体" w:cs="方正小标宋简体"/>
          <w:color w:val="auto"/>
          <w:sz w:val="40"/>
          <w:szCs w:val="40"/>
          <w:highlight w:val="none"/>
          <w:lang w:val="en-US" w:eastAsia="zh-CN"/>
        </w:rPr>
        <w:t>办法</w:t>
      </w:r>
      <w:r>
        <w:rPr>
          <w:rFonts w:hint="eastAsia" w:ascii="方正小标宋简体" w:hAnsi="方正小标宋简体" w:eastAsia="方正小标宋简体" w:cs="方正小标宋简体"/>
          <w:color w:val="auto"/>
          <w:sz w:val="40"/>
          <w:szCs w:val="40"/>
          <w:highlight w:val="none"/>
          <w:lang w:eastAsia="zh-CN"/>
        </w:rPr>
        <w:t>（试行）</w:t>
      </w:r>
    </w:p>
    <w:p w14:paraId="1046A975">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2" w:firstLine="584" w:firstLineChars="200"/>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6"/>
          <w:sz w:val="28"/>
          <w:szCs w:val="28"/>
          <w:highlight w:val="none"/>
        </w:rPr>
        <w:t>为全面、客观、公正地评价</w:t>
      </w:r>
      <w:r>
        <w:rPr>
          <w:rFonts w:hint="eastAsia" w:ascii="华文仿宋" w:hAnsi="华文仿宋" w:eastAsia="华文仿宋" w:cs="华文仿宋"/>
          <w:color w:val="auto"/>
          <w:spacing w:val="6"/>
          <w:sz w:val="28"/>
          <w:szCs w:val="28"/>
          <w:highlight w:val="none"/>
          <w:lang w:val="en-US" w:eastAsia="zh-CN"/>
        </w:rPr>
        <w:t>石油基地</w:t>
      </w:r>
      <w:r>
        <w:rPr>
          <w:rFonts w:hint="eastAsia" w:ascii="华文仿宋" w:hAnsi="华文仿宋" w:eastAsia="华文仿宋" w:cs="华文仿宋"/>
          <w:color w:val="auto"/>
          <w:spacing w:val="6"/>
          <w:sz w:val="28"/>
          <w:szCs w:val="28"/>
          <w:highlight w:val="none"/>
        </w:rPr>
        <w:t>“市政、园林、环卫一</w:t>
      </w:r>
      <w:r>
        <w:rPr>
          <w:rFonts w:hint="eastAsia" w:ascii="华文仿宋" w:hAnsi="华文仿宋" w:eastAsia="华文仿宋" w:cs="华文仿宋"/>
          <w:color w:val="auto"/>
          <w:spacing w:val="15"/>
          <w:sz w:val="28"/>
          <w:szCs w:val="28"/>
          <w:highlight w:val="none"/>
        </w:rPr>
        <w:t xml:space="preserve"> </w:t>
      </w:r>
      <w:r>
        <w:rPr>
          <w:rFonts w:hint="eastAsia" w:ascii="华文仿宋" w:hAnsi="华文仿宋" w:eastAsia="华文仿宋" w:cs="华文仿宋"/>
          <w:color w:val="auto"/>
          <w:spacing w:val="6"/>
          <w:sz w:val="28"/>
          <w:szCs w:val="28"/>
          <w:highlight w:val="none"/>
        </w:rPr>
        <w:t>体化”项目的服务质量与成效，激励项目相关单位及人员提升</w:t>
      </w:r>
      <w:r>
        <w:rPr>
          <w:rFonts w:hint="eastAsia" w:ascii="华文仿宋" w:hAnsi="华文仿宋" w:eastAsia="华文仿宋" w:cs="华文仿宋"/>
          <w:color w:val="auto"/>
          <w:spacing w:val="1"/>
          <w:sz w:val="28"/>
          <w:szCs w:val="28"/>
          <w:highlight w:val="none"/>
        </w:rPr>
        <w:t xml:space="preserve"> </w:t>
      </w:r>
      <w:r>
        <w:rPr>
          <w:rFonts w:hint="eastAsia" w:ascii="华文仿宋" w:hAnsi="华文仿宋" w:eastAsia="华文仿宋" w:cs="华文仿宋"/>
          <w:color w:val="auto"/>
          <w:spacing w:val="6"/>
          <w:sz w:val="28"/>
          <w:szCs w:val="28"/>
          <w:highlight w:val="none"/>
        </w:rPr>
        <w:t>工作水平，保障城市公共服务的高效优质运行，特制</w:t>
      </w:r>
      <w:r>
        <w:rPr>
          <w:rFonts w:hint="eastAsia" w:ascii="华文仿宋" w:hAnsi="华文仿宋" w:eastAsia="华文仿宋" w:cs="华文仿宋"/>
          <w:color w:val="auto"/>
          <w:spacing w:val="5"/>
          <w:sz w:val="28"/>
          <w:szCs w:val="28"/>
          <w:highlight w:val="none"/>
        </w:rPr>
        <w:t>定本考核</w:t>
      </w:r>
      <w:r>
        <w:rPr>
          <w:rFonts w:hint="eastAsia" w:ascii="华文仿宋" w:hAnsi="华文仿宋" w:eastAsia="华文仿宋" w:cs="华文仿宋"/>
          <w:color w:val="auto"/>
          <w:sz w:val="28"/>
          <w:szCs w:val="28"/>
          <w:highlight w:val="none"/>
        </w:rPr>
        <w:t xml:space="preserve"> </w:t>
      </w:r>
      <w:r>
        <w:rPr>
          <w:rFonts w:hint="eastAsia" w:ascii="华文仿宋" w:hAnsi="华文仿宋" w:eastAsia="华文仿宋" w:cs="华文仿宋"/>
          <w:color w:val="auto"/>
          <w:spacing w:val="-11"/>
          <w:sz w:val="28"/>
          <w:szCs w:val="28"/>
          <w:highlight w:val="none"/>
        </w:rPr>
        <w:t>评价办法。</w:t>
      </w:r>
    </w:p>
    <w:p w14:paraId="33217C96">
      <w:pPr>
        <w:keepNext w:val="0"/>
        <w:keepLines w:val="0"/>
        <w:pageBreakBefore w:val="0"/>
        <w:widowControl/>
        <w:kinsoku w:val="0"/>
        <w:wordWrap/>
        <w:overflowPunct/>
        <w:topLinePunct w:val="0"/>
        <w:autoSpaceDE w:val="0"/>
        <w:autoSpaceDN w:val="0"/>
        <w:bidi w:val="0"/>
        <w:adjustRightInd w:val="0"/>
        <w:snapToGrid w:val="0"/>
        <w:spacing w:line="520" w:lineRule="exact"/>
        <w:ind w:left="644"/>
        <w:textAlignment w:val="baseline"/>
        <w:outlineLvl w:val="1"/>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2"/>
          <w:sz w:val="28"/>
          <w:szCs w:val="28"/>
          <w:highlight w:val="none"/>
        </w:rPr>
        <w:t>一、考核对象</w:t>
      </w:r>
    </w:p>
    <w:p w14:paraId="5C1C0721">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firstLine="639"/>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7"/>
          <w:sz w:val="28"/>
          <w:szCs w:val="28"/>
          <w:highlight w:val="none"/>
        </w:rPr>
        <w:t>根据《</w:t>
      </w:r>
      <w:r>
        <w:rPr>
          <w:rFonts w:hint="eastAsia" w:ascii="华文仿宋" w:hAnsi="华文仿宋" w:eastAsia="华文仿宋" w:cs="华文仿宋"/>
          <w:color w:val="auto"/>
          <w:spacing w:val="6"/>
          <w:sz w:val="28"/>
          <w:szCs w:val="28"/>
          <w:highlight w:val="none"/>
          <w:lang w:val="en-US" w:eastAsia="zh-CN"/>
        </w:rPr>
        <w:t>石油基地</w:t>
      </w:r>
      <w:r>
        <w:rPr>
          <w:rFonts w:hint="eastAsia" w:ascii="华文仿宋" w:hAnsi="华文仿宋" w:eastAsia="华文仿宋" w:cs="华文仿宋"/>
          <w:color w:val="auto"/>
          <w:spacing w:val="7"/>
          <w:sz w:val="28"/>
          <w:szCs w:val="28"/>
          <w:highlight w:val="none"/>
        </w:rPr>
        <w:t>“市政、园林、环卫一体化”</w:t>
      </w:r>
      <w:r>
        <w:rPr>
          <w:rFonts w:hint="eastAsia" w:ascii="华文仿宋" w:hAnsi="华文仿宋" w:eastAsia="华文仿宋" w:cs="华文仿宋"/>
          <w:color w:val="auto"/>
          <w:spacing w:val="7"/>
          <w:sz w:val="28"/>
          <w:szCs w:val="28"/>
          <w:highlight w:val="none"/>
          <w:lang w:val="en-US" w:eastAsia="zh-CN"/>
        </w:rPr>
        <w:t>运维一体化服务方</w:t>
      </w:r>
      <w:r>
        <w:rPr>
          <w:rFonts w:hint="eastAsia" w:ascii="华文仿宋" w:hAnsi="华文仿宋" w:eastAsia="华文仿宋" w:cs="华文仿宋"/>
          <w:color w:val="auto"/>
          <w:spacing w:val="7"/>
          <w:sz w:val="28"/>
          <w:szCs w:val="28"/>
          <w:highlight w:val="none"/>
        </w:rPr>
        <w:t>第三方服务采购项目</w:t>
      </w:r>
      <w:r>
        <w:rPr>
          <w:rFonts w:hint="eastAsia" w:ascii="华文仿宋" w:hAnsi="华文仿宋" w:eastAsia="华文仿宋" w:cs="华文仿宋"/>
          <w:color w:val="auto"/>
          <w:spacing w:val="24"/>
          <w:sz w:val="28"/>
          <w:szCs w:val="28"/>
          <w:highlight w:val="none"/>
        </w:rPr>
        <w:t>招标文件》(以下简称《招标文件》),对项目实施单位按照</w:t>
      </w:r>
      <w:r>
        <w:rPr>
          <w:rFonts w:hint="eastAsia" w:ascii="华文仿宋" w:hAnsi="华文仿宋" w:eastAsia="华文仿宋" w:cs="华文仿宋"/>
          <w:color w:val="auto"/>
          <w:spacing w:val="-6"/>
          <w:sz w:val="28"/>
          <w:szCs w:val="28"/>
          <w:highlight w:val="none"/>
        </w:rPr>
        <w:t>协议约定开展绩效考核。</w:t>
      </w:r>
    </w:p>
    <w:p w14:paraId="0CBC8E77">
      <w:pPr>
        <w:keepNext w:val="0"/>
        <w:keepLines w:val="0"/>
        <w:pageBreakBefore w:val="0"/>
        <w:widowControl/>
        <w:kinsoku w:val="0"/>
        <w:wordWrap/>
        <w:overflowPunct/>
        <w:topLinePunct w:val="0"/>
        <w:autoSpaceDE w:val="0"/>
        <w:autoSpaceDN w:val="0"/>
        <w:bidi w:val="0"/>
        <w:adjustRightInd w:val="0"/>
        <w:snapToGrid w:val="0"/>
        <w:spacing w:line="520" w:lineRule="exact"/>
        <w:ind w:left="644"/>
        <w:textAlignment w:val="baseline"/>
        <w:outlineLvl w:val="1"/>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2"/>
          <w:sz w:val="28"/>
          <w:szCs w:val="28"/>
          <w:highlight w:val="none"/>
        </w:rPr>
        <w:t>二、考核范围</w:t>
      </w:r>
    </w:p>
    <w:p w14:paraId="34211EF7">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18" w:firstLine="639"/>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7"/>
          <w:sz w:val="28"/>
          <w:szCs w:val="28"/>
          <w:highlight w:val="none"/>
        </w:rPr>
        <w:t>根据《招标文件》涉及园林绿化养护、公园</w:t>
      </w:r>
      <w:r>
        <w:rPr>
          <w:rFonts w:hint="eastAsia" w:ascii="华文仿宋" w:hAnsi="华文仿宋" w:eastAsia="华文仿宋" w:cs="华文仿宋"/>
          <w:color w:val="auto"/>
          <w:spacing w:val="6"/>
          <w:sz w:val="28"/>
          <w:szCs w:val="28"/>
          <w:highlight w:val="none"/>
        </w:rPr>
        <w:t>管理、环</w:t>
      </w:r>
      <w:r>
        <w:rPr>
          <w:rFonts w:hint="eastAsia" w:ascii="华文仿宋" w:hAnsi="华文仿宋" w:eastAsia="华文仿宋" w:cs="华文仿宋"/>
          <w:color w:val="auto"/>
          <w:spacing w:val="-4"/>
          <w:sz w:val="28"/>
          <w:szCs w:val="28"/>
          <w:highlight w:val="none"/>
        </w:rPr>
        <w:t>卫保洁、市政设施养护作业区域以及内控管理。</w:t>
      </w:r>
    </w:p>
    <w:p w14:paraId="6E98AC4F">
      <w:pPr>
        <w:keepNext w:val="0"/>
        <w:keepLines w:val="0"/>
        <w:pageBreakBefore w:val="0"/>
        <w:widowControl/>
        <w:kinsoku w:val="0"/>
        <w:wordWrap/>
        <w:overflowPunct/>
        <w:topLinePunct w:val="0"/>
        <w:autoSpaceDE w:val="0"/>
        <w:autoSpaceDN w:val="0"/>
        <w:bidi w:val="0"/>
        <w:adjustRightInd w:val="0"/>
        <w:snapToGrid w:val="0"/>
        <w:spacing w:line="520" w:lineRule="exact"/>
        <w:ind w:left="644"/>
        <w:textAlignment w:val="baseline"/>
        <w:outlineLvl w:val="1"/>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1"/>
          <w:sz w:val="28"/>
          <w:szCs w:val="28"/>
          <w:highlight w:val="none"/>
        </w:rPr>
        <w:t>三、考核措施</w:t>
      </w:r>
    </w:p>
    <w:p w14:paraId="7228F1E0">
      <w:pPr>
        <w:keepNext w:val="0"/>
        <w:keepLines w:val="0"/>
        <w:pageBreakBefore w:val="0"/>
        <w:widowControl/>
        <w:kinsoku w:val="0"/>
        <w:wordWrap/>
        <w:overflowPunct/>
        <w:topLinePunct w:val="0"/>
        <w:autoSpaceDE w:val="0"/>
        <w:autoSpaceDN w:val="0"/>
        <w:bidi w:val="0"/>
        <w:adjustRightInd w:val="0"/>
        <w:snapToGrid w:val="0"/>
        <w:spacing w:line="520" w:lineRule="exact"/>
        <w:ind w:left="779"/>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26"/>
          <w:sz w:val="28"/>
          <w:szCs w:val="28"/>
          <w:highlight w:val="none"/>
        </w:rPr>
        <w:t>(一)考核机构</w:t>
      </w:r>
    </w:p>
    <w:p w14:paraId="4D8632C6">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7" w:firstLine="639"/>
        <w:jc w:val="both"/>
        <w:textAlignment w:val="baseline"/>
        <w:rPr>
          <w:rFonts w:hint="eastAsia" w:ascii="华文仿宋" w:hAnsi="华文仿宋" w:eastAsia="华文仿宋" w:cs="华文仿宋"/>
          <w:color w:val="auto"/>
          <w:spacing w:val="-17"/>
          <w:sz w:val="28"/>
          <w:szCs w:val="28"/>
          <w:highlight w:val="none"/>
        </w:rPr>
      </w:pPr>
      <w:r>
        <w:rPr>
          <w:rFonts w:hint="eastAsia" w:ascii="华文仿宋" w:hAnsi="华文仿宋" w:eastAsia="华文仿宋" w:cs="华文仿宋"/>
          <w:color w:val="auto"/>
          <w:spacing w:val="5"/>
          <w:sz w:val="28"/>
          <w:szCs w:val="28"/>
          <w:highlight w:val="none"/>
        </w:rPr>
        <w:t>由市住建局牵头，公服中心及哈城投配合，随机抽选人员</w:t>
      </w:r>
      <w:r>
        <w:rPr>
          <w:rFonts w:hint="eastAsia" w:ascii="华文仿宋" w:hAnsi="华文仿宋" w:eastAsia="华文仿宋" w:cs="华文仿宋"/>
          <w:color w:val="auto"/>
          <w:spacing w:val="6"/>
          <w:sz w:val="28"/>
          <w:szCs w:val="28"/>
          <w:highlight w:val="none"/>
        </w:rPr>
        <w:t>组成考核小组，负责项目运维过程中涉及园林绿化养护、</w:t>
      </w:r>
      <w:r>
        <w:rPr>
          <w:rFonts w:hint="eastAsia" w:ascii="华文仿宋" w:hAnsi="华文仿宋" w:eastAsia="华文仿宋" w:cs="华文仿宋"/>
          <w:color w:val="auto"/>
          <w:spacing w:val="5"/>
          <w:sz w:val="28"/>
          <w:szCs w:val="28"/>
          <w:highlight w:val="none"/>
        </w:rPr>
        <w:t>公园</w:t>
      </w:r>
      <w:r>
        <w:rPr>
          <w:rFonts w:hint="eastAsia" w:ascii="华文仿宋" w:hAnsi="华文仿宋" w:eastAsia="华文仿宋" w:cs="华文仿宋"/>
          <w:color w:val="auto"/>
          <w:spacing w:val="-6"/>
          <w:sz w:val="28"/>
          <w:szCs w:val="28"/>
          <w:highlight w:val="none"/>
        </w:rPr>
        <w:t>管理、环卫保洁、市政设施养护作业区域以及内控管理的考</w:t>
      </w:r>
      <w:r>
        <w:rPr>
          <w:rFonts w:hint="eastAsia" w:ascii="华文仿宋" w:hAnsi="华文仿宋" w:eastAsia="华文仿宋" w:cs="华文仿宋"/>
          <w:color w:val="auto"/>
          <w:spacing w:val="7"/>
          <w:sz w:val="28"/>
          <w:szCs w:val="28"/>
          <w:highlight w:val="none"/>
        </w:rPr>
        <w:t xml:space="preserve"> </w:t>
      </w:r>
      <w:r>
        <w:rPr>
          <w:rFonts w:hint="eastAsia" w:ascii="华文仿宋" w:hAnsi="华文仿宋" w:eastAsia="华文仿宋" w:cs="华文仿宋"/>
          <w:color w:val="auto"/>
          <w:spacing w:val="-17"/>
          <w:sz w:val="28"/>
          <w:szCs w:val="28"/>
          <w:highlight w:val="none"/>
        </w:rPr>
        <w:t>核工作。</w:t>
      </w:r>
    </w:p>
    <w:p w14:paraId="10CA2B1D">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7" w:firstLine="639"/>
        <w:jc w:val="both"/>
        <w:textAlignment w:val="baseline"/>
        <w:rPr>
          <w:rFonts w:hint="eastAsia" w:ascii="华文仿宋" w:hAnsi="华文仿宋" w:eastAsia="华文仿宋" w:cs="华文仿宋"/>
          <w:color w:val="auto"/>
          <w:spacing w:val="32"/>
          <w:sz w:val="28"/>
          <w:szCs w:val="28"/>
          <w:highlight w:val="none"/>
        </w:rPr>
      </w:pPr>
      <w:r>
        <w:rPr>
          <w:rFonts w:hint="eastAsia" w:ascii="华文仿宋" w:hAnsi="华文仿宋" w:eastAsia="华文仿宋" w:cs="华文仿宋"/>
          <w:color w:val="auto"/>
          <w:spacing w:val="32"/>
          <w:sz w:val="28"/>
          <w:szCs w:val="28"/>
          <w:highlight w:val="none"/>
        </w:rPr>
        <w:t>(二)考核方式</w:t>
      </w:r>
    </w:p>
    <w:p w14:paraId="14D3344C">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7" w:firstLine="639"/>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36"/>
          <w:sz w:val="28"/>
          <w:szCs w:val="28"/>
          <w:highlight w:val="none"/>
        </w:rPr>
        <w:t>考核方式分为月度考核与年终考核两大板块，具体设置如</w:t>
      </w:r>
      <w:r>
        <w:rPr>
          <w:rFonts w:hint="eastAsia" w:ascii="华文仿宋" w:hAnsi="华文仿宋" w:eastAsia="华文仿宋" w:cs="华文仿宋"/>
          <w:color w:val="auto"/>
          <w:spacing w:val="-19"/>
          <w:sz w:val="28"/>
          <w:szCs w:val="28"/>
          <w:highlight w:val="none"/>
        </w:rPr>
        <w:t>下：</w:t>
      </w:r>
    </w:p>
    <w:p w14:paraId="3F876FC7">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39" w:right="37" w:firstLine="640"/>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8"/>
          <w:sz w:val="28"/>
          <w:szCs w:val="28"/>
          <w:highlight w:val="none"/>
        </w:rPr>
        <w:t>月度考核：实行“基础考核+内控</w:t>
      </w:r>
      <w:r>
        <w:rPr>
          <w:rFonts w:hint="eastAsia" w:ascii="华文仿宋" w:hAnsi="华文仿宋" w:eastAsia="华文仿宋" w:cs="华文仿宋"/>
          <w:color w:val="auto"/>
          <w:spacing w:val="8"/>
          <w:sz w:val="28"/>
          <w:szCs w:val="28"/>
          <w:highlight w:val="none"/>
          <w:lang w:val="en-US" w:eastAsia="zh-CN"/>
        </w:rPr>
        <w:t>(绩效）</w:t>
      </w:r>
      <w:r>
        <w:rPr>
          <w:rFonts w:hint="eastAsia" w:ascii="华文仿宋" w:hAnsi="华文仿宋" w:eastAsia="华文仿宋" w:cs="华文仿宋"/>
          <w:color w:val="auto"/>
          <w:spacing w:val="8"/>
          <w:sz w:val="28"/>
          <w:szCs w:val="28"/>
          <w:highlight w:val="none"/>
        </w:rPr>
        <w:t>考核”的组合评价模式，</w:t>
      </w:r>
      <w:r>
        <w:rPr>
          <w:rFonts w:hint="eastAsia" w:ascii="华文仿宋" w:hAnsi="华文仿宋" w:eastAsia="华文仿宋" w:cs="华文仿宋"/>
          <w:color w:val="auto"/>
          <w:spacing w:val="30"/>
          <w:sz w:val="28"/>
          <w:szCs w:val="28"/>
          <w:highlight w:val="none"/>
        </w:rPr>
        <w:t>两项考核权重占比分别为80%、20%,综合得分即为月度考核</w:t>
      </w:r>
      <w:r>
        <w:rPr>
          <w:rFonts w:hint="eastAsia" w:ascii="华文仿宋" w:hAnsi="华文仿宋" w:eastAsia="华文仿宋" w:cs="华文仿宋"/>
          <w:color w:val="auto"/>
          <w:spacing w:val="-3"/>
          <w:sz w:val="28"/>
          <w:szCs w:val="28"/>
          <w:highlight w:val="none"/>
        </w:rPr>
        <w:t>最终成绩。</w:t>
      </w:r>
    </w:p>
    <w:p w14:paraId="3854B8C5">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39" w:right="2" w:firstLine="644"/>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12"/>
          <w:sz w:val="28"/>
          <w:szCs w:val="28"/>
          <w:highlight w:val="none"/>
        </w:rPr>
        <w:t>年终考核：</w:t>
      </w:r>
      <w:r>
        <w:rPr>
          <w:rFonts w:hint="eastAsia" w:ascii="华文仿宋" w:hAnsi="华文仿宋" w:eastAsia="华文仿宋" w:cs="华文仿宋"/>
          <w:color w:val="auto"/>
          <w:spacing w:val="-43"/>
          <w:sz w:val="28"/>
          <w:szCs w:val="28"/>
          <w:highlight w:val="none"/>
        </w:rPr>
        <w:t xml:space="preserve"> </w:t>
      </w:r>
      <w:r>
        <w:rPr>
          <w:rFonts w:hint="eastAsia" w:ascii="华文仿宋" w:hAnsi="华文仿宋" w:eastAsia="华文仿宋" w:cs="华文仿宋"/>
          <w:color w:val="auto"/>
          <w:spacing w:val="12"/>
          <w:sz w:val="28"/>
          <w:szCs w:val="28"/>
          <w:highlight w:val="none"/>
        </w:rPr>
        <w:t>以全年月度考核成绩为核心依据，结合年度专</w:t>
      </w:r>
      <w:r>
        <w:rPr>
          <w:rFonts w:hint="eastAsia" w:ascii="华文仿宋" w:hAnsi="华文仿宋" w:eastAsia="华文仿宋" w:cs="华文仿宋"/>
          <w:color w:val="auto"/>
          <w:spacing w:val="6"/>
          <w:sz w:val="28"/>
          <w:szCs w:val="28"/>
          <w:highlight w:val="none"/>
        </w:rPr>
        <w:t>项督查、综合评议等情况，形成年度考核最终结果。</w:t>
      </w:r>
    </w:p>
    <w:p w14:paraId="448D7DF4">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684"/>
        <w:textAlignment w:val="baseline"/>
        <w:outlineLvl w:val="2"/>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31"/>
          <w:sz w:val="28"/>
          <w:szCs w:val="28"/>
          <w:highlight w:val="none"/>
        </w:rPr>
        <w:t>1.基础考核(占比80%)</w:t>
      </w:r>
    </w:p>
    <w:p w14:paraId="4FB712DA">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39" w:firstLine="64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22"/>
          <w:sz w:val="28"/>
          <w:szCs w:val="28"/>
          <w:highlight w:val="none"/>
        </w:rPr>
        <w:t>基础考核总分为800分，包括社情民意满意度调查及工作</w:t>
      </w:r>
      <w:r>
        <w:rPr>
          <w:rFonts w:hint="eastAsia" w:ascii="华文仿宋" w:hAnsi="华文仿宋" w:eastAsia="华文仿宋" w:cs="华文仿宋"/>
          <w:color w:val="auto"/>
          <w:spacing w:val="27"/>
          <w:sz w:val="28"/>
          <w:szCs w:val="28"/>
          <w:highlight w:val="none"/>
        </w:rPr>
        <w:t>质效督导检查，各占比40%,分值各为40</w:t>
      </w:r>
      <w:r>
        <w:rPr>
          <w:rFonts w:hint="eastAsia" w:ascii="华文仿宋" w:hAnsi="华文仿宋" w:eastAsia="华文仿宋" w:cs="华文仿宋"/>
          <w:color w:val="auto"/>
          <w:spacing w:val="26"/>
          <w:sz w:val="28"/>
          <w:szCs w:val="28"/>
          <w:highlight w:val="none"/>
        </w:rPr>
        <w:t>0分。</w:t>
      </w:r>
    </w:p>
    <w:p w14:paraId="35EE7A12">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814"/>
        <w:textAlignment w:val="baseline"/>
        <w:outlineLvl w:val="2"/>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42"/>
          <w:sz w:val="28"/>
          <w:szCs w:val="28"/>
          <w:highlight w:val="none"/>
        </w:rPr>
        <w:t>(1)社情民意满意度调查(占比40%,总分400分)</w:t>
      </w:r>
    </w:p>
    <w:p w14:paraId="7EDB3502">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39" w:right="2" w:firstLine="64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21"/>
          <w:sz w:val="28"/>
          <w:szCs w:val="28"/>
          <w:highlight w:val="none"/>
        </w:rPr>
        <w:t>社情民意满意度调查包括线上和线下，各占比20%。线上</w:t>
      </w:r>
      <w:r>
        <w:rPr>
          <w:rFonts w:hint="eastAsia" w:ascii="华文仿宋" w:hAnsi="华文仿宋" w:eastAsia="华文仿宋" w:cs="华文仿宋"/>
          <w:color w:val="auto"/>
          <w:spacing w:val="16"/>
          <w:sz w:val="28"/>
          <w:szCs w:val="28"/>
          <w:highlight w:val="none"/>
        </w:rPr>
        <w:t>通过微信小程序进行为期一周的满意度调查，广泛收集社会公</w:t>
      </w:r>
      <w:r>
        <w:rPr>
          <w:rFonts w:hint="eastAsia" w:ascii="华文仿宋" w:hAnsi="华文仿宋" w:eastAsia="华文仿宋" w:cs="华文仿宋"/>
          <w:color w:val="auto"/>
          <w:spacing w:val="22"/>
          <w:sz w:val="28"/>
          <w:szCs w:val="28"/>
          <w:highlight w:val="none"/>
        </w:rPr>
        <w:t>众对相关工作的评价意见；线下随机抽选调查</w:t>
      </w:r>
      <w:r>
        <w:rPr>
          <w:rFonts w:hint="eastAsia" w:ascii="华文仿宋" w:hAnsi="华文仿宋" w:eastAsia="华文仿宋" w:cs="华文仿宋"/>
          <w:color w:val="auto"/>
          <w:spacing w:val="21"/>
          <w:sz w:val="28"/>
          <w:szCs w:val="28"/>
          <w:highlight w:val="none"/>
        </w:rPr>
        <w:t>对象300名，包</w:t>
      </w:r>
      <w:r>
        <w:rPr>
          <w:rFonts w:hint="eastAsia" w:ascii="华文仿宋" w:hAnsi="华文仿宋" w:eastAsia="华文仿宋" w:cs="华文仿宋"/>
          <w:color w:val="auto"/>
          <w:spacing w:val="30"/>
          <w:sz w:val="28"/>
          <w:szCs w:val="28"/>
          <w:highlight w:val="none"/>
        </w:rPr>
        <w:t>括城市居民150名、商户30家、人大代表20名、政协委员20</w:t>
      </w:r>
      <w:r>
        <w:rPr>
          <w:rFonts w:hint="eastAsia" w:ascii="华文仿宋" w:hAnsi="华文仿宋" w:eastAsia="华文仿宋" w:cs="华文仿宋"/>
          <w:color w:val="auto"/>
          <w:spacing w:val="26"/>
          <w:sz w:val="28"/>
          <w:szCs w:val="28"/>
          <w:highlight w:val="none"/>
        </w:rPr>
        <w:t>名、物业公司10家、行业部门30家、退休人员20名、外来人</w:t>
      </w:r>
      <w:r>
        <w:rPr>
          <w:rFonts w:hint="eastAsia" w:ascii="华文仿宋" w:hAnsi="华文仿宋" w:eastAsia="华文仿宋" w:cs="华文仿宋"/>
          <w:color w:val="auto"/>
          <w:spacing w:val="15"/>
          <w:sz w:val="28"/>
          <w:szCs w:val="28"/>
          <w:highlight w:val="none"/>
        </w:rPr>
        <w:t>员20名。问卷内容主要涵盖园林绿化养护、环卫保洁、市</w:t>
      </w:r>
      <w:r>
        <w:rPr>
          <w:rFonts w:hint="eastAsia" w:ascii="华文仿宋" w:hAnsi="华文仿宋" w:eastAsia="华文仿宋" w:cs="华文仿宋"/>
          <w:color w:val="auto"/>
          <w:sz w:val="28"/>
          <w:szCs w:val="28"/>
          <w:highlight w:val="none"/>
        </w:rPr>
        <w:t xml:space="preserve"> </w:t>
      </w:r>
      <w:r>
        <w:rPr>
          <w:rFonts w:hint="eastAsia" w:ascii="华文仿宋" w:hAnsi="华文仿宋" w:eastAsia="华文仿宋" w:cs="华文仿宋"/>
          <w:color w:val="auto"/>
          <w:spacing w:val="15"/>
          <w:sz w:val="28"/>
          <w:szCs w:val="28"/>
          <w:highlight w:val="none"/>
        </w:rPr>
        <w:t>政设施养护三大领域服务质量、服务效率、问题解决情况等方</w:t>
      </w:r>
      <w:r>
        <w:rPr>
          <w:rFonts w:hint="eastAsia" w:ascii="华文仿宋" w:hAnsi="华文仿宋" w:eastAsia="华文仿宋" w:cs="华文仿宋"/>
          <w:color w:val="auto"/>
          <w:spacing w:val="5"/>
          <w:sz w:val="28"/>
          <w:szCs w:val="28"/>
          <w:highlight w:val="none"/>
        </w:rPr>
        <w:t>面，以全面了解社会公众对项目实施的满意程度。</w:t>
      </w:r>
    </w:p>
    <w:p w14:paraId="3B211A88">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firstLine="721" w:firstLineChars="200"/>
        <w:textAlignment w:val="baseline"/>
        <w:outlineLvl w:val="2"/>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40"/>
          <w:sz w:val="28"/>
          <w:szCs w:val="28"/>
          <w:highlight w:val="none"/>
        </w:rPr>
        <w:t>(2)工作质效督导检查考核(占比40%,总分400分)</w:t>
      </w:r>
    </w:p>
    <w:p w14:paraId="72215683">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1" w:firstLine="644" w:firstLineChars="200"/>
        <w:jc w:val="both"/>
        <w:textAlignment w:val="baseline"/>
        <w:rPr>
          <w:rFonts w:hint="eastAsia" w:ascii="华文仿宋" w:hAnsi="华文仿宋" w:eastAsia="华文仿宋" w:cs="华文仿宋"/>
          <w:color w:val="auto"/>
          <w:spacing w:val="2"/>
          <w:sz w:val="28"/>
          <w:szCs w:val="28"/>
          <w:highlight w:val="none"/>
        </w:rPr>
      </w:pPr>
      <w:r>
        <w:rPr>
          <w:rFonts w:hint="eastAsia" w:ascii="华文仿宋" w:hAnsi="华文仿宋" w:eastAsia="华文仿宋" w:cs="华文仿宋"/>
          <w:color w:val="auto"/>
          <w:spacing w:val="21"/>
          <w:sz w:val="28"/>
          <w:szCs w:val="28"/>
          <w:highlight w:val="none"/>
        </w:rPr>
        <w:t>工作质效督导检查考核中环卫领域占比20%、园林领域占</w:t>
      </w:r>
      <w:r>
        <w:rPr>
          <w:rFonts w:hint="eastAsia" w:ascii="华文仿宋" w:hAnsi="华文仿宋" w:eastAsia="华文仿宋" w:cs="华文仿宋"/>
          <w:color w:val="auto"/>
          <w:spacing w:val="6"/>
          <w:sz w:val="28"/>
          <w:szCs w:val="28"/>
          <w:highlight w:val="none"/>
        </w:rPr>
        <w:t xml:space="preserve"> </w:t>
      </w:r>
      <w:r>
        <w:rPr>
          <w:rFonts w:hint="eastAsia" w:ascii="华文仿宋" w:hAnsi="华文仿宋" w:eastAsia="华文仿宋" w:cs="华文仿宋"/>
          <w:color w:val="auto"/>
          <w:spacing w:val="36"/>
          <w:sz w:val="28"/>
          <w:szCs w:val="28"/>
          <w:highlight w:val="none"/>
        </w:rPr>
        <w:t>比10%、市政领域占比10%),主要包括日常巡查督查考核和</w:t>
      </w:r>
      <w:r>
        <w:rPr>
          <w:rFonts w:hint="eastAsia" w:ascii="华文仿宋" w:hAnsi="华文仿宋" w:eastAsia="华文仿宋" w:cs="华文仿宋"/>
          <w:color w:val="auto"/>
          <w:spacing w:val="2"/>
          <w:sz w:val="28"/>
          <w:szCs w:val="28"/>
          <w:highlight w:val="none"/>
        </w:rPr>
        <w:t>专项督查检查考核两部分。</w:t>
      </w:r>
    </w:p>
    <w:p w14:paraId="592EC203">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firstLine="576" w:firstLineChars="200"/>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4"/>
          <w:sz w:val="28"/>
          <w:szCs w:val="28"/>
          <w:highlight w:val="none"/>
        </w:rPr>
        <w:t>日常巡查督查考核。按月开展常态化督导检查工作，对检</w:t>
      </w:r>
      <w:r>
        <w:rPr>
          <w:rFonts w:hint="eastAsia" w:ascii="华文仿宋" w:hAnsi="华文仿宋" w:eastAsia="华文仿宋" w:cs="华文仿宋"/>
          <w:color w:val="auto"/>
          <w:spacing w:val="12"/>
          <w:sz w:val="28"/>
          <w:szCs w:val="28"/>
          <w:highlight w:val="none"/>
        </w:rPr>
        <w:t xml:space="preserve"> </w:t>
      </w:r>
      <w:r>
        <w:rPr>
          <w:rFonts w:hint="eastAsia" w:ascii="华文仿宋" w:hAnsi="华文仿宋" w:eastAsia="华文仿宋" w:cs="华文仿宋"/>
          <w:color w:val="auto"/>
          <w:spacing w:val="6"/>
          <w:sz w:val="28"/>
          <w:szCs w:val="28"/>
          <w:highlight w:val="none"/>
        </w:rPr>
        <w:t>查发现的问题，第一时间交办</w:t>
      </w:r>
      <w:r>
        <w:rPr>
          <w:rFonts w:hint="eastAsia" w:ascii="华文仿宋" w:hAnsi="华文仿宋" w:eastAsia="华文仿宋" w:cs="华文仿宋"/>
          <w:color w:val="auto"/>
          <w:spacing w:val="6"/>
          <w:sz w:val="28"/>
          <w:szCs w:val="28"/>
          <w:highlight w:val="none"/>
          <w:lang w:val="en-US" w:eastAsia="zh-CN"/>
        </w:rPr>
        <w:t>项目单位</w:t>
      </w:r>
      <w:r>
        <w:rPr>
          <w:rFonts w:hint="eastAsia" w:ascii="华文仿宋" w:hAnsi="华文仿宋" w:eastAsia="华文仿宋" w:cs="华文仿宋"/>
          <w:color w:val="auto"/>
          <w:spacing w:val="6"/>
          <w:sz w:val="28"/>
          <w:szCs w:val="28"/>
          <w:highlight w:val="none"/>
        </w:rPr>
        <w:t>立行立改；对暂不</w:t>
      </w:r>
      <w:r>
        <w:rPr>
          <w:rFonts w:hint="eastAsia" w:ascii="华文仿宋" w:hAnsi="华文仿宋" w:eastAsia="华文仿宋" w:cs="华文仿宋"/>
          <w:color w:val="auto"/>
          <w:spacing w:val="11"/>
          <w:sz w:val="28"/>
          <w:szCs w:val="28"/>
          <w:highlight w:val="none"/>
        </w:rPr>
        <w:t xml:space="preserve">具备即时整改条件的，下发《限期整改通知书》,明确整改时 </w:t>
      </w:r>
      <w:r>
        <w:rPr>
          <w:rFonts w:hint="eastAsia" w:ascii="华文仿宋" w:hAnsi="华文仿宋" w:eastAsia="华文仿宋" w:cs="华文仿宋"/>
          <w:color w:val="auto"/>
          <w:spacing w:val="5"/>
          <w:sz w:val="28"/>
          <w:szCs w:val="28"/>
          <w:highlight w:val="none"/>
        </w:rPr>
        <w:t>限，督促按期整改到位；对未在规定时限内完成整改的，下发</w:t>
      </w:r>
      <w:r>
        <w:rPr>
          <w:rFonts w:hint="eastAsia" w:ascii="华文仿宋" w:hAnsi="华文仿宋" w:eastAsia="华文仿宋" w:cs="华文仿宋"/>
          <w:color w:val="auto"/>
          <w:spacing w:val="18"/>
          <w:sz w:val="28"/>
          <w:szCs w:val="28"/>
          <w:highlight w:val="none"/>
        </w:rPr>
        <w:t xml:space="preserve"> </w:t>
      </w:r>
      <w:r>
        <w:rPr>
          <w:rFonts w:hint="eastAsia" w:ascii="华文仿宋" w:hAnsi="华文仿宋" w:eastAsia="华文仿宋" w:cs="华文仿宋"/>
          <w:color w:val="auto"/>
          <w:spacing w:val="12"/>
          <w:sz w:val="28"/>
          <w:szCs w:val="28"/>
          <w:highlight w:val="none"/>
        </w:rPr>
        <w:t>《考核扣分通知单》,依规扣除相应考核分值，并责令限期整</w:t>
      </w:r>
      <w:r>
        <w:rPr>
          <w:rFonts w:hint="eastAsia" w:ascii="华文仿宋" w:hAnsi="华文仿宋" w:eastAsia="华文仿宋" w:cs="华文仿宋"/>
          <w:color w:val="auto"/>
          <w:spacing w:val="5"/>
          <w:sz w:val="28"/>
          <w:szCs w:val="28"/>
          <w:highlight w:val="none"/>
        </w:rPr>
        <w:t>改完毕。每月对督查发现问题、整改落实情况及考核扣分结果</w:t>
      </w:r>
      <w:r>
        <w:rPr>
          <w:rFonts w:hint="eastAsia" w:ascii="华文仿宋" w:hAnsi="华文仿宋" w:eastAsia="华文仿宋" w:cs="华文仿宋"/>
          <w:color w:val="auto"/>
          <w:spacing w:val="-4"/>
          <w:sz w:val="28"/>
          <w:szCs w:val="28"/>
          <w:highlight w:val="none"/>
        </w:rPr>
        <w:t>进行汇总梳理，形成专项报告及时上报。</w:t>
      </w:r>
    </w:p>
    <w:p w14:paraId="34573021">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36" w:firstLine="699"/>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4"/>
          <w:sz w:val="28"/>
          <w:szCs w:val="28"/>
          <w:highlight w:val="none"/>
        </w:rPr>
        <w:t>专项督查检查考核。结合季节交替特点、重大活</w:t>
      </w:r>
      <w:r>
        <w:rPr>
          <w:rFonts w:hint="eastAsia" w:ascii="华文仿宋" w:hAnsi="华文仿宋" w:eastAsia="华文仿宋" w:cs="华文仿宋"/>
          <w:color w:val="auto"/>
          <w:spacing w:val="3"/>
          <w:sz w:val="28"/>
          <w:szCs w:val="28"/>
          <w:highlight w:val="none"/>
        </w:rPr>
        <w:t>动保障部</w:t>
      </w:r>
      <w:r>
        <w:rPr>
          <w:rFonts w:hint="eastAsia" w:ascii="华文仿宋" w:hAnsi="华文仿宋" w:eastAsia="华文仿宋" w:cs="华文仿宋"/>
          <w:color w:val="auto"/>
          <w:sz w:val="28"/>
          <w:szCs w:val="28"/>
          <w:highlight w:val="none"/>
        </w:rPr>
        <w:t xml:space="preserve"> </w:t>
      </w:r>
      <w:r>
        <w:rPr>
          <w:rFonts w:hint="eastAsia" w:ascii="华文仿宋" w:hAnsi="华文仿宋" w:eastAsia="华文仿宋" w:cs="华文仿宋"/>
          <w:color w:val="auto"/>
          <w:spacing w:val="6"/>
          <w:sz w:val="28"/>
          <w:szCs w:val="28"/>
          <w:highlight w:val="none"/>
        </w:rPr>
        <w:t>署、市民集中反映的热点难点问题等情况，</w:t>
      </w:r>
      <w:r>
        <w:rPr>
          <w:rFonts w:hint="eastAsia" w:ascii="华文仿宋" w:hAnsi="华文仿宋" w:eastAsia="华文仿宋" w:cs="华文仿宋"/>
          <w:color w:val="auto"/>
          <w:spacing w:val="5"/>
          <w:sz w:val="28"/>
          <w:szCs w:val="28"/>
          <w:highlight w:val="none"/>
        </w:rPr>
        <w:t>不定期组织开展专</w:t>
      </w:r>
      <w:r>
        <w:rPr>
          <w:rFonts w:hint="eastAsia" w:ascii="华文仿宋" w:hAnsi="华文仿宋" w:eastAsia="华文仿宋" w:cs="华文仿宋"/>
          <w:color w:val="auto"/>
          <w:sz w:val="28"/>
          <w:szCs w:val="28"/>
          <w:highlight w:val="none"/>
        </w:rPr>
        <w:t xml:space="preserve"> </w:t>
      </w:r>
      <w:r>
        <w:rPr>
          <w:rFonts w:hint="eastAsia" w:ascii="华文仿宋" w:hAnsi="华文仿宋" w:eastAsia="华文仿宋" w:cs="华文仿宋"/>
          <w:color w:val="auto"/>
          <w:spacing w:val="5"/>
          <w:sz w:val="28"/>
          <w:szCs w:val="28"/>
          <w:highlight w:val="none"/>
        </w:rPr>
        <w:t>项督查检查考核。聚焦重点时段、重点区域、重点问题精准发</w:t>
      </w:r>
      <w:r>
        <w:rPr>
          <w:rFonts w:hint="eastAsia" w:ascii="华文仿宋" w:hAnsi="华文仿宋" w:eastAsia="华文仿宋" w:cs="华文仿宋"/>
          <w:color w:val="auto"/>
          <w:spacing w:val="18"/>
          <w:sz w:val="28"/>
          <w:szCs w:val="28"/>
          <w:highlight w:val="none"/>
        </w:rPr>
        <w:t xml:space="preserve"> 力，如在大型活动举办前，对活动周边及沿线的市政设施运</w:t>
      </w:r>
      <w:r>
        <w:rPr>
          <w:rFonts w:hint="eastAsia" w:ascii="华文仿宋" w:hAnsi="华文仿宋" w:eastAsia="华文仿宋" w:cs="华文仿宋"/>
          <w:color w:val="auto"/>
          <w:spacing w:val="5"/>
          <w:sz w:val="28"/>
          <w:szCs w:val="28"/>
          <w:highlight w:val="none"/>
        </w:rPr>
        <w:t>维、园林绿化管养、环境卫生保洁等情况开展专项检查，及时排查整治各类隐患。对专项检查发现的问题，参照日常巡查督</w:t>
      </w:r>
      <w:r>
        <w:rPr>
          <w:rFonts w:hint="eastAsia" w:ascii="华文仿宋" w:hAnsi="华文仿宋" w:eastAsia="华文仿宋" w:cs="华文仿宋"/>
          <w:color w:val="auto"/>
          <w:spacing w:val="-4"/>
          <w:sz w:val="28"/>
          <w:szCs w:val="28"/>
          <w:highlight w:val="none"/>
        </w:rPr>
        <w:t>查考核流程督促整改落实，并同步纳入月度考核结果汇总。</w:t>
      </w:r>
    </w:p>
    <w:p w14:paraId="17777D9C">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664"/>
        <w:textAlignment w:val="baseline"/>
        <w:outlineLvl w:val="1"/>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24"/>
          <w:sz w:val="28"/>
          <w:szCs w:val="28"/>
          <w:highlight w:val="none"/>
        </w:rPr>
        <w:t>2.</w:t>
      </w:r>
      <w:r>
        <w:rPr>
          <w:rFonts w:hint="eastAsia" w:ascii="华文仿宋" w:hAnsi="华文仿宋" w:eastAsia="华文仿宋" w:cs="华文仿宋"/>
          <w:color w:val="auto"/>
          <w:spacing w:val="-61"/>
          <w:sz w:val="28"/>
          <w:szCs w:val="28"/>
          <w:highlight w:val="none"/>
        </w:rPr>
        <w:t xml:space="preserve"> </w:t>
      </w:r>
      <w:r>
        <w:rPr>
          <w:rFonts w:hint="eastAsia" w:ascii="华文仿宋" w:hAnsi="华文仿宋" w:eastAsia="华文仿宋" w:cs="华文仿宋"/>
          <w:b/>
          <w:bCs/>
          <w:color w:val="auto"/>
          <w:spacing w:val="24"/>
          <w:sz w:val="28"/>
          <w:szCs w:val="28"/>
          <w:highlight w:val="none"/>
        </w:rPr>
        <w:t>内控</w:t>
      </w:r>
      <w:r>
        <w:rPr>
          <w:rFonts w:hint="eastAsia" w:ascii="华文仿宋" w:hAnsi="华文仿宋" w:eastAsia="华文仿宋" w:cs="华文仿宋"/>
          <w:b/>
          <w:bCs/>
          <w:color w:val="auto"/>
          <w:spacing w:val="24"/>
          <w:sz w:val="28"/>
          <w:szCs w:val="28"/>
          <w:highlight w:val="none"/>
          <w:lang w:eastAsia="zh-CN"/>
        </w:rPr>
        <w:t>（</w:t>
      </w:r>
      <w:r>
        <w:rPr>
          <w:rFonts w:hint="eastAsia" w:ascii="华文仿宋" w:hAnsi="华文仿宋" w:eastAsia="华文仿宋" w:cs="华文仿宋"/>
          <w:b/>
          <w:bCs/>
          <w:color w:val="auto"/>
          <w:spacing w:val="24"/>
          <w:sz w:val="28"/>
          <w:szCs w:val="28"/>
          <w:highlight w:val="none"/>
          <w:lang w:val="en-US" w:eastAsia="zh-CN"/>
        </w:rPr>
        <w:t>绩效）</w:t>
      </w:r>
      <w:r>
        <w:rPr>
          <w:rFonts w:hint="eastAsia" w:ascii="华文仿宋" w:hAnsi="华文仿宋" w:eastAsia="华文仿宋" w:cs="华文仿宋"/>
          <w:b/>
          <w:bCs/>
          <w:color w:val="auto"/>
          <w:spacing w:val="24"/>
          <w:sz w:val="28"/>
          <w:szCs w:val="28"/>
          <w:highlight w:val="none"/>
        </w:rPr>
        <w:t>考核评分(占比20%,分值200分)</w:t>
      </w:r>
    </w:p>
    <w:p w14:paraId="5262B85E">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1" w:firstLine="576" w:firstLineChars="200"/>
        <w:jc w:val="both"/>
        <w:textAlignment w:val="baseline"/>
        <w:rPr>
          <w:rFonts w:hint="eastAsia" w:ascii="华文仿宋" w:hAnsi="华文仿宋" w:eastAsia="华文仿宋" w:cs="华文仿宋"/>
          <w:color w:val="auto"/>
          <w:spacing w:val="2"/>
          <w:sz w:val="28"/>
          <w:szCs w:val="28"/>
          <w:highlight w:val="none"/>
          <w:lang w:val="en-US" w:eastAsia="zh-CN"/>
        </w:rPr>
      </w:pPr>
      <w:r>
        <w:rPr>
          <w:rFonts w:hint="eastAsia" w:ascii="华文仿宋" w:hAnsi="华文仿宋" w:eastAsia="华文仿宋" w:cs="华文仿宋"/>
          <w:color w:val="auto"/>
          <w:spacing w:val="4"/>
          <w:sz w:val="28"/>
          <w:szCs w:val="28"/>
          <w:highlight w:val="none"/>
          <w:lang w:val="en-US" w:eastAsia="zh-CN"/>
        </w:rPr>
        <w:t>依据本协议附件三</w:t>
      </w:r>
      <w:r>
        <w:rPr>
          <w:rFonts w:hint="eastAsia" w:ascii="华文仿宋" w:hAnsi="华文仿宋" w:eastAsia="华文仿宋" w:cs="华文仿宋"/>
          <w:color w:val="auto"/>
          <w:spacing w:val="4"/>
          <w:sz w:val="28"/>
          <w:szCs w:val="28"/>
          <w:highlight w:val="none"/>
        </w:rPr>
        <w:t>《“市政、</w:t>
      </w:r>
      <w:r>
        <w:rPr>
          <w:rFonts w:hint="eastAsia" w:ascii="华文仿宋" w:hAnsi="华文仿宋" w:eastAsia="华文仿宋" w:cs="华文仿宋"/>
          <w:color w:val="auto"/>
          <w:spacing w:val="18"/>
          <w:sz w:val="28"/>
          <w:szCs w:val="28"/>
          <w:highlight w:val="none"/>
        </w:rPr>
        <w:t xml:space="preserve"> </w:t>
      </w:r>
      <w:r>
        <w:rPr>
          <w:rFonts w:hint="eastAsia" w:ascii="华文仿宋" w:hAnsi="华文仿宋" w:eastAsia="华文仿宋" w:cs="华文仿宋"/>
          <w:color w:val="auto"/>
          <w:spacing w:val="11"/>
          <w:sz w:val="28"/>
          <w:szCs w:val="28"/>
          <w:highlight w:val="none"/>
        </w:rPr>
        <w:t>园林、环卫一体化”项目考核评价细则》</w:t>
      </w:r>
      <w:r>
        <w:rPr>
          <w:rFonts w:hint="eastAsia" w:ascii="华文仿宋" w:hAnsi="华文仿宋" w:eastAsia="华文仿宋" w:cs="华文仿宋"/>
          <w:color w:val="auto"/>
          <w:spacing w:val="11"/>
          <w:sz w:val="28"/>
          <w:szCs w:val="28"/>
          <w:highlight w:val="none"/>
          <w:lang w:val="en-US" w:eastAsia="zh-CN"/>
        </w:rPr>
        <w:t>执行</w:t>
      </w:r>
      <w:r>
        <w:rPr>
          <w:rFonts w:hint="eastAsia" w:ascii="华文仿宋" w:hAnsi="华文仿宋" w:eastAsia="华文仿宋" w:cs="华文仿宋"/>
          <w:color w:val="auto"/>
          <w:spacing w:val="11"/>
          <w:sz w:val="28"/>
          <w:szCs w:val="28"/>
          <w:highlight w:val="none"/>
        </w:rPr>
        <w:t>,主要涉及行风评议</w:t>
      </w:r>
      <w:r>
        <w:rPr>
          <w:rFonts w:hint="eastAsia" w:ascii="华文仿宋" w:hAnsi="华文仿宋" w:eastAsia="华文仿宋" w:cs="华文仿宋"/>
          <w:color w:val="auto"/>
          <w:spacing w:val="13"/>
          <w:sz w:val="28"/>
          <w:szCs w:val="28"/>
          <w:highlight w:val="none"/>
        </w:rPr>
        <w:t xml:space="preserve"> </w:t>
      </w:r>
      <w:r>
        <w:rPr>
          <w:rFonts w:hint="eastAsia" w:ascii="华文仿宋" w:hAnsi="华文仿宋" w:eastAsia="华文仿宋" w:cs="华文仿宋"/>
          <w:color w:val="auto"/>
          <w:spacing w:val="18"/>
          <w:sz w:val="28"/>
          <w:szCs w:val="28"/>
          <w:highlight w:val="none"/>
        </w:rPr>
        <w:t>及公众监督(信访投诉管理)、安全管理、应急保障、</w:t>
      </w:r>
      <w:r>
        <w:rPr>
          <w:rFonts w:hint="eastAsia" w:ascii="华文仿宋" w:hAnsi="华文仿宋" w:eastAsia="华文仿宋" w:cs="华文仿宋"/>
          <w:color w:val="auto"/>
          <w:spacing w:val="17"/>
          <w:sz w:val="28"/>
          <w:szCs w:val="28"/>
          <w:highlight w:val="none"/>
        </w:rPr>
        <w:t>资料管</w:t>
      </w:r>
      <w:r>
        <w:rPr>
          <w:rFonts w:hint="eastAsia" w:ascii="华文仿宋" w:hAnsi="华文仿宋" w:eastAsia="华文仿宋" w:cs="华文仿宋"/>
          <w:color w:val="auto"/>
          <w:spacing w:val="6"/>
          <w:sz w:val="28"/>
          <w:szCs w:val="28"/>
          <w:highlight w:val="none"/>
        </w:rPr>
        <w:t>理、人员管理、文明作业、问题整改等方面。具体考核内容围绕项目运营全流程设定，涵盖但不限于：工作计划的科学制定与刚性执行、各项规章制度的建立完善与落</w:t>
      </w:r>
      <w:r>
        <w:rPr>
          <w:rFonts w:hint="eastAsia" w:ascii="华文仿宋" w:hAnsi="华文仿宋" w:eastAsia="华文仿宋" w:cs="华文仿宋"/>
          <w:color w:val="auto"/>
          <w:spacing w:val="5"/>
          <w:sz w:val="28"/>
          <w:szCs w:val="28"/>
          <w:highlight w:val="none"/>
        </w:rPr>
        <w:t>地执行效果、突发</w:t>
      </w:r>
      <w:r>
        <w:rPr>
          <w:rFonts w:hint="eastAsia" w:ascii="华文仿宋" w:hAnsi="华文仿宋" w:eastAsia="华文仿宋" w:cs="华文仿宋"/>
          <w:color w:val="auto"/>
          <w:spacing w:val="-3"/>
          <w:sz w:val="28"/>
          <w:szCs w:val="28"/>
          <w:highlight w:val="none"/>
        </w:rPr>
        <w:t>情况应急处置能力、实地督查发现问题的整改闭环情况等。</w:t>
      </w:r>
    </w:p>
    <w:p w14:paraId="7C8E02FE">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firstLine="525" w:firstLineChars="200"/>
        <w:textAlignment w:val="baseline"/>
        <w:outlineLvl w:val="2"/>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9"/>
          <w:sz w:val="28"/>
          <w:szCs w:val="28"/>
          <w:highlight w:val="none"/>
        </w:rPr>
        <w:t>3.年终考核</w:t>
      </w:r>
    </w:p>
    <w:p w14:paraId="76A9C048">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16" w:firstLine="624" w:firstLineChars="200"/>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6"/>
          <w:sz w:val="28"/>
          <w:szCs w:val="28"/>
          <w:highlight w:val="none"/>
        </w:rPr>
        <w:t>以全年月度考核成绩为核心依据，统筹年度专项督查、综</w:t>
      </w:r>
      <w:r>
        <w:rPr>
          <w:rFonts w:hint="eastAsia" w:ascii="华文仿宋" w:hAnsi="华文仿宋" w:eastAsia="华文仿宋" w:cs="华文仿宋"/>
          <w:color w:val="auto"/>
          <w:spacing w:val="17"/>
          <w:sz w:val="28"/>
          <w:szCs w:val="28"/>
          <w:highlight w:val="none"/>
        </w:rPr>
        <w:t>合评议等情况，按照定量与定性相结合的方式综合研判，最终形成年度考核结果，考核结果作为项目运营成效评价</w:t>
      </w:r>
      <w:r>
        <w:rPr>
          <w:rFonts w:hint="eastAsia" w:ascii="华文仿宋" w:hAnsi="华文仿宋" w:eastAsia="华文仿宋" w:cs="华文仿宋"/>
          <w:color w:val="auto"/>
          <w:spacing w:val="16"/>
          <w:sz w:val="28"/>
          <w:szCs w:val="28"/>
          <w:highlight w:val="none"/>
        </w:rPr>
        <w:t>、后续合</w:t>
      </w:r>
      <w:r>
        <w:rPr>
          <w:rFonts w:hint="eastAsia" w:ascii="华文仿宋" w:hAnsi="华文仿宋" w:eastAsia="华文仿宋" w:cs="华文仿宋"/>
          <w:color w:val="auto"/>
          <w:spacing w:val="2"/>
          <w:sz w:val="28"/>
          <w:szCs w:val="28"/>
          <w:highlight w:val="none"/>
        </w:rPr>
        <w:t>作及奖惩兑现的重要依据。</w:t>
      </w:r>
    </w:p>
    <w:p w14:paraId="466A23D5">
      <w:pPr>
        <w:keepNext w:val="0"/>
        <w:keepLines w:val="0"/>
        <w:pageBreakBefore w:val="0"/>
        <w:widowControl/>
        <w:kinsoku w:val="0"/>
        <w:wordWrap/>
        <w:overflowPunct/>
        <w:topLinePunct w:val="0"/>
        <w:autoSpaceDE w:val="0"/>
        <w:autoSpaceDN w:val="0"/>
        <w:bidi w:val="0"/>
        <w:adjustRightInd w:val="0"/>
        <w:snapToGrid w:val="0"/>
        <w:spacing w:line="520" w:lineRule="exact"/>
        <w:ind w:left="684"/>
        <w:textAlignment w:val="baseline"/>
        <w:outlineLvl w:val="2"/>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z w:val="28"/>
          <w:szCs w:val="28"/>
          <w:highlight w:val="none"/>
        </w:rPr>
        <w:t>四、考核流程</w:t>
      </w:r>
    </w:p>
    <w:p w14:paraId="7076A7A5">
      <w:pPr>
        <w:keepNext w:val="0"/>
        <w:keepLines w:val="0"/>
        <w:pageBreakBefore w:val="0"/>
        <w:widowControl/>
        <w:kinsoku w:val="0"/>
        <w:wordWrap/>
        <w:overflowPunct/>
        <w:topLinePunct w:val="0"/>
        <w:autoSpaceDE w:val="0"/>
        <w:autoSpaceDN w:val="0"/>
        <w:bidi w:val="0"/>
        <w:adjustRightInd w:val="0"/>
        <w:snapToGrid w:val="0"/>
        <w:spacing w:line="520" w:lineRule="exact"/>
        <w:ind w:left="794"/>
        <w:textAlignment w:val="baseline"/>
        <w:outlineLvl w:val="2"/>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17"/>
          <w:sz w:val="28"/>
          <w:szCs w:val="28"/>
          <w:highlight w:val="none"/>
        </w:rPr>
        <w:t>(</w:t>
      </w:r>
      <w:r>
        <w:rPr>
          <w:rFonts w:hint="eastAsia" w:ascii="华文仿宋" w:hAnsi="华文仿宋" w:eastAsia="华文仿宋" w:cs="华文仿宋"/>
          <w:color w:val="auto"/>
          <w:spacing w:val="-86"/>
          <w:sz w:val="28"/>
          <w:szCs w:val="28"/>
          <w:highlight w:val="none"/>
        </w:rPr>
        <w:t xml:space="preserve"> </w:t>
      </w:r>
      <w:r>
        <w:rPr>
          <w:rFonts w:hint="eastAsia" w:ascii="华文仿宋" w:hAnsi="华文仿宋" w:eastAsia="华文仿宋" w:cs="华文仿宋"/>
          <w:b/>
          <w:bCs/>
          <w:color w:val="auto"/>
          <w:spacing w:val="17"/>
          <w:sz w:val="28"/>
          <w:szCs w:val="28"/>
          <w:highlight w:val="none"/>
        </w:rPr>
        <w:t>一)准备阶段</w:t>
      </w:r>
    </w:p>
    <w:p w14:paraId="11820A8A">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20" w:right="37" w:firstLine="660"/>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6"/>
          <w:sz w:val="28"/>
          <w:szCs w:val="28"/>
          <w:highlight w:val="none"/>
        </w:rPr>
        <w:t>每月考核前，由市住建局组织成立考核小组，明确</w:t>
      </w:r>
      <w:r>
        <w:rPr>
          <w:rFonts w:hint="eastAsia" w:ascii="华文仿宋" w:hAnsi="华文仿宋" w:eastAsia="华文仿宋" w:cs="华文仿宋"/>
          <w:color w:val="auto"/>
          <w:spacing w:val="15"/>
          <w:sz w:val="28"/>
          <w:szCs w:val="28"/>
          <w:highlight w:val="none"/>
        </w:rPr>
        <w:t>考核时</w:t>
      </w:r>
      <w:r>
        <w:rPr>
          <w:rFonts w:hint="eastAsia" w:ascii="华文仿宋" w:hAnsi="华文仿宋" w:eastAsia="华文仿宋" w:cs="华文仿宋"/>
          <w:color w:val="auto"/>
          <w:spacing w:val="16"/>
          <w:sz w:val="28"/>
          <w:szCs w:val="28"/>
          <w:highlight w:val="none"/>
        </w:rPr>
        <w:t>间、人员及考核范围。同时，做好社情民意满意度调查的准备</w:t>
      </w:r>
      <w:r>
        <w:rPr>
          <w:rFonts w:hint="eastAsia" w:ascii="华文仿宋" w:hAnsi="华文仿宋" w:eastAsia="华文仿宋" w:cs="华文仿宋"/>
          <w:color w:val="auto"/>
          <w:spacing w:val="1"/>
          <w:sz w:val="28"/>
          <w:szCs w:val="28"/>
          <w:highlight w:val="none"/>
        </w:rPr>
        <w:t>工作，确保调查的有效性和回收率。</w:t>
      </w:r>
    </w:p>
    <w:p w14:paraId="3609EC42">
      <w:pPr>
        <w:keepNext w:val="0"/>
        <w:keepLines w:val="0"/>
        <w:pageBreakBefore w:val="0"/>
        <w:widowControl/>
        <w:kinsoku w:val="0"/>
        <w:wordWrap/>
        <w:overflowPunct/>
        <w:topLinePunct w:val="0"/>
        <w:autoSpaceDE w:val="0"/>
        <w:autoSpaceDN w:val="0"/>
        <w:bidi w:val="0"/>
        <w:adjustRightInd w:val="0"/>
        <w:snapToGrid w:val="0"/>
        <w:spacing w:line="520" w:lineRule="exact"/>
        <w:ind w:left="79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31"/>
          <w:sz w:val="28"/>
          <w:szCs w:val="28"/>
          <w:highlight w:val="none"/>
        </w:rPr>
        <w:t>(二)实施阶段</w:t>
      </w:r>
    </w:p>
    <w:p w14:paraId="720A898E">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20" w:right="18" w:firstLine="66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21"/>
          <w:sz w:val="28"/>
          <w:szCs w:val="28"/>
          <w:highlight w:val="none"/>
        </w:rPr>
        <w:t>1.社情民意满意度调查：每月1日至7日期间，通过</w:t>
      </w:r>
      <w:r>
        <w:rPr>
          <w:rFonts w:hint="eastAsia" w:ascii="华文仿宋" w:hAnsi="华文仿宋" w:eastAsia="华文仿宋" w:cs="华文仿宋"/>
          <w:color w:val="auto"/>
          <w:spacing w:val="20"/>
          <w:sz w:val="28"/>
          <w:szCs w:val="28"/>
          <w:highlight w:val="none"/>
        </w:rPr>
        <w:t>线上+</w:t>
      </w:r>
      <w:r>
        <w:rPr>
          <w:rFonts w:hint="eastAsia" w:ascii="华文仿宋" w:hAnsi="华文仿宋" w:eastAsia="华文仿宋" w:cs="华文仿宋"/>
          <w:color w:val="auto"/>
          <w:sz w:val="28"/>
          <w:szCs w:val="28"/>
          <w:highlight w:val="none"/>
        </w:rPr>
        <w:t xml:space="preserve"> </w:t>
      </w:r>
      <w:r>
        <w:rPr>
          <w:rFonts w:hint="eastAsia" w:ascii="华文仿宋" w:hAnsi="华文仿宋" w:eastAsia="华文仿宋" w:cs="华文仿宋"/>
          <w:color w:val="auto"/>
          <w:spacing w:val="17"/>
          <w:sz w:val="28"/>
          <w:szCs w:val="28"/>
          <w:highlight w:val="none"/>
        </w:rPr>
        <w:t>线下发放调查问卷，及时收集上月公众反馈意见，考核小组做</w:t>
      </w:r>
      <w:r>
        <w:rPr>
          <w:rFonts w:hint="eastAsia" w:ascii="华文仿宋" w:hAnsi="华文仿宋" w:eastAsia="华文仿宋" w:cs="华文仿宋"/>
          <w:color w:val="auto"/>
          <w:spacing w:val="7"/>
          <w:sz w:val="28"/>
          <w:szCs w:val="28"/>
          <w:highlight w:val="none"/>
        </w:rPr>
        <w:t>好问卷的回收、整理和统计工作，确保数据的</w:t>
      </w:r>
      <w:r>
        <w:rPr>
          <w:rFonts w:hint="eastAsia" w:ascii="华文仿宋" w:hAnsi="华文仿宋" w:eastAsia="华文仿宋" w:cs="华文仿宋"/>
          <w:color w:val="auto"/>
          <w:spacing w:val="6"/>
          <w:sz w:val="28"/>
          <w:szCs w:val="28"/>
          <w:highlight w:val="none"/>
        </w:rPr>
        <w:t>准确性。</w:t>
      </w:r>
    </w:p>
    <w:p w14:paraId="06BF753A">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20" w:firstLine="66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4"/>
          <w:sz w:val="28"/>
          <w:szCs w:val="28"/>
          <w:highlight w:val="none"/>
        </w:rPr>
        <w:t>2.工作质效考核：</w:t>
      </w:r>
      <w:r>
        <w:rPr>
          <w:rFonts w:hint="eastAsia" w:ascii="华文仿宋" w:hAnsi="华文仿宋" w:eastAsia="华文仿宋" w:cs="华文仿宋"/>
          <w:color w:val="auto"/>
          <w:spacing w:val="-81"/>
          <w:sz w:val="28"/>
          <w:szCs w:val="28"/>
          <w:highlight w:val="none"/>
        </w:rPr>
        <w:t xml:space="preserve"> </w:t>
      </w:r>
      <w:r>
        <w:rPr>
          <w:rFonts w:hint="eastAsia" w:ascii="华文仿宋" w:hAnsi="华文仿宋" w:eastAsia="华文仿宋" w:cs="华文仿宋"/>
          <w:color w:val="auto"/>
          <w:spacing w:val="14"/>
          <w:sz w:val="28"/>
          <w:szCs w:val="28"/>
          <w:highlight w:val="none"/>
        </w:rPr>
        <w:t>市政、园林、环卫三大领域组织督查人</w:t>
      </w:r>
      <w:r>
        <w:rPr>
          <w:rFonts w:hint="eastAsia" w:ascii="华文仿宋" w:hAnsi="华文仿宋" w:eastAsia="华文仿宋" w:cs="华文仿宋"/>
          <w:color w:val="auto"/>
          <w:spacing w:val="15"/>
          <w:sz w:val="28"/>
          <w:szCs w:val="28"/>
          <w:highlight w:val="none"/>
        </w:rPr>
        <w:t>员，依据《考核细则》常态化开展日常督查</w:t>
      </w:r>
      <w:r>
        <w:rPr>
          <w:rFonts w:hint="eastAsia" w:ascii="华文仿宋" w:hAnsi="华文仿宋" w:eastAsia="华文仿宋" w:cs="华文仿宋"/>
          <w:color w:val="auto"/>
          <w:spacing w:val="14"/>
          <w:sz w:val="28"/>
          <w:szCs w:val="28"/>
          <w:highlight w:val="none"/>
        </w:rPr>
        <w:t>考核，每月28日前</w:t>
      </w:r>
      <w:r>
        <w:rPr>
          <w:rFonts w:hint="eastAsia" w:ascii="华文仿宋" w:hAnsi="华文仿宋" w:eastAsia="华文仿宋" w:cs="华文仿宋"/>
          <w:color w:val="auto"/>
          <w:spacing w:val="17"/>
          <w:sz w:val="28"/>
          <w:szCs w:val="28"/>
          <w:highlight w:val="none"/>
        </w:rPr>
        <w:t>提交日常督查考核情况报告；考核小组结合专项督查检查考核</w:t>
      </w:r>
      <w:r>
        <w:rPr>
          <w:rFonts w:hint="eastAsia" w:ascii="华文仿宋" w:hAnsi="华文仿宋" w:eastAsia="华文仿宋" w:cs="华文仿宋"/>
          <w:color w:val="auto"/>
          <w:spacing w:val="2"/>
          <w:sz w:val="28"/>
          <w:szCs w:val="28"/>
          <w:highlight w:val="none"/>
        </w:rPr>
        <w:t>情况，汇总月度工作质效考核结果。</w:t>
      </w:r>
    </w:p>
    <w:p w14:paraId="37EB6F4B">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left="20" w:right="17" w:firstLine="660"/>
        <w:textAlignment w:val="baseline"/>
        <w:rPr>
          <w:rFonts w:hint="eastAsia" w:ascii="华文仿宋" w:hAnsi="华文仿宋" w:eastAsia="华文仿宋" w:cs="华文仿宋"/>
          <w:color w:val="auto"/>
          <w:spacing w:val="6"/>
          <w:sz w:val="28"/>
          <w:szCs w:val="28"/>
          <w:highlight w:val="none"/>
        </w:rPr>
      </w:pPr>
      <w:r>
        <w:rPr>
          <w:rFonts w:hint="eastAsia" w:ascii="华文仿宋" w:hAnsi="华文仿宋" w:eastAsia="华文仿宋" w:cs="华文仿宋"/>
          <w:color w:val="auto"/>
          <w:spacing w:val="19"/>
          <w:sz w:val="28"/>
          <w:szCs w:val="28"/>
          <w:highlight w:val="none"/>
        </w:rPr>
        <w:t>3.</w:t>
      </w:r>
      <w:r>
        <w:rPr>
          <w:rFonts w:hint="eastAsia" w:ascii="华文仿宋" w:hAnsi="华文仿宋" w:eastAsia="华文仿宋" w:cs="华文仿宋"/>
          <w:color w:val="auto"/>
          <w:spacing w:val="-74"/>
          <w:sz w:val="28"/>
          <w:szCs w:val="28"/>
          <w:highlight w:val="none"/>
        </w:rPr>
        <w:t xml:space="preserve"> </w:t>
      </w:r>
      <w:r>
        <w:rPr>
          <w:rFonts w:hint="eastAsia" w:ascii="华文仿宋" w:hAnsi="华文仿宋" w:eastAsia="华文仿宋" w:cs="华文仿宋"/>
          <w:color w:val="auto"/>
          <w:spacing w:val="19"/>
          <w:sz w:val="28"/>
          <w:szCs w:val="28"/>
          <w:highlight w:val="none"/>
        </w:rPr>
        <w:t>内控考核：考核小组按照《考核细则》,对项目单位进</w:t>
      </w:r>
      <w:r>
        <w:rPr>
          <w:rFonts w:hint="eastAsia" w:ascii="华文仿宋" w:hAnsi="华文仿宋" w:eastAsia="华文仿宋" w:cs="华文仿宋"/>
          <w:color w:val="auto"/>
          <w:spacing w:val="7"/>
          <w:sz w:val="28"/>
          <w:szCs w:val="28"/>
          <w:highlight w:val="none"/>
        </w:rPr>
        <w:t>行现场查阅资料和实地督导检查，及时反馈并督</w:t>
      </w:r>
      <w:r>
        <w:rPr>
          <w:rFonts w:hint="eastAsia" w:ascii="华文仿宋" w:hAnsi="华文仿宋" w:eastAsia="华文仿宋" w:cs="华文仿宋"/>
          <w:color w:val="auto"/>
          <w:spacing w:val="6"/>
          <w:sz w:val="28"/>
          <w:szCs w:val="28"/>
          <w:highlight w:val="none"/>
        </w:rPr>
        <w:t>促问题整改。</w:t>
      </w:r>
    </w:p>
    <w:p w14:paraId="48BFAC1B">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17" w:firstLine="672" w:firstLineChars="20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28"/>
          <w:sz w:val="28"/>
          <w:szCs w:val="28"/>
          <w:highlight w:val="none"/>
        </w:rPr>
        <w:t>(三)汇总与评价阶段</w:t>
      </w:r>
    </w:p>
    <w:p w14:paraId="49C62993">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firstLine="588" w:firstLineChars="200"/>
        <w:textAlignment w:val="baseline"/>
        <w:rPr>
          <w:rFonts w:hint="eastAsia" w:ascii="华文仿宋" w:hAnsi="华文仿宋" w:eastAsia="华文仿宋" w:cs="华文仿宋"/>
          <w:color w:val="auto"/>
          <w:spacing w:val="11"/>
          <w:sz w:val="28"/>
          <w:szCs w:val="28"/>
          <w:highlight w:val="none"/>
        </w:rPr>
      </w:pPr>
      <w:r>
        <w:rPr>
          <w:rFonts w:hint="eastAsia" w:ascii="华文仿宋" w:hAnsi="华文仿宋" w:eastAsia="华文仿宋" w:cs="华文仿宋"/>
          <w:color w:val="auto"/>
          <w:spacing w:val="7"/>
          <w:sz w:val="28"/>
          <w:szCs w:val="28"/>
          <w:highlight w:val="none"/>
        </w:rPr>
        <w:t>1.社情民意满意度汇总：月度考核按照千分制计</w:t>
      </w:r>
      <w:r>
        <w:rPr>
          <w:rFonts w:hint="eastAsia" w:ascii="华文仿宋" w:hAnsi="华文仿宋" w:eastAsia="华文仿宋" w:cs="华文仿宋"/>
          <w:color w:val="auto"/>
          <w:spacing w:val="6"/>
          <w:sz w:val="28"/>
          <w:szCs w:val="28"/>
          <w:highlight w:val="none"/>
        </w:rPr>
        <w:t>算，其中</w:t>
      </w:r>
      <w:r>
        <w:rPr>
          <w:rFonts w:hint="eastAsia" w:ascii="华文仿宋" w:hAnsi="华文仿宋" w:eastAsia="华文仿宋" w:cs="华文仿宋"/>
          <w:color w:val="auto"/>
          <w:sz w:val="28"/>
          <w:szCs w:val="28"/>
          <w:highlight w:val="none"/>
        </w:rPr>
        <w:t xml:space="preserve"> </w:t>
      </w:r>
      <w:r>
        <w:rPr>
          <w:rFonts w:hint="eastAsia" w:ascii="华文仿宋" w:hAnsi="华文仿宋" w:eastAsia="华文仿宋" w:cs="华文仿宋"/>
          <w:color w:val="auto"/>
          <w:spacing w:val="33"/>
          <w:sz w:val="28"/>
          <w:szCs w:val="28"/>
          <w:highlight w:val="none"/>
        </w:rPr>
        <w:t>满意度调查400分(占比40%),实际得分=合格的调查样本数</w:t>
      </w:r>
      <w:r>
        <w:rPr>
          <w:rFonts w:hint="eastAsia" w:ascii="华文仿宋" w:hAnsi="华文仿宋" w:eastAsia="华文仿宋" w:cs="华文仿宋"/>
          <w:color w:val="auto"/>
          <w:spacing w:val="17"/>
          <w:sz w:val="28"/>
          <w:szCs w:val="28"/>
          <w:highlight w:val="none"/>
        </w:rPr>
        <w:t xml:space="preserve"> </w:t>
      </w:r>
      <w:r>
        <w:rPr>
          <w:rFonts w:hint="eastAsia" w:ascii="华文仿宋" w:hAnsi="华文仿宋" w:eastAsia="华文仿宋" w:cs="华文仿宋"/>
          <w:color w:val="auto"/>
          <w:spacing w:val="11"/>
          <w:sz w:val="28"/>
          <w:szCs w:val="28"/>
          <w:highlight w:val="none"/>
        </w:rPr>
        <w:t>(线上+线下)÷调查总样本数×400分。</w:t>
      </w:r>
    </w:p>
    <w:p w14:paraId="0AE28DEE">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firstLine="608" w:firstLineChars="20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2"/>
          <w:sz w:val="28"/>
          <w:szCs w:val="28"/>
          <w:highlight w:val="none"/>
        </w:rPr>
        <w:t>2.工作质效考核汇总：</w:t>
      </w:r>
      <w:r>
        <w:rPr>
          <w:rFonts w:hint="eastAsia" w:ascii="华文仿宋" w:hAnsi="华文仿宋" w:eastAsia="华文仿宋" w:cs="华文仿宋"/>
          <w:color w:val="auto"/>
          <w:spacing w:val="-58"/>
          <w:sz w:val="28"/>
          <w:szCs w:val="28"/>
          <w:highlight w:val="none"/>
        </w:rPr>
        <w:t xml:space="preserve"> </w:t>
      </w:r>
      <w:r>
        <w:rPr>
          <w:rFonts w:hint="eastAsia" w:ascii="华文仿宋" w:hAnsi="华文仿宋" w:eastAsia="华文仿宋" w:cs="华文仿宋"/>
          <w:color w:val="auto"/>
          <w:spacing w:val="12"/>
          <w:sz w:val="28"/>
          <w:szCs w:val="28"/>
          <w:highlight w:val="none"/>
        </w:rPr>
        <w:t>月度考核按照千分制计算，其中工</w:t>
      </w:r>
      <w:r>
        <w:rPr>
          <w:rFonts w:hint="eastAsia" w:ascii="华文仿宋" w:hAnsi="华文仿宋" w:eastAsia="华文仿宋" w:cs="华文仿宋"/>
          <w:color w:val="auto"/>
          <w:spacing w:val="41"/>
          <w:sz w:val="28"/>
          <w:szCs w:val="28"/>
          <w:highlight w:val="none"/>
        </w:rPr>
        <w:t>作质效考核400分(占比40%),依据市政、园林、环卫三大</w:t>
      </w:r>
      <w:r>
        <w:rPr>
          <w:rFonts w:hint="eastAsia" w:ascii="华文仿宋" w:hAnsi="华文仿宋" w:eastAsia="华文仿宋" w:cs="华文仿宋"/>
          <w:color w:val="auto"/>
          <w:spacing w:val="16"/>
          <w:sz w:val="28"/>
          <w:szCs w:val="28"/>
          <w:highlight w:val="none"/>
        </w:rPr>
        <w:t>领域日常巡查督查考核及专项督查检查考核情况报告，</w:t>
      </w:r>
      <w:r>
        <w:rPr>
          <w:rFonts w:hint="eastAsia" w:ascii="华文仿宋" w:hAnsi="华文仿宋" w:eastAsia="华文仿宋" w:cs="华文仿宋"/>
          <w:color w:val="auto"/>
          <w:spacing w:val="15"/>
          <w:sz w:val="28"/>
          <w:szCs w:val="28"/>
          <w:highlight w:val="none"/>
        </w:rPr>
        <w:t>汇总最</w:t>
      </w:r>
      <w:r>
        <w:rPr>
          <w:rFonts w:hint="eastAsia" w:ascii="华文仿宋" w:hAnsi="华文仿宋" w:eastAsia="华文仿宋" w:cs="华文仿宋"/>
          <w:color w:val="auto"/>
          <w:spacing w:val="21"/>
          <w:sz w:val="28"/>
          <w:szCs w:val="28"/>
          <w:highlight w:val="none"/>
        </w:rPr>
        <w:t>终得分。最终得分=市政领域得分+园林领域得分+</w:t>
      </w:r>
      <w:r>
        <w:rPr>
          <w:rFonts w:hint="eastAsia" w:ascii="华文仿宋" w:hAnsi="华文仿宋" w:eastAsia="华文仿宋" w:cs="华文仿宋"/>
          <w:color w:val="auto"/>
          <w:spacing w:val="20"/>
          <w:sz w:val="28"/>
          <w:szCs w:val="28"/>
          <w:highlight w:val="none"/>
        </w:rPr>
        <w:t>环卫领域得</w:t>
      </w:r>
      <w:r>
        <w:rPr>
          <w:rFonts w:hint="eastAsia" w:ascii="华文仿宋" w:hAnsi="华文仿宋" w:eastAsia="华文仿宋" w:cs="华文仿宋"/>
          <w:color w:val="auto"/>
          <w:spacing w:val="-9"/>
          <w:sz w:val="28"/>
          <w:szCs w:val="28"/>
          <w:highlight w:val="none"/>
        </w:rPr>
        <w:t>分。</w:t>
      </w:r>
    </w:p>
    <w:p w14:paraId="574F76FD">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9" w:firstLine="669"/>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1"/>
          <w:sz w:val="28"/>
          <w:szCs w:val="28"/>
          <w:highlight w:val="none"/>
        </w:rPr>
        <w:t>3.内控</w:t>
      </w:r>
      <w:r>
        <w:rPr>
          <w:rFonts w:hint="eastAsia" w:ascii="华文仿宋" w:hAnsi="华文仿宋" w:eastAsia="华文仿宋" w:cs="华文仿宋"/>
          <w:color w:val="auto"/>
          <w:spacing w:val="11"/>
          <w:sz w:val="28"/>
          <w:szCs w:val="28"/>
          <w:highlight w:val="none"/>
          <w:lang w:eastAsia="zh-CN"/>
        </w:rPr>
        <w:t>（</w:t>
      </w:r>
      <w:r>
        <w:rPr>
          <w:rFonts w:hint="eastAsia" w:ascii="华文仿宋" w:hAnsi="华文仿宋" w:eastAsia="华文仿宋" w:cs="华文仿宋"/>
          <w:color w:val="auto"/>
          <w:spacing w:val="11"/>
          <w:sz w:val="28"/>
          <w:szCs w:val="28"/>
          <w:highlight w:val="none"/>
          <w:lang w:val="en-US" w:eastAsia="zh-CN"/>
        </w:rPr>
        <w:t>绩效）</w:t>
      </w:r>
      <w:r>
        <w:rPr>
          <w:rFonts w:hint="eastAsia" w:ascii="华文仿宋" w:hAnsi="华文仿宋" w:eastAsia="华文仿宋" w:cs="华文仿宋"/>
          <w:color w:val="auto"/>
          <w:spacing w:val="11"/>
          <w:sz w:val="28"/>
          <w:szCs w:val="28"/>
          <w:highlight w:val="none"/>
        </w:rPr>
        <w:t>考核汇总：</w:t>
      </w:r>
      <w:r>
        <w:rPr>
          <w:rFonts w:hint="eastAsia" w:ascii="华文仿宋" w:hAnsi="华文仿宋" w:eastAsia="华文仿宋" w:cs="华文仿宋"/>
          <w:color w:val="auto"/>
          <w:spacing w:val="-62"/>
          <w:sz w:val="28"/>
          <w:szCs w:val="28"/>
          <w:highlight w:val="none"/>
        </w:rPr>
        <w:t xml:space="preserve"> </w:t>
      </w:r>
      <w:r>
        <w:rPr>
          <w:rFonts w:hint="eastAsia" w:ascii="华文仿宋" w:hAnsi="华文仿宋" w:eastAsia="华文仿宋" w:cs="华文仿宋"/>
          <w:color w:val="auto"/>
          <w:spacing w:val="11"/>
          <w:sz w:val="28"/>
          <w:szCs w:val="28"/>
          <w:highlight w:val="none"/>
        </w:rPr>
        <w:t>月度考核按照千分制计算，其中内控考</w:t>
      </w:r>
      <w:r>
        <w:rPr>
          <w:rFonts w:hint="eastAsia" w:ascii="华文仿宋" w:hAnsi="华文仿宋" w:eastAsia="华文仿宋" w:cs="华文仿宋"/>
          <w:color w:val="auto"/>
          <w:spacing w:val="41"/>
          <w:sz w:val="28"/>
          <w:szCs w:val="28"/>
          <w:highlight w:val="none"/>
        </w:rPr>
        <w:t>核200分(占比20%),每月对项目单位开展两次内控机制考</w:t>
      </w:r>
      <w:r>
        <w:rPr>
          <w:rFonts w:hint="eastAsia" w:ascii="华文仿宋" w:hAnsi="华文仿宋" w:eastAsia="华文仿宋" w:cs="华文仿宋"/>
          <w:color w:val="auto"/>
          <w:spacing w:val="6"/>
          <w:sz w:val="28"/>
          <w:szCs w:val="28"/>
          <w:highlight w:val="none"/>
        </w:rPr>
        <w:t>核，最终考核结果以两次得分的平均值为准。</w:t>
      </w:r>
    </w:p>
    <w:p w14:paraId="32BB7DB9">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9" w:firstLine="669"/>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5"/>
          <w:sz w:val="28"/>
          <w:szCs w:val="28"/>
          <w:highlight w:val="none"/>
        </w:rPr>
        <w:t>每月及时汇总基础考核和内控考核评分结果，计算综合评</w:t>
      </w:r>
      <w:r>
        <w:rPr>
          <w:rFonts w:hint="eastAsia" w:ascii="华文仿宋" w:hAnsi="华文仿宋" w:eastAsia="华文仿宋" w:cs="华文仿宋"/>
          <w:color w:val="auto"/>
          <w:spacing w:val="3"/>
          <w:sz w:val="28"/>
          <w:szCs w:val="28"/>
          <w:highlight w:val="none"/>
        </w:rPr>
        <w:t>价得分。</w:t>
      </w:r>
    </w:p>
    <w:p w14:paraId="3CE13804">
      <w:pPr>
        <w:keepNext w:val="0"/>
        <w:keepLines w:val="0"/>
        <w:pageBreakBefore w:val="0"/>
        <w:widowControl/>
        <w:kinsoku w:val="0"/>
        <w:wordWrap/>
        <w:overflowPunct/>
        <w:topLinePunct w:val="0"/>
        <w:autoSpaceDE w:val="0"/>
        <w:autoSpaceDN w:val="0"/>
        <w:bidi w:val="0"/>
        <w:adjustRightInd w:val="0"/>
        <w:snapToGrid w:val="0"/>
        <w:spacing w:line="520" w:lineRule="exact"/>
        <w:ind w:left="674"/>
        <w:textAlignment w:val="baseline"/>
        <w:outlineLvl w:val="2"/>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3"/>
          <w:sz w:val="28"/>
          <w:szCs w:val="28"/>
          <w:highlight w:val="none"/>
        </w:rPr>
        <w:t>五、考核结果应用</w:t>
      </w:r>
    </w:p>
    <w:p w14:paraId="77DD5548">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19" w:firstLine="669"/>
        <w:jc w:val="both"/>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5"/>
          <w:sz w:val="28"/>
          <w:szCs w:val="28"/>
          <w:highlight w:val="none"/>
        </w:rPr>
        <w:t>综合评价结果是项目单位服务费用结算的关键依据，按照</w:t>
      </w:r>
      <w:r>
        <w:rPr>
          <w:rFonts w:hint="eastAsia" w:ascii="华文仿宋" w:hAnsi="华文仿宋" w:eastAsia="华文仿宋" w:cs="华文仿宋"/>
          <w:color w:val="auto"/>
          <w:spacing w:val="27"/>
          <w:sz w:val="28"/>
          <w:szCs w:val="28"/>
          <w:highlight w:val="none"/>
        </w:rPr>
        <w:t>《招标文件》将评价结果划分为合格、基本合格和不合格三</w:t>
      </w:r>
      <w:r>
        <w:rPr>
          <w:rFonts w:hint="eastAsia" w:ascii="华文仿宋" w:hAnsi="华文仿宋" w:eastAsia="华文仿宋" w:cs="华文仿宋"/>
          <w:color w:val="auto"/>
          <w:spacing w:val="1"/>
          <w:sz w:val="28"/>
          <w:szCs w:val="28"/>
          <w:highlight w:val="none"/>
        </w:rPr>
        <w:t>类，具体标准如下：</w:t>
      </w:r>
    </w:p>
    <w:p w14:paraId="27B0D560">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4" w:firstLine="789"/>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z w:val="28"/>
          <w:szCs w:val="28"/>
          <w:highlight w:val="none"/>
        </w:rPr>
        <w:t>(</w:t>
      </w:r>
      <w:r>
        <w:rPr>
          <w:rFonts w:hint="eastAsia" w:ascii="华文仿宋" w:hAnsi="华文仿宋" w:eastAsia="华文仿宋" w:cs="华文仿宋"/>
          <w:color w:val="auto"/>
          <w:spacing w:val="-46"/>
          <w:sz w:val="28"/>
          <w:szCs w:val="28"/>
          <w:highlight w:val="none"/>
        </w:rPr>
        <w:t xml:space="preserve"> </w:t>
      </w:r>
      <w:r>
        <w:rPr>
          <w:rFonts w:hint="eastAsia" w:ascii="华文仿宋" w:hAnsi="华文仿宋" w:eastAsia="华文仿宋" w:cs="华文仿宋"/>
          <w:color w:val="auto"/>
          <w:sz w:val="28"/>
          <w:szCs w:val="28"/>
          <w:highlight w:val="none"/>
        </w:rPr>
        <w:t>一</w:t>
      </w:r>
      <w:r>
        <w:rPr>
          <w:rFonts w:hint="eastAsia" w:ascii="华文仿宋" w:hAnsi="华文仿宋" w:eastAsia="华文仿宋" w:cs="华文仿宋"/>
          <w:color w:val="auto"/>
          <w:spacing w:val="-75"/>
          <w:sz w:val="28"/>
          <w:szCs w:val="28"/>
          <w:highlight w:val="none"/>
        </w:rPr>
        <w:t xml:space="preserve"> </w:t>
      </w:r>
      <w:r>
        <w:rPr>
          <w:rFonts w:hint="eastAsia" w:ascii="华文仿宋" w:hAnsi="华文仿宋" w:eastAsia="华文仿宋" w:cs="华文仿宋"/>
          <w:color w:val="auto"/>
          <w:sz w:val="28"/>
          <w:szCs w:val="28"/>
          <w:highlight w:val="none"/>
        </w:rPr>
        <w:t xml:space="preserve">)合格：当考核评价得分≥900分时，项目综合评价为 </w:t>
      </w:r>
      <w:r>
        <w:rPr>
          <w:rFonts w:hint="eastAsia" w:ascii="华文仿宋" w:hAnsi="华文仿宋" w:eastAsia="华文仿宋" w:cs="华文仿宋"/>
          <w:color w:val="auto"/>
          <w:spacing w:val="4"/>
          <w:sz w:val="28"/>
          <w:szCs w:val="28"/>
          <w:highlight w:val="none"/>
        </w:rPr>
        <w:t>合格，全额结算当月项目运行服务费。</w:t>
      </w:r>
    </w:p>
    <w:p w14:paraId="39DDA702">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21" w:firstLine="628" w:firstLineChars="20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7"/>
          <w:sz w:val="28"/>
          <w:szCs w:val="28"/>
          <w:highlight w:val="none"/>
        </w:rPr>
        <w:t>(二)基本合格：当考核评价得分在800-8</w:t>
      </w:r>
      <w:r>
        <w:rPr>
          <w:rFonts w:hint="eastAsia" w:ascii="华文仿宋" w:hAnsi="华文仿宋" w:eastAsia="华文仿宋" w:cs="华文仿宋"/>
          <w:color w:val="auto"/>
          <w:spacing w:val="16"/>
          <w:sz w:val="28"/>
          <w:szCs w:val="28"/>
          <w:highlight w:val="none"/>
        </w:rPr>
        <w:t>99分之间时，</w:t>
      </w:r>
      <w:r>
        <w:rPr>
          <w:rFonts w:hint="eastAsia" w:ascii="华文仿宋" w:hAnsi="华文仿宋" w:eastAsia="华文仿宋" w:cs="华文仿宋"/>
          <w:color w:val="auto"/>
          <w:sz w:val="28"/>
          <w:szCs w:val="28"/>
          <w:highlight w:val="none"/>
        </w:rPr>
        <w:t xml:space="preserve"> </w:t>
      </w:r>
      <w:r>
        <w:rPr>
          <w:rFonts w:hint="eastAsia" w:ascii="华文仿宋" w:hAnsi="华文仿宋" w:eastAsia="华文仿宋" w:cs="华文仿宋"/>
          <w:color w:val="auto"/>
          <w:spacing w:val="13"/>
          <w:sz w:val="28"/>
          <w:szCs w:val="28"/>
          <w:highlight w:val="none"/>
        </w:rPr>
        <w:t>项目综合评价为基本合格，要求</w:t>
      </w:r>
      <w:r>
        <w:rPr>
          <w:rFonts w:hint="eastAsia" w:ascii="华文仿宋" w:hAnsi="华文仿宋" w:eastAsia="华文仿宋" w:cs="华文仿宋"/>
          <w:color w:val="auto"/>
          <w:spacing w:val="13"/>
          <w:sz w:val="28"/>
          <w:szCs w:val="28"/>
          <w:highlight w:val="none"/>
          <w:lang w:val="en-US" w:eastAsia="zh-CN"/>
        </w:rPr>
        <w:t>项目单位</w:t>
      </w:r>
      <w:r>
        <w:rPr>
          <w:rFonts w:hint="eastAsia" w:ascii="华文仿宋" w:hAnsi="华文仿宋" w:eastAsia="华文仿宋" w:cs="华文仿宋"/>
          <w:color w:val="auto"/>
          <w:spacing w:val="13"/>
          <w:sz w:val="28"/>
          <w:szCs w:val="28"/>
          <w:highlight w:val="none"/>
        </w:rPr>
        <w:t>限期整改，</w:t>
      </w:r>
      <w:r>
        <w:rPr>
          <w:rFonts w:hint="eastAsia" w:ascii="华文仿宋" w:hAnsi="华文仿宋" w:eastAsia="华文仿宋" w:cs="华文仿宋"/>
          <w:color w:val="auto"/>
          <w:spacing w:val="16"/>
          <w:sz w:val="28"/>
          <w:szCs w:val="28"/>
          <w:highlight w:val="none"/>
        </w:rPr>
        <w:t>考核小组在整改期限届满后及时开展核查，整改合格后全额结</w:t>
      </w:r>
      <w:r>
        <w:rPr>
          <w:rFonts w:hint="eastAsia" w:ascii="华文仿宋" w:hAnsi="华文仿宋" w:eastAsia="华文仿宋" w:cs="华文仿宋"/>
          <w:color w:val="auto"/>
          <w:spacing w:val="21"/>
          <w:sz w:val="28"/>
          <w:szCs w:val="28"/>
          <w:highlight w:val="none"/>
        </w:rPr>
        <w:t>算当月项目运行服务费。整改不合格依据《招标文件》,当项</w:t>
      </w:r>
      <w:r>
        <w:rPr>
          <w:rFonts w:hint="eastAsia" w:ascii="华文仿宋" w:hAnsi="华文仿宋" w:eastAsia="华文仿宋" w:cs="华文仿宋"/>
          <w:color w:val="auto"/>
          <w:spacing w:val="28"/>
          <w:sz w:val="28"/>
          <w:szCs w:val="28"/>
          <w:highlight w:val="none"/>
        </w:rPr>
        <w:t>目绩效评价低于900分，绩效评价扣减额=(900-</w:t>
      </w:r>
      <w:r>
        <w:rPr>
          <w:rFonts w:hint="eastAsia" w:ascii="华文仿宋" w:hAnsi="华文仿宋" w:eastAsia="华文仿宋" w:cs="华文仿宋"/>
          <w:color w:val="auto"/>
          <w:sz w:val="28"/>
          <w:szCs w:val="28"/>
          <w:highlight w:val="none"/>
        </w:rPr>
        <w:t>yn</w:t>
      </w:r>
      <w:r>
        <w:rPr>
          <w:rFonts w:hint="eastAsia" w:ascii="华文仿宋" w:hAnsi="华文仿宋" w:eastAsia="华文仿宋" w:cs="华文仿宋"/>
          <w:color w:val="auto"/>
          <w:spacing w:val="28"/>
          <w:sz w:val="28"/>
          <w:szCs w:val="28"/>
          <w:highlight w:val="none"/>
        </w:rPr>
        <w:t>)×1000</w:t>
      </w:r>
      <w:r>
        <w:rPr>
          <w:rFonts w:hint="eastAsia" w:ascii="华文仿宋" w:hAnsi="华文仿宋" w:eastAsia="华文仿宋" w:cs="华文仿宋"/>
          <w:color w:val="auto"/>
          <w:spacing w:val="1"/>
          <w:sz w:val="28"/>
          <w:szCs w:val="28"/>
          <w:highlight w:val="none"/>
        </w:rPr>
        <w:t xml:space="preserve"> </w:t>
      </w:r>
      <w:r>
        <w:rPr>
          <w:rFonts w:hint="eastAsia" w:ascii="华文仿宋" w:hAnsi="华文仿宋" w:eastAsia="华文仿宋" w:cs="华文仿宋"/>
          <w:color w:val="auto"/>
          <w:spacing w:val="15"/>
          <w:sz w:val="28"/>
          <w:szCs w:val="28"/>
          <w:highlight w:val="none"/>
        </w:rPr>
        <w:t>元，约谈项目公司负责人并限期全面整改，整改后的当月考核仍不达标的</w:t>
      </w:r>
      <w:r>
        <w:rPr>
          <w:rFonts w:hint="eastAsia" w:ascii="华文仿宋" w:hAnsi="华文仿宋" w:eastAsia="华文仿宋" w:cs="华文仿宋"/>
          <w:color w:val="auto"/>
          <w:spacing w:val="15"/>
          <w:sz w:val="28"/>
          <w:szCs w:val="28"/>
          <w:highlight w:val="none"/>
          <w:lang w:eastAsia="zh-CN"/>
        </w:rPr>
        <w:t>，</w:t>
      </w:r>
      <w:r>
        <w:rPr>
          <w:rFonts w:hint="eastAsia" w:ascii="华文仿宋" w:hAnsi="华文仿宋" w:eastAsia="华文仿宋" w:cs="华文仿宋"/>
          <w:color w:val="auto"/>
          <w:spacing w:val="15"/>
          <w:sz w:val="28"/>
          <w:szCs w:val="28"/>
          <w:highlight w:val="none"/>
        </w:rPr>
        <w:t>对单位领导进行诫勉谈话，并通报至</w:t>
      </w:r>
      <w:r>
        <w:rPr>
          <w:rFonts w:hint="eastAsia" w:ascii="华文仿宋" w:hAnsi="华文仿宋" w:eastAsia="华文仿宋" w:cs="华文仿宋"/>
          <w:color w:val="auto"/>
          <w:spacing w:val="15"/>
          <w:sz w:val="28"/>
          <w:szCs w:val="28"/>
          <w:highlight w:val="none"/>
          <w:lang w:val="en-US" w:eastAsia="zh-CN"/>
        </w:rPr>
        <w:t>上级主管部门</w:t>
      </w:r>
      <w:r>
        <w:rPr>
          <w:rFonts w:hint="eastAsia" w:ascii="华文仿宋" w:hAnsi="华文仿宋" w:eastAsia="华文仿宋" w:cs="华文仿宋"/>
          <w:color w:val="auto"/>
          <w:spacing w:val="10"/>
          <w:sz w:val="28"/>
          <w:szCs w:val="28"/>
          <w:highlight w:val="none"/>
          <w:lang w:eastAsia="zh-CN"/>
        </w:rPr>
        <w:t>，</w:t>
      </w:r>
      <w:r>
        <w:rPr>
          <w:rFonts w:hint="eastAsia" w:ascii="华文仿宋" w:hAnsi="华文仿宋" w:eastAsia="华文仿宋" w:cs="华文仿宋"/>
          <w:color w:val="auto"/>
          <w:spacing w:val="10"/>
          <w:sz w:val="28"/>
          <w:szCs w:val="28"/>
          <w:highlight w:val="none"/>
        </w:rPr>
        <w:t>同时，扣罚当月2倍的金额。</w:t>
      </w:r>
    </w:p>
    <w:p w14:paraId="50BE56DA">
      <w:pPr>
        <w:pStyle w:val="13"/>
        <w:keepNext w:val="0"/>
        <w:keepLines w:val="0"/>
        <w:pageBreakBefore w:val="0"/>
        <w:widowControl/>
        <w:wordWrap/>
        <w:overflowPunct/>
        <w:topLinePunct w:val="0"/>
        <w:bidi w:val="0"/>
        <w:spacing w:line="560" w:lineRule="exact"/>
        <w:ind w:right="109" w:firstLine="789"/>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15"/>
          <w:sz w:val="28"/>
          <w:szCs w:val="28"/>
          <w:highlight w:val="none"/>
        </w:rPr>
        <w:t>(三)不合格：项目综合评价得分&lt;800分，项目综合评价为</w:t>
      </w:r>
      <w:r>
        <w:rPr>
          <w:rFonts w:hint="eastAsia" w:ascii="华文仿宋" w:hAnsi="华文仿宋" w:eastAsia="华文仿宋" w:cs="华文仿宋"/>
          <w:color w:val="auto"/>
          <w:spacing w:val="3"/>
          <w:sz w:val="28"/>
          <w:szCs w:val="28"/>
          <w:highlight w:val="none"/>
        </w:rPr>
        <w:t>不合格，全额扣除绩效服务费，且甲方有权扣除当月对应基础服</w:t>
      </w:r>
      <w:r>
        <w:rPr>
          <w:rFonts w:hint="eastAsia" w:ascii="华文仿宋" w:hAnsi="华文仿宋" w:eastAsia="华文仿宋" w:cs="华文仿宋"/>
          <w:color w:val="auto"/>
          <w:spacing w:val="12"/>
          <w:sz w:val="28"/>
          <w:szCs w:val="28"/>
          <w:highlight w:val="none"/>
        </w:rPr>
        <w:t>务费；连续2个月考核不合格的，甲方有权单方解</w:t>
      </w:r>
      <w:r>
        <w:rPr>
          <w:rFonts w:hint="eastAsia" w:ascii="华文仿宋" w:hAnsi="华文仿宋" w:eastAsia="华文仿宋" w:cs="华文仿宋"/>
          <w:color w:val="auto"/>
          <w:spacing w:val="11"/>
          <w:sz w:val="28"/>
          <w:szCs w:val="28"/>
          <w:highlight w:val="none"/>
        </w:rPr>
        <w:t>除本协议。</w:t>
      </w:r>
    </w:p>
    <w:p w14:paraId="1E8AE4EB">
      <w:pPr>
        <w:keepNext w:val="0"/>
        <w:keepLines w:val="0"/>
        <w:pageBreakBefore w:val="0"/>
        <w:widowControl/>
        <w:kinsoku w:val="0"/>
        <w:wordWrap/>
        <w:overflowPunct/>
        <w:topLinePunct w:val="0"/>
        <w:autoSpaceDE w:val="0"/>
        <w:autoSpaceDN w:val="0"/>
        <w:bidi w:val="0"/>
        <w:adjustRightInd w:val="0"/>
        <w:snapToGrid w:val="0"/>
        <w:spacing w:line="520" w:lineRule="exact"/>
        <w:ind w:left="644"/>
        <w:textAlignment w:val="baseline"/>
        <w:outlineLvl w:val="2"/>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b/>
          <w:bCs/>
          <w:color w:val="auto"/>
          <w:spacing w:val="4"/>
          <w:sz w:val="28"/>
          <w:szCs w:val="28"/>
          <w:highlight w:val="none"/>
        </w:rPr>
        <w:t>六、附则</w:t>
      </w:r>
    </w:p>
    <w:p w14:paraId="2AA3F6D6">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9" w:firstLine="640"/>
        <w:textAlignment w:val="baseline"/>
        <w:rPr>
          <w:rFonts w:hint="eastAsia" w:ascii="华文仿宋" w:hAnsi="华文仿宋" w:eastAsia="华文仿宋" w:cs="华文仿宋"/>
          <w:color w:val="auto"/>
          <w:sz w:val="28"/>
          <w:szCs w:val="28"/>
          <w:highlight w:val="none"/>
        </w:rPr>
      </w:pPr>
      <w:r>
        <w:rPr>
          <w:rFonts w:hint="eastAsia" w:ascii="华文仿宋" w:hAnsi="华文仿宋" w:eastAsia="华文仿宋" w:cs="华文仿宋"/>
          <w:color w:val="auto"/>
          <w:spacing w:val="30"/>
          <w:sz w:val="28"/>
          <w:szCs w:val="28"/>
          <w:highlight w:val="none"/>
        </w:rPr>
        <w:t>在实际执行过程中，可根据项目运行情况及</w:t>
      </w:r>
      <w:r>
        <w:rPr>
          <w:rFonts w:hint="eastAsia" w:ascii="华文仿宋" w:hAnsi="华文仿宋" w:eastAsia="华文仿宋" w:cs="华文仿宋"/>
          <w:color w:val="auto"/>
          <w:spacing w:val="29"/>
          <w:sz w:val="28"/>
          <w:szCs w:val="28"/>
          <w:highlight w:val="none"/>
        </w:rPr>
        <w:t>公众需求变</w:t>
      </w:r>
      <w:r>
        <w:rPr>
          <w:rFonts w:hint="eastAsia" w:ascii="华文仿宋" w:hAnsi="华文仿宋" w:eastAsia="华文仿宋" w:cs="华文仿宋"/>
          <w:color w:val="auto"/>
          <w:spacing w:val="1"/>
          <w:sz w:val="28"/>
          <w:szCs w:val="28"/>
          <w:highlight w:val="none"/>
        </w:rPr>
        <w:t>化，对测评内容和方式进行适时调整。</w:t>
      </w:r>
    </w:p>
    <w:p w14:paraId="1B4C811A">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19" w:firstLine="604" w:firstLineChars="200"/>
        <w:textAlignment w:val="baseline"/>
        <w:rPr>
          <w:rFonts w:hint="eastAsia" w:ascii="华文仿宋" w:hAnsi="华文仿宋" w:eastAsia="华文仿宋" w:cs="华文仿宋"/>
          <w:color w:val="auto"/>
          <w:spacing w:val="1"/>
          <w:sz w:val="28"/>
          <w:szCs w:val="28"/>
          <w:highlight w:val="none"/>
        </w:rPr>
      </w:pPr>
      <w:r>
        <w:rPr>
          <w:rFonts w:hint="eastAsia" w:ascii="华文仿宋" w:hAnsi="华文仿宋" w:eastAsia="华文仿宋" w:cs="华文仿宋"/>
          <w:color w:val="auto"/>
          <w:spacing w:val="11"/>
          <w:sz w:val="28"/>
          <w:szCs w:val="28"/>
          <w:highlight w:val="none"/>
        </w:rPr>
        <w:t>出现安全事故，</w:t>
      </w:r>
      <w:r>
        <w:rPr>
          <w:rFonts w:hint="eastAsia" w:ascii="华文仿宋" w:hAnsi="华文仿宋" w:eastAsia="华文仿宋" w:cs="华文仿宋"/>
          <w:color w:val="auto"/>
          <w:spacing w:val="-60"/>
          <w:sz w:val="28"/>
          <w:szCs w:val="28"/>
          <w:highlight w:val="none"/>
        </w:rPr>
        <w:t xml:space="preserve"> </w:t>
      </w:r>
      <w:r>
        <w:rPr>
          <w:rFonts w:hint="eastAsia" w:ascii="华文仿宋" w:hAnsi="华文仿宋" w:eastAsia="华文仿宋" w:cs="华文仿宋"/>
          <w:color w:val="auto"/>
          <w:spacing w:val="11"/>
          <w:sz w:val="28"/>
          <w:szCs w:val="28"/>
          <w:highlight w:val="none"/>
        </w:rPr>
        <w:t>一票否决，本月按照不合格</w:t>
      </w:r>
      <w:r>
        <w:rPr>
          <w:rFonts w:hint="eastAsia" w:ascii="华文仿宋" w:hAnsi="华文仿宋" w:eastAsia="华文仿宋" w:cs="华文仿宋"/>
          <w:color w:val="auto"/>
          <w:spacing w:val="10"/>
          <w:sz w:val="28"/>
          <w:szCs w:val="28"/>
          <w:highlight w:val="none"/>
        </w:rPr>
        <w:t>进行处理，直</w:t>
      </w:r>
      <w:r>
        <w:rPr>
          <w:rFonts w:hint="eastAsia" w:ascii="华文仿宋" w:hAnsi="华文仿宋" w:eastAsia="华文仿宋" w:cs="华文仿宋"/>
          <w:color w:val="auto"/>
          <w:spacing w:val="1"/>
          <w:sz w:val="28"/>
          <w:szCs w:val="28"/>
          <w:highlight w:val="none"/>
        </w:rPr>
        <w:t>接扣除本月全部运营费用。</w:t>
      </w:r>
    </w:p>
    <w:p w14:paraId="2E42048D">
      <w:pPr>
        <w:pStyle w:val="13"/>
        <w:keepNext w:val="0"/>
        <w:keepLines w:val="0"/>
        <w:pageBreakBefore w:val="0"/>
        <w:widowControl/>
        <w:kinsoku w:val="0"/>
        <w:wordWrap/>
        <w:overflowPunct/>
        <w:topLinePunct w:val="0"/>
        <w:autoSpaceDE w:val="0"/>
        <w:autoSpaceDN w:val="0"/>
        <w:bidi w:val="0"/>
        <w:adjustRightInd w:val="0"/>
        <w:snapToGrid w:val="0"/>
        <w:spacing w:line="520" w:lineRule="exact"/>
        <w:ind w:right="19" w:firstLine="644" w:firstLineChars="200"/>
        <w:textAlignment w:val="baseline"/>
        <w:rPr>
          <w:rFonts w:hint="eastAsia" w:ascii="华文仿宋" w:hAnsi="华文仿宋" w:eastAsia="华文仿宋" w:cs="华文仿宋"/>
          <w:color w:val="auto"/>
          <w:spacing w:val="1"/>
          <w:sz w:val="32"/>
          <w:szCs w:val="32"/>
          <w:highlight w:val="none"/>
        </w:rPr>
      </w:pPr>
    </w:p>
    <w:p w14:paraId="6349FB9F">
      <w:pPr>
        <w:pStyle w:val="78"/>
        <w:keepNext w:val="0"/>
        <w:keepLines w:val="0"/>
        <w:pageBreakBefore w:val="0"/>
        <w:widowControl/>
        <w:kinsoku/>
        <w:wordWrap/>
        <w:overflowPunct/>
        <w:topLinePunct w:val="0"/>
        <w:autoSpaceDE/>
        <w:autoSpaceDN/>
        <w:bidi w:val="0"/>
        <w:adjustRightInd/>
        <w:snapToGrid/>
        <w:spacing w:before="0" w:after="0" w:line="360" w:lineRule="auto"/>
        <w:ind w:left="0" w:lef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14:paraId="68F47BF3">
      <w:pPr>
        <w:pStyle w:val="78"/>
        <w:keepNext w:val="0"/>
        <w:keepLines w:val="0"/>
        <w:pageBreakBefore w:val="0"/>
        <w:widowControl/>
        <w:kinsoku/>
        <w:wordWrap/>
        <w:overflowPunct/>
        <w:topLinePunct w:val="0"/>
        <w:autoSpaceDE/>
        <w:autoSpaceDN/>
        <w:bidi w:val="0"/>
        <w:adjustRightInd/>
        <w:snapToGrid/>
        <w:spacing w:before="0" w:after="0" w:line="360" w:lineRule="auto"/>
        <w:ind w:left="0" w:leftChars="0" w:firstLine="480" w:firstLineChars="200"/>
        <w:jc w:val="both"/>
        <w:textAlignment w:val="auto"/>
        <w:outlineLvl w:val="9"/>
        <w:rPr>
          <w:rFonts w:hint="eastAsia" w:ascii="宋体" w:hAnsi="宋体" w:eastAsia="宋体" w:cs="宋体"/>
          <w:color w:val="auto"/>
          <w:sz w:val="24"/>
          <w:szCs w:val="24"/>
          <w:highlight w:val="none"/>
          <w:lang w:val="en-US" w:eastAsia="zh-CN"/>
        </w:rPr>
      </w:pPr>
    </w:p>
    <w:p w14:paraId="28FE39A3">
      <w:pPr>
        <w:keepNext w:val="0"/>
        <w:keepLines w:val="0"/>
        <w:pageBreakBefore w:val="0"/>
        <w:widowControl/>
        <w:kinsoku/>
        <w:wordWrap/>
        <w:overflowPunct/>
        <w:topLinePunct w:val="0"/>
        <w:autoSpaceDE/>
        <w:autoSpaceDN/>
        <w:bidi w:val="0"/>
        <w:adjustRightInd/>
        <w:snapToGrid/>
        <w:spacing w:before="0" w:after="0"/>
        <w:ind w:left="0" w:leftChars="0"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附件：1.</w:t>
      </w:r>
      <w:r>
        <w:rPr>
          <w:rFonts w:hint="eastAsia" w:cs="宋体"/>
          <w:b/>
          <w:bCs/>
          <w:color w:val="auto"/>
          <w:sz w:val="24"/>
          <w:szCs w:val="24"/>
          <w:highlight w:val="none"/>
          <w:lang w:val="en-US" w:eastAsia="zh-CN"/>
        </w:rPr>
        <w:t>石油基地</w:t>
      </w:r>
      <w:r>
        <w:rPr>
          <w:rFonts w:hint="eastAsia" w:ascii="宋体" w:hAnsi="宋体" w:eastAsia="宋体" w:cs="宋体"/>
          <w:b/>
          <w:bCs/>
          <w:color w:val="auto"/>
          <w:sz w:val="24"/>
          <w:szCs w:val="24"/>
          <w:highlight w:val="none"/>
          <w:lang w:val="en-US" w:eastAsia="zh-CN"/>
        </w:rPr>
        <w:t>“市政、园林、环卫一体化”项目考核评价细则</w:t>
      </w:r>
    </w:p>
    <w:p w14:paraId="69E073C0">
      <w:pPr>
        <w:keepNext w:val="0"/>
        <w:keepLines w:val="0"/>
        <w:pageBreakBefore w:val="0"/>
        <w:widowControl/>
        <w:kinsoku/>
        <w:wordWrap/>
        <w:overflowPunct/>
        <w:topLinePunct w:val="0"/>
        <w:autoSpaceDE/>
        <w:autoSpaceDN/>
        <w:bidi w:val="0"/>
        <w:adjustRightInd/>
        <w:snapToGrid/>
        <w:spacing w:before="0" w:after="0"/>
        <w:ind w:left="0" w:leftChars="0" w:firstLine="723" w:firstLineChars="3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2.石油基地“市政、园林、环卫一体化”项目满意度调查问卷</w:t>
      </w:r>
    </w:p>
    <w:p w14:paraId="43F71234">
      <w:pPr>
        <w:pStyle w:val="78"/>
        <w:keepNext w:val="0"/>
        <w:keepLines w:val="0"/>
        <w:pageBreakBefore w:val="0"/>
        <w:widowControl/>
        <w:kinsoku/>
        <w:wordWrap/>
        <w:overflowPunct/>
        <w:topLinePunct w:val="0"/>
        <w:autoSpaceDE/>
        <w:autoSpaceDN/>
        <w:bidi w:val="0"/>
        <w:adjustRightInd/>
        <w:snapToGrid/>
        <w:spacing w:before="0" w:after="0" w:line="560" w:lineRule="exact"/>
        <w:ind w:left="0" w:leftChars="0" w:firstLine="560" w:firstLineChars="200"/>
        <w:jc w:val="both"/>
        <w:textAlignment w:val="auto"/>
        <w:outlineLvl w:val="9"/>
        <w:rPr>
          <w:rFonts w:hint="eastAsia" w:ascii="宋体" w:hAnsi="宋体" w:eastAsia="宋体" w:cs="宋体"/>
          <w:color w:val="auto"/>
          <w:sz w:val="28"/>
          <w:szCs w:val="28"/>
          <w:highlight w:val="none"/>
          <w:lang w:val="en-US" w:eastAsia="zh-CN"/>
        </w:rPr>
      </w:pPr>
    </w:p>
    <w:p w14:paraId="24657C6B">
      <w:pPr>
        <w:pStyle w:val="78"/>
        <w:keepNext w:val="0"/>
        <w:keepLines w:val="0"/>
        <w:pageBreakBefore w:val="0"/>
        <w:widowControl/>
        <w:kinsoku/>
        <w:wordWrap/>
        <w:overflowPunct/>
        <w:topLinePunct w:val="0"/>
        <w:autoSpaceDE/>
        <w:autoSpaceDN/>
        <w:bidi w:val="0"/>
        <w:adjustRightInd/>
        <w:snapToGrid/>
        <w:spacing w:before="0" w:after="0" w:line="560" w:lineRule="exact"/>
        <w:ind w:left="0" w:leftChars="0" w:firstLine="640" w:firstLineChars="200"/>
        <w:jc w:val="both"/>
        <w:textAlignment w:val="auto"/>
        <w:outlineLvl w:val="9"/>
        <w:rPr>
          <w:rFonts w:hint="eastAsia" w:ascii="仿宋_GB2312" w:hAnsi="仿宋_GB2312" w:eastAsia="仿宋_GB2312" w:cs="仿宋_GB2312"/>
          <w:color w:val="auto"/>
          <w:sz w:val="32"/>
          <w:szCs w:val="32"/>
          <w:highlight w:val="none"/>
          <w:lang w:val="en-US" w:eastAsia="zh-CN"/>
        </w:rPr>
      </w:pPr>
    </w:p>
    <w:p w14:paraId="510D4AFF">
      <w:pPr>
        <w:pStyle w:val="78"/>
        <w:keepNext w:val="0"/>
        <w:keepLines w:val="0"/>
        <w:pageBreakBefore w:val="0"/>
        <w:widowControl/>
        <w:kinsoku/>
        <w:wordWrap/>
        <w:overflowPunct/>
        <w:topLinePunct w:val="0"/>
        <w:autoSpaceDE/>
        <w:autoSpaceDN/>
        <w:bidi w:val="0"/>
        <w:adjustRightInd/>
        <w:snapToGrid/>
        <w:spacing w:before="0" w:after="0" w:line="560" w:lineRule="exact"/>
        <w:ind w:left="0" w:leftChars="0" w:firstLine="640" w:firstLineChars="200"/>
        <w:jc w:val="center"/>
        <w:textAlignment w:val="auto"/>
        <w:outlineLvl w:val="9"/>
        <w:rPr>
          <w:rFonts w:hint="eastAsia" w:ascii="仿宋_GB2312" w:hAnsi="仿宋_GB2312" w:eastAsia="仿宋_GB2312" w:cs="仿宋_GB2312"/>
          <w:color w:val="auto"/>
          <w:sz w:val="32"/>
          <w:szCs w:val="32"/>
          <w:highlight w:val="none"/>
          <w:lang w:val="en-US" w:eastAsia="zh-CN"/>
        </w:rPr>
      </w:pPr>
    </w:p>
    <w:p w14:paraId="7763ED12">
      <w:pPr>
        <w:rPr>
          <w:rFonts w:hint="eastAsia"/>
          <w:color w:val="auto"/>
          <w:highlight w:val="none"/>
          <w:lang w:val="zh-CN" w:eastAsia="zh-CN"/>
        </w:rPr>
      </w:pPr>
      <w:r>
        <w:rPr>
          <w:rFonts w:hint="eastAsia"/>
          <w:color w:val="auto"/>
          <w:highlight w:val="none"/>
          <w:lang w:val="zh-CN" w:eastAsia="zh-CN"/>
        </w:rPr>
        <w:br w:type="page"/>
      </w:r>
    </w:p>
    <w:p w14:paraId="6711D9E9">
      <w:pPr>
        <w:pStyle w:val="10"/>
        <w:rPr>
          <w:rFonts w:hint="eastAsia"/>
          <w:color w:val="auto"/>
          <w:highlight w:val="none"/>
          <w:lang w:val="zh-CN" w:eastAsia="zh-CN"/>
        </w:rPr>
        <w:sectPr>
          <w:pgSz w:w="11906" w:h="16838"/>
          <w:pgMar w:top="1440" w:right="1800" w:bottom="1440" w:left="180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tbl>
      <w:tblPr>
        <w:tblStyle w:val="31"/>
        <w:tblW w:w="1403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31"/>
        <w:gridCol w:w="1340"/>
        <w:gridCol w:w="8458"/>
        <w:gridCol w:w="1417"/>
        <w:gridCol w:w="1050"/>
        <w:gridCol w:w="1241"/>
      </w:tblGrid>
      <w:tr w14:paraId="6CC80A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40" w:hRule="atLeast"/>
        </w:trPr>
        <w:tc>
          <w:tcPr>
            <w:tcW w:w="14037" w:type="dxa"/>
            <w:gridSpan w:val="6"/>
            <w:tcBorders>
              <w:top w:val="nil"/>
              <w:left w:val="nil"/>
              <w:bottom w:val="nil"/>
              <w:right w:val="nil"/>
            </w:tcBorders>
            <w:shd w:val="clear" w:color="auto" w:fill="auto"/>
            <w:vAlign w:val="center"/>
          </w:tcPr>
          <w:p w14:paraId="729A9220">
            <w:pPr>
              <w:keepNext w:val="0"/>
              <w:keepLines w:val="0"/>
              <w:widowControl/>
              <w:suppressLineNumbers w:val="0"/>
              <w:jc w:val="center"/>
              <w:textAlignment w:val="center"/>
              <w:rPr>
                <w:rFonts w:ascii="方正小标宋简体" w:hAnsi="方正小标宋简体" w:eastAsia="方正小标宋简体" w:cs="方正小标宋简体"/>
                <w:i w:val="0"/>
                <w:iCs w:val="0"/>
                <w:color w:val="auto"/>
                <w:sz w:val="32"/>
                <w:szCs w:val="32"/>
                <w:highlight w:val="none"/>
                <w:u w:val="none"/>
              </w:rPr>
            </w:pPr>
            <w:r>
              <w:rPr>
                <w:rFonts w:hint="eastAsia" w:cs="宋体"/>
                <w:b/>
                <w:bCs/>
                <w:color w:val="auto"/>
                <w:sz w:val="32"/>
                <w:szCs w:val="32"/>
                <w:highlight w:val="none"/>
                <w:lang w:val="en-US" w:eastAsia="zh-CN"/>
              </w:rPr>
              <w:t>石油基地</w:t>
            </w:r>
            <w:r>
              <w:rPr>
                <w:rFonts w:hint="eastAsia" w:ascii="宋体" w:hAnsi="宋体" w:eastAsia="宋体" w:cs="宋体"/>
                <w:b/>
                <w:bCs/>
                <w:color w:val="auto"/>
                <w:sz w:val="32"/>
                <w:szCs w:val="32"/>
                <w:highlight w:val="none"/>
                <w:lang w:val="en-US" w:eastAsia="zh-CN"/>
              </w:rPr>
              <w:t>“市政、园林、环卫一体化”项目考核评价细则</w:t>
            </w:r>
          </w:p>
        </w:tc>
      </w:tr>
      <w:tr w14:paraId="1312A66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0" w:hRule="atLeast"/>
        </w:trPr>
        <w:tc>
          <w:tcPr>
            <w:tcW w:w="14037" w:type="dxa"/>
            <w:gridSpan w:val="6"/>
            <w:tcBorders>
              <w:top w:val="nil"/>
              <w:left w:val="nil"/>
              <w:bottom w:val="nil"/>
              <w:right w:val="nil"/>
            </w:tcBorders>
            <w:shd w:val="clear" w:color="auto" w:fill="auto"/>
            <w:vAlign w:val="center"/>
          </w:tcPr>
          <w:p w14:paraId="6C06CD6D">
            <w:pPr>
              <w:keepNext w:val="0"/>
              <w:keepLines w:val="0"/>
              <w:widowControl/>
              <w:suppressLineNumbers w:val="0"/>
              <w:jc w:val="center"/>
              <w:textAlignment w:val="center"/>
              <w:rPr>
                <w:rStyle w:val="79"/>
                <w:color w:val="auto"/>
                <w:highlight w:val="none"/>
                <w:lang w:val="en-US" w:eastAsia="zh-CN" w:bidi="ar"/>
              </w:rPr>
            </w:pPr>
            <w:r>
              <w:rPr>
                <w:rStyle w:val="79"/>
                <w:color w:val="auto"/>
                <w:highlight w:val="none"/>
                <w:lang w:val="en-US" w:eastAsia="zh-CN" w:bidi="ar"/>
              </w:rPr>
              <w:t>表</w:t>
            </w:r>
            <w:r>
              <w:rPr>
                <w:rStyle w:val="80"/>
                <w:rFonts w:eastAsia="方正小标宋简体"/>
                <w:color w:val="auto"/>
                <w:highlight w:val="none"/>
                <w:lang w:val="en-US" w:eastAsia="zh-CN" w:bidi="ar"/>
              </w:rPr>
              <w:t xml:space="preserve">1  </w:t>
            </w:r>
            <w:r>
              <w:rPr>
                <w:rStyle w:val="79"/>
                <w:color w:val="auto"/>
                <w:highlight w:val="none"/>
                <w:lang w:val="en-US" w:eastAsia="zh-CN" w:bidi="ar"/>
              </w:rPr>
              <w:t xml:space="preserve"> 内控考核细则（200分）</w:t>
            </w:r>
          </w:p>
        </w:tc>
      </w:tr>
      <w:tr w14:paraId="25FFA3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0" w:hRule="atLeast"/>
        </w:trPr>
        <w:tc>
          <w:tcPr>
            <w:tcW w:w="14037" w:type="dxa"/>
            <w:gridSpan w:val="6"/>
            <w:tcBorders>
              <w:top w:val="nil"/>
              <w:left w:val="nil"/>
              <w:bottom w:val="nil"/>
              <w:right w:val="nil"/>
            </w:tcBorders>
            <w:shd w:val="clear" w:color="auto" w:fill="auto"/>
            <w:vAlign w:val="center"/>
          </w:tcPr>
          <w:p w14:paraId="1CE75AC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作业单位：                                      考核单位：                                 日期：      年   月    日</w:t>
            </w:r>
          </w:p>
        </w:tc>
      </w:tr>
      <w:tr w14:paraId="4B55453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531" w:type="dxa"/>
            <w:tcBorders>
              <w:top w:val="single" w:color="000000" w:sz="8" w:space="0"/>
              <w:left w:val="single" w:color="000000" w:sz="8" w:space="0"/>
              <w:bottom w:val="nil"/>
              <w:right w:val="nil"/>
            </w:tcBorders>
            <w:shd w:val="clear" w:color="auto" w:fill="auto"/>
            <w:vAlign w:val="center"/>
          </w:tcPr>
          <w:p w14:paraId="3645013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C76F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考核内容</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8440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考核细则</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F16AA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扣分原因</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9A386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扣分</w:t>
            </w: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4B237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18DB22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31" w:type="dxa"/>
            <w:vMerge w:val="restart"/>
            <w:tcBorders>
              <w:top w:val="single" w:color="000000" w:sz="8" w:space="0"/>
              <w:left w:val="single" w:color="000000" w:sz="8" w:space="0"/>
              <w:bottom w:val="single" w:color="000000" w:sz="8" w:space="0"/>
              <w:right w:val="nil"/>
            </w:tcBorders>
            <w:shd w:val="clear" w:color="auto" w:fill="auto"/>
            <w:vAlign w:val="center"/>
          </w:tcPr>
          <w:p w14:paraId="6C98C4F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76379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行风评议、公众监督（信访投诉管理）</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2074D33C">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1.未按行业部门要求和时限对上级反馈、新闻媒体曝光、信访部门、12345等信息平台投诉的问题进行整改或处理的情况，每次扣5分。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6D6FBF">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D95A7">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ABAED">
            <w:pPr>
              <w:jc w:val="left"/>
              <w:rPr>
                <w:rFonts w:hint="eastAsia" w:ascii="宋体" w:hAnsi="宋体" w:eastAsia="宋体" w:cs="宋体"/>
                <w:i w:val="0"/>
                <w:iCs w:val="0"/>
                <w:color w:val="auto"/>
                <w:sz w:val="21"/>
                <w:szCs w:val="21"/>
                <w:highlight w:val="none"/>
                <w:u w:val="none"/>
              </w:rPr>
            </w:pPr>
          </w:p>
        </w:tc>
      </w:tr>
      <w:tr w14:paraId="04071A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5A605D55">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301BB4">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0899A205">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2.对人大代表建议、政协委员提案涉及的问题未按行业部门要求及时认真办理的情况，每次扣5分。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D5F13C">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3AF3D">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31B66">
            <w:pPr>
              <w:jc w:val="left"/>
              <w:rPr>
                <w:rFonts w:hint="eastAsia" w:ascii="宋体" w:hAnsi="宋体" w:eastAsia="宋体" w:cs="宋体"/>
                <w:i w:val="0"/>
                <w:iCs w:val="0"/>
                <w:color w:val="auto"/>
                <w:sz w:val="21"/>
                <w:szCs w:val="21"/>
                <w:highlight w:val="none"/>
                <w:u w:val="none"/>
              </w:rPr>
            </w:pPr>
          </w:p>
        </w:tc>
      </w:tr>
      <w:tr w14:paraId="37795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5"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7A568ED2">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B078D">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2A43E84F">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3.对投诉后因处理不当，而造成推诿、重办、督办的情况，每次扣2分。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3FE4A2">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982AFE">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5B6BD6">
            <w:pPr>
              <w:jc w:val="left"/>
              <w:rPr>
                <w:rFonts w:hint="eastAsia" w:ascii="宋体" w:hAnsi="宋体" w:eastAsia="宋体" w:cs="宋体"/>
                <w:i w:val="0"/>
                <w:iCs w:val="0"/>
                <w:color w:val="auto"/>
                <w:sz w:val="21"/>
                <w:szCs w:val="21"/>
                <w:highlight w:val="none"/>
                <w:u w:val="none"/>
              </w:rPr>
            </w:pPr>
          </w:p>
        </w:tc>
      </w:tr>
      <w:tr w14:paraId="768048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6D82E3A9">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B0220">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69FE958C">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4.按照规定做好人员管理。若发生上访事件，个人上访每人扣10分，集体性上访（5人以上30人以下，含5人），每人扣20分；集体性上访超过30人，一票否决。</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91A8EF">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922098">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6579C">
            <w:pPr>
              <w:jc w:val="left"/>
              <w:rPr>
                <w:rFonts w:hint="eastAsia" w:ascii="宋体" w:hAnsi="宋体" w:eastAsia="宋体" w:cs="宋体"/>
                <w:i w:val="0"/>
                <w:iCs w:val="0"/>
                <w:color w:val="auto"/>
                <w:sz w:val="21"/>
                <w:szCs w:val="21"/>
                <w:highlight w:val="none"/>
                <w:u w:val="none"/>
              </w:rPr>
            </w:pPr>
          </w:p>
        </w:tc>
      </w:tr>
      <w:tr w14:paraId="2984FF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531" w:type="dxa"/>
            <w:vMerge w:val="restart"/>
            <w:tcBorders>
              <w:top w:val="single" w:color="000000" w:sz="8" w:space="0"/>
              <w:left w:val="single" w:color="000000" w:sz="8" w:space="0"/>
              <w:bottom w:val="single" w:color="000000" w:sz="8" w:space="0"/>
              <w:right w:val="nil"/>
            </w:tcBorders>
            <w:shd w:val="clear" w:color="auto" w:fill="auto"/>
            <w:vAlign w:val="center"/>
          </w:tcPr>
          <w:p w14:paraId="70A38E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5B78B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安全管理</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126A4CD9">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1.生产作业期间未落实安全管理制度及措施，发生重大及以上生产安全事故的，一票否决。</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33F41">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B21DB9">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36091">
            <w:pPr>
              <w:jc w:val="left"/>
              <w:rPr>
                <w:rFonts w:hint="eastAsia" w:ascii="宋体" w:hAnsi="宋体" w:eastAsia="宋体" w:cs="宋体"/>
                <w:i w:val="0"/>
                <w:iCs w:val="0"/>
                <w:color w:val="auto"/>
                <w:sz w:val="21"/>
                <w:szCs w:val="21"/>
                <w:highlight w:val="none"/>
                <w:u w:val="none"/>
              </w:rPr>
            </w:pPr>
          </w:p>
        </w:tc>
      </w:tr>
      <w:tr w14:paraId="71991C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124CB46C">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E556F">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3EC486CE">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2.移交的公共设施设备，保障其运转正常，未达到有关标准，每项扣2分。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FD4ABF">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8EA542">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D0DA13">
            <w:pPr>
              <w:jc w:val="left"/>
              <w:rPr>
                <w:rFonts w:hint="eastAsia" w:ascii="宋体" w:hAnsi="宋体" w:eastAsia="宋体" w:cs="宋体"/>
                <w:i w:val="0"/>
                <w:iCs w:val="0"/>
                <w:color w:val="auto"/>
                <w:sz w:val="21"/>
                <w:szCs w:val="21"/>
                <w:highlight w:val="none"/>
                <w:u w:val="none"/>
              </w:rPr>
            </w:pPr>
          </w:p>
        </w:tc>
      </w:tr>
      <w:tr w14:paraId="6D1F9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10"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61E39C5F">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D40A3A">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48B4AF23">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3.建立专业的安全管理体系，各项保障措施齐全，安全生产管理制度完善，落实安全生产责任，定期组织检查落实情况，每季度至少组织1次安全生产培训，并有完整的记录，未按要求落实每次扣1分。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C8ACB2">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D155D8">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D4BE83">
            <w:pPr>
              <w:jc w:val="left"/>
              <w:rPr>
                <w:rFonts w:hint="eastAsia" w:ascii="宋体" w:hAnsi="宋体" w:eastAsia="宋体" w:cs="宋体"/>
                <w:i w:val="0"/>
                <w:iCs w:val="0"/>
                <w:color w:val="auto"/>
                <w:sz w:val="21"/>
                <w:szCs w:val="21"/>
                <w:highlight w:val="none"/>
                <w:u w:val="none"/>
              </w:rPr>
            </w:pPr>
          </w:p>
        </w:tc>
      </w:tr>
      <w:tr w14:paraId="55F24E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13E8751D">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9A847F">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58E3658A">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4.作业过程中对行人和车辆进行有效避让，减少扰民，避免投诉。未能有效避让行人，造成恶劣影响的每次扣1分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3C7D8">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9B93B3">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CF04A">
            <w:pPr>
              <w:jc w:val="left"/>
              <w:rPr>
                <w:rFonts w:hint="eastAsia" w:ascii="宋体" w:hAnsi="宋体" w:eastAsia="宋体" w:cs="宋体"/>
                <w:i w:val="0"/>
                <w:iCs w:val="0"/>
                <w:color w:val="auto"/>
                <w:sz w:val="21"/>
                <w:szCs w:val="21"/>
                <w:highlight w:val="none"/>
                <w:u w:val="none"/>
              </w:rPr>
            </w:pPr>
          </w:p>
        </w:tc>
      </w:tr>
      <w:tr w14:paraId="7C68CD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31" w:type="dxa"/>
            <w:vMerge w:val="restart"/>
            <w:tcBorders>
              <w:top w:val="single" w:color="000000" w:sz="8" w:space="0"/>
              <w:left w:val="single" w:color="000000" w:sz="8" w:space="0"/>
              <w:bottom w:val="single" w:color="000000" w:sz="8" w:space="0"/>
              <w:right w:val="nil"/>
            </w:tcBorders>
            <w:shd w:val="clear" w:color="auto" w:fill="auto"/>
            <w:vAlign w:val="center"/>
          </w:tcPr>
          <w:p w14:paraId="5C557EC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D6BC2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应急保障</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E164F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1.按要求认真做好重大节日、重大节点的保障工作以及管理部门交办的其他事项，未按要求落实的每次扣2分。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CF2954">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094E9">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903EF">
            <w:pPr>
              <w:jc w:val="left"/>
              <w:rPr>
                <w:rFonts w:hint="eastAsia" w:ascii="宋体" w:hAnsi="宋体" w:eastAsia="宋体" w:cs="宋体"/>
                <w:i w:val="0"/>
                <w:iCs w:val="0"/>
                <w:color w:val="auto"/>
                <w:sz w:val="21"/>
                <w:szCs w:val="21"/>
                <w:highlight w:val="none"/>
                <w:u w:val="none"/>
              </w:rPr>
            </w:pPr>
          </w:p>
        </w:tc>
      </w:tr>
      <w:tr w14:paraId="508EA3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73E791F3">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77F94">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C11DF6">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2.未按行业部门规范要求制定并落实各类应急预案，每项扣3分。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684B">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809CFD">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C5FC6">
            <w:pPr>
              <w:jc w:val="left"/>
              <w:rPr>
                <w:rFonts w:hint="eastAsia" w:ascii="宋体" w:hAnsi="宋体" w:eastAsia="宋体" w:cs="宋体"/>
                <w:i w:val="0"/>
                <w:iCs w:val="0"/>
                <w:color w:val="auto"/>
                <w:sz w:val="21"/>
                <w:szCs w:val="21"/>
                <w:highlight w:val="none"/>
                <w:u w:val="none"/>
              </w:rPr>
            </w:pPr>
          </w:p>
        </w:tc>
      </w:tr>
      <w:tr w14:paraId="49A729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2C18DB41">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A17D1D">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4A168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3.根据应急工作实际情况，不服从应急事件处理调度的每次扣5分。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21703">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287A">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709E8E">
            <w:pPr>
              <w:jc w:val="left"/>
              <w:rPr>
                <w:rFonts w:hint="eastAsia" w:ascii="宋体" w:hAnsi="宋体" w:eastAsia="宋体" w:cs="宋体"/>
                <w:i w:val="0"/>
                <w:iCs w:val="0"/>
                <w:color w:val="auto"/>
                <w:sz w:val="21"/>
                <w:szCs w:val="21"/>
                <w:highlight w:val="none"/>
                <w:u w:val="none"/>
              </w:rPr>
            </w:pPr>
          </w:p>
        </w:tc>
      </w:tr>
      <w:tr w14:paraId="536DAE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5" w:hRule="atLeast"/>
        </w:trPr>
        <w:tc>
          <w:tcPr>
            <w:tcW w:w="531" w:type="dxa"/>
            <w:vMerge w:val="continue"/>
            <w:tcBorders>
              <w:top w:val="single" w:color="000000" w:sz="8" w:space="0"/>
              <w:left w:val="single" w:color="000000" w:sz="8" w:space="0"/>
              <w:bottom w:val="single" w:color="000000" w:sz="8" w:space="0"/>
              <w:right w:val="nil"/>
            </w:tcBorders>
            <w:shd w:val="clear" w:color="auto" w:fill="auto"/>
            <w:vAlign w:val="center"/>
          </w:tcPr>
          <w:p w14:paraId="4FFC5766">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E686B">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ADB6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4.必须设置不少于30人的应急保障队伍，明确人员及职责，配置相应应急装备设施，每少一项扣5分；不能及时按要求完成应急任务的，每次扣5分。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8E20A">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2144D">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DE9E70">
            <w:pPr>
              <w:jc w:val="left"/>
              <w:rPr>
                <w:rFonts w:hint="eastAsia" w:ascii="宋体" w:hAnsi="宋体" w:eastAsia="宋体" w:cs="宋体"/>
                <w:i w:val="0"/>
                <w:iCs w:val="0"/>
                <w:color w:val="auto"/>
                <w:sz w:val="21"/>
                <w:szCs w:val="21"/>
                <w:highlight w:val="none"/>
                <w:u w:val="none"/>
              </w:rPr>
            </w:pPr>
          </w:p>
        </w:tc>
      </w:tr>
      <w:tr w14:paraId="23AB27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31" w:type="dxa"/>
            <w:vMerge w:val="restart"/>
            <w:tcBorders>
              <w:top w:val="single" w:color="000000" w:sz="8" w:space="0"/>
              <w:left w:val="single" w:color="000000" w:sz="8" w:space="0"/>
              <w:bottom w:val="nil"/>
              <w:right w:val="nil"/>
            </w:tcBorders>
            <w:shd w:val="clear" w:color="auto" w:fill="auto"/>
            <w:vAlign w:val="center"/>
          </w:tcPr>
          <w:p w14:paraId="4FFF0A1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E5F70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资料管理</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BAC50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1.每月10日前报送本月作业计划、上月小结内容，未在规定时间内及时上报的，每次每项扣1分。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CDE40">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470E7">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1F51FB">
            <w:pPr>
              <w:jc w:val="left"/>
              <w:rPr>
                <w:rFonts w:hint="eastAsia" w:ascii="宋体" w:hAnsi="宋体" w:eastAsia="宋体" w:cs="宋体"/>
                <w:i w:val="0"/>
                <w:iCs w:val="0"/>
                <w:color w:val="auto"/>
                <w:sz w:val="21"/>
                <w:szCs w:val="21"/>
                <w:highlight w:val="none"/>
                <w:u w:val="none"/>
              </w:rPr>
            </w:pPr>
          </w:p>
        </w:tc>
      </w:tr>
      <w:tr w14:paraId="64B290E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60" w:hRule="atLeast"/>
        </w:trPr>
        <w:tc>
          <w:tcPr>
            <w:tcW w:w="531" w:type="dxa"/>
            <w:vMerge w:val="continue"/>
            <w:tcBorders>
              <w:top w:val="single" w:color="000000" w:sz="8" w:space="0"/>
              <w:left w:val="single" w:color="000000" w:sz="8" w:space="0"/>
              <w:bottom w:val="nil"/>
              <w:right w:val="nil"/>
            </w:tcBorders>
            <w:shd w:val="clear" w:color="auto" w:fill="auto"/>
            <w:vAlign w:val="center"/>
          </w:tcPr>
          <w:p w14:paraId="0E343CA2">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9AF935">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7638">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2.按照要求做好作业规范相关资料的收集和报送，未按规定执行的，每发现一项扣1分。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CABEBD">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6A03B">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08329">
            <w:pPr>
              <w:jc w:val="left"/>
              <w:rPr>
                <w:rFonts w:hint="eastAsia" w:ascii="宋体" w:hAnsi="宋体" w:eastAsia="宋体" w:cs="宋体"/>
                <w:i w:val="0"/>
                <w:iCs w:val="0"/>
                <w:color w:val="auto"/>
                <w:sz w:val="21"/>
                <w:szCs w:val="21"/>
                <w:highlight w:val="none"/>
                <w:u w:val="none"/>
              </w:rPr>
            </w:pPr>
          </w:p>
        </w:tc>
      </w:tr>
      <w:tr w14:paraId="656B59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5" w:hRule="atLeast"/>
        </w:trPr>
        <w:tc>
          <w:tcPr>
            <w:tcW w:w="531" w:type="dxa"/>
            <w:vMerge w:val="continue"/>
            <w:tcBorders>
              <w:top w:val="single" w:color="000000" w:sz="8" w:space="0"/>
              <w:left w:val="single" w:color="000000" w:sz="8" w:space="0"/>
              <w:bottom w:val="nil"/>
              <w:right w:val="nil"/>
            </w:tcBorders>
            <w:shd w:val="clear" w:color="auto" w:fill="auto"/>
            <w:vAlign w:val="center"/>
          </w:tcPr>
          <w:p w14:paraId="33209446">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082770">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20F74">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3.各项管理台账健全，更新及时，按要求及时上报数据资料，确保数据真实、准确；不能及时上报的每项扣1分。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A5C2">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00627">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C5188">
            <w:pPr>
              <w:jc w:val="left"/>
              <w:rPr>
                <w:rFonts w:hint="eastAsia" w:ascii="宋体" w:hAnsi="宋体" w:eastAsia="宋体" w:cs="宋体"/>
                <w:i w:val="0"/>
                <w:iCs w:val="0"/>
                <w:color w:val="auto"/>
                <w:sz w:val="21"/>
                <w:szCs w:val="21"/>
                <w:highlight w:val="none"/>
                <w:u w:val="none"/>
              </w:rPr>
            </w:pPr>
          </w:p>
        </w:tc>
      </w:tr>
      <w:tr w14:paraId="0E83DD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0" w:hRule="atLeast"/>
        </w:trPr>
        <w:tc>
          <w:tcPr>
            <w:tcW w:w="531" w:type="dxa"/>
            <w:tcBorders>
              <w:top w:val="single" w:color="000000" w:sz="8" w:space="0"/>
              <w:left w:val="single" w:color="000000" w:sz="8" w:space="0"/>
              <w:bottom w:val="nil"/>
              <w:right w:val="nil"/>
            </w:tcBorders>
            <w:shd w:val="clear" w:color="auto" w:fill="auto"/>
            <w:vAlign w:val="center"/>
          </w:tcPr>
          <w:p w14:paraId="3DBBCC8D">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w:t>
            </w:r>
          </w:p>
        </w:tc>
        <w:tc>
          <w:tcPr>
            <w:tcW w:w="1340" w:type="dxa"/>
            <w:tcBorders>
              <w:top w:val="single" w:color="000000" w:sz="4" w:space="0"/>
              <w:left w:val="single" w:color="000000" w:sz="4" w:space="0"/>
              <w:bottom w:val="nil"/>
              <w:right w:val="single" w:color="000000" w:sz="4" w:space="0"/>
            </w:tcBorders>
            <w:shd w:val="clear" w:color="auto" w:fill="auto"/>
            <w:vAlign w:val="center"/>
          </w:tcPr>
          <w:p w14:paraId="04F0906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人员管理</w:t>
            </w:r>
          </w:p>
        </w:tc>
        <w:tc>
          <w:tcPr>
            <w:tcW w:w="8458" w:type="dxa"/>
            <w:tcBorders>
              <w:top w:val="single" w:color="000000" w:sz="4" w:space="0"/>
              <w:left w:val="single" w:color="000000" w:sz="4" w:space="0"/>
              <w:bottom w:val="nil"/>
              <w:right w:val="single" w:color="000000" w:sz="4" w:space="0"/>
            </w:tcBorders>
            <w:shd w:val="clear" w:color="auto" w:fill="auto"/>
            <w:vAlign w:val="top"/>
          </w:tcPr>
          <w:p w14:paraId="066B6815">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配齐管护工作所需的人员，特种岗位人员（持证上岗），技术维修人员、后勤保障人员、驾驶员、运营人员等一线作业人员，不得缺岗、空岗、漏岗。工作人员各司其职、熟悉工作流程、工作方法，能应对突发情况。管护人员不足或特种岗位人员无证上岗，每次扣1分，一线作业人员有缺岗、空岗、漏岗，每次扣1分，工作人员不明确自己职务，不熟悉业务，每次扣1分。</w:t>
            </w:r>
          </w:p>
        </w:tc>
        <w:tc>
          <w:tcPr>
            <w:tcW w:w="1417" w:type="dxa"/>
            <w:tcBorders>
              <w:top w:val="single" w:color="000000" w:sz="4" w:space="0"/>
              <w:left w:val="single" w:color="000000" w:sz="4" w:space="0"/>
              <w:bottom w:val="nil"/>
              <w:right w:val="single" w:color="000000" w:sz="4" w:space="0"/>
            </w:tcBorders>
            <w:shd w:val="clear" w:color="auto" w:fill="auto"/>
            <w:vAlign w:val="center"/>
          </w:tcPr>
          <w:p w14:paraId="40B9BEE5">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nil"/>
              <w:right w:val="single" w:color="000000" w:sz="4" w:space="0"/>
            </w:tcBorders>
            <w:shd w:val="clear" w:color="auto" w:fill="auto"/>
            <w:vAlign w:val="center"/>
          </w:tcPr>
          <w:p w14:paraId="4D1B8132">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nil"/>
              <w:right w:val="single" w:color="000000" w:sz="4" w:space="0"/>
            </w:tcBorders>
            <w:shd w:val="clear" w:color="auto" w:fill="auto"/>
            <w:vAlign w:val="center"/>
          </w:tcPr>
          <w:p w14:paraId="103EB5B3">
            <w:pPr>
              <w:jc w:val="left"/>
              <w:rPr>
                <w:rFonts w:hint="eastAsia" w:ascii="宋体" w:hAnsi="宋体" w:eastAsia="宋体" w:cs="宋体"/>
                <w:i w:val="0"/>
                <w:iCs w:val="0"/>
                <w:color w:val="auto"/>
                <w:sz w:val="21"/>
                <w:szCs w:val="21"/>
                <w:highlight w:val="none"/>
                <w:u w:val="none"/>
              </w:rPr>
            </w:pPr>
          </w:p>
        </w:tc>
      </w:tr>
      <w:tr w14:paraId="3F7C00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48A7D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47D4F3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文明作业</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57E43198">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1.从业人员须接受安全教育和相关业务培训，按要求持证上岗，严格执行操作规程，违反一次扣3分。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FECC91">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F49A31">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2BA771">
            <w:pPr>
              <w:jc w:val="left"/>
              <w:rPr>
                <w:rFonts w:hint="eastAsia" w:ascii="宋体" w:hAnsi="宋体" w:eastAsia="宋体" w:cs="宋体"/>
                <w:i w:val="0"/>
                <w:iCs w:val="0"/>
                <w:color w:val="auto"/>
                <w:sz w:val="21"/>
                <w:szCs w:val="21"/>
                <w:highlight w:val="none"/>
                <w:u w:val="none"/>
              </w:rPr>
            </w:pPr>
          </w:p>
        </w:tc>
      </w:tr>
      <w:tr w14:paraId="597D48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0" w:hRule="atLeast"/>
        </w:trPr>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B8B22">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55232">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7184D6C3">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2.作业人员应统一服装，有明显的字样及标识，如发现违反一次扣0.5分。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B7697">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370EBB">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9CE548">
            <w:pPr>
              <w:jc w:val="left"/>
              <w:rPr>
                <w:rFonts w:hint="eastAsia" w:ascii="宋体" w:hAnsi="宋体" w:eastAsia="宋体" w:cs="宋体"/>
                <w:i w:val="0"/>
                <w:iCs w:val="0"/>
                <w:color w:val="auto"/>
                <w:sz w:val="21"/>
                <w:szCs w:val="21"/>
                <w:highlight w:val="none"/>
                <w:u w:val="none"/>
              </w:rPr>
            </w:pPr>
          </w:p>
        </w:tc>
      </w:tr>
      <w:tr w14:paraId="042D6F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BEACC">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49CA13">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14625D9A">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3.机动车作业人员严格遵守相关法规及行业要求，如违反相关法规及行业要求，一次扣1分。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55B2F0">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09DE95">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696910">
            <w:pPr>
              <w:jc w:val="left"/>
              <w:rPr>
                <w:rFonts w:hint="eastAsia" w:ascii="宋体" w:hAnsi="宋体" w:eastAsia="宋体" w:cs="宋体"/>
                <w:i w:val="0"/>
                <w:iCs w:val="0"/>
                <w:color w:val="auto"/>
                <w:sz w:val="21"/>
                <w:szCs w:val="21"/>
                <w:highlight w:val="none"/>
                <w:u w:val="none"/>
              </w:rPr>
            </w:pPr>
          </w:p>
        </w:tc>
      </w:tr>
      <w:tr w14:paraId="0917FD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0" w:hRule="atLeast"/>
        </w:trPr>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F69A4D">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846161">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top"/>
          </w:tcPr>
          <w:p w14:paraId="07BFEA71">
            <w:pPr>
              <w:keepNext w:val="0"/>
              <w:keepLines w:val="0"/>
              <w:widowControl/>
              <w:suppressLineNumbers w:val="0"/>
              <w:jc w:val="left"/>
              <w:textAlignment w:val="top"/>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4.在合同范围内的项目施工必须在规定时间内完成并及时清理项目施工现场，未及时清理干净的，每发现1处扣2分；未能在规定时间内完成修复的，每逾期1次扣2分。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0628FB">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371634">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3BF1AE">
            <w:pPr>
              <w:jc w:val="left"/>
              <w:rPr>
                <w:rFonts w:hint="eastAsia" w:ascii="宋体" w:hAnsi="宋体" w:eastAsia="宋体" w:cs="宋体"/>
                <w:i w:val="0"/>
                <w:iCs w:val="0"/>
                <w:color w:val="auto"/>
                <w:sz w:val="21"/>
                <w:szCs w:val="21"/>
                <w:highlight w:val="none"/>
                <w:u w:val="none"/>
              </w:rPr>
            </w:pPr>
          </w:p>
        </w:tc>
      </w:tr>
      <w:tr w14:paraId="03EF48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0" w:hRule="atLeast"/>
        </w:trPr>
        <w:tc>
          <w:tcPr>
            <w:tcW w:w="53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A5020B">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7</w:t>
            </w:r>
          </w:p>
        </w:tc>
        <w:tc>
          <w:tcPr>
            <w:tcW w:w="134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AF95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问题整改</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1D198D">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1.按照整改要求，未在整改期限内进行整改的，每出现一次扣5分。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D40FD">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B1CADD">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FFEE9">
            <w:pPr>
              <w:jc w:val="left"/>
              <w:rPr>
                <w:rFonts w:hint="eastAsia" w:ascii="宋体" w:hAnsi="宋体" w:eastAsia="宋体" w:cs="宋体"/>
                <w:i w:val="0"/>
                <w:iCs w:val="0"/>
                <w:color w:val="auto"/>
                <w:sz w:val="21"/>
                <w:szCs w:val="21"/>
                <w:highlight w:val="none"/>
                <w:u w:val="none"/>
              </w:rPr>
            </w:pPr>
          </w:p>
        </w:tc>
      </w:tr>
      <w:tr w14:paraId="3D590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531"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CE959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8</w:t>
            </w:r>
          </w:p>
        </w:tc>
        <w:tc>
          <w:tcPr>
            <w:tcW w:w="134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5ADD5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加分事项</w:t>
            </w: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849A50">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1.受到国家级官方表彰，每次加10分。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2E865B">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77E20">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A69620">
            <w:pPr>
              <w:jc w:val="left"/>
              <w:rPr>
                <w:rFonts w:hint="eastAsia" w:ascii="宋体" w:hAnsi="宋体" w:eastAsia="宋体" w:cs="宋体"/>
                <w:i w:val="0"/>
                <w:iCs w:val="0"/>
                <w:color w:val="auto"/>
                <w:sz w:val="21"/>
                <w:szCs w:val="21"/>
                <w:highlight w:val="none"/>
                <w:u w:val="none"/>
              </w:rPr>
            </w:pPr>
          </w:p>
        </w:tc>
      </w:tr>
      <w:tr w14:paraId="228F20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DA6BB5">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5AF603">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CECB5E">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2.受到省级官方表彰，每次加8分。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9333D">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E71081">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D3C315">
            <w:pPr>
              <w:jc w:val="left"/>
              <w:rPr>
                <w:rFonts w:hint="eastAsia" w:ascii="宋体" w:hAnsi="宋体" w:eastAsia="宋体" w:cs="宋体"/>
                <w:i w:val="0"/>
                <w:iCs w:val="0"/>
                <w:color w:val="auto"/>
                <w:sz w:val="21"/>
                <w:szCs w:val="21"/>
                <w:highlight w:val="none"/>
                <w:u w:val="none"/>
              </w:rPr>
            </w:pPr>
          </w:p>
        </w:tc>
      </w:tr>
      <w:tr w14:paraId="070741F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D11000">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705275">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A32EBF">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3.受到市级官方表彰，每次加5分。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944A4">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E7D727">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66CC41">
            <w:pPr>
              <w:jc w:val="left"/>
              <w:rPr>
                <w:rFonts w:hint="eastAsia" w:ascii="宋体" w:hAnsi="宋体" w:eastAsia="宋体" w:cs="宋体"/>
                <w:i w:val="0"/>
                <w:iCs w:val="0"/>
                <w:color w:val="auto"/>
                <w:sz w:val="21"/>
                <w:szCs w:val="21"/>
                <w:highlight w:val="none"/>
                <w:u w:val="none"/>
              </w:rPr>
            </w:pPr>
          </w:p>
        </w:tc>
      </w:tr>
      <w:tr w14:paraId="3CBD7B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8DA06">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5585B">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677F99">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eastAsia="宋体" w:cs="宋体"/>
                <w:i w:val="0"/>
                <w:iCs w:val="0"/>
                <w:color w:val="auto"/>
                <w:kern w:val="0"/>
                <w:sz w:val="21"/>
                <w:szCs w:val="21"/>
                <w:highlight w:val="none"/>
                <w:u w:val="none"/>
                <w:lang w:val="en-US" w:eastAsia="zh-CN" w:bidi="ar"/>
              </w:rPr>
              <w:t>3</w:t>
            </w:r>
            <w:r>
              <w:rPr>
                <w:rFonts w:hint="eastAsia" w:ascii="宋体" w:hAnsi="宋体" w:eastAsia="宋体" w:cs="宋体"/>
                <w:i w:val="0"/>
                <w:iCs w:val="0"/>
                <w:color w:val="auto"/>
                <w:kern w:val="0"/>
                <w:sz w:val="21"/>
                <w:szCs w:val="21"/>
                <w:highlight w:val="none"/>
                <w:u w:val="none"/>
                <w:lang w:val="en-US" w:eastAsia="zh-CN" w:bidi="ar"/>
              </w:rPr>
              <w:t>.受到国家级媒体正面宣传，每次加5分。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92626">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0AA363">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F52C6">
            <w:pPr>
              <w:jc w:val="left"/>
              <w:rPr>
                <w:rFonts w:hint="eastAsia" w:ascii="宋体" w:hAnsi="宋体" w:eastAsia="宋体" w:cs="宋体"/>
                <w:i w:val="0"/>
                <w:iCs w:val="0"/>
                <w:color w:val="auto"/>
                <w:sz w:val="21"/>
                <w:szCs w:val="21"/>
                <w:highlight w:val="none"/>
                <w:u w:val="none"/>
              </w:rPr>
            </w:pPr>
          </w:p>
        </w:tc>
      </w:tr>
      <w:tr w14:paraId="54D7D2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0" w:hRule="atLeast"/>
        </w:trPr>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BDF249">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44217">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B4D71">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eastAsia="宋体" w:cs="宋体"/>
                <w:i w:val="0"/>
                <w:iCs w:val="0"/>
                <w:color w:val="auto"/>
                <w:kern w:val="0"/>
                <w:sz w:val="21"/>
                <w:szCs w:val="21"/>
                <w:highlight w:val="none"/>
                <w:u w:val="none"/>
                <w:lang w:val="en-US" w:eastAsia="zh-CN" w:bidi="ar"/>
              </w:rPr>
              <w:t>5</w:t>
            </w:r>
            <w:r>
              <w:rPr>
                <w:rFonts w:hint="eastAsia" w:ascii="宋体" w:hAnsi="宋体" w:eastAsia="宋体" w:cs="宋体"/>
                <w:i w:val="0"/>
                <w:iCs w:val="0"/>
                <w:color w:val="auto"/>
                <w:kern w:val="0"/>
                <w:sz w:val="21"/>
                <w:szCs w:val="21"/>
                <w:highlight w:val="none"/>
                <w:u w:val="none"/>
                <w:lang w:val="en-US" w:eastAsia="zh-CN" w:bidi="ar"/>
              </w:rPr>
              <w:t>.受到省级媒体正面宣传，每次加3分。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3BE7E">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BCCE7">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406C1F">
            <w:pPr>
              <w:jc w:val="left"/>
              <w:rPr>
                <w:rFonts w:hint="eastAsia" w:ascii="宋体" w:hAnsi="宋体" w:eastAsia="宋体" w:cs="宋体"/>
                <w:i w:val="0"/>
                <w:iCs w:val="0"/>
                <w:color w:val="auto"/>
                <w:sz w:val="21"/>
                <w:szCs w:val="21"/>
                <w:highlight w:val="none"/>
                <w:u w:val="none"/>
              </w:rPr>
            </w:pPr>
          </w:p>
        </w:tc>
      </w:tr>
      <w:tr w14:paraId="3E7496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trPr>
        <w:tc>
          <w:tcPr>
            <w:tcW w:w="531"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44455">
            <w:pPr>
              <w:jc w:val="center"/>
              <w:rPr>
                <w:rFonts w:hint="eastAsia" w:ascii="宋体" w:hAnsi="宋体" w:eastAsia="宋体" w:cs="宋体"/>
                <w:i w:val="0"/>
                <w:iCs w:val="0"/>
                <w:color w:val="auto"/>
                <w:sz w:val="21"/>
                <w:szCs w:val="21"/>
                <w:highlight w:val="none"/>
                <w:u w:val="none"/>
              </w:rPr>
            </w:pPr>
          </w:p>
        </w:tc>
        <w:tc>
          <w:tcPr>
            <w:tcW w:w="134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B321EE">
            <w:pPr>
              <w:jc w:val="center"/>
              <w:rPr>
                <w:rFonts w:hint="eastAsia" w:ascii="宋体" w:hAnsi="宋体" w:eastAsia="宋体" w:cs="宋体"/>
                <w:b/>
                <w:bCs/>
                <w:i w:val="0"/>
                <w:iCs w:val="0"/>
                <w:color w:val="auto"/>
                <w:sz w:val="21"/>
                <w:szCs w:val="21"/>
                <w:highlight w:val="none"/>
                <w:u w:val="none"/>
              </w:rPr>
            </w:pPr>
          </w:p>
        </w:tc>
        <w:tc>
          <w:tcPr>
            <w:tcW w:w="845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F19EA">
            <w:pPr>
              <w:keepNext w:val="0"/>
              <w:keepLines w:val="0"/>
              <w:widowControl/>
              <w:suppressLineNumbers w:val="0"/>
              <w:jc w:val="left"/>
              <w:textAlignment w:val="center"/>
              <w:rPr>
                <w:rFonts w:hint="eastAsia" w:ascii="宋体" w:hAnsi="宋体" w:eastAsia="宋体" w:cs="宋体"/>
                <w:i w:val="0"/>
                <w:iCs w:val="0"/>
                <w:color w:val="auto"/>
                <w:sz w:val="21"/>
                <w:szCs w:val="21"/>
                <w:highlight w:val="none"/>
                <w:u w:val="none"/>
              </w:rPr>
            </w:pPr>
            <w:r>
              <w:rPr>
                <w:rFonts w:hint="eastAsia" w:ascii="宋体" w:eastAsia="宋体" w:cs="宋体"/>
                <w:i w:val="0"/>
                <w:iCs w:val="0"/>
                <w:color w:val="auto"/>
                <w:kern w:val="0"/>
                <w:sz w:val="21"/>
                <w:szCs w:val="21"/>
                <w:highlight w:val="none"/>
                <w:u w:val="none"/>
                <w:lang w:val="en-US" w:eastAsia="zh-CN" w:bidi="ar"/>
              </w:rPr>
              <w:t>6</w:t>
            </w:r>
            <w:r>
              <w:rPr>
                <w:rFonts w:hint="eastAsia" w:ascii="宋体" w:hAnsi="宋体" w:eastAsia="宋体" w:cs="宋体"/>
                <w:i w:val="0"/>
                <w:iCs w:val="0"/>
                <w:color w:val="auto"/>
                <w:kern w:val="0"/>
                <w:sz w:val="21"/>
                <w:szCs w:val="21"/>
                <w:highlight w:val="none"/>
                <w:u w:val="none"/>
                <w:lang w:val="en-US" w:eastAsia="zh-CN" w:bidi="ar"/>
              </w:rPr>
              <w:t>.受到市级媒体正面宣传，每次加</w:t>
            </w:r>
            <w:r>
              <w:rPr>
                <w:rFonts w:hint="eastAsia" w:ascii="宋体" w:eastAsia="宋体" w:cs="宋体"/>
                <w:i w:val="0"/>
                <w:iCs w:val="0"/>
                <w:color w:val="auto"/>
                <w:kern w:val="0"/>
                <w:sz w:val="21"/>
                <w:szCs w:val="21"/>
                <w:highlight w:val="none"/>
                <w:u w:val="none"/>
                <w:lang w:val="en-US" w:eastAsia="zh-CN" w:bidi="ar"/>
              </w:rPr>
              <w:t>1</w:t>
            </w:r>
            <w:r>
              <w:rPr>
                <w:rFonts w:hint="eastAsia" w:ascii="宋体" w:hAnsi="宋体" w:eastAsia="宋体" w:cs="宋体"/>
                <w:i w:val="0"/>
                <w:iCs w:val="0"/>
                <w:color w:val="auto"/>
                <w:kern w:val="0"/>
                <w:sz w:val="21"/>
                <w:szCs w:val="21"/>
                <w:highlight w:val="none"/>
                <w:u w:val="none"/>
                <w:lang w:val="en-US" w:eastAsia="zh-CN" w:bidi="ar"/>
              </w:rPr>
              <w:t>分。</w:t>
            </w:r>
          </w:p>
        </w:tc>
        <w:tc>
          <w:tcPr>
            <w:tcW w:w="14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88FE9">
            <w:pPr>
              <w:jc w:val="left"/>
              <w:rPr>
                <w:rFonts w:hint="eastAsia" w:ascii="宋体" w:hAnsi="宋体" w:eastAsia="宋体" w:cs="宋体"/>
                <w:i w:val="0"/>
                <w:iCs w:val="0"/>
                <w:color w:val="auto"/>
                <w:sz w:val="21"/>
                <w:szCs w:val="21"/>
                <w:highlight w:val="none"/>
                <w:u w:val="none"/>
              </w:rPr>
            </w:pP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5BAC3B">
            <w:pPr>
              <w:jc w:val="left"/>
              <w:rPr>
                <w:rFonts w:hint="eastAsia" w:ascii="宋体" w:hAnsi="宋体" w:eastAsia="宋体" w:cs="宋体"/>
                <w:i w:val="0"/>
                <w:iCs w:val="0"/>
                <w:color w:val="auto"/>
                <w:sz w:val="21"/>
                <w:szCs w:val="21"/>
                <w:highlight w:val="none"/>
                <w:u w:val="none"/>
              </w:rPr>
            </w:pPr>
          </w:p>
        </w:tc>
        <w:tc>
          <w:tcPr>
            <w:tcW w:w="124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571702">
            <w:pPr>
              <w:jc w:val="left"/>
              <w:rPr>
                <w:rFonts w:hint="eastAsia" w:ascii="宋体" w:hAnsi="宋体" w:eastAsia="宋体" w:cs="宋体"/>
                <w:i w:val="0"/>
                <w:iCs w:val="0"/>
                <w:color w:val="auto"/>
                <w:sz w:val="21"/>
                <w:szCs w:val="21"/>
                <w:highlight w:val="none"/>
                <w:u w:val="none"/>
              </w:rPr>
            </w:pPr>
          </w:p>
        </w:tc>
      </w:tr>
      <w:tr w14:paraId="69501D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4037" w:type="dxa"/>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2E6380">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 xml:space="preserve">扣分合计：                                                                                                                       </w:t>
            </w:r>
          </w:p>
        </w:tc>
      </w:tr>
    </w:tbl>
    <w:p w14:paraId="26734830">
      <w:pPr>
        <w:rPr>
          <w:rFonts w:hint="eastAsia"/>
          <w:color w:val="auto"/>
          <w:highlight w:val="none"/>
          <w:lang w:val="zh-CN" w:eastAsia="zh-CN"/>
        </w:rPr>
        <w:sectPr>
          <w:pgSz w:w="16838" w:h="11906" w:orient="landscape"/>
          <w:pgMar w:top="1800" w:right="1440" w:bottom="1800" w:left="144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tbl>
      <w:tblPr>
        <w:tblStyle w:val="31"/>
        <w:tblW w:w="14700" w:type="dxa"/>
        <w:tblInd w:w="-44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950"/>
        <w:gridCol w:w="1319"/>
        <w:gridCol w:w="9350"/>
        <w:gridCol w:w="1369"/>
        <w:gridCol w:w="848"/>
        <w:gridCol w:w="864"/>
      </w:tblGrid>
      <w:tr w14:paraId="1786726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4700" w:type="dxa"/>
            <w:gridSpan w:val="6"/>
            <w:tcBorders>
              <w:top w:val="nil"/>
              <w:left w:val="nil"/>
              <w:bottom w:val="nil"/>
              <w:right w:val="nil"/>
            </w:tcBorders>
            <w:shd w:val="clear" w:color="auto" w:fill="auto"/>
            <w:vAlign w:val="center"/>
          </w:tcPr>
          <w:p w14:paraId="13A2E008">
            <w:pPr>
              <w:keepNext w:val="0"/>
              <w:keepLines w:val="0"/>
              <w:widowControl/>
              <w:suppressLineNumbers w:val="0"/>
              <w:jc w:val="center"/>
              <w:textAlignment w:val="center"/>
              <w:rPr>
                <w:rFonts w:hint="eastAsia" w:ascii="宋体" w:hAnsi="宋体" w:eastAsia="宋体" w:cs="宋体"/>
                <w:b/>
                <w:bCs/>
                <w:i w:val="0"/>
                <w:iCs w:val="0"/>
                <w:color w:val="auto"/>
                <w:sz w:val="32"/>
                <w:szCs w:val="3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表2  园林绿化养护及公园管理考核细则（100分）</w:t>
            </w:r>
          </w:p>
        </w:tc>
      </w:tr>
      <w:tr w14:paraId="3B735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700" w:type="dxa"/>
            <w:gridSpan w:val="6"/>
            <w:tcBorders>
              <w:top w:val="nil"/>
              <w:left w:val="nil"/>
              <w:bottom w:val="nil"/>
              <w:right w:val="nil"/>
            </w:tcBorders>
            <w:shd w:val="clear" w:color="auto" w:fill="auto"/>
            <w:vAlign w:val="center"/>
          </w:tcPr>
          <w:p w14:paraId="6D6E711D">
            <w:pPr>
              <w:keepNext w:val="0"/>
              <w:keepLines w:val="0"/>
              <w:widowControl/>
              <w:suppressLineNumbers w:val="0"/>
              <w:jc w:val="left"/>
              <w:textAlignment w:val="center"/>
              <w:rPr>
                <w:rFonts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作业单位：                                            考核单位：                                      日期：    年  月  日</w:t>
            </w:r>
          </w:p>
        </w:tc>
      </w:tr>
      <w:tr w14:paraId="675423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1BFDA">
            <w:pPr>
              <w:keepNext w:val="0"/>
              <w:keepLines w:val="0"/>
              <w:widowControl/>
              <w:suppressLineNumbers w:val="0"/>
              <w:jc w:val="both"/>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B3F5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考核内容</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5ABA6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考核细则</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37655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扣分原因</w:t>
            </w: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30506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扣分</w:t>
            </w: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A3CA4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54B26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A3C5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57D7AB">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绿植的浇灌</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B68C7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1.按照规定时间及时做好春季绿化灌溉，在规定期限内必须完成，未完成的，扣1分。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BBE99B">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554E00">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604114">
            <w:pPr>
              <w:jc w:val="both"/>
              <w:rPr>
                <w:rFonts w:hint="eastAsia" w:ascii="宋体" w:hAnsi="宋体" w:eastAsia="宋体" w:cs="宋体"/>
                <w:i w:val="0"/>
                <w:iCs w:val="0"/>
                <w:color w:val="auto"/>
                <w:sz w:val="20"/>
                <w:szCs w:val="20"/>
                <w:highlight w:val="none"/>
                <w:u w:val="none"/>
              </w:rPr>
            </w:pPr>
          </w:p>
        </w:tc>
      </w:tr>
      <w:tr w14:paraId="6DE834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F2A9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7F42B">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6F3E9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2.供水设施出现故障未及时抢修，造成旱情，一次扣2分。节水灌溉浇水期间管道、阀门正常使用，田埂完好，流水通畅，浇透浇足，做好地势高低的围墒工作，因措施不到位影响浇水质量的一次扣1分。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0EF1A">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3A3868">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C3338">
            <w:pPr>
              <w:jc w:val="both"/>
              <w:rPr>
                <w:rFonts w:hint="eastAsia" w:ascii="宋体" w:hAnsi="宋体" w:eastAsia="宋体" w:cs="宋体"/>
                <w:i w:val="0"/>
                <w:iCs w:val="0"/>
                <w:color w:val="auto"/>
                <w:sz w:val="20"/>
                <w:szCs w:val="20"/>
                <w:highlight w:val="none"/>
                <w:u w:val="none"/>
              </w:rPr>
            </w:pPr>
          </w:p>
        </w:tc>
      </w:tr>
      <w:tr w14:paraId="50662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BF579">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8A3565">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A1F3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根据绿地植物需水量差异合理浇灌；如因浇水不当，造成植物生长异常，乔木或孤植灌木、片植灌木黄叶或非正常落叶的扣1.5分；造成乔木或孤植灌木死亡的，一株扣3分，造成花卉或片植灌木、地被死亡的，每㎡扣2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331C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094CD">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D82005">
            <w:pPr>
              <w:jc w:val="both"/>
              <w:rPr>
                <w:rFonts w:hint="eastAsia" w:ascii="宋体" w:hAnsi="宋体" w:eastAsia="宋体" w:cs="宋体"/>
                <w:i w:val="0"/>
                <w:iCs w:val="0"/>
                <w:color w:val="auto"/>
                <w:sz w:val="20"/>
                <w:szCs w:val="20"/>
                <w:highlight w:val="none"/>
                <w:u w:val="none"/>
              </w:rPr>
            </w:pPr>
          </w:p>
        </w:tc>
      </w:tr>
      <w:tr w14:paraId="2D1E30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7D0D9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E71DD">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4344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4.严格按照夏季绿化用水时间进行浇水（00：00-06：00），如有违反发现一次扣1分；市民投诉且未整改的一次扣1分，造成重大舆情的扣5分，重复投诉的扣5分。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B70465">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E7D6E">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F65E56">
            <w:pPr>
              <w:jc w:val="both"/>
              <w:rPr>
                <w:rFonts w:hint="eastAsia" w:ascii="宋体" w:hAnsi="宋体" w:eastAsia="宋体" w:cs="宋体"/>
                <w:i w:val="0"/>
                <w:iCs w:val="0"/>
                <w:color w:val="auto"/>
                <w:sz w:val="20"/>
                <w:szCs w:val="20"/>
                <w:highlight w:val="none"/>
                <w:u w:val="none"/>
              </w:rPr>
            </w:pPr>
          </w:p>
        </w:tc>
      </w:tr>
      <w:tr w14:paraId="0D727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3B422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F6ACC6">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3DB41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5.浇水人员必须确保自己管辖范围内的浇灌设施正常工作，设施异常，经提醒未整改的，扣2分。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245BB">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448EE">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72B1FE">
            <w:pPr>
              <w:jc w:val="both"/>
              <w:rPr>
                <w:rFonts w:hint="eastAsia" w:ascii="宋体" w:hAnsi="宋体" w:eastAsia="宋体" w:cs="宋体"/>
                <w:i w:val="0"/>
                <w:iCs w:val="0"/>
                <w:color w:val="auto"/>
                <w:sz w:val="20"/>
                <w:szCs w:val="20"/>
                <w:highlight w:val="none"/>
                <w:u w:val="none"/>
              </w:rPr>
            </w:pPr>
          </w:p>
        </w:tc>
      </w:tr>
      <w:tr w14:paraId="7DC0EB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39ED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EF3659">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0E35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6.浇水期间出现跑冒滴漏，管线跑水造成路面积水一次扣1分。及时清除因浇水造成的大于2㎡的路面积水，未按时完成的，发现一次扣0.5分。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7D3884">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90A0B">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4B8F3">
            <w:pPr>
              <w:jc w:val="both"/>
              <w:rPr>
                <w:rFonts w:hint="eastAsia" w:ascii="宋体" w:hAnsi="宋体" w:eastAsia="宋体" w:cs="宋体"/>
                <w:i w:val="0"/>
                <w:iCs w:val="0"/>
                <w:color w:val="auto"/>
                <w:sz w:val="20"/>
                <w:szCs w:val="20"/>
                <w:highlight w:val="none"/>
                <w:u w:val="none"/>
              </w:rPr>
            </w:pPr>
          </w:p>
        </w:tc>
      </w:tr>
      <w:tr w14:paraId="016F33E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ADDE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8C1DF4">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60B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7.在规定时间内做好冬灌水，冬灌不到位，经提醒未整改的扣2分；排水不彻底造成管线损坏等现象的一次扣3分。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60E865">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30466">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96D4D2">
            <w:pPr>
              <w:jc w:val="both"/>
              <w:rPr>
                <w:rFonts w:hint="eastAsia" w:ascii="宋体" w:hAnsi="宋体" w:eastAsia="宋体" w:cs="宋体"/>
                <w:i w:val="0"/>
                <w:iCs w:val="0"/>
                <w:color w:val="auto"/>
                <w:sz w:val="20"/>
                <w:szCs w:val="20"/>
                <w:highlight w:val="none"/>
                <w:u w:val="none"/>
              </w:rPr>
            </w:pPr>
          </w:p>
        </w:tc>
      </w:tr>
      <w:tr w14:paraId="635C39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81B2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68D14D">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74767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8.如发现漫灌地段绿带、树沟等不平整、流水不顺畅，清理、维护不及时、不彻底，影响浇水质量的，一处扣0.5分。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A932D7">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DDCE2">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2B355">
            <w:pPr>
              <w:jc w:val="both"/>
              <w:rPr>
                <w:rFonts w:hint="eastAsia" w:ascii="宋体" w:hAnsi="宋体" w:eastAsia="宋体" w:cs="宋体"/>
                <w:i w:val="0"/>
                <w:iCs w:val="0"/>
                <w:color w:val="auto"/>
                <w:sz w:val="20"/>
                <w:szCs w:val="20"/>
                <w:highlight w:val="none"/>
                <w:u w:val="none"/>
              </w:rPr>
            </w:pPr>
          </w:p>
        </w:tc>
      </w:tr>
      <w:tr w14:paraId="1C701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F88F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6E0B2">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192C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9.未按要求及时做好树木围堰，影响绿地浇水的出现一次扣1分；对树木围堰未及时做好维护，出现跑、漏水现象的，每株扣0.1分。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2A13">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C7A3CA">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B156E">
            <w:pPr>
              <w:jc w:val="both"/>
              <w:rPr>
                <w:rFonts w:hint="eastAsia" w:ascii="宋体" w:hAnsi="宋体" w:eastAsia="宋体" w:cs="宋体"/>
                <w:i w:val="0"/>
                <w:iCs w:val="0"/>
                <w:color w:val="auto"/>
                <w:sz w:val="20"/>
                <w:szCs w:val="20"/>
                <w:highlight w:val="none"/>
                <w:u w:val="none"/>
              </w:rPr>
            </w:pPr>
          </w:p>
        </w:tc>
      </w:tr>
      <w:tr w14:paraId="75E13CC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964CA">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C335B2">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80E5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10.按时完成浇灌任务，浇水地段树穴、花箱、树沟清理及维护不及时，影响浇水的，一处扣0.5分。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525B3">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5F753">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36A46">
            <w:pPr>
              <w:jc w:val="both"/>
              <w:rPr>
                <w:rFonts w:hint="eastAsia" w:ascii="宋体" w:hAnsi="宋体" w:eastAsia="宋体" w:cs="宋体"/>
                <w:i w:val="0"/>
                <w:iCs w:val="0"/>
                <w:color w:val="auto"/>
                <w:sz w:val="20"/>
                <w:szCs w:val="20"/>
                <w:highlight w:val="none"/>
                <w:u w:val="none"/>
              </w:rPr>
            </w:pPr>
          </w:p>
        </w:tc>
      </w:tr>
      <w:tr w14:paraId="2EB9126E">
        <w:tblPrEx>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1875E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107DE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整形修剪</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3F1B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未及时清除病虫枝、枯死枝、徒长枝、下垂枝、重叠枝、二级分枝以下的萌蘖枝、机械损伤枝及影响人、车通行枝条的，发现一处扣0.1分。切口角度合理，倾斜10°-15°，大切口应涂油漆或防腐剂，否则每处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32E9D">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1C14AE">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95CD74">
            <w:pPr>
              <w:jc w:val="both"/>
              <w:rPr>
                <w:rFonts w:hint="eastAsia" w:ascii="宋体" w:hAnsi="宋体" w:eastAsia="宋体" w:cs="宋体"/>
                <w:i w:val="0"/>
                <w:iCs w:val="0"/>
                <w:color w:val="auto"/>
                <w:sz w:val="20"/>
                <w:szCs w:val="20"/>
                <w:highlight w:val="none"/>
                <w:u w:val="none"/>
              </w:rPr>
            </w:pPr>
          </w:p>
        </w:tc>
      </w:tr>
      <w:tr w14:paraId="2C95C8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86384">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56442">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62A0B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严格按照树木采伐流程办理树木采伐手续，发现未批先伐的，每发现一株扣1分。未在规定时间内完成死树清理的，每株扣2分。发现有安全隐患的树枝，未及时清除，发现一次扣1分。树木修剪物未按时清运或清运不彻底的，每延迟一天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CB366F">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7EAA69">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9426CA">
            <w:pPr>
              <w:jc w:val="both"/>
              <w:rPr>
                <w:rFonts w:hint="eastAsia" w:ascii="宋体" w:hAnsi="宋体" w:eastAsia="宋体" w:cs="宋体"/>
                <w:i w:val="0"/>
                <w:iCs w:val="0"/>
                <w:color w:val="auto"/>
                <w:sz w:val="20"/>
                <w:szCs w:val="20"/>
                <w:highlight w:val="none"/>
                <w:u w:val="none"/>
              </w:rPr>
            </w:pPr>
          </w:p>
        </w:tc>
      </w:tr>
      <w:tr w14:paraId="71D0C7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732B3">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DF238">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59E0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草坪未及时修剪的，每片区扣1分;草坪修剪留茬高度不符合要求、修剪过重造成斑秃的或有遗漏的，斑秃面积在0.2平方米以上，每片区扣1分，如果每片（块）草坪的斑秃率大于1%，每片区绿地扣1-2分。草坪边缘修剪不到位，每片区扣1分。草坪修剪物未及时清理的，每片区扣1分。发现有藤蔓植物的，每片区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08D7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BE50A">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0AC55">
            <w:pPr>
              <w:jc w:val="both"/>
              <w:rPr>
                <w:rFonts w:hint="eastAsia" w:ascii="宋体" w:hAnsi="宋体" w:eastAsia="宋体" w:cs="宋体"/>
                <w:i w:val="0"/>
                <w:iCs w:val="0"/>
                <w:color w:val="auto"/>
                <w:sz w:val="20"/>
                <w:szCs w:val="20"/>
                <w:highlight w:val="none"/>
                <w:u w:val="none"/>
              </w:rPr>
            </w:pPr>
          </w:p>
        </w:tc>
      </w:tr>
      <w:tr w14:paraId="1BD9E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111C32">
            <w:pPr>
              <w:jc w:val="center"/>
              <w:rPr>
                <w:rFonts w:hint="eastAsia" w:ascii="宋体" w:hAnsi="宋体" w:eastAsia="宋体" w:cs="宋体"/>
                <w:i w:val="0"/>
                <w:iCs w:val="0"/>
                <w:color w:val="auto"/>
                <w:sz w:val="20"/>
                <w:szCs w:val="20"/>
                <w:highlight w:val="none"/>
                <w:u w:val="none"/>
              </w:rPr>
            </w:pP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8F891">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A416E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4.乔木“树干上”萌条长度超过10㎝，经反馈未及时清除的，一次扣0.5分；开花灌木花后残花败叶未及时修剪，影响景观效果每片区扣2分；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EAF70">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52ACC">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59B2F3">
            <w:pPr>
              <w:jc w:val="both"/>
              <w:rPr>
                <w:rFonts w:hint="eastAsia" w:ascii="宋体" w:hAnsi="宋体" w:eastAsia="宋体" w:cs="宋体"/>
                <w:i w:val="0"/>
                <w:iCs w:val="0"/>
                <w:color w:val="auto"/>
                <w:sz w:val="20"/>
                <w:szCs w:val="20"/>
                <w:highlight w:val="none"/>
                <w:u w:val="none"/>
              </w:rPr>
            </w:pPr>
          </w:p>
        </w:tc>
      </w:tr>
      <w:tr w14:paraId="61D7AF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A5346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98C2A0">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BF3E4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花灌木修剪需提供修剪方案，并严格按照方案执行，未按方案执行的，发现一株扣1分；绿篱、色块修剪不及时，新生枝条超过10厘米的,每片区扣2分；修剪不符合景观要求的，每片区扣0.5分。绿篱模纹必须保持原有设计模型，枝叶稀疏、有秃裸、缺株、枯死株、窜株，每片区扣0.5-1分。花卉栽植不整齐，长势弱，每片区扣0.5-1分；有缺株，倒伏，每片区扣0.5-1分。藤本爬藤植物有倒伏、堆积，每片区扣1-2分。修剪物当天不清运的，每片区扣除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C26DB">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3BDA8">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1D9429">
            <w:pPr>
              <w:jc w:val="both"/>
              <w:rPr>
                <w:rFonts w:hint="eastAsia" w:ascii="宋体" w:hAnsi="宋体" w:eastAsia="宋体" w:cs="宋体"/>
                <w:i w:val="0"/>
                <w:iCs w:val="0"/>
                <w:color w:val="auto"/>
                <w:sz w:val="20"/>
                <w:szCs w:val="20"/>
                <w:highlight w:val="none"/>
                <w:u w:val="none"/>
              </w:rPr>
            </w:pPr>
          </w:p>
        </w:tc>
      </w:tr>
      <w:tr w14:paraId="64AFF77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EE722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87FF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整形修剪</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5F77C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6.未及时扶正倾斜树木的（含新栽树木），每株扣1分;对遗留在树干上的捆绑物、悬挂物（防寒保暖设施除外）及时清查并清除，清除不彻底的，每株扣0.5分。   </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CCB4F">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4A3E9C">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8E7A8">
            <w:pPr>
              <w:jc w:val="both"/>
              <w:rPr>
                <w:rFonts w:hint="eastAsia" w:ascii="宋体" w:hAnsi="宋体" w:eastAsia="宋体" w:cs="宋体"/>
                <w:i w:val="0"/>
                <w:iCs w:val="0"/>
                <w:color w:val="auto"/>
                <w:sz w:val="20"/>
                <w:szCs w:val="20"/>
                <w:highlight w:val="none"/>
                <w:u w:val="none"/>
              </w:rPr>
            </w:pPr>
          </w:p>
        </w:tc>
      </w:tr>
      <w:tr w14:paraId="07A1C3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0A3EB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BBA090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松土、除草、施肥</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E2B0F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1.花堆、花钵及造景地（含地被、宿根花卉、灌木组景）内杂草清除不及时，影响景观效果的，每处扣1分；绿地内有杂草每处扣0.5-1分。 </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86685">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2A2B2">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4FDA70">
            <w:pPr>
              <w:jc w:val="both"/>
              <w:rPr>
                <w:rFonts w:hint="eastAsia" w:ascii="宋体" w:hAnsi="宋体" w:eastAsia="宋体" w:cs="宋体"/>
                <w:i w:val="0"/>
                <w:iCs w:val="0"/>
                <w:color w:val="auto"/>
                <w:sz w:val="20"/>
                <w:szCs w:val="20"/>
                <w:highlight w:val="none"/>
                <w:u w:val="none"/>
              </w:rPr>
            </w:pPr>
          </w:p>
        </w:tc>
      </w:tr>
      <w:tr w14:paraId="6ECE8D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1645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6C8C1">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92A96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2.未按要求做好树木开盘工作，每处扣0.2分；未在规定时间内完成的，每处扣0.5分。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A718B">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7E2D94">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B285">
            <w:pPr>
              <w:jc w:val="both"/>
              <w:rPr>
                <w:rFonts w:hint="eastAsia" w:ascii="宋体" w:hAnsi="宋体" w:eastAsia="宋体" w:cs="宋体"/>
                <w:i w:val="0"/>
                <w:iCs w:val="0"/>
                <w:color w:val="auto"/>
                <w:sz w:val="20"/>
                <w:szCs w:val="20"/>
                <w:highlight w:val="none"/>
                <w:u w:val="none"/>
              </w:rPr>
            </w:pPr>
          </w:p>
        </w:tc>
      </w:tr>
      <w:tr w14:paraId="27BB44E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53BA1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w:t>
            </w:r>
          </w:p>
        </w:tc>
        <w:tc>
          <w:tcPr>
            <w:tcW w:w="131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A222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地容地貌</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D188E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1.地容地貌不平整的，每发现1㎡扣0.5分；黄土裸露未及时处理的，每发现1㎡扣0.5分。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CD4DD9">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B4888">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C4E16">
            <w:pPr>
              <w:jc w:val="both"/>
              <w:rPr>
                <w:rFonts w:hint="eastAsia" w:ascii="宋体" w:hAnsi="宋体" w:eastAsia="宋体" w:cs="宋体"/>
                <w:i w:val="0"/>
                <w:iCs w:val="0"/>
                <w:color w:val="auto"/>
                <w:sz w:val="20"/>
                <w:szCs w:val="20"/>
                <w:highlight w:val="none"/>
                <w:u w:val="none"/>
              </w:rPr>
            </w:pPr>
          </w:p>
        </w:tc>
      </w:tr>
      <w:tr w14:paraId="1F70A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BD33E">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C285D2">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病虫害防治、防寒</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35EB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做好病、虫、草害防治记录工作，记录不全面、不规范的，一次扣0.5分；未及时上报病、虫、草害发生情况的，一次扣2分；未及时按要求进行防治的，一次扣5分。若不按照要求进行整改的，造成严重后果的，加重处罚。</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06D6E3">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4EFA9">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410AA">
            <w:pPr>
              <w:jc w:val="both"/>
              <w:rPr>
                <w:rFonts w:hint="eastAsia" w:ascii="宋体" w:hAnsi="宋体" w:eastAsia="宋体" w:cs="宋体"/>
                <w:i w:val="0"/>
                <w:iCs w:val="0"/>
                <w:color w:val="auto"/>
                <w:sz w:val="20"/>
                <w:szCs w:val="20"/>
                <w:highlight w:val="none"/>
                <w:u w:val="none"/>
              </w:rPr>
            </w:pPr>
          </w:p>
        </w:tc>
      </w:tr>
      <w:tr w14:paraId="2B0FCD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D5454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C75C8">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7D42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2.未按要求完成涂白工作的，每片区扣5分；涂白不规范不达标的，每片区扣3分。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93A23">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056A0">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48431F">
            <w:pPr>
              <w:jc w:val="both"/>
              <w:rPr>
                <w:rFonts w:hint="eastAsia" w:ascii="宋体" w:hAnsi="宋体" w:eastAsia="宋体" w:cs="宋体"/>
                <w:i w:val="0"/>
                <w:iCs w:val="0"/>
                <w:color w:val="auto"/>
                <w:sz w:val="20"/>
                <w:szCs w:val="20"/>
                <w:highlight w:val="none"/>
                <w:u w:val="none"/>
              </w:rPr>
            </w:pPr>
          </w:p>
        </w:tc>
      </w:tr>
      <w:tr w14:paraId="7F1CCFA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60B9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2CA8F">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1D5F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3.未按照行业部门要求需要做防寒保护措施的绿地植物采取相应的防寒措施的，每片区扣10分。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8629C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70D0F6">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3B11A6">
            <w:pPr>
              <w:jc w:val="both"/>
              <w:rPr>
                <w:rFonts w:hint="eastAsia" w:ascii="宋体" w:hAnsi="宋体" w:eastAsia="宋体" w:cs="宋体"/>
                <w:i w:val="0"/>
                <w:iCs w:val="0"/>
                <w:color w:val="auto"/>
                <w:sz w:val="20"/>
                <w:szCs w:val="20"/>
                <w:highlight w:val="none"/>
                <w:u w:val="none"/>
              </w:rPr>
            </w:pPr>
          </w:p>
        </w:tc>
      </w:tr>
      <w:tr w14:paraId="6898C8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A950FF">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AA26A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基础设施维护巡检</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0DF1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1.绿地附属设施污损、杂乱、不干净整洁的，每处扣0.1分；绿化井、井盖破坏严重损坏丢失，每处扣1分。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0EAE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79FB7F">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F1E4A">
            <w:pPr>
              <w:jc w:val="both"/>
              <w:rPr>
                <w:rFonts w:hint="eastAsia" w:ascii="宋体" w:hAnsi="宋体" w:eastAsia="宋体" w:cs="宋体"/>
                <w:i w:val="0"/>
                <w:iCs w:val="0"/>
                <w:color w:val="auto"/>
                <w:sz w:val="20"/>
                <w:szCs w:val="20"/>
                <w:highlight w:val="none"/>
                <w:u w:val="none"/>
              </w:rPr>
            </w:pPr>
          </w:p>
        </w:tc>
      </w:tr>
      <w:tr w14:paraId="62B396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75B84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C075B7">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47A7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2.园路、铺装地面破损的，未按要求对破损的园路、铺装地面修复的，每处扣1分。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D186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AEF4F">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5F6C05">
            <w:pPr>
              <w:jc w:val="both"/>
              <w:rPr>
                <w:rFonts w:hint="eastAsia" w:ascii="宋体" w:hAnsi="宋体" w:eastAsia="宋体" w:cs="宋体"/>
                <w:i w:val="0"/>
                <w:iCs w:val="0"/>
                <w:color w:val="auto"/>
                <w:sz w:val="20"/>
                <w:szCs w:val="20"/>
                <w:highlight w:val="none"/>
                <w:u w:val="none"/>
              </w:rPr>
            </w:pPr>
          </w:p>
        </w:tc>
      </w:tr>
      <w:tr w14:paraId="71D343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6143B">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BAE57B">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56B7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3.景观灯损坏不亮的未按及时修复，每发现一个灯不亮扣0.1分。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426C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E06E">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EE35C5">
            <w:pPr>
              <w:jc w:val="both"/>
              <w:rPr>
                <w:rFonts w:hint="eastAsia" w:ascii="宋体" w:hAnsi="宋体" w:eastAsia="宋体" w:cs="宋体"/>
                <w:i w:val="0"/>
                <w:iCs w:val="0"/>
                <w:color w:val="auto"/>
                <w:sz w:val="20"/>
                <w:szCs w:val="20"/>
                <w:highlight w:val="none"/>
                <w:u w:val="none"/>
              </w:rPr>
            </w:pPr>
          </w:p>
        </w:tc>
      </w:tr>
      <w:tr w14:paraId="493BF7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BC4AB2">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25</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82FE77">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6E33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4.园林建筑小品有破损、涂画未进行整改的，每处扣0.5分。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8EDA5">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CA6F2">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9CCD8">
            <w:pPr>
              <w:jc w:val="both"/>
              <w:rPr>
                <w:rFonts w:hint="eastAsia" w:ascii="宋体" w:hAnsi="宋体" w:eastAsia="宋体" w:cs="宋体"/>
                <w:i w:val="0"/>
                <w:iCs w:val="0"/>
                <w:color w:val="auto"/>
                <w:sz w:val="20"/>
                <w:szCs w:val="20"/>
                <w:highlight w:val="none"/>
                <w:u w:val="none"/>
              </w:rPr>
            </w:pPr>
          </w:p>
        </w:tc>
      </w:tr>
      <w:tr w14:paraId="3A804B3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D0E7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26</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23A72">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53BED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5.各类管网设施维护不符合要求的，每处扣1分。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B0AFB">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B45D89">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6DC42">
            <w:pPr>
              <w:jc w:val="both"/>
              <w:rPr>
                <w:rFonts w:hint="eastAsia" w:ascii="宋体" w:hAnsi="宋体" w:eastAsia="宋体" w:cs="宋体"/>
                <w:i w:val="0"/>
                <w:iCs w:val="0"/>
                <w:color w:val="auto"/>
                <w:sz w:val="20"/>
                <w:szCs w:val="20"/>
                <w:highlight w:val="none"/>
                <w:u w:val="none"/>
              </w:rPr>
            </w:pPr>
          </w:p>
        </w:tc>
      </w:tr>
      <w:tr w14:paraId="55B656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795DC">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27</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5E0419">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8BFD3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6.各类园林建筑小品、园林构筑物存在安全隐患的，经相关部门通知后未整改的，每处扣2分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22CD6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DA02B">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FBB0DA">
            <w:pPr>
              <w:jc w:val="both"/>
              <w:rPr>
                <w:rFonts w:hint="eastAsia" w:ascii="宋体" w:hAnsi="宋体" w:eastAsia="宋体" w:cs="宋体"/>
                <w:i w:val="0"/>
                <w:iCs w:val="0"/>
                <w:color w:val="auto"/>
                <w:sz w:val="20"/>
                <w:szCs w:val="20"/>
                <w:highlight w:val="none"/>
                <w:u w:val="none"/>
              </w:rPr>
            </w:pPr>
          </w:p>
        </w:tc>
      </w:tr>
      <w:tr w14:paraId="1F4107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E57A60">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28</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DB649E">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0CC65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7.喷灌管线暴露在地面上，未下埋的，经相关部门通知后未整改的，每处扣1分。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91488F">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948EE">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3101E">
            <w:pPr>
              <w:jc w:val="both"/>
              <w:rPr>
                <w:rFonts w:hint="eastAsia" w:ascii="宋体" w:hAnsi="宋体" w:eastAsia="宋体" w:cs="宋体"/>
                <w:i w:val="0"/>
                <w:iCs w:val="0"/>
                <w:color w:val="auto"/>
                <w:sz w:val="20"/>
                <w:szCs w:val="20"/>
                <w:highlight w:val="none"/>
                <w:u w:val="none"/>
              </w:rPr>
            </w:pPr>
          </w:p>
        </w:tc>
      </w:tr>
      <w:tr w14:paraId="09BCA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B055A1">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29</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F96966">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29F9B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8.灌溉设施损坏，未及时维修的，每处扣1分。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A81C8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C6AFF">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66D2">
            <w:pPr>
              <w:jc w:val="both"/>
              <w:rPr>
                <w:rFonts w:hint="eastAsia" w:ascii="宋体" w:hAnsi="宋体" w:eastAsia="宋体" w:cs="宋体"/>
                <w:i w:val="0"/>
                <w:iCs w:val="0"/>
                <w:color w:val="auto"/>
                <w:sz w:val="20"/>
                <w:szCs w:val="20"/>
                <w:highlight w:val="none"/>
                <w:u w:val="none"/>
              </w:rPr>
            </w:pPr>
          </w:p>
        </w:tc>
      </w:tr>
      <w:tr w14:paraId="57647E7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1F9127">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30</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716F40">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2808F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9.对路段、绿地及水域周边边坡、护岸处有裂缝、塌陷、缺损等安全隐患的现象未及时修复的，每处扣3分。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EAE6DE">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5C8350">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55E149">
            <w:pPr>
              <w:jc w:val="both"/>
              <w:rPr>
                <w:rFonts w:hint="eastAsia" w:ascii="宋体" w:hAnsi="宋体" w:eastAsia="宋体" w:cs="宋体"/>
                <w:i w:val="0"/>
                <w:iCs w:val="0"/>
                <w:color w:val="auto"/>
                <w:sz w:val="20"/>
                <w:szCs w:val="20"/>
                <w:highlight w:val="none"/>
                <w:u w:val="none"/>
              </w:rPr>
            </w:pPr>
          </w:p>
        </w:tc>
      </w:tr>
      <w:tr w14:paraId="557F0B9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902CC5">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31</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CCBC9B">
            <w:pPr>
              <w:jc w:val="center"/>
              <w:rPr>
                <w:rFonts w:hint="eastAsia" w:ascii="宋体" w:hAnsi="宋体" w:eastAsia="宋体" w:cs="宋体"/>
                <w:b/>
                <w:bCs/>
                <w:i w:val="0"/>
                <w:iCs w:val="0"/>
                <w:color w:val="auto"/>
                <w:sz w:val="21"/>
                <w:szCs w:val="21"/>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6E87A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10.因管护不到位，导致管理范围内的市政设施、绿化设施、绿地植物等损坏或丢失的，每次扣5分；所辖绿地内出现随意占用绿地及绿化设施行为的，一起扣3分。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5AF502">
            <w:pPr>
              <w:jc w:val="both"/>
              <w:rPr>
                <w:rFonts w:hint="eastAsia" w:ascii="宋体" w:hAnsi="宋体" w:eastAsia="宋体" w:cs="宋体"/>
                <w:i w:val="0"/>
                <w:iCs w:val="0"/>
                <w:color w:val="auto"/>
                <w:sz w:val="12"/>
                <w:szCs w:val="12"/>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50D55">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83FA70">
            <w:pPr>
              <w:jc w:val="both"/>
              <w:rPr>
                <w:rFonts w:hint="eastAsia" w:ascii="宋体" w:hAnsi="宋体" w:eastAsia="宋体" w:cs="宋体"/>
                <w:i w:val="0"/>
                <w:iCs w:val="0"/>
                <w:color w:val="auto"/>
                <w:sz w:val="20"/>
                <w:szCs w:val="20"/>
                <w:highlight w:val="none"/>
                <w:u w:val="none"/>
              </w:rPr>
            </w:pPr>
          </w:p>
        </w:tc>
      </w:tr>
      <w:tr w14:paraId="77F8C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F9AF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32</w:t>
            </w:r>
          </w:p>
        </w:tc>
        <w:tc>
          <w:tcPr>
            <w:tcW w:w="131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477116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水域管理</w:t>
            </w: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A00A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1.未在水域周边等存在安全隐患的地方设置明显安全警示牌的，每处扣0.5分。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B14B66">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B5AEEA">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474B4B">
            <w:pPr>
              <w:jc w:val="both"/>
              <w:rPr>
                <w:rFonts w:hint="eastAsia" w:ascii="宋体" w:hAnsi="宋体" w:eastAsia="宋体" w:cs="宋体"/>
                <w:i w:val="0"/>
                <w:iCs w:val="0"/>
                <w:color w:val="auto"/>
                <w:sz w:val="20"/>
                <w:szCs w:val="20"/>
                <w:highlight w:val="none"/>
                <w:u w:val="none"/>
              </w:rPr>
            </w:pPr>
          </w:p>
        </w:tc>
      </w:tr>
      <w:tr w14:paraId="18A1519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A06B6">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33</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668F0">
            <w:pPr>
              <w:jc w:val="center"/>
              <w:rPr>
                <w:rFonts w:hint="eastAsia" w:ascii="宋体" w:hAnsi="宋体" w:eastAsia="宋体" w:cs="宋体"/>
                <w:b/>
                <w:bCs/>
                <w:i w:val="0"/>
                <w:iCs w:val="0"/>
                <w:color w:val="auto"/>
                <w:sz w:val="20"/>
                <w:szCs w:val="20"/>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F585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2.水域有垃圾杂物、青苔、水草，不及时清理的，每处扣0.5分。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B1E32E">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2C0D">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BDBBC9">
            <w:pPr>
              <w:jc w:val="both"/>
              <w:rPr>
                <w:rFonts w:hint="eastAsia" w:ascii="宋体" w:hAnsi="宋体" w:eastAsia="宋体" w:cs="宋体"/>
                <w:i w:val="0"/>
                <w:iCs w:val="0"/>
                <w:color w:val="auto"/>
                <w:sz w:val="20"/>
                <w:szCs w:val="20"/>
                <w:highlight w:val="none"/>
                <w:u w:val="none"/>
              </w:rPr>
            </w:pPr>
          </w:p>
        </w:tc>
      </w:tr>
      <w:tr w14:paraId="02E80B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9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A193D">
            <w:pPr>
              <w:keepNext w:val="0"/>
              <w:keepLines w:val="0"/>
              <w:widowControl/>
              <w:suppressLineNumbers w:val="0"/>
              <w:jc w:val="center"/>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34</w:t>
            </w:r>
          </w:p>
        </w:tc>
        <w:tc>
          <w:tcPr>
            <w:tcW w:w="131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27C4A1">
            <w:pPr>
              <w:jc w:val="center"/>
              <w:rPr>
                <w:rFonts w:hint="eastAsia" w:ascii="宋体" w:hAnsi="宋体" w:eastAsia="宋体" w:cs="宋体"/>
                <w:b/>
                <w:bCs/>
                <w:i w:val="0"/>
                <w:iCs w:val="0"/>
                <w:color w:val="auto"/>
                <w:sz w:val="20"/>
                <w:szCs w:val="20"/>
                <w:highlight w:val="none"/>
                <w:u w:val="none"/>
              </w:rPr>
            </w:pPr>
          </w:p>
        </w:tc>
        <w:tc>
          <w:tcPr>
            <w:tcW w:w="93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E9EC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3.喷泉设施运行不正常，发现损坏不及时维修的，每次扣2分。</w:t>
            </w:r>
          </w:p>
        </w:tc>
        <w:tc>
          <w:tcPr>
            <w:tcW w:w="136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2B1742">
            <w:pPr>
              <w:jc w:val="both"/>
              <w:rPr>
                <w:rFonts w:hint="eastAsia" w:ascii="宋体" w:hAnsi="宋体" w:eastAsia="宋体" w:cs="宋体"/>
                <w:i w:val="0"/>
                <w:iCs w:val="0"/>
                <w:color w:val="auto"/>
                <w:sz w:val="20"/>
                <w:szCs w:val="20"/>
                <w:highlight w:val="none"/>
                <w:u w:val="none"/>
              </w:rPr>
            </w:pPr>
          </w:p>
        </w:tc>
        <w:tc>
          <w:tcPr>
            <w:tcW w:w="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591E81">
            <w:pPr>
              <w:jc w:val="center"/>
              <w:rPr>
                <w:rFonts w:hint="eastAsia" w:ascii="宋体" w:hAnsi="宋体" w:eastAsia="宋体" w:cs="宋体"/>
                <w:i w:val="0"/>
                <w:iCs w:val="0"/>
                <w:color w:val="auto"/>
                <w:sz w:val="20"/>
                <w:szCs w:val="20"/>
                <w:highlight w:val="none"/>
                <w:u w:val="none"/>
              </w:rPr>
            </w:pPr>
          </w:p>
        </w:tc>
        <w:tc>
          <w:tcPr>
            <w:tcW w:w="86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770F">
            <w:pPr>
              <w:jc w:val="both"/>
              <w:rPr>
                <w:rFonts w:hint="eastAsia" w:ascii="宋体" w:hAnsi="宋体" w:eastAsia="宋体" w:cs="宋体"/>
                <w:i w:val="0"/>
                <w:iCs w:val="0"/>
                <w:color w:val="auto"/>
                <w:sz w:val="20"/>
                <w:szCs w:val="20"/>
                <w:highlight w:val="none"/>
                <w:u w:val="none"/>
              </w:rPr>
            </w:pPr>
          </w:p>
        </w:tc>
      </w:tr>
      <w:tr w14:paraId="18C9F03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4700"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0AD7F755">
            <w:pPr>
              <w:keepNext w:val="0"/>
              <w:keepLines w:val="0"/>
              <w:widowControl/>
              <w:suppressLineNumbers w:val="0"/>
              <w:jc w:val="both"/>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 xml:space="preserve">扣分合计：                                                                                                                    </w:t>
            </w:r>
          </w:p>
        </w:tc>
      </w:tr>
    </w:tbl>
    <w:p w14:paraId="422513D9">
      <w:pPr>
        <w:pStyle w:val="14"/>
        <w:rPr>
          <w:rFonts w:hint="eastAsia"/>
          <w:color w:val="auto"/>
          <w:highlight w:val="none"/>
          <w:lang w:val="zh-CN" w:eastAsia="zh-CN"/>
        </w:rPr>
        <w:sectPr>
          <w:pgSz w:w="16838" w:h="11906" w:orient="landscape"/>
          <w:pgMar w:top="1800" w:right="1440" w:bottom="1800" w:left="144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tbl>
      <w:tblPr>
        <w:tblStyle w:val="31"/>
        <w:tblW w:w="14493" w:type="dxa"/>
        <w:tblInd w:w="-40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22"/>
        <w:gridCol w:w="1379"/>
        <w:gridCol w:w="8981"/>
        <w:gridCol w:w="1186"/>
        <w:gridCol w:w="778"/>
        <w:gridCol w:w="1047"/>
      </w:tblGrid>
      <w:tr w14:paraId="66DA60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0" w:hRule="atLeast"/>
        </w:trPr>
        <w:tc>
          <w:tcPr>
            <w:tcW w:w="14493" w:type="dxa"/>
            <w:gridSpan w:val="6"/>
            <w:tcBorders>
              <w:top w:val="nil"/>
              <w:left w:val="nil"/>
              <w:bottom w:val="nil"/>
              <w:right w:val="nil"/>
            </w:tcBorders>
            <w:shd w:val="clear" w:color="auto" w:fill="auto"/>
            <w:vAlign w:val="center"/>
          </w:tcPr>
          <w:p w14:paraId="45498CA5">
            <w:pPr>
              <w:keepNext w:val="0"/>
              <w:keepLines w:val="0"/>
              <w:widowControl/>
              <w:suppressLineNumbers w:val="0"/>
              <w:jc w:val="center"/>
              <w:textAlignment w:val="center"/>
              <w:rPr>
                <w:rFonts w:hint="eastAsia" w:ascii="宋体" w:hAnsi="宋体" w:eastAsia="宋体" w:cs="宋体"/>
                <w:b/>
                <w:bCs/>
                <w:i w:val="0"/>
                <w:iCs w:val="0"/>
                <w:color w:val="auto"/>
                <w:sz w:val="32"/>
                <w:szCs w:val="3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表3  环卫保洁考核细则（200分）</w:t>
            </w:r>
          </w:p>
        </w:tc>
      </w:tr>
      <w:tr w14:paraId="21E585D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65" w:hRule="atLeast"/>
        </w:trPr>
        <w:tc>
          <w:tcPr>
            <w:tcW w:w="14493" w:type="dxa"/>
            <w:gridSpan w:val="6"/>
            <w:tcBorders>
              <w:top w:val="nil"/>
              <w:left w:val="nil"/>
              <w:bottom w:val="nil"/>
              <w:right w:val="nil"/>
            </w:tcBorders>
            <w:shd w:val="clear" w:color="auto" w:fill="auto"/>
            <w:vAlign w:val="center"/>
          </w:tcPr>
          <w:p w14:paraId="67DD84F2">
            <w:pPr>
              <w:keepNext w:val="0"/>
              <w:keepLines w:val="0"/>
              <w:widowControl/>
              <w:suppressLineNumbers w:val="0"/>
              <w:jc w:val="left"/>
              <w:textAlignment w:val="center"/>
              <w:rPr>
                <w:rFonts w:ascii="仿宋" w:hAnsi="仿宋" w:eastAsia="仿宋" w:cs="仿宋"/>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作业单位：                                            考核单位：                             日期：    年  月  日</w:t>
            </w:r>
          </w:p>
        </w:tc>
      </w:tr>
      <w:tr w14:paraId="063558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CC41D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137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7DE5A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考核内容</w:t>
            </w:r>
          </w:p>
        </w:tc>
        <w:tc>
          <w:tcPr>
            <w:tcW w:w="898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ECCE0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考核细则</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73D4E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扣分原因</w:t>
            </w: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1CF33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扣分</w:t>
            </w: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4069F">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124EFE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EE169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13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5527A0">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cs="宋体"/>
                <w:b/>
                <w:bCs/>
                <w:i w:val="0"/>
                <w:iCs w:val="0"/>
                <w:color w:val="auto"/>
                <w:kern w:val="0"/>
                <w:sz w:val="21"/>
                <w:szCs w:val="21"/>
                <w:highlight w:val="none"/>
                <w:u w:val="none"/>
                <w:lang w:val="en-US" w:eastAsia="zh-CN" w:bidi="ar"/>
              </w:rPr>
              <w:t>石油基地</w:t>
            </w:r>
            <w:r>
              <w:rPr>
                <w:rFonts w:hint="eastAsia" w:ascii="宋体" w:hAnsi="宋体" w:eastAsia="宋体" w:cs="宋体"/>
                <w:b/>
                <w:bCs/>
                <w:i w:val="0"/>
                <w:iCs w:val="0"/>
                <w:color w:val="auto"/>
                <w:kern w:val="0"/>
                <w:sz w:val="21"/>
                <w:szCs w:val="21"/>
                <w:highlight w:val="none"/>
                <w:u w:val="none"/>
                <w:lang w:val="en-US" w:eastAsia="zh-CN" w:bidi="ar"/>
              </w:rPr>
              <w:t>保洁、道路清扫</w:t>
            </w: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8B055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1.公厕内严禁电动车充电，避免发生安全隐患。发现后未按要求整改，一次扣2分。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A7144">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BCFE2">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C65E66">
            <w:pPr>
              <w:jc w:val="both"/>
              <w:rPr>
                <w:rFonts w:hint="eastAsia" w:ascii="宋体" w:hAnsi="宋体" w:eastAsia="宋体" w:cs="宋体"/>
                <w:i w:val="0"/>
                <w:iCs w:val="0"/>
                <w:color w:val="auto"/>
                <w:sz w:val="24"/>
                <w:szCs w:val="24"/>
                <w:highlight w:val="none"/>
                <w:u w:val="none"/>
              </w:rPr>
            </w:pPr>
          </w:p>
        </w:tc>
      </w:tr>
      <w:tr w14:paraId="6B9C8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5"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7436B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62E8A">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B0CED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2.保洁车辆须外观干净整齐统一、标识清晰。发现后未按要求整改，一次扣5分。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98A5">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144F7D">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BC3D5">
            <w:pPr>
              <w:jc w:val="both"/>
              <w:rPr>
                <w:rFonts w:hint="eastAsia" w:ascii="宋体" w:hAnsi="宋体" w:eastAsia="宋体" w:cs="宋体"/>
                <w:i w:val="0"/>
                <w:iCs w:val="0"/>
                <w:color w:val="auto"/>
                <w:sz w:val="24"/>
                <w:szCs w:val="24"/>
                <w:highlight w:val="none"/>
                <w:u w:val="none"/>
              </w:rPr>
            </w:pPr>
          </w:p>
        </w:tc>
      </w:tr>
      <w:tr w14:paraId="48245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C95C8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B10F0">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E89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3.保洁工具与保洁车辆在不使用时须妥善放置，作业期间不得妨碍车辆行人的正常通行，安全标志摆放位置与作业位置相符，不得在绿化带、人行道、车行道等地随意停放，违规操作。每发现一次扣1分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E7C758">
            <w:pPr>
              <w:jc w:val="both"/>
              <w:rPr>
                <w:rFonts w:hint="eastAsia" w:ascii="宋体" w:hAnsi="宋体" w:eastAsia="宋体" w:cs="宋体"/>
                <w:i w:val="0"/>
                <w:iCs w:val="0"/>
                <w:color w:val="auto"/>
                <w:sz w:val="18"/>
                <w:szCs w:val="18"/>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EE6F4B">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730CB0">
            <w:pPr>
              <w:jc w:val="both"/>
              <w:rPr>
                <w:rFonts w:hint="eastAsia" w:ascii="宋体" w:hAnsi="宋体" w:eastAsia="宋体" w:cs="宋体"/>
                <w:i w:val="0"/>
                <w:iCs w:val="0"/>
                <w:color w:val="auto"/>
                <w:sz w:val="24"/>
                <w:szCs w:val="24"/>
                <w:highlight w:val="none"/>
                <w:u w:val="none"/>
              </w:rPr>
            </w:pPr>
          </w:p>
        </w:tc>
      </w:tr>
      <w:tr w14:paraId="6AF6D74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4"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F35A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0A66AE">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FB03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在正常作业条件下，可见垃圾（包括纸屑、烟头、果皮核、塑料袋、砖石及其他杂物等，不包括树叶，下同）不长时间堆积，无积水、无油污；路面积水、油污须在当天内清理完毕；未及时清理完毕的，每一处扣1分，在上级检查考核中不达标的加倍扣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E79A56">
            <w:pPr>
              <w:jc w:val="both"/>
              <w:rPr>
                <w:rFonts w:hint="eastAsia" w:ascii="宋体" w:hAnsi="宋体" w:eastAsia="宋体" w:cs="宋体"/>
                <w:i w:val="0"/>
                <w:iCs w:val="0"/>
                <w:color w:val="auto"/>
                <w:sz w:val="18"/>
                <w:szCs w:val="18"/>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0E11D0">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4110F9">
            <w:pPr>
              <w:jc w:val="both"/>
              <w:rPr>
                <w:rFonts w:hint="eastAsia" w:ascii="宋体" w:hAnsi="宋体" w:eastAsia="宋体" w:cs="宋体"/>
                <w:i w:val="0"/>
                <w:iCs w:val="0"/>
                <w:color w:val="auto"/>
                <w:sz w:val="24"/>
                <w:szCs w:val="24"/>
                <w:highlight w:val="none"/>
                <w:u w:val="none"/>
              </w:rPr>
            </w:pPr>
          </w:p>
        </w:tc>
      </w:tr>
      <w:tr w14:paraId="51CE8C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439F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A058A">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68B71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5.各级道路均实行“普扫+巡回保洁”。早普扫8:00前完成，5-10月提前0.5小时，可适当后延。未摆放安全标志，每次扣1分，普扫不到位每处扣1分，每超时一次扣1分。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5BF786">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A9DA2">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635C1">
            <w:pPr>
              <w:jc w:val="both"/>
              <w:rPr>
                <w:rFonts w:hint="eastAsia" w:ascii="宋体" w:hAnsi="宋体" w:eastAsia="宋体" w:cs="宋体"/>
                <w:i w:val="0"/>
                <w:iCs w:val="0"/>
                <w:color w:val="auto"/>
                <w:sz w:val="24"/>
                <w:szCs w:val="24"/>
                <w:highlight w:val="none"/>
                <w:u w:val="none"/>
              </w:rPr>
            </w:pPr>
          </w:p>
        </w:tc>
      </w:tr>
      <w:tr w14:paraId="28616E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18A3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2C160E">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8FD79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6.巡回保洁时长：各级道路不少于8个小时。如遇重大活动、迎评迎创等应急性工作，按要求延长保洁时间。保洁时长不达标每处扣1分。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382CC8">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C30DA">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A1430">
            <w:pPr>
              <w:jc w:val="both"/>
              <w:rPr>
                <w:rFonts w:hint="eastAsia" w:ascii="宋体" w:hAnsi="宋体" w:eastAsia="宋体" w:cs="宋体"/>
                <w:i w:val="0"/>
                <w:iCs w:val="0"/>
                <w:color w:val="auto"/>
                <w:sz w:val="24"/>
                <w:szCs w:val="24"/>
                <w:highlight w:val="none"/>
                <w:u w:val="none"/>
              </w:rPr>
            </w:pPr>
          </w:p>
        </w:tc>
      </w:tr>
      <w:tr w14:paraId="0F99297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A9734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5FA1F">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41530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清扫道路时不得漏扫、扬扫，控制扬尘；巡回保洁要及时清除路面垃圾、杂草、积水，及时将责任范围内垃圾收集容器周围的散落垃圾捡入容器中，确保道路干净整洁。每漏扫一次扣1分，清扫保洁不达标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3D8E30">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506064">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22D9A36">
            <w:pPr>
              <w:jc w:val="both"/>
              <w:rPr>
                <w:rFonts w:hint="eastAsia" w:ascii="宋体" w:hAnsi="宋体" w:eastAsia="宋体" w:cs="宋体"/>
                <w:i w:val="0"/>
                <w:iCs w:val="0"/>
                <w:color w:val="auto"/>
                <w:sz w:val="24"/>
                <w:szCs w:val="24"/>
                <w:highlight w:val="none"/>
                <w:u w:val="none"/>
              </w:rPr>
            </w:pPr>
          </w:p>
        </w:tc>
      </w:tr>
      <w:tr w14:paraId="207FCC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4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B890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48DD16">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23EF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8.道路两侧主路面、人行道以捡拾保洁为主，每日普扫一遍。每片区发现不达标一次扣1分。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8C5016">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077D40">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1183D">
            <w:pPr>
              <w:jc w:val="both"/>
              <w:rPr>
                <w:rFonts w:hint="eastAsia" w:ascii="宋体" w:hAnsi="宋体" w:eastAsia="宋体" w:cs="宋体"/>
                <w:i w:val="0"/>
                <w:iCs w:val="0"/>
                <w:color w:val="auto"/>
                <w:sz w:val="24"/>
                <w:szCs w:val="24"/>
                <w:highlight w:val="none"/>
                <w:u w:val="none"/>
              </w:rPr>
            </w:pPr>
          </w:p>
        </w:tc>
      </w:tr>
      <w:tr w14:paraId="322E13A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74A77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A9E8A2">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21813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9.未达到“五无”标准（无白色污染、无乱丢垃圾、无砖石瓦块、无积存枯枝落叶、无粪便），每片区发现一次扣1分。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802D9B">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EA5948">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0C6704">
            <w:pPr>
              <w:jc w:val="both"/>
              <w:rPr>
                <w:rFonts w:hint="eastAsia" w:ascii="宋体" w:hAnsi="宋体" w:eastAsia="宋体" w:cs="宋体"/>
                <w:i w:val="0"/>
                <w:iCs w:val="0"/>
                <w:color w:val="auto"/>
                <w:sz w:val="24"/>
                <w:szCs w:val="24"/>
                <w:highlight w:val="none"/>
                <w:u w:val="none"/>
              </w:rPr>
            </w:pPr>
          </w:p>
        </w:tc>
      </w:tr>
      <w:tr w14:paraId="5FF440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DA40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FEF92">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BD82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10.每天对果皮箱擦洗清掏一遍，垃圾量大时随满随掏，保持内外整洁，禁止出现垃圾外溢问题。未擦洗每次扣0.5分，清掏不及时每次扣0.5分。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B6E86">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9D0D8C">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97F8526">
            <w:pPr>
              <w:jc w:val="both"/>
              <w:rPr>
                <w:rFonts w:hint="eastAsia" w:ascii="宋体" w:hAnsi="宋体" w:eastAsia="宋体" w:cs="宋体"/>
                <w:i w:val="0"/>
                <w:iCs w:val="0"/>
                <w:color w:val="auto"/>
                <w:sz w:val="24"/>
                <w:szCs w:val="24"/>
                <w:highlight w:val="none"/>
                <w:u w:val="none"/>
              </w:rPr>
            </w:pPr>
          </w:p>
        </w:tc>
      </w:tr>
      <w:tr w14:paraId="0F775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D747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B0DEA">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271F9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11.果皮箱应保持功能良好、配置达标，做到无破损、无锈蚀、无丢失、底座牢固、外形完好，发现破损丢失时应在两个工作日内完成维修、补充或更换。未及时维修每次扣1分，未及时补充更换每次扣1分。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1355C">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54F1FB">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F94CFA">
            <w:pPr>
              <w:jc w:val="both"/>
              <w:rPr>
                <w:rFonts w:hint="eastAsia" w:ascii="宋体" w:hAnsi="宋体" w:eastAsia="宋体" w:cs="宋体"/>
                <w:i w:val="0"/>
                <w:iCs w:val="0"/>
                <w:color w:val="auto"/>
                <w:sz w:val="24"/>
                <w:szCs w:val="24"/>
                <w:highlight w:val="none"/>
                <w:u w:val="none"/>
              </w:rPr>
            </w:pPr>
          </w:p>
        </w:tc>
      </w:tr>
      <w:tr w14:paraId="0D860D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5"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3A675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C05272">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C7276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12.专人负责对垃圾容器进行消毒，夏秋执行每周消杀一次。每发现蝇虫滋生一处扣0.2分。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A325C4">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73C45D">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AA67F6">
            <w:pPr>
              <w:jc w:val="both"/>
              <w:rPr>
                <w:rFonts w:hint="eastAsia" w:ascii="宋体" w:hAnsi="宋体" w:eastAsia="宋体" w:cs="宋体"/>
                <w:i w:val="0"/>
                <w:iCs w:val="0"/>
                <w:color w:val="auto"/>
                <w:sz w:val="24"/>
                <w:szCs w:val="24"/>
                <w:highlight w:val="none"/>
                <w:u w:val="none"/>
              </w:rPr>
            </w:pPr>
          </w:p>
        </w:tc>
      </w:tr>
      <w:tr w14:paraId="7C9D13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41A84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B08304">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A1989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13.每周对交通护栏、路障墩柱、扶手等道路隔离设施清洗、擦拭至少一次，无明显灰尘污物（冬季按月执行），每发现有明显灰尘污物的一处扣0.2分。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FD2283">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3C42CD">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184CD4">
            <w:pPr>
              <w:jc w:val="both"/>
              <w:rPr>
                <w:rFonts w:hint="eastAsia" w:ascii="宋体" w:hAnsi="宋体" w:eastAsia="宋体" w:cs="宋体"/>
                <w:i w:val="0"/>
                <w:iCs w:val="0"/>
                <w:color w:val="auto"/>
                <w:sz w:val="24"/>
                <w:szCs w:val="24"/>
                <w:highlight w:val="none"/>
                <w:u w:val="none"/>
              </w:rPr>
            </w:pPr>
          </w:p>
        </w:tc>
      </w:tr>
      <w:tr w14:paraId="72F5339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12F0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551C3">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D21AF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道路各类公共设施（交通护栏、公交站亭、路灯、指示牌、交通信号灯等）及两侧建筑物立面2.2米以下部位，无明显灰尘污物、无乱涂乱画和各类小广告，定期擦洗保洁，至少每周一次（冬季按月执行），发现一处扣0.2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E48A0">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BC5DF1">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945331">
            <w:pPr>
              <w:jc w:val="both"/>
              <w:rPr>
                <w:rFonts w:hint="eastAsia" w:ascii="宋体" w:hAnsi="宋体" w:eastAsia="宋体" w:cs="宋体"/>
                <w:i w:val="0"/>
                <w:iCs w:val="0"/>
                <w:color w:val="auto"/>
                <w:sz w:val="24"/>
                <w:szCs w:val="24"/>
                <w:highlight w:val="none"/>
                <w:u w:val="none"/>
              </w:rPr>
            </w:pPr>
          </w:p>
        </w:tc>
      </w:tr>
      <w:tr w14:paraId="32DF50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E707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66ECF2">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8BB7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15.发现乱涂乱画和各类小广告时，各级道路应在两个工作日内彻底清除。处理不及时的每发现一次扣1分，验收不达标的每发现一处扣1分。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B16FB1">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9F663">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94B016">
            <w:pPr>
              <w:jc w:val="both"/>
              <w:rPr>
                <w:rFonts w:hint="eastAsia" w:ascii="宋体" w:hAnsi="宋体" w:eastAsia="宋体" w:cs="宋体"/>
                <w:i w:val="0"/>
                <w:iCs w:val="0"/>
                <w:color w:val="auto"/>
                <w:sz w:val="24"/>
                <w:szCs w:val="24"/>
                <w:highlight w:val="none"/>
                <w:u w:val="none"/>
              </w:rPr>
            </w:pPr>
          </w:p>
        </w:tc>
      </w:tr>
      <w:tr w14:paraId="6E17907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760E2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13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E6F5D6">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cs="宋体"/>
                <w:b/>
                <w:bCs/>
                <w:i w:val="0"/>
                <w:iCs w:val="0"/>
                <w:color w:val="auto"/>
                <w:kern w:val="0"/>
                <w:sz w:val="21"/>
                <w:szCs w:val="21"/>
                <w:highlight w:val="none"/>
                <w:u w:val="none"/>
                <w:lang w:val="en-US" w:eastAsia="zh-CN" w:bidi="ar"/>
              </w:rPr>
              <w:t>石油基地</w:t>
            </w:r>
            <w:r>
              <w:rPr>
                <w:rFonts w:hint="eastAsia" w:ascii="宋体" w:hAnsi="宋体" w:eastAsia="宋体" w:cs="宋体"/>
                <w:b/>
                <w:bCs/>
                <w:i w:val="0"/>
                <w:iCs w:val="0"/>
                <w:color w:val="auto"/>
                <w:kern w:val="0"/>
                <w:sz w:val="21"/>
                <w:szCs w:val="21"/>
                <w:highlight w:val="none"/>
                <w:u w:val="none"/>
                <w:lang w:val="en-US" w:eastAsia="zh-CN" w:bidi="ar"/>
              </w:rPr>
              <w:t>保洁、道路清扫</w:t>
            </w: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C9003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16.沿路摊点的清扫保洁必须在摊点撤离后两小时内清理完毕，如有污水油渍的须及时刷洗干净。清理不彻底每发现一处扣0.5-1分。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829A3D">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85B3FF">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577EB8">
            <w:pPr>
              <w:jc w:val="both"/>
              <w:rPr>
                <w:rFonts w:hint="eastAsia" w:ascii="宋体" w:hAnsi="宋体" w:eastAsia="宋体" w:cs="宋体"/>
                <w:i w:val="0"/>
                <w:iCs w:val="0"/>
                <w:color w:val="auto"/>
                <w:sz w:val="24"/>
                <w:szCs w:val="24"/>
                <w:highlight w:val="none"/>
                <w:u w:val="none"/>
              </w:rPr>
            </w:pPr>
          </w:p>
        </w:tc>
      </w:tr>
      <w:tr w14:paraId="5B4A14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58DAF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713B40">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93C57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17.商铺摊点产生的垃圾及保洁收集的垃圾须由专人收集，及时密闭运往指定地点。每发现收运不及时一处扣1分。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C434D">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AB7CA4">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0115DF">
            <w:pPr>
              <w:jc w:val="both"/>
              <w:rPr>
                <w:rFonts w:hint="eastAsia" w:ascii="宋体" w:hAnsi="宋体" w:eastAsia="宋体" w:cs="宋体"/>
                <w:i w:val="0"/>
                <w:iCs w:val="0"/>
                <w:color w:val="auto"/>
                <w:sz w:val="24"/>
                <w:szCs w:val="24"/>
                <w:highlight w:val="none"/>
                <w:u w:val="none"/>
              </w:rPr>
            </w:pPr>
          </w:p>
        </w:tc>
      </w:tr>
      <w:tr w14:paraId="490119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3C6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DFDAA7">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E9780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18.严禁焚烧各类垃圾、落叶，严禁将保洁垃圾倒入绿化带或下水井等设施内。焚烧垃圾每发现一次扣3分，乱倒保洁垃圾每发现一次扣2分。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6BCB32">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26A678">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43EB929">
            <w:pPr>
              <w:jc w:val="both"/>
              <w:rPr>
                <w:rFonts w:hint="eastAsia" w:ascii="宋体" w:hAnsi="宋体" w:eastAsia="宋体" w:cs="宋体"/>
                <w:i w:val="0"/>
                <w:iCs w:val="0"/>
                <w:color w:val="auto"/>
                <w:sz w:val="24"/>
                <w:szCs w:val="24"/>
                <w:highlight w:val="none"/>
                <w:u w:val="none"/>
              </w:rPr>
            </w:pPr>
          </w:p>
        </w:tc>
      </w:tr>
      <w:tr w14:paraId="012B965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585D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19</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AE55A7">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DD2A8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19.遇有拖带、撒漏或交通事故等其他污染保洁区域的情况，要及时组织清扫，清扫清刷时限不得超过0.5个工作日。清理不及时的每发现一处扣1分。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6BCB8E">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D8E783">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22C29F">
            <w:pPr>
              <w:jc w:val="both"/>
              <w:rPr>
                <w:rFonts w:hint="eastAsia" w:ascii="宋体" w:hAnsi="宋体" w:eastAsia="宋体" w:cs="宋体"/>
                <w:i w:val="0"/>
                <w:iCs w:val="0"/>
                <w:color w:val="auto"/>
                <w:sz w:val="24"/>
                <w:szCs w:val="24"/>
                <w:highlight w:val="none"/>
                <w:u w:val="none"/>
              </w:rPr>
            </w:pPr>
          </w:p>
        </w:tc>
      </w:tr>
      <w:tr w14:paraId="61B2682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0322D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20</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9B069">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ED2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20.擅自设置影响公园绿地整洁和环境卫生的设施、未按要求实施申报流程，引入产生污染的经营项目，发现一次扣10分。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09045B">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B9BD91">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E5C373">
            <w:pPr>
              <w:jc w:val="both"/>
              <w:rPr>
                <w:rFonts w:hint="eastAsia" w:ascii="宋体" w:hAnsi="宋体" w:eastAsia="宋体" w:cs="宋体"/>
                <w:i w:val="0"/>
                <w:iCs w:val="0"/>
                <w:color w:val="auto"/>
                <w:sz w:val="24"/>
                <w:szCs w:val="24"/>
                <w:highlight w:val="none"/>
                <w:u w:val="none"/>
              </w:rPr>
            </w:pPr>
          </w:p>
        </w:tc>
      </w:tr>
      <w:tr w14:paraId="276141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E305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21</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5C15A">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84D92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21.清雪工作中应防范重大隐患排查，造成重大损失的自行承担后果，每次扣10分；受到上级领导、单位检查通报批评的，每次扣5分。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15BD1D">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52F5E0">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988EEB">
            <w:pPr>
              <w:jc w:val="both"/>
              <w:rPr>
                <w:rFonts w:hint="eastAsia" w:ascii="宋体" w:hAnsi="宋体" w:eastAsia="宋体" w:cs="宋体"/>
                <w:i w:val="0"/>
                <w:iCs w:val="0"/>
                <w:color w:val="auto"/>
                <w:sz w:val="24"/>
                <w:szCs w:val="24"/>
                <w:highlight w:val="none"/>
                <w:u w:val="none"/>
              </w:rPr>
            </w:pPr>
          </w:p>
        </w:tc>
      </w:tr>
      <w:tr w14:paraId="367B3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42B7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22</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EB71DC">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C7C10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22.发现绿地内有倾倒含融雪剂雪水的，发现一处扣10分。未在规定时间完成清雪作业的，每片区扣5分。绿地内园路有积水、积雪，水域内有沉积淤泥，每处扣1-2分。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355A5">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35DA9">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BB1C00">
            <w:pPr>
              <w:jc w:val="both"/>
              <w:rPr>
                <w:rFonts w:hint="eastAsia" w:ascii="宋体" w:hAnsi="宋体" w:eastAsia="宋体" w:cs="宋体"/>
                <w:i w:val="0"/>
                <w:iCs w:val="0"/>
                <w:color w:val="auto"/>
                <w:sz w:val="24"/>
                <w:szCs w:val="24"/>
                <w:highlight w:val="none"/>
                <w:u w:val="none"/>
              </w:rPr>
            </w:pPr>
          </w:p>
        </w:tc>
      </w:tr>
      <w:tr w14:paraId="54A1DB7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53B0B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23</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C0DCDF">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CB58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23.保洁范围内出现的废弃沙发、床垫、冰箱等大件垃圾，需12小时内清理完毕。清理不及时每次扣1分。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AD3C94">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A2FBA3">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DE1039">
            <w:pPr>
              <w:jc w:val="both"/>
              <w:rPr>
                <w:rFonts w:hint="eastAsia" w:ascii="宋体" w:hAnsi="宋体" w:eastAsia="宋体" w:cs="宋体"/>
                <w:i w:val="0"/>
                <w:iCs w:val="0"/>
                <w:color w:val="auto"/>
                <w:sz w:val="24"/>
                <w:szCs w:val="24"/>
                <w:highlight w:val="none"/>
                <w:u w:val="none"/>
              </w:rPr>
            </w:pPr>
          </w:p>
        </w:tc>
      </w:tr>
      <w:tr w14:paraId="5D473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F1200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24</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A2C80">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8790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24.保洁范围内其他无主的建筑垃圾、装修垃圾、混合垃圾等要及时清理，清理时限不得超过24小时，运送至指定消纳场所。清理不及时每次扣1分。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D35B6F">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BFE847">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50ED3">
            <w:pPr>
              <w:jc w:val="both"/>
              <w:rPr>
                <w:rFonts w:hint="eastAsia" w:ascii="宋体" w:hAnsi="宋体" w:eastAsia="宋体" w:cs="宋体"/>
                <w:i w:val="0"/>
                <w:iCs w:val="0"/>
                <w:color w:val="auto"/>
                <w:sz w:val="24"/>
                <w:szCs w:val="24"/>
                <w:highlight w:val="none"/>
                <w:u w:val="none"/>
              </w:rPr>
            </w:pPr>
          </w:p>
        </w:tc>
      </w:tr>
      <w:tr w14:paraId="32E264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9CDE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25</w:t>
            </w:r>
          </w:p>
        </w:tc>
        <w:tc>
          <w:tcPr>
            <w:tcW w:w="13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F404087">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机械化冲洗保洁</w:t>
            </w: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1B1AC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1.按要求定期维护和保养，保持日常车容车貌干净整洁，车容车貌不整洁的每次扣1分。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61ACB9">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5B663F">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53236A">
            <w:pPr>
              <w:jc w:val="both"/>
              <w:rPr>
                <w:rFonts w:hint="eastAsia" w:ascii="宋体" w:hAnsi="宋体" w:eastAsia="宋体" w:cs="宋体"/>
                <w:i w:val="0"/>
                <w:iCs w:val="0"/>
                <w:color w:val="auto"/>
                <w:sz w:val="24"/>
                <w:szCs w:val="24"/>
                <w:highlight w:val="none"/>
                <w:u w:val="none"/>
              </w:rPr>
            </w:pPr>
          </w:p>
        </w:tc>
      </w:tr>
      <w:tr w14:paraId="2B4C09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1FE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26</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45628">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85C0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2.作业车辆每日避开交通高峰时段，早8：00之前至少完成全覆盖作业1次，未能完成每次扣1分，作业频次未达到每日要求的，每次扣1分。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C1382C">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CB9DF3">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C19716">
            <w:pPr>
              <w:jc w:val="both"/>
              <w:rPr>
                <w:rFonts w:hint="eastAsia" w:ascii="宋体" w:hAnsi="宋体" w:eastAsia="宋体" w:cs="宋体"/>
                <w:i w:val="0"/>
                <w:iCs w:val="0"/>
                <w:color w:val="auto"/>
                <w:sz w:val="24"/>
                <w:szCs w:val="24"/>
                <w:highlight w:val="none"/>
                <w:u w:val="none"/>
              </w:rPr>
            </w:pPr>
          </w:p>
        </w:tc>
      </w:tr>
      <w:tr w14:paraId="0E3F49E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C950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27</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5CEE1F">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AA2D4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3.季节性每周开展一次人行道、慢车道、路沿石冲刷，见路面本色；发现一处不达标扣1分。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2E0506">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5C55E3">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C75EFD">
            <w:pPr>
              <w:jc w:val="both"/>
              <w:rPr>
                <w:rFonts w:hint="eastAsia" w:ascii="宋体" w:hAnsi="宋体" w:eastAsia="宋体" w:cs="宋体"/>
                <w:i w:val="0"/>
                <w:iCs w:val="0"/>
                <w:color w:val="auto"/>
                <w:sz w:val="24"/>
                <w:szCs w:val="24"/>
                <w:highlight w:val="none"/>
                <w:u w:val="none"/>
              </w:rPr>
            </w:pPr>
          </w:p>
        </w:tc>
      </w:tr>
      <w:tr w14:paraId="08E1CA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B8826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28</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9FCDB">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EA98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4.洗扫车、冲洗车常规作业后达到路面净、路边石净、无漏段、无明显沙尘污物。效果不达标每处扣1分，超速作业每次扣1分。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FFF037">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97B6CA">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79F102">
            <w:pPr>
              <w:jc w:val="both"/>
              <w:rPr>
                <w:rFonts w:hint="eastAsia" w:ascii="宋体" w:hAnsi="宋体" w:eastAsia="宋体" w:cs="宋体"/>
                <w:i w:val="0"/>
                <w:iCs w:val="0"/>
                <w:color w:val="auto"/>
                <w:sz w:val="24"/>
                <w:szCs w:val="24"/>
                <w:highlight w:val="none"/>
                <w:u w:val="none"/>
              </w:rPr>
            </w:pPr>
          </w:p>
        </w:tc>
      </w:tr>
      <w:tr w14:paraId="4E6CFB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FA880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29</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4E40B">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13A22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5.道路中心护栏、垃圾桶每周清洗一次，频次不达标每次扣0.5分，效果不明显每次扣0.5分。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DDC45">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1E6985">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EC7DE">
            <w:pPr>
              <w:jc w:val="both"/>
              <w:rPr>
                <w:rFonts w:hint="eastAsia" w:ascii="宋体" w:hAnsi="宋体" w:eastAsia="宋体" w:cs="宋体"/>
                <w:i w:val="0"/>
                <w:iCs w:val="0"/>
                <w:color w:val="auto"/>
                <w:sz w:val="24"/>
                <w:szCs w:val="24"/>
                <w:highlight w:val="none"/>
                <w:u w:val="none"/>
              </w:rPr>
            </w:pPr>
          </w:p>
        </w:tc>
      </w:tr>
      <w:tr w14:paraId="427AA2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BDED5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30</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CB9C6">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3A8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6.洒水车作为消防救援应急保障车，及时配合应急保障工作，未完成应急保障工作扣10分。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841253">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2E34D8">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EB4470">
            <w:pPr>
              <w:jc w:val="both"/>
              <w:rPr>
                <w:rFonts w:hint="eastAsia" w:ascii="宋体" w:hAnsi="宋体" w:eastAsia="宋体" w:cs="宋体"/>
                <w:i w:val="0"/>
                <w:iCs w:val="0"/>
                <w:color w:val="auto"/>
                <w:sz w:val="24"/>
                <w:szCs w:val="24"/>
                <w:highlight w:val="none"/>
                <w:u w:val="none"/>
              </w:rPr>
            </w:pPr>
          </w:p>
        </w:tc>
      </w:tr>
      <w:tr w14:paraId="5F81E9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C7D82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31</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87EC23">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CF40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7.当遇中雨（含）以上天气时，抑尘车、洒水车应暂停全部作业。不按规定暂停作业的，每车次扣1分。造成道路积水过深时，未及时清理每处扣2分。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815041">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42AAC8">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D58E71">
            <w:pPr>
              <w:jc w:val="both"/>
              <w:rPr>
                <w:rFonts w:hint="eastAsia" w:ascii="宋体" w:hAnsi="宋体" w:eastAsia="宋体" w:cs="宋体"/>
                <w:i w:val="0"/>
                <w:iCs w:val="0"/>
                <w:color w:val="auto"/>
                <w:sz w:val="24"/>
                <w:szCs w:val="24"/>
                <w:highlight w:val="none"/>
                <w:u w:val="none"/>
              </w:rPr>
            </w:pPr>
          </w:p>
        </w:tc>
      </w:tr>
      <w:tr w14:paraId="69A726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8126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32</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C6DE9">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82B2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8.如遇重大活动、迎评迎创等应急性工作，严格遵照政府部门要求调整作业频次、作业路线。不按要求调整的，每次扣3分。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FD61D1">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99C37">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673658">
            <w:pPr>
              <w:jc w:val="both"/>
              <w:rPr>
                <w:rFonts w:hint="eastAsia" w:ascii="宋体" w:hAnsi="宋体" w:eastAsia="宋体" w:cs="宋体"/>
                <w:i w:val="0"/>
                <w:iCs w:val="0"/>
                <w:color w:val="auto"/>
                <w:sz w:val="24"/>
                <w:szCs w:val="24"/>
                <w:highlight w:val="none"/>
                <w:u w:val="none"/>
              </w:rPr>
            </w:pPr>
          </w:p>
        </w:tc>
      </w:tr>
      <w:tr w14:paraId="1C5691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77D01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33</w:t>
            </w:r>
          </w:p>
        </w:tc>
        <w:tc>
          <w:tcPr>
            <w:tcW w:w="13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5B2FF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城乡垃圾转运</w:t>
            </w: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8971D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1.工作管理办法、工作规范、安全管理、内部检查等相关制度健全，并按要求上墙公示，设有规范标识牌，公布站点名称、作业时间、投诉电话。通过实地查看办公地点、各类上墙公示信息，每缺少一项扣1分。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5D1B41">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6FDCC3">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E86EF">
            <w:pPr>
              <w:jc w:val="both"/>
              <w:rPr>
                <w:rFonts w:hint="eastAsia" w:ascii="宋体" w:hAnsi="宋体" w:eastAsia="宋体" w:cs="宋体"/>
                <w:i w:val="0"/>
                <w:iCs w:val="0"/>
                <w:color w:val="auto"/>
                <w:sz w:val="24"/>
                <w:szCs w:val="24"/>
                <w:highlight w:val="none"/>
                <w:u w:val="none"/>
              </w:rPr>
            </w:pPr>
          </w:p>
        </w:tc>
      </w:tr>
      <w:tr w14:paraId="68CE17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4"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0EB79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34</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912B15">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4F0A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各类人员合理配置、分工明确、责任到人，岗位满足工作需要，不得缺岗、空岗、漏岗。所有工作人员上岗时，应着工装并佩戴相关明显身份标识，严格按规章制度和操作规程作业，严禁从事与工作无关的事情。未着工装并佩戴身份标识的，每人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5BEB5F">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30C4F6">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2AF847">
            <w:pPr>
              <w:jc w:val="both"/>
              <w:rPr>
                <w:rFonts w:hint="eastAsia" w:ascii="宋体" w:hAnsi="宋体" w:eastAsia="宋体" w:cs="宋体"/>
                <w:i w:val="0"/>
                <w:iCs w:val="0"/>
                <w:color w:val="auto"/>
                <w:sz w:val="24"/>
                <w:szCs w:val="24"/>
                <w:highlight w:val="none"/>
                <w:u w:val="none"/>
              </w:rPr>
            </w:pPr>
          </w:p>
        </w:tc>
      </w:tr>
      <w:tr w14:paraId="4BB24BD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4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E86D5B">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35</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072D2">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FD984C">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3.各类垃圾转运设施外观整洁、维护管理到位。发现外观不整洁、管理维护不到位的每次扣1分，造成设施非正常停用的每次扣2分。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B95463">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3E2585">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AA328">
            <w:pPr>
              <w:jc w:val="both"/>
              <w:rPr>
                <w:rFonts w:hint="eastAsia" w:ascii="宋体" w:hAnsi="宋体" w:eastAsia="宋体" w:cs="宋体"/>
                <w:i w:val="0"/>
                <w:iCs w:val="0"/>
                <w:color w:val="auto"/>
                <w:sz w:val="24"/>
                <w:szCs w:val="24"/>
                <w:highlight w:val="none"/>
                <w:u w:val="none"/>
              </w:rPr>
            </w:pPr>
          </w:p>
        </w:tc>
      </w:tr>
      <w:tr w14:paraId="29A75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40AAD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36</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33058">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D49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4.每日工作情况、巡查情况、问题整改情况、安全管理、消杀除臭、渗滤液处置等各项管理台账健全、更新及时，按要求上报信息，确保数据真实、准确。台账不健全不达标的每次扣1分。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905C81">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3682DA">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F2B543">
            <w:pPr>
              <w:jc w:val="both"/>
              <w:rPr>
                <w:rFonts w:hint="eastAsia" w:ascii="宋体" w:hAnsi="宋体" w:eastAsia="宋体" w:cs="宋体"/>
                <w:i w:val="0"/>
                <w:iCs w:val="0"/>
                <w:color w:val="auto"/>
                <w:sz w:val="24"/>
                <w:szCs w:val="24"/>
                <w:highlight w:val="none"/>
                <w:u w:val="none"/>
              </w:rPr>
            </w:pPr>
          </w:p>
        </w:tc>
      </w:tr>
      <w:tr w14:paraId="03DFA46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25F8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37</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8B05F">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A9EBC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5.垃圾收集站点与清运车辆实行定人、定车、定点、定时、定线路责任制，包日产日清。不达标的每车次扣1分。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44DF60">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4C695">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C4ADB2">
            <w:pPr>
              <w:jc w:val="both"/>
              <w:rPr>
                <w:rFonts w:hint="eastAsia" w:ascii="宋体" w:hAnsi="宋体" w:eastAsia="宋体" w:cs="宋体"/>
                <w:i w:val="0"/>
                <w:iCs w:val="0"/>
                <w:color w:val="auto"/>
                <w:sz w:val="24"/>
                <w:szCs w:val="24"/>
                <w:highlight w:val="none"/>
                <w:u w:val="none"/>
              </w:rPr>
            </w:pPr>
          </w:p>
        </w:tc>
      </w:tr>
      <w:tr w14:paraId="66737D4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2C0C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38</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A8690">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D941B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6.垃圾转运应密闭化运输，转运车辆外观干净整洁，在清运过程中无垃圾扬、撒、拖、挂和污水滴漏现象。未达标的每车次扣1分。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C1ADDD">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C0E0F0">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E57B76">
            <w:pPr>
              <w:jc w:val="both"/>
              <w:rPr>
                <w:rFonts w:hint="eastAsia" w:ascii="宋体" w:hAnsi="宋体" w:eastAsia="宋体" w:cs="宋体"/>
                <w:i w:val="0"/>
                <w:iCs w:val="0"/>
                <w:color w:val="auto"/>
                <w:sz w:val="24"/>
                <w:szCs w:val="24"/>
                <w:highlight w:val="none"/>
                <w:u w:val="none"/>
              </w:rPr>
            </w:pPr>
          </w:p>
        </w:tc>
      </w:tr>
      <w:tr w14:paraId="6CB8D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68"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91281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39</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3B951">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1D25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转运站要做好环评监测，各项参数应符合相应环保标准，排放达到环保要求。垃圾转运站地面须硬化平整，通风良好，有给排水设施。站内有降尘、除臭措施。垃圾渗滤液收集装置应当密封完好。无杂物堆放。转运站内必须配备应急电源及相关备件，确保转运站正常运行。环保不达标每次扣10分，未配备应急电源及相关备件的扣5分，设施装置不达标的每处扣5分，杂物堆放每处扣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94795E">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190FEE">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89C2BD">
            <w:pPr>
              <w:jc w:val="both"/>
              <w:rPr>
                <w:rFonts w:hint="eastAsia" w:ascii="宋体" w:hAnsi="宋体" w:eastAsia="宋体" w:cs="宋体"/>
                <w:i w:val="0"/>
                <w:iCs w:val="0"/>
                <w:color w:val="auto"/>
                <w:sz w:val="24"/>
                <w:szCs w:val="24"/>
                <w:highlight w:val="none"/>
                <w:u w:val="none"/>
              </w:rPr>
            </w:pPr>
          </w:p>
        </w:tc>
      </w:tr>
      <w:tr w14:paraId="37D313D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0034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40</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277ACB">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A03B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8.站内垃圾确保“日产日清”，“垃圾不落地”，不得在站内堆积，避免造成二次污染，无拾荒者。违反规定的每次扣1分。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60C28E">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63818E">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5273850">
            <w:pPr>
              <w:jc w:val="both"/>
              <w:rPr>
                <w:rFonts w:hint="eastAsia" w:ascii="宋体" w:hAnsi="宋体" w:eastAsia="宋体" w:cs="宋体"/>
                <w:i w:val="0"/>
                <w:iCs w:val="0"/>
                <w:color w:val="auto"/>
                <w:sz w:val="24"/>
                <w:szCs w:val="24"/>
                <w:highlight w:val="none"/>
                <w:u w:val="none"/>
              </w:rPr>
            </w:pPr>
          </w:p>
        </w:tc>
      </w:tr>
      <w:tr w14:paraId="1BE50D0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900A4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41</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CAA354">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263F2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9.严格遵照相关法律法规、管理规定，规范做好渗滤液外运处理工作，做好清运登记，不得故意积压、外排。违反处理要求的每次扣2分。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878AA">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46CD25">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367620">
            <w:pPr>
              <w:jc w:val="both"/>
              <w:rPr>
                <w:rFonts w:hint="eastAsia" w:ascii="宋体" w:hAnsi="宋体" w:eastAsia="宋体" w:cs="宋体"/>
                <w:i w:val="0"/>
                <w:iCs w:val="0"/>
                <w:color w:val="auto"/>
                <w:sz w:val="24"/>
                <w:szCs w:val="24"/>
                <w:highlight w:val="none"/>
                <w:u w:val="none"/>
              </w:rPr>
            </w:pPr>
          </w:p>
        </w:tc>
      </w:tr>
      <w:tr w14:paraId="71373D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3"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894A2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42</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F0D24D">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D68E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站内保洁到位，达到“六净、三无、一整洁”标准（“六净”：地面净、墙壁净、门窗净、设备净、灯具净、周边环境净。“三无”：无散落垃圾、无积留污水、无扬尘恶臭。“一整洁”：管理间干净整洁，周边无垃圾杂物和乱堆乱放，外墙干净，无“小广告”）。达不到标准的每处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63A36">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CFE56B">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30949F">
            <w:pPr>
              <w:jc w:val="both"/>
              <w:rPr>
                <w:rFonts w:hint="eastAsia" w:ascii="宋体" w:hAnsi="宋体" w:eastAsia="宋体" w:cs="宋体"/>
                <w:i w:val="0"/>
                <w:iCs w:val="0"/>
                <w:color w:val="auto"/>
                <w:sz w:val="24"/>
                <w:szCs w:val="24"/>
                <w:highlight w:val="none"/>
                <w:u w:val="none"/>
              </w:rPr>
            </w:pPr>
          </w:p>
        </w:tc>
      </w:tr>
      <w:tr w14:paraId="315122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5586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43</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4425C7">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2DB93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11.运输垃圾如遇重大活动、突发问题、集中整治、迎评迎创迎检等情况，根据要求延长开放时间，确保完成工作任务。不按规定时间完成作业、造成扰民或投诉的每次扣1分。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EFD85">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669BF2">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EA3A07">
            <w:pPr>
              <w:jc w:val="both"/>
              <w:rPr>
                <w:rFonts w:hint="eastAsia" w:ascii="宋体" w:hAnsi="宋体" w:eastAsia="宋体" w:cs="宋体"/>
                <w:i w:val="0"/>
                <w:iCs w:val="0"/>
                <w:color w:val="auto"/>
                <w:sz w:val="24"/>
                <w:szCs w:val="24"/>
                <w:highlight w:val="none"/>
                <w:u w:val="none"/>
              </w:rPr>
            </w:pPr>
          </w:p>
        </w:tc>
      </w:tr>
      <w:tr w14:paraId="7783A4E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5"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9669DD">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44</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F44C38">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2D50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12.运输垃圾做到站内外整洁，无积水、无蝇虫、无异味。违反规定每次扣1分。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6E3FEE">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AFAC00">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ECBCD4">
            <w:pPr>
              <w:jc w:val="both"/>
              <w:rPr>
                <w:rFonts w:hint="eastAsia" w:ascii="宋体" w:hAnsi="宋体" w:eastAsia="宋体" w:cs="宋体"/>
                <w:i w:val="0"/>
                <w:iCs w:val="0"/>
                <w:color w:val="auto"/>
                <w:sz w:val="24"/>
                <w:szCs w:val="24"/>
                <w:highlight w:val="none"/>
                <w:u w:val="none"/>
              </w:rPr>
            </w:pPr>
          </w:p>
        </w:tc>
      </w:tr>
      <w:tr w14:paraId="2AD889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4"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71E7E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45</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0984D6">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57A76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13.转运站配备专人对进出站的垃圾进行检查，填写记录台账。台账必须明确记录进站垃圾来源、车次吨数等项目，只可接收生活垃圾，不得接收工业垃圾及医疗、危险、放射性等有毒有害废弃物；不得随意接收</w:t>
            </w:r>
            <w:r>
              <w:rPr>
                <w:rFonts w:hint="eastAsia" w:cs="宋体"/>
                <w:i w:val="0"/>
                <w:iCs w:val="0"/>
                <w:color w:val="auto"/>
                <w:kern w:val="0"/>
                <w:sz w:val="20"/>
                <w:szCs w:val="20"/>
                <w:highlight w:val="none"/>
                <w:u w:val="none"/>
                <w:lang w:val="en-US" w:eastAsia="zh-CN" w:bidi="ar"/>
              </w:rPr>
              <w:t>项目</w:t>
            </w:r>
            <w:r>
              <w:rPr>
                <w:rFonts w:hint="eastAsia" w:ascii="宋体" w:hAnsi="宋体" w:eastAsia="宋体" w:cs="宋体"/>
                <w:i w:val="0"/>
                <w:iCs w:val="0"/>
                <w:color w:val="auto"/>
                <w:kern w:val="0"/>
                <w:sz w:val="20"/>
                <w:szCs w:val="20"/>
                <w:highlight w:val="none"/>
                <w:u w:val="none"/>
                <w:lang w:val="en-US" w:eastAsia="zh-CN" w:bidi="ar"/>
              </w:rPr>
              <w:t>以外的任何单位及个人的生活垃圾，严格控制，杜绝建筑垃圾混入生活垃圾进站。违反规定每次扣3分。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F37999">
            <w:pPr>
              <w:jc w:val="both"/>
              <w:rPr>
                <w:rFonts w:hint="eastAsia" w:ascii="宋体" w:hAnsi="宋体" w:eastAsia="宋体" w:cs="宋体"/>
                <w:i w:val="0"/>
                <w:iCs w:val="0"/>
                <w:color w:val="auto"/>
                <w:sz w:val="20"/>
                <w:szCs w:val="20"/>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907984">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523609">
            <w:pPr>
              <w:jc w:val="both"/>
              <w:rPr>
                <w:rFonts w:hint="eastAsia" w:ascii="宋体" w:hAnsi="宋体" w:eastAsia="宋体" w:cs="宋体"/>
                <w:i w:val="0"/>
                <w:iCs w:val="0"/>
                <w:color w:val="auto"/>
                <w:sz w:val="24"/>
                <w:szCs w:val="24"/>
                <w:highlight w:val="none"/>
                <w:u w:val="none"/>
              </w:rPr>
            </w:pPr>
          </w:p>
        </w:tc>
      </w:tr>
      <w:tr w14:paraId="4EFFA94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610A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46</w:t>
            </w:r>
          </w:p>
        </w:tc>
        <w:tc>
          <w:tcPr>
            <w:tcW w:w="13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DB5F1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公厕（公园）运维</w:t>
            </w: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12E09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1.辖区内公厕按规定时间对外开放，严禁电动车充电，避免发生安全隐患；重点街路、繁华区域及人流量密集场所未安排专人值守或公厕内违规电动车违规充电，每发现一次扣1分。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BEDC60">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C6F8A6D">
            <w:pPr>
              <w:jc w:val="center"/>
              <w:rPr>
                <w:rFonts w:hint="eastAsia" w:ascii="宋体" w:hAnsi="宋体" w:eastAsia="宋体" w:cs="宋体"/>
                <w:i w:val="0"/>
                <w:iCs w:val="0"/>
                <w:color w:val="auto"/>
                <w:sz w:val="24"/>
                <w:szCs w:val="24"/>
                <w:highlight w:val="none"/>
                <w:u w:val="none"/>
              </w:rPr>
            </w:pPr>
          </w:p>
        </w:tc>
        <w:tc>
          <w:tcPr>
            <w:tcW w:w="10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84897E">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该标准仅适用水冲公厕</w:t>
            </w:r>
          </w:p>
        </w:tc>
      </w:tr>
      <w:tr w14:paraId="74EB9F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E1014F">
            <w:pPr>
              <w:jc w:val="center"/>
              <w:rPr>
                <w:rFonts w:hint="eastAsia" w:ascii="宋体" w:hAnsi="宋体" w:eastAsia="宋体" w:cs="宋体"/>
                <w:i w:val="0"/>
                <w:iCs w:val="0"/>
                <w:color w:val="auto"/>
                <w:sz w:val="21"/>
                <w:szCs w:val="21"/>
                <w:highlight w:val="none"/>
                <w:u w:val="none"/>
              </w:rPr>
            </w:pP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011CBA">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B7F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2.公厕内张贴文明标语、节水提示、小心地滑等温馨提示，未按要求张贴，每发现一处扣1分。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A1F8F">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D7595">
            <w:pPr>
              <w:jc w:val="center"/>
              <w:rPr>
                <w:rFonts w:hint="eastAsia" w:ascii="宋体" w:hAnsi="宋体" w:eastAsia="宋体" w:cs="宋体"/>
                <w:i w:val="0"/>
                <w:iCs w:val="0"/>
                <w:color w:val="auto"/>
                <w:sz w:val="24"/>
                <w:szCs w:val="24"/>
                <w:highlight w:val="none"/>
                <w:u w:val="none"/>
              </w:rPr>
            </w:pPr>
          </w:p>
        </w:tc>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E806B2">
            <w:pPr>
              <w:jc w:val="center"/>
              <w:rPr>
                <w:rFonts w:hint="eastAsia" w:ascii="宋体" w:hAnsi="宋体" w:eastAsia="宋体" w:cs="宋体"/>
                <w:i w:val="0"/>
                <w:iCs w:val="0"/>
                <w:color w:val="auto"/>
                <w:sz w:val="21"/>
                <w:szCs w:val="21"/>
                <w:highlight w:val="none"/>
                <w:u w:val="none"/>
              </w:rPr>
            </w:pPr>
          </w:p>
        </w:tc>
      </w:tr>
      <w:tr w14:paraId="73CAC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9E19D7">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47</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8D6524">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B323E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3.公厕每厕配备至少2人，配备人员不足的每处扣2分。导向标志牌设置不明显，标识不达标的每处扣1分。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A749137">
            <w:pPr>
              <w:jc w:val="both"/>
              <w:rPr>
                <w:rFonts w:hint="eastAsia" w:ascii="宋体" w:hAnsi="宋体" w:eastAsia="宋体" w:cs="宋体"/>
                <w:i w:val="0"/>
                <w:iCs w:val="0"/>
                <w:color w:val="auto"/>
                <w:sz w:val="20"/>
                <w:szCs w:val="20"/>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713854">
            <w:pPr>
              <w:jc w:val="center"/>
              <w:rPr>
                <w:rFonts w:hint="eastAsia" w:ascii="宋体" w:hAnsi="宋体" w:eastAsia="宋体" w:cs="宋体"/>
                <w:i w:val="0"/>
                <w:iCs w:val="0"/>
                <w:color w:val="auto"/>
                <w:sz w:val="20"/>
                <w:szCs w:val="20"/>
                <w:highlight w:val="none"/>
                <w:u w:val="none"/>
              </w:rPr>
            </w:pPr>
          </w:p>
        </w:tc>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0F5F2">
            <w:pPr>
              <w:jc w:val="center"/>
              <w:rPr>
                <w:rFonts w:hint="eastAsia" w:ascii="宋体" w:hAnsi="宋体" w:eastAsia="宋体" w:cs="宋体"/>
                <w:i w:val="0"/>
                <w:iCs w:val="0"/>
                <w:color w:val="auto"/>
                <w:sz w:val="21"/>
                <w:szCs w:val="21"/>
                <w:highlight w:val="none"/>
                <w:u w:val="none"/>
              </w:rPr>
            </w:pPr>
          </w:p>
        </w:tc>
      </w:tr>
      <w:tr w14:paraId="122E44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850B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48</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BFE21">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337E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4.管理员做好台账，如实记录日常保洁、设施状况、消杀除臭作业等内容，未如实记录的每次扣1分。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A93A8A">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53929">
            <w:pPr>
              <w:jc w:val="center"/>
              <w:rPr>
                <w:rFonts w:hint="eastAsia" w:ascii="宋体" w:hAnsi="宋体" w:eastAsia="宋体" w:cs="宋体"/>
                <w:i w:val="0"/>
                <w:iCs w:val="0"/>
                <w:color w:val="auto"/>
                <w:sz w:val="24"/>
                <w:szCs w:val="24"/>
                <w:highlight w:val="none"/>
                <w:u w:val="none"/>
              </w:rPr>
            </w:pPr>
          </w:p>
        </w:tc>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ABE052">
            <w:pPr>
              <w:jc w:val="center"/>
              <w:rPr>
                <w:rFonts w:hint="eastAsia" w:ascii="宋体" w:hAnsi="宋体" w:eastAsia="宋体" w:cs="宋体"/>
                <w:i w:val="0"/>
                <w:iCs w:val="0"/>
                <w:color w:val="auto"/>
                <w:sz w:val="21"/>
                <w:szCs w:val="21"/>
                <w:highlight w:val="none"/>
                <w:u w:val="none"/>
              </w:rPr>
            </w:pPr>
          </w:p>
        </w:tc>
      </w:tr>
      <w:tr w14:paraId="5BF317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3B3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49</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4737A">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25938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5.每厕配有必备的保洁工具、及物品配备。工具不足或乱摆放的每个扣0.2分；物品配备不足每处扣1分。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0171F">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4F4814">
            <w:pPr>
              <w:jc w:val="center"/>
              <w:rPr>
                <w:rFonts w:hint="eastAsia" w:ascii="宋体" w:hAnsi="宋体" w:eastAsia="宋体" w:cs="宋体"/>
                <w:i w:val="0"/>
                <w:iCs w:val="0"/>
                <w:color w:val="auto"/>
                <w:sz w:val="24"/>
                <w:szCs w:val="24"/>
                <w:highlight w:val="none"/>
                <w:u w:val="none"/>
              </w:rPr>
            </w:pPr>
          </w:p>
        </w:tc>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5241E">
            <w:pPr>
              <w:jc w:val="center"/>
              <w:rPr>
                <w:rFonts w:hint="eastAsia" w:ascii="宋体" w:hAnsi="宋体" w:eastAsia="宋体" w:cs="宋体"/>
                <w:i w:val="0"/>
                <w:iCs w:val="0"/>
                <w:color w:val="auto"/>
                <w:sz w:val="21"/>
                <w:szCs w:val="21"/>
                <w:highlight w:val="none"/>
                <w:u w:val="none"/>
              </w:rPr>
            </w:pPr>
          </w:p>
        </w:tc>
      </w:tr>
      <w:tr w14:paraId="295CE8B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EF26F4">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50</w:t>
            </w:r>
          </w:p>
        </w:tc>
        <w:tc>
          <w:tcPr>
            <w:tcW w:w="13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BDD30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公厕（公园）运维</w:t>
            </w: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659D3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6.公厕内设备设施完好、发现损坏第一时间报备并及时维修，设施维护不及时的每处扣1分，缺失损坏的每项扣1分；未及时报备，造成严重影响的扣2分。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FF323E">
            <w:pPr>
              <w:jc w:val="both"/>
              <w:rPr>
                <w:rFonts w:hint="eastAsia" w:ascii="宋体" w:hAnsi="宋体" w:eastAsia="宋体" w:cs="宋体"/>
                <w:i w:val="0"/>
                <w:iCs w:val="0"/>
                <w:color w:val="auto"/>
                <w:sz w:val="20"/>
                <w:szCs w:val="20"/>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9A2790">
            <w:pPr>
              <w:jc w:val="center"/>
              <w:rPr>
                <w:rFonts w:hint="eastAsia" w:ascii="宋体" w:hAnsi="宋体" w:eastAsia="宋体" w:cs="宋体"/>
                <w:i w:val="0"/>
                <w:iCs w:val="0"/>
                <w:color w:val="auto"/>
                <w:sz w:val="24"/>
                <w:szCs w:val="24"/>
                <w:highlight w:val="none"/>
                <w:u w:val="none"/>
              </w:rPr>
            </w:pPr>
          </w:p>
        </w:tc>
        <w:tc>
          <w:tcPr>
            <w:tcW w:w="104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3268F">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该标准仅适用水冲公厕</w:t>
            </w:r>
          </w:p>
        </w:tc>
      </w:tr>
      <w:tr w14:paraId="030937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4"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A4F491">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51</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F13521">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C086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公厕达到“十净、十无、一整洁”（即：地面净、墙壁屋顶净、梳洗台镜子净、门窗净、隔板净、便池净、蹲台净、粪坑净、如厕标识净、内部环境净；无污物、无积水、无尿碱黄垢、无灰尘、无乱涂乱画、无乱贴广告、无垃圾烟头、无积存粪便、无设备损坏、无粪便满溢；管理间干净整洁。）公厕门头牌匾擦拭干净。未达标准的，每项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9FFF76">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990AD0">
            <w:pPr>
              <w:jc w:val="center"/>
              <w:rPr>
                <w:rFonts w:hint="eastAsia" w:ascii="宋体" w:hAnsi="宋体" w:eastAsia="宋体" w:cs="宋体"/>
                <w:i w:val="0"/>
                <w:iCs w:val="0"/>
                <w:color w:val="auto"/>
                <w:sz w:val="24"/>
                <w:szCs w:val="24"/>
                <w:highlight w:val="none"/>
                <w:u w:val="none"/>
              </w:rPr>
            </w:pPr>
          </w:p>
        </w:tc>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410CB5">
            <w:pPr>
              <w:jc w:val="center"/>
              <w:rPr>
                <w:rFonts w:hint="eastAsia" w:ascii="宋体" w:hAnsi="宋体" w:eastAsia="宋体" w:cs="宋体"/>
                <w:i w:val="0"/>
                <w:iCs w:val="0"/>
                <w:color w:val="auto"/>
                <w:sz w:val="24"/>
                <w:szCs w:val="24"/>
                <w:highlight w:val="none"/>
                <w:u w:val="none"/>
              </w:rPr>
            </w:pPr>
          </w:p>
        </w:tc>
      </w:tr>
      <w:tr w14:paraId="294296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BD680">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52</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BAD343">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79C4D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8.公厕周边5米范围内卫生要保持干净，无私自种植蔬菜、无垃圾杂物、无残枝落叶、无“小广告”、无私拉乱接。未按照要求和时限进行整改的，每项扣1分。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D14F0">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72AD2B">
            <w:pPr>
              <w:jc w:val="center"/>
              <w:rPr>
                <w:rFonts w:hint="eastAsia" w:ascii="宋体" w:hAnsi="宋体" w:eastAsia="宋体" w:cs="宋体"/>
                <w:i w:val="0"/>
                <w:iCs w:val="0"/>
                <w:color w:val="auto"/>
                <w:sz w:val="24"/>
                <w:szCs w:val="24"/>
                <w:highlight w:val="none"/>
                <w:u w:val="none"/>
              </w:rPr>
            </w:pPr>
          </w:p>
        </w:tc>
        <w:tc>
          <w:tcPr>
            <w:tcW w:w="104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BAAAE">
            <w:pPr>
              <w:jc w:val="center"/>
              <w:rPr>
                <w:rFonts w:hint="eastAsia" w:ascii="宋体" w:hAnsi="宋体" w:eastAsia="宋体" w:cs="宋体"/>
                <w:i w:val="0"/>
                <w:iCs w:val="0"/>
                <w:color w:val="auto"/>
                <w:sz w:val="24"/>
                <w:szCs w:val="24"/>
                <w:highlight w:val="none"/>
                <w:u w:val="none"/>
              </w:rPr>
            </w:pPr>
          </w:p>
        </w:tc>
      </w:tr>
      <w:tr w14:paraId="5233B8C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4"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A8868A">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53</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7ED188">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0840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应定期维护公厕化粪池，化粪池井口、井盖要完好无损，化粪池清掏及时，无满溢堵塞，无异味外溢；不得乱排乱卸粪便；粪车车体清洁，清运过程中无外泄；清掏后，井盖盖严，井周边清洁无粪迹、污物。违反规定的，每项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71EB51">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54CD9F">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1DE640">
            <w:pPr>
              <w:jc w:val="both"/>
              <w:rPr>
                <w:rFonts w:hint="eastAsia" w:ascii="宋体" w:hAnsi="宋体" w:eastAsia="宋体" w:cs="宋体"/>
                <w:i w:val="0"/>
                <w:iCs w:val="0"/>
                <w:color w:val="auto"/>
                <w:sz w:val="24"/>
                <w:szCs w:val="24"/>
                <w:highlight w:val="none"/>
                <w:u w:val="none"/>
              </w:rPr>
            </w:pPr>
          </w:p>
        </w:tc>
      </w:tr>
      <w:tr w14:paraId="4D5D8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4C23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54</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969DF9">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7319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10.未及时对公厕进行清理保洁并消毒的，每次扣1分；未及时对公厕内的洗手台、便池蹲坑等处的水龙头或冲水系统长时间没有关闭或未及时维修，造成水资源浪费的，每次扣1分。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6D92A0">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9F795C">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F6168A">
            <w:pPr>
              <w:jc w:val="both"/>
              <w:rPr>
                <w:rFonts w:hint="eastAsia" w:ascii="宋体" w:hAnsi="宋体" w:eastAsia="宋体" w:cs="宋体"/>
                <w:i w:val="0"/>
                <w:iCs w:val="0"/>
                <w:color w:val="auto"/>
                <w:sz w:val="24"/>
                <w:szCs w:val="24"/>
                <w:highlight w:val="none"/>
                <w:u w:val="none"/>
              </w:rPr>
            </w:pPr>
          </w:p>
        </w:tc>
      </w:tr>
      <w:tr w14:paraId="1C7C9F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04"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CE81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55</w:t>
            </w:r>
          </w:p>
        </w:tc>
        <w:tc>
          <w:tcPr>
            <w:tcW w:w="137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0F23835">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生活垃圾填埋场</w:t>
            </w: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69078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在进入垃圾场的道路口显著位置设立醒目标志、标识，在专用道路和填埋区设置指示牌、车辆限速牌等告示牌。对填埋区作业倾卸点的简易道路，每日作业后清理，路基碾压密实.车辆检查：严禁带火种车辆进入场区，入场垃圾需符合填埋要求，严禁危险废物、放射性废物等进入。未按规定执行的，每项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E86B6">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2572C1">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D401B2">
            <w:pPr>
              <w:jc w:val="both"/>
              <w:rPr>
                <w:rFonts w:hint="eastAsia" w:ascii="宋体" w:hAnsi="宋体" w:eastAsia="宋体" w:cs="宋体"/>
                <w:i w:val="0"/>
                <w:iCs w:val="0"/>
                <w:color w:val="auto"/>
                <w:sz w:val="24"/>
                <w:szCs w:val="24"/>
                <w:highlight w:val="none"/>
                <w:u w:val="none"/>
              </w:rPr>
            </w:pPr>
          </w:p>
        </w:tc>
      </w:tr>
      <w:tr w14:paraId="6A7A885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04"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F09D3">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56</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3DE52">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D249A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根据地形制定分区单元填埋作业计划，采取雨污分流措施。填埋面采用单元、分层作业，工序包括卸车、分层摊铺、压实，每层垃圾摊铺厚度不超60厘米，压实密度大于800公斤/立方米，单元垃圾高度宜为2-4米，宽度最小不小于6米，坡度不大于1:3。未按规定执行的，每项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586DB3">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975C51">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773CF4">
            <w:pPr>
              <w:jc w:val="both"/>
              <w:rPr>
                <w:rFonts w:hint="eastAsia" w:ascii="宋体" w:hAnsi="宋体" w:eastAsia="宋体" w:cs="宋体"/>
                <w:i w:val="0"/>
                <w:iCs w:val="0"/>
                <w:color w:val="auto"/>
                <w:sz w:val="24"/>
                <w:szCs w:val="24"/>
                <w:highlight w:val="none"/>
                <w:u w:val="none"/>
              </w:rPr>
            </w:pPr>
          </w:p>
        </w:tc>
      </w:tr>
      <w:tr w14:paraId="3DC83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BA808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57</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B0F3AE">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D024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3.覆盖土层厚度宜为20-25厘米；作业区完成阶段性高度，暂不填埋时，中间覆盖土层厚度宜大于30厘米；每日作业完毕后及时覆盖，覆盖材料可用软土、碎石或建筑渣土。未按规定执行的，每项发现一次扣1分。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1B2C4A">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8F42A8">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75D189">
            <w:pPr>
              <w:jc w:val="both"/>
              <w:rPr>
                <w:rFonts w:hint="eastAsia" w:ascii="宋体" w:hAnsi="宋体" w:eastAsia="宋体" w:cs="宋体"/>
                <w:i w:val="0"/>
                <w:iCs w:val="0"/>
                <w:color w:val="auto"/>
                <w:sz w:val="24"/>
                <w:szCs w:val="24"/>
                <w:highlight w:val="none"/>
                <w:u w:val="none"/>
              </w:rPr>
            </w:pPr>
          </w:p>
        </w:tc>
      </w:tr>
      <w:tr w14:paraId="47F45D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47656">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58</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B9AD93">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5C141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4.定期检查、维护和管理填埋区边坡保护层、未填埋垃圾区域的防渗和排水设施，渗滤液收集设施如导流层、盲沟、集液池、泵房等运行良好，渗滤液及时处理，防止漫溢。每项发现一次扣1分。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13E239">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4E7ADA">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AFB51A">
            <w:pPr>
              <w:jc w:val="both"/>
              <w:rPr>
                <w:rFonts w:hint="eastAsia" w:ascii="宋体" w:hAnsi="宋体" w:eastAsia="宋体" w:cs="宋体"/>
                <w:i w:val="0"/>
                <w:iCs w:val="0"/>
                <w:color w:val="auto"/>
                <w:sz w:val="24"/>
                <w:szCs w:val="24"/>
                <w:highlight w:val="none"/>
                <w:u w:val="none"/>
              </w:rPr>
            </w:pPr>
          </w:p>
        </w:tc>
      </w:tr>
      <w:tr w14:paraId="6FC9E59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7"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BF2C85">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59</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0B76AA">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FBAD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5.专用道路要做好日常性清扫保洁和绿化，保持通行良好。未按规定执行的，发现一次扣1分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B304F6">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F390F3">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1E73A3">
            <w:pPr>
              <w:jc w:val="both"/>
              <w:rPr>
                <w:rFonts w:hint="eastAsia" w:ascii="宋体" w:hAnsi="宋体" w:eastAsia="宋体" w:cs="宋体"/>
                <w:i w:val="0"/>
                <w:iCs w:val="0"/>
                <w:color w:val="auto"/>
                <w:sz w:val="24"/>
                <w:szCs w:val="24"/>
                <w:highlight w:val="none"/>
                <w:u w:val="none"/>
              </w:rPr>
            </w:pPr>
          </w:p>
        </w:tc>
      </w:tr>
      <w:tr w14:paraId="0314C7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6"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DB179">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60</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1DD1D8">
            <w:pPr>
              <w:jc w:val="center"/>
              <w:rPr>
                <w:rFonts w:hint="eastAsia" w:ascii="宋体" w:hAnsi="宋体" w:eastAsia="宋体" w:cs="宋体"/>
                <w:b/>
                <w:bCs/>
                <w:i w:val="0"/>
                <w:iCs w:val="0"/>
                <w:color w:val="auto"/>
                <w:sz w:val="21"/>
                <w:szCs w:val="21"/>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7EA3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6.填埋场配备的挖掘、推平、压实、覆盖等设备定期维护保养。未按规定执行的，发现一次扣1分。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42E690">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47FF3">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78F4D5D">
            <w:pPr>
              <w:jc w:val="both"/>
              <w:rPr>
                <w:rFonts w:hint="eastAsia" w:ascii="宋体" w:hAnsi="宋体" w:eastAsia="宋体" w:cs="宋体"/>
                <w:i w:val="0"/>
                <w:iCs w:val="0"/>
                <w:color w:val="auto"/>
                <w:sz w:val="24"/>
                <w:szCs w:val="24"/>
                <w:highlight w:val="none"/>
                <w:u w:val="none"/>
              </w:rPr>
            </w:pPr>
          </w:p>
        </w:tc>
      </w:tr>
      <w:tr w14:paraId="610C2B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33C4C">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61</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54F1D">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F3AC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7.填埋区及蚊蝇密集区定期消杀，每月检查全场蚊蝇、鼠类情况，评估危险程度和消杀效率，及时调整方案，消杀人员需穿戴安全防护用品。未按规定执行的，发现一次扣2分。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0E4A32">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27060B">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D8EE2C">
            <w:pPr>
              <w:jc w:val="both"/>
              <w:rPr>
                <w:rFonts w:hint="eastAsia" w:ascii="宋体" w:hAnsi="宋体" w:eastAsia="宋体" w:cs="宋体"/>
                <w:i w:val="0"/>
                <w:iCs w:val="0"/>
                <w:color w:val="auto"/>
                <w:sz w:val="24"/>
                <w:szCs w:val="24"/>
                <w:highlight w:val="none"/>
                <w:u w:val="none"/>
              </w:rPr>
            </w:pPr>
          </w:p>
        </w:tc>
      </w:tr>
      <w:tr w14:paraId="32B401C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39" w:hRule="atLeast"/>
        </w:trPr>
        <w:tc>
          <w:tcPr>
            <w:tcW w:w="11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EC12F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62</w:t>
            </w:r>
          </w:p>
        </w:tc>
        <w:tc>
          <w:tcPr>
            <w:tcW w:w="137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E2ABB">
            <w:pPr>
              <w:jc w:val="center"/>
              <w:rPr>
                <w:rFonts w:hint="eastAsia" w:ascii="宋体" w:hAnsi="宋体" w:eastAsia="宋体" w:cs="宋体"/>
                <w:b/>
                <w:bCs/>
                <w:i w:val="0"/>
                <w:iCs w:val="0"/>
                <w:color w:val="auto"/>
                <w:sz w:val="24"/>
                <w:szCs w:val="24"/>
                <w:highlight w:val="none"/>
                <w:u w:val="none"/>
              </w:rPr>
            </w:pPr>
          </w:p>
        </w:tc>
        <w:tc>
          <w:tcPr>
            <w:tcW w:w="898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BAEDF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8.建立监测网络和环境监测体系，监测地下水、渗滤液、填埋气体、大气等指标，定期归纳处理数据，委托有资质第三方机构按要求开展监测。未按规定执行的，每发现一项扣10分。</w:t>
            </w:r>
          </w:p>
        </w:tc>
        <w:tc>
          <w:tcPr>
            <w:tcW w:w="118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A32CB9">
            <w:pPr>
              <w:jc w:val="both"/>
              <w:rPr>
                <w:rFonts w:hint="eastAsia" w:ascii="宋体" w:hAnsi="宋体" w:eastAsia="宋体" w:cs="宋体"/>
                <w:i w:val="0"/>
                <w:iCs w:val="0"/>
                <w:color w:val="auto"/>
                <w:sz w:val="24"/>
                <w:szCs w:val="24"/>
                <w:highlight w:val="none"/>
                <w:u w:val="none"/>
              </w:rPr>
            </w:pPr>
          </w:p>
        </w:tc>
        <w:tc>
          <w:tcPr>
            <w:tcW w:w="77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280EB8">
            <w:pPr>
              <w:jc w:val="center"/>
              <w:rPr>
                <w:rFonts w:hint="eastAsia" w:ascii="宋体" w:hAnsi="宋体" w:eastAsia="宋体" w:cs="宋体"/>
                <w:i w:val="0"/>
                <w:iCs w:val="0"/>
                <w:color w:val="auto"/>
                <w:sz w:val="24"/>
                <w:szCs w:val="24"/>
                <w:highlight w:val="none"/>
                <w:u w:val="none"/>
              </w:rPr>
            </w:pPr>
          </w:p>
        </w:tc>
        <w:tc>
          <w:tcPr>
            <w:tcW w:w="1047"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BF403">
            <w:pPr>
              <w:jc w:val="both"/>
              <w:rPr>
                <w:rFonts w:hint="eastAsia" w:ascii="宋体" w:hAnsi="宋体" w:eastAsia="宋体" w:cs="宋体"/>
                <w:i w:val="0"/>
                <w:iCs w:val="0"/>
                <w:color w:val="auto"/>
                <w:sz w:val="24"/>
                <w:szCs w:val="24"/>
                <w:highlight w:val="none"/>
                <w:u w:val="none"/>
              </w:rPr>
            </w:pPr>
          </w:p>
        </w:tc>
      </w:tr>
      <w:tr w14:paraId="1CEC73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5" w:hRule="atLeast"/>
        </w:trPr>
        <w:tc>
          <w:tcPr>
            <w:tcW w:w="14493"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430B3A00">
            <w:pPr>
              <w:keepNext w:val="0"/>
              <w:keepLines w:val="0"/>
              <w:widowControl/>
              <w:suppressLineNumbers w:val="0"/>
              <w:ind w:firstLineChars="20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扣分合计：                                                                                                      </w:t>
            </w:r>
          </w:p>
        </w:tc>
      </w:tr>
    </w:tbl>
    <w:p w14:paraId="118C3937">
      <w:pPr>
        <w:rPr>
          <w:rFonts w:hint="eastAsia"/>
          <w:color w:val="auto"/>
          <w:highlight w:val="none"/>
          <w:lang w:val="zh-CN" w:eastAsia="zh-CN"/>
        </w:rPr>
        <w:sectPr>
          <w:pgSz w:w="16838" w:h="11906" w:orient="landscape"/>
          <w:pgMar w:top="1800" w:right="1440" w:bottom="1800" w:left="144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tbl>
      <w:tblPr>
        <w:tblStyle w:val="31"/>
        <w:tblW w:w="14525" w:type="dxa"/>
        <w:tblInd w:w="-447"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60"/>
        <w:gridCol w:w="2188"/>
        <w:gridCol w:w="7596"/>
        <w:gridCol w:w="1392"/>
        <w:gridCol w:w="1045"/>
        <w:gridCol w:w="1044"/>
      </w:tblGrid>
      <w:tr w14:paraId="5AEA0B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3" w:hRule="atLeast"/>
        </w:trPr>
        <w:tc>
          <w:tcPr>
            <w:tcW w:w="14525" w:type="dxa"/>
            <w:gridSpan w:val="6"/>
            <w:tcBorders>
              <w:top w:val="nil"/>
              <w:left w:val="nil"/>
              <w:bottom w:val="nil"/>
              <w:right w:val="nil"/>
            </w:tcBorders>
            <w:shd w:val="clear" w:color="auto" w:fill="auto"/>
            <w:noWrap/>
            <w:vAlign w:val="center"/>
          </w:tcPr>
          <w:p w14:paraId="2442A268">
            <w:pPr>
              <w:keepNext w:val="0"/>
              <w:keepLines w:val="0"/>
              <w:widowControl/>
              <w:suppressLineNumbers w:val="0"/>
              <w:jc w:val="center"/>
              <w:textAlignment w:val="center"/>
              <w:rPr>
                <w:rFonts w:hint="eastAsia" w:ascii="宋体" w:hAnsi="宋体" w:eastAsia="宋体" w:cs="宋体"/>
                <w:b/>
                <w:bCs/>
                <w:i w:val="0"/>
                <w:iCs w:val="0"/>
                <w:color w:val="auto"/>
                <w:sz w:val="32"/>
                <w:szCs w:val="32"/>
                <w:highlight w:val="none"/>
                <w:u w:val="none"/>
              </w:rPr>
            </w:pPr>
            <w:r>
              <w:rPr>
                <w:rFonts w:hint="eastAsia" w:ascii="宋体" w:hAnsi="宋体" w:eastAsia="宋体" w:cs="宋体"/>
                <w:b/>
                <w:bCs/>
                <w:i w:val="0"/>
                <w:iCs w:val="0"/>
                <w:color w:val="auto"/>
                <w:kern w:val="0"/>
                <w:sz w:val="32"/>
                <w:szCs w:val="32"/>
                <w:highlight w:val="none"/>
                <w:u w:val="none"/>
                <w:lang w:val="en-US" w:eastAsia="zh-CN" w:bidi="ar"/>
              </w:rPr>
              <w:t>表4  市政养护考核细则（100分）</w:t>
            </w:r>
          </w:p>
        </w:tc>
      </w:tr>
      <w:tr w14:paraId="4EBB62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8" w:hRule="atLeast"/>
        </w:trPr>
        <w:tc>
          <w:tcPr>
            <w:tcW w:w="14525" w:type="dxa"/>
            <w:gridSpan w:val="6"/>
            <w:tcBorders>
              <w:top w:val="nil"/>
              <w:left w:val="nil"/>
              <w:bottom w:val="nil"/>
              <w:right w:val="nil"/>
            </w:tcBorders>
            <w:shd w:val="clear" w:color="auto" w:fill="auto"/>
            <w:vAlign w:val="center"/>
          </w:tcPr>
          <w:p w14:paraId="1230D1B5">
            <w:pPr>
              <w:keepNext w:val="0"/>
              <w:keepLines w:val="0"/>
              <w:widowControl/>
              <w:suppressLineNumbers w:val="0"/>
              <w:jc w:val="left"/>
              <w:textAlignment w:val="center"/>
              <w:rPr>
                <w:rFonts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作业单位：                                          考核单位：                                        日期：    年  月  日</w:t>
            </w:r>
          </w:p>
        </w:tc>
      </w:tr>
      <w:tr w14:paraId="28B326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431B92">
            <w:pPr>
              <w:keepNext w:val="0"/>
              <w:keepLines w:val="0"/>
              <w:widowControl/>
              <w:suppressLineNumbers w:val="0"/>
              <w:jc w:val="center"/>
              <w:textAlignment w:val="center"/>
              <w:rPr>
                <w:rFonts w:hint="eastAsia" w:ascii="宋体" w:hAnsi="宋体" w:eastAsia="宋体" w:cs="宋体"/>
                <w:i w:val="0"/>
                <w:iCs w:val="0"/>
                <w:color w:val="auto"/>
                <w:sz w:val="21"/>
                <w:szCs w:val="21"/>
                <w:highlight w:val="none"/>
                <w:u w:val="none"/>
              </w:rPr>
            </w:pPr>
            <w:r>
              <w:rPr>
                <w:rFonts w:hint="eastAsia" w:ascii="宋体" w:hAnsi="宋体" w:eastAsia="宋体" w:cs="宋体"/>
                <w:i w:val="0"/>
                <w:iCs w:val="0"/>
                <w:color w:val="auto"/>
                <w:kern w:val="0"/>
                <w:sz w:val="21"/>
                <w:szCs w:val="21"/>
                <w:highlight w:val="none"/>
                <w:u w:val="none"/>
                <w:lang w:val="en-US" w:eastAsia="zh-CN" w:bidi="ar"/>
              </w:rPr>
              <w:t>序号</w:t>
            </w:r>
          </w:p>
        </w:tc>
        <w:tc>
          <w:tcPr>
            <w:tcW w:w="218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84488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考核内容</w:t>
            </w:r>
          </w:p>
        </w:tc>
        <w:tc>
          <w:tcPr>
            <w:tcW w:w="759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42D11E">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考核细则</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86F7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扣分原因</w:t>
            </w: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24CD5A">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扣分</w:t>
            </w: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282068">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备注</w:t>
            </w:r>
          </w:p>
        </w:tc>
      </w:tr>
      <w:tr w14:paraId="52A8C6B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25D9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w:t>
            </w:r>
          </w:p>
        </w:tc>
        <w:tc>
          <w:tcPr>
            <w:tcW w:w="2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08A583">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日常检查</w:t>
            </w: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4DF4A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1.按规定统计相关资料、报表、数据，格式统一，规范上报。资料不全每处扣0.5分，上报材料不及时每次扣1分。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4A78A4">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C6BB3D">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1DFCE">
            <w:pPr>
              <w:jc w:val="both"/>
              <w:rPr>
                <w:rFonts w:hint="eastAsia" w:ascii="宋体" w:hAnsi="宋体" w:eastAsia="宋体" w:cs="宋体"/>
                <w:i w:val="0"/>
                <w:iCs w:val="0"/>
                <w:color w:val="auto"/>
                <w:sz w:val="24"/>
                <w:szCs w:val="24"/>
                <w:highlight w:val="none"/>
                <w:u w:val="none"/>
              </w:rPr>
            </w:pPr>
          </w:p>
        </w:tc>
      </w:tr>
      <w:tr w14:paraId="55AFDA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E2FD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248503">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CEDBF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2.按要求开展日常巡查，建立各类市政设施巡查记录，缺一项扣0.5分。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B391DE">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11B598">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328A45">
            <w:pPr>
              <w:jc w:val="both"/>
              <w:rPr>
                <w:rFonts w:hint="eastAsia" w:ascii="宋体" w:hAnsi="宋体" w:eastAsia="宋体" w:cs="宋体"/>
                <w:i w:val="0"/>
                <w:iCs w:val="0"/>
                <w:color w:val="auto"/>
                <w:sz w:val="24"/>
                <w:szCs w:val="24"/>
                <w:highlight w:val="none"/>
                <w:u w:val="none"/>
              </w:rPr>
            </w:pPr>
          </w:p>
        </w:tc>
      </w:tr>
      <w:tr w14:paraId="7C3087A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4A95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C38B8">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581D4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3.遇紧急情况（如大雨、暴雨、冰雪、大风天气等），及时将道路基本情况及工作开展情况上报城市公共事业服务中心，未及时上报每次扣2分。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84CBB0">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85FC13">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F2D27B">
            <w:pPr>
              <w:jc w:val="both"/>
              <w:rPr>
                <w:rFonts w:hint="eastAsia" w:ascii="宋体" w:hAnsi="宋体" w:eastAsia="宋体" w:cs="宋体"/>
                <w:i w:val="0"/>
                <w:iCs w:val="0"/>
                <w:color w:val="auto"/>
                <w:sz w:val="24"/>
                <w:szCs w:val="24"/>
                <w:highlight w:val="none"/>
                <w:u w:val="none"/>
              </w:rPr>
            </w:pPr>
          </w:p>
        </w:tc>
      </w:tr>
      <w:tr w14:paraId="295B6F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94983">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4</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48CBD">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CC2C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4.城市主（次）道路、非机动车道、人行道、路灯、隔离护栏等市政设施损坏或出现安全隐患的，未能及时处理，每次扣5分。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7465D">
            <w:pPr>
              <w:jc w:val="both"/>
              <w:rPr>
                <w:rFonts w:hint="eastAsia" w:ascii="宋体" w:hAnsi="宋体" w:eastAsia="宋体" w:cs="宋体"/>
                <w:i w:val="0"/>
                <w:iCs w:val="0"/>
                <w:color w:val="auto"/>
                <w:sz w:val="18"/>
                <w:szCs w:val="18"/>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06D957">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E7209B">
            <w:pPr>
              <w:jc w:val="both"/>
              <w:rPr>
                <w:rFonts w:hint="eastAsia" w:ascii="宋体" w:hAnsi="宋体" w:eastAsia="宋体" w:cs="宋体"/>
                <w:i w:val="0"/>
                <w:iCs w:val="0"/>
                <w:color w:val="auto"/>
                <w:sz w:val="24"/>
                <w:szCs w:val="24"/>
                <w:highlight w:val="none"/>
                <w:u w:val="none"/>
              </w:rPr>
            </w:pPr>
          </w:p>
        </w:tc>
      </w:tr>
      <w:tr w14:paraId="62B72F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0CE5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5</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56540C">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A146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5.雨水井篦子做到排水畅通，未及时发现井篦子缺失、淤积及排水不畅，每处扣0.5分。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0A626C">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9BF5E0">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ABB6FB">
            <w:pPr>
              <w:jc w:val="both"/>
              <w:rPr>
                <w:rFonts w:hint="eastAsia" w:ascii="宋体" w:hAnsi="宋体" w:eastAsia="宋体" w:cs="宋体"/>
                <w:i w:val="0"/>
                <w:iCs w:val="0"/>
                <w:color w:val="auto"/>
                <w:sz w:val="24"/>
                <w:szCs w:val="24"/>
                <w:highlight w:val="none"/>
                <w:u w:val="none"/>
              </w:rPr>
            </w:pPr>
          </w:p>
        </w:tc>
      </w:tr>
      <w:tr w14:paraId="738D14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9F4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6</w:t>
            </w:r>
          </w:p>
        </w:tc>
        <w:tc>
          <w:tcPr>
            <w:tcW w:w="2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A83361">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混凝土、沥青路面养护</w:t>
            </w: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DCB44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1.沥青切割方正、接边平顺，无啃边现象；未切割或切割不规范的，接边有啃边现象的，每发现1处，扣5分。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AD190">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73F810">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7167">
            <w:pPr>
              <w:jc w:val="both"/>
              <w:rPr>
                <w:rFonts w:hint="eastAsia" w:ascii="宋体" w:hAnsi="宋体" w:eastAsia="宋体" w:cs="宋体"/>
                <w:i w:val="0"/>
                <w:iCs w:val="0"/>
                <w:color w:val="auto"/>
                <w:sz w:val="24"/>
                <w:szCs w:val="24"/>
                <w:highlight w:val="none"/>
                <w:u w:val="none"/>
              </w:rPr>
            </w:pPr>
          </w:p>
        </w:tc>
      </w:tr>
      <w:tr w14:paraId="74D66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1038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7</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0544F8">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5FC4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2.沥青摊铺平整、与井框或其他构筑物高差不大于5mm；维修后沥青路面平整度不符合要求的，扣5分。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19033D">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FC468E">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E1E2F9">
            <w:pPr>
              <w:jc w:val="both"/>
              <w:rPr>
                <w:rFonts w:hint="eastAsia" w:ascii="宋体" w:hAnsi="宋体" w:eastAsia="宋体" w:cs="宋体"/>
                <w:i w:val="0"/>
                <w:iCs w:val="0"/>
                <w:color w:val="auto"/>
                <w:sz w:val="24"/>
                <w:szCs w:val="24"/>
                <w:highlight w:val="none"/>
                <w:u w:val="none"/>
              </w:rPr>
            </w:pPr>
          </w:p>
        </w:tc>
      </w:tr>
      <w:tr w14:paraId="49673B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2BBB67">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8</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B072F">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E6F4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3.混凝土表面不平整；有蜂窝、裂痕现象，每发现1处，扣5分。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6614D8">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34CA96">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6DBF23">
            <w:pPr>
              <w:jc w:val="both"/>
              <w:rPr>
                <w:rFonts w:hint="eastAsia" w:ascii="宋体" w:hAnsi="宋体" w:eastAsia="宋体" w:cs="宋体"/>
                <w:i w:val="0"/>
                <w:iCs w:val="0"/>
                <w:color w:val="auto"/>
                <w:sz w:val="24"/>
                <w:szCs w:val="24"/>
                <w:highlight w:val="none"/>
                <w:u w:val="none"/>
              </w:rPr>
            </w:pPr>
          </w:p>
        </w:tc>
      </w:tr>
      <w:tr w14:paraId="52ED91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1CE186">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9</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E8582F">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69DF9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4.混凝土表面在达到规定强度后未及时刻槽或刻槽不规范的，每发现1处，扣5分。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48A812">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624C31">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4AFC3">
            <w:pPr>
              <w:jc w:val="both"/>
              <w:rPr>
                <w:rFonts w:hint="eastAsia" w:ascii="宋体" w:hAnsi="宋体" w:eastAsia="宋体" w:cs="宋体"/>
                <w:i w:val="0"/>
                <w:iCs w:val="0"/>
                <w:color w:val="auto"/>
                <w:sz w:val="24"/>
                <w:szCs w:val="24"/>
                <w:highlight w:val="none"/>
                <w:u w:val="none"/>
              </w:rPr>
            </w:pPr>
          </w:p>
        </w:tc>
      </w:tr>
      <w:tr w14:paraId="46F376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EB191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10</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49866">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40D579">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5.混凝土板棱边不顺直、有边角剥落现象的，每发现1处，扣5分。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096BB5">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9F7B3ED">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3EF09C">
            <w:pPr>
              <w:jc w:val="both"/>
              <w:rPr>
                <w:rFonts w:hint="eastAsia" w:ascii="宋体" w:hAnsi="宋体" w:eastAsia="宋体" w:cs="宋体"/>
                <w:i w:val="0"/>
                <w:iCs w:val="0"/>
                <w:color w:val="auto"/>
                <w:sz w:val="24"/>
                <w:szCs w:val="24"/>
                <w:highlight w:val="none"/>
                <w:u w:val="none"/>
              </w:rPr>
            </w:pPr>
          </w:p>
        </w:tc>
      </w:tr>
      <w:tr w14:paraId="4ABF5D3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62C885">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11</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74E8C9">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34806B">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6.混凝土路面维修后短期内断板、碎板、板角断裂、起拱、唧泥现象，每处扣5分。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CB3F7">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CEDEE8">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DD979B">
            <w:pPr>
              <w:jc w:val="both"/>
              <w:rPr>
                <w:rFonts w:hint="eastAsia" w:ascii="宋体" w:hAnsi="宋体" w:eastAsia="宋体" w:cs="宋体"/>
                <w:i w:val="0"/>
                <w:iCs w:val="0"/>
                <w:color w:val="auto"/>
                <w:sz w:val="24"/>
                <w:szCs w:val="24"/>
                <w:highlight w:val="none"/>
                <w:u w:val="none"/>
              </w:rPr>
            </w:pPr>
          </w:p>
        </w:tc>
      </w:tr>
      <w:tr w14:paraId="1BC1BE5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9F4FA0">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12</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C0407E">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05AB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7.混凝土路面填缝料缺失的、未用热沥青灌缝的、与原路面高差大于10mm的，每发现1处，扣1分。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4B373">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8AACDD">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E9E1A3">
            <w:pPr>
              <w:jc w:val="both"/>
              <w:rPr>
                <w:rFonts w:hint="eastAsia" w:ascii="宋体" w:hAnsi="宋体" w:eastAsia="宋体" w:cs="宋体"/>
                <w:i w:val="0"/>
                <w:iCs w:val="0"/>
                <w:color w:val="auto"/>
                <w:sz w:val="24"/>
                <w:szCs w:val="24"/>
                <w:highlight w:val="none"/>
                <w:u w:val="none"/>
              </w:rPr>
            </w:pPr>
          </w:p>
        </w:tc>
      </w:tr>
      <w:tr w14:paraId="17863C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2B59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13</w:t>
            </w:r>
          </w:p>
        </w:tc>
        <w:tc>
          <w:tcPr>
            <w:tcW w:w="2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19BECC">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人行道（公园）养护</w:t>
            </w: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2688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1.铺筑平整度满足要求，砌块间高差大于5mm，每发现1处，扣3分。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C4FA80">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2EE44">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C93493">
            <w:pPr>
              <w:jc w:val="both"/>
              <w:rPr>
                <w:rFonts w:hint="eastAsia" w:ascii="宋体" w:hAnsi="宋体" w:eastAsia="宋体" w:cs="宋体"/>
                <w:i w:val="0"/>
                <w:iCs w:val="0"/>
                <w:color w:val="auto"/>
                <w:sz w:val="24"/>
                <w:szCs w:val="24"/>
                <w:highlight w:val="none"/>
                <w:u w:val="none"/>
              </w:rPr>
            </w:pPr>
          </w:p>
        </w:tc>
      </w:tr>
      <w:tr w14:paraId="4B05E0C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27CFA2">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14</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D6B5B">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675C0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2.与井框或其他构筑物高差大于5mm的，每发现1处，扣3分。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3D7A17">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B717CB">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BDD8826">
            <w:pPr>
              <w:jc w:val="both"/>
              <w:rPr>
                <w:rFonts w:hint="eastAsia" w:ascii="宋体" w:hAnsi="宋体" w:eastAsia="宋体" w:cs="宋体"/>
                <w:i w:val="0"/>
                <w:iCs w:val="0"/>
                <w:color w:val="auto"/>
                <w:sz w:val="24"/>
                <w:szCs w:val="24"/>
                <w:highlight w:val="none"/>
                <w:u w:val="none"/>
              </w:rPr>
            </w:pPr>
          </w:p>
        </w:tc>
      </w:tr>
      <w:tr w14:paraId="236FCE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35BEF">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15</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1A5E8">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2B0021">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3.砌块间未填缝或勾缝不规范的，每发现1处，扣3分。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AED08A">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324CE">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5E1E9A">
            <w:pPr>
              <w:jc w:val="both"/>
              <w:rPr>
                <w:rFonts w:hint="eastAsia" w:ascii="宋体" w:hAnsi="宋体" w:eastAsia="宋体" w:cs="宋体"/>
                <w:i w:val="0"/>
                <w:iCs w:val="0"/>
                <w:color w:val="auto"/>
                <w:sz w:val="24"/>
                <w:szCs w:val="24"/>
                <w:highlight w:val="none"/>
                <w:u w:val="none"/>
              </w:rPr>
            </w:pPr>
          </w:p>
        </w:tc>
      </w:tr>
      <w:tr w14:paraId="5F748A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708D1">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16</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C1B6D">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FDFE7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4.混凝土板棱边不顺直、有边角剥落现象的，每发现1处，扣3分。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35F5D6">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D7ED84">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E2BD15">
            <w:pPr>
              <w:jc w:val="both"/>
              <w:rPr>
                <w:rFonts w:hint="eastAsia" w:ascii="宋体" w:hAnsi="宋体" w:eastAsia="宋体" w:cs="宋体"/>
                <w:i w:val="0"/>
                <w:iCs w:val="0"/>
                <w:color w:val="auto"/>
                <w:sz w:val="24"/>
                <w:szCs w:val="24"/>
                <w:highlight w:val="none"/>
                <w:u w:val="none"/>
              </w:rPr>
            </w:pPr>
          </w:p>
        </w:tc>
      </w:tr>
      <w:tr w14:paraId="047DEA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3C9DC8">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17</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9AEEB">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86548">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5.修复材料与原路面不一致的，每发现1处，扣3分。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F42370">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51C5C3">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35C5C2">
            <w:pPr>
              <w:jc w:val="both"/>
              <w:rPr>
                <w:rFonts w:hint="eastAsia" w:ascii="宋体" w:hAnsi="宋体" w:eastAsia="宋体" w:cs="宋体"/>
                <w:i w:val="0"/>
                <w:iCs w:val="0"/>
                <w:color w:val="auto"/>
                <w:sz w:val="24"/>
                <w:szCs w:val="24"/>
                <w:highlight w:val="none"/>
                <w:u w:val="none"/>
              </w:rPr>
            </w:pPr>
          </w:p>
        </w:tc>
      </w:tr>
      <w:tr w14:paraId="3B6263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395E9">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18</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2D711">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38015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6.侧、平石修复不规范的，每发现1处，扣2分。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BC7F6D">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3BC299">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E548A3">
            <w:pPr>
              <w:jc w:val="both"/>
              <w:rPr>
                <w:rFonts w:hint="eastAsia" w:ascii="宋体" w:hAnsi="宋体" w:eastAsia="宋体" w:cs="宋体"/>
                <w:i w:val="0"/>
                <w:iCs w:val="0"/>
                <w:color w:val="auto"/>
                <w:sz w:val="24"/>
                <w:szCs w:val="24"/>
                <w:highlight w:val="none"/>
                <w:u w:val="none"/>
              </w:rPr>
            </w:pPr>
          </w:p>
        </w:tc>
      </w:tr>
      <w:tr w14:paraId="5B4CDC8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5F05E1">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19</w:t>
            </w:r>
          </w:p>
        </w:tc>
        <w:tc>
          <w:tcPr>
            <w:tcW w:w="2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50A64D">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路灯（景观灯）照明养护</w:t>
            </w: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D0ED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1.区域内亮灯率不得低于98%，每低0.01%，扣0.5分。（运行故障除外）</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6D3C688">
            <w:pPr>
              <w:jc w:val="both"/>
              <w:rPr>
                <w:rFonts w:hint="eastAsia" w:ascii="宋体" w:hAnsi="宋体" w:eastAsia="宋体" w:cs="宋体"/>
                <w:i w:val="0"/>
                <w:iCs w:val="0"/>
                <w:color w:val="auto"/>
                <w:sz w:val="16"/>
                <w:szCs w:val="16"/>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55C8B4">
            <w:pPr>
              <w:jc w:val="center"/>
              <w:rPr>
                <w:rFonts w:hint="eastAsia" w:ascii="宋体" w:hAnsi="宋体" w:eastAsia="宋体" w:cs="宋体"/>
                <w:i w:val="0"/>
                <w:iCs w:val="0"/>
                <w:color w:val="auto"/>
                <w:sz w:val="20"/>
                <w:szCs w:val="20"/>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56AF8">
            <w:pPr>
              <w:jc w:val="both"/>
              <w:rPr>
                <w:rFonts w:hint="eastAsia" w:ascii="宋体" w:hAnsi="宋体" w:eastAsia="宋体" w:cs="宋体"/>
                <w:i w:val="0"/>
                <w:iCs w:val="0"/>
                <w:color w:val="auto"/>
                <w:sz w:val="24"/>
                <w:szCs w:val="24"/>
                <w:highlight w:val="none"/>
                <w:u w:val="none"/>
              </w:rPr>
            </w:pPr>
          </w:p>
        </w:tc>
      </w:tr>
      <w:tr w14:paraId="79C159E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F2FBF">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20</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A65C5">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C4A5C6">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2.设施完好率不低于95%，每低0.01%，扣0.2分。未经批准擅自拆移、变更现有设施，每处扣2分。发现未经批准擅自接用城市照明公共电源，未处理或未上报的，每处扣2分。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83CFE5">
            <w:pPr>
              <w:jc w:val="both"/>
              <w:rPr>
                <w:rFonts w:hint="eastAsia" w:ascii="宋体" w:hAnsi="宋体" w:eastAsia="宋体" w:cs="宋体"/>
                <w:i w:val="0"/>
                <w:iCs w:val="0"/>
                <w:color w:val="auto"/>
                <w:sz w:val="18"/>
                <w:szCs w:val="18"/>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33F5C">
            <w:pPr>
              <w:jc w:val="center"/>
              <w:rPr>
                <w:rFonts w:hint="eastAsia" w:ascii="宋体" w:hAnsi="宋体" w:eastAsia="宋体" w:cs="宋体"/>
                <w:i w:val="0"/>
                <w:iCs w:val="0"/>
                <w:color w:val="auto"/>
                <w:sz w:val="20"/>
                <w:szCs w:val="20"/>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831CA0">
            <w:pPr>
              <w:jc w:val="both"/>
              <w:rPr>
                <w:rFonts w:hint="eastAsia" w:ascii="宋体" w:hAnsi="宋体" w:eastAsia="宋体" w:cs="宋体"/>
                <w:i w:val="0"/>
                <w:iCs w:val="0"/>
                <w:color w:val="auto"/>
                <w:sz w:val="24"/>
                <w:szCs w:val="24"/>
                <w:highlight w:val="none"/>
                <w:u w:val="none"/>
              </w:rPr>
            </w:pPr>
          </w:p>
        </w:tc>
      </w:tr>
      <w:tr w14:paraId="585385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CE798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cs="宋体"/>
                <w:i w:val="0"/>
                <w:iCs w:val="0"/>
                <w:color w:val="auto"/>
                <w:kern w:val="0"/>
                <w:sz w:val="24"/>
                <w:szCs w:val="24"/>
                <w:highlight w:val="none"/>
                <w:u w:val="none"/>
                <w:lang w:val="en-US" w:eastAsia="zh-CN" w:bidi="ar"/>
              </w:rPr>
              <w:t>1</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C5F4CA">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B6E1B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3.集中控制系统完好率100%，及时调整路灯亮灯开、关时间，发生信访投诉一起扣2分。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32FB48">
            <w:pPr>
              <w:jc w:val="left"/>
              <w:rPr>
                <w:rFonts w:hint="eastAsia" w:ascii="宋体" w:hAnsi="宋体" w:eastAsia="宋体" w:cs="宋体"/>
                <w:i w:val="0"/>
                <w:iCs w:val="0"/>
                <w:color w:val="auto"/>
                <w:sz w:val="16"/>
                <w:szCs w:val="16"/>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E6F33C">
            <w:pPr>
              <w:jc w:val="center"/>
              <w:rPr>
                <w:rFonts w:hint="eastAsia" w:ascii="宋体" w:hAnsi="宋体" w:eastAsia="宋体" w:cs="宋体"/>
                <w:i w:val="0"/>
                <w:iCs w:val="0"/>
                <w:color w:val="auto"/>
                <w:sz w:val="20"/>
                <w:szCs w:val="20"/>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65F4C6">
            <w:pPr>
              <w:jc w:val="center"/>
              <w:rPr>
                <w:rFonts w:hint="eastAsia" w:ascii="宋体" w:hAnsi="宋体" w:eastAsia="宋体" w:cs="宋体"/>
                <w:i w:val="0"/>
                <w:iCs w:val="0"/>
                <w:color w:val="auto"/>
                <w:sz w:val="18"/>
                <w:szCs w:val="18"/>
                <w:highlight w:val="none"/>
                <w:u w:val="none"/>
              </w:rPr>
            </w:pPr>
          </w:p>
        </w:tc>
      </w:tr>
      <w:tr w14:paraId="12BF97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79F06E">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2</w:t>
            </w:r>
            <w:r>
              <w:rPr>
                <w:rFonts w:hint="eastAsia" w:cs="宋体"/>
                <w:i w:val="0"/>
                <w:iCs w:val="0"/>
                <w:color w:val="auto"/>
                <w:kern w:val="0"/>
                <w:sz w:val="24"/>
                <w:szCs w:val="24"/>
                <w:highlight w:val="none"/>
                <w:u w:val="none"/>
                <w:lang w:val="en-US" w:eastAsia="zh-CN" w:bidi="ar"/>
              </w:rPr>
              <w:t>2</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04BB0">
            <w:pPr>
              <w:jc w:val="center"/>
              <w:rPr>
                <w:rFonts w:hint="eastAsia" w:ascii="宋体" w:hAnsi="宋体" w:eastAsia="宋体" w:cs="宋体"/>
                <w:b/>
                <w:bCs/>
                <w:i w:val="0"/>
                <w:iCs w:val="0"/>
                <w:color w:val="auto"/>
                <w:sz w:val="21"/>
                <w:szCs w:val="21"/>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7ABDB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4.运行故障率不得高于0.5%，未经报备白天不得擅自开灯维修，每次扣1分。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6989DEE">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34C1CE">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037D0D">
            <w:pPr>
              <w:jc w:val="both"/>
              <w:rPr>
                <w:rFonts w:hint="eastAsia" w:ascii="宋体" w:hAnsi="宋体" w:eastAsia="宋体" w:cs="宋体"/>
                <w:i w:val="0"/>
                <w:iCs w:val="0"/>
                <w:color w:val="auto"/>
                <w:sz w:val="24"/>
                <w:szCs w:val="24"/>
                <w:highlight w:val="none"/>
                <w:u w:val="none"/>
              </w:rPr>
            </w:pPr>
          </w:p>
        </w:tc>
      </w:tr>
      <w:tr w14:paraId="200B19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806D45">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23</w:t>
            </w:r>
          </w:p>
        </w:tc>
        <w:tc>
          <w:tcPr>
            <w:tcW w:w="218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64C799">
            <w:pPr>
              <w:keepNext w:val="0"/>
              <w:keepLines w:val="0"/>
              <w:widowControl/>
              <w:suppressLineNumbers w:val="0"/>
              <w:jc w:val="center"/>
              <w:textAlignment w:val="center"/>
              <w:rPr>
                <w:rFonts w:hint="eastAsia" w:ascii="宋体" w:hAnsi="宋体" w:eastAsia="宋体" w:cs="宋体"/>
                <w:b/>
                <w:bCs/>
                <w:i w:val="0"/>
                <w:iCs w:val="0"/>
                <w:color w:val="auto"/>
                <w:sz w:val="21"/>
                <w:szCs w:val="21"/>
                <w:highlight w:val="none"/>
                <w:u w:val="none"/>
              </w:rPr>
            </w:pPr>
            <w:r>
              <w:rPr>
                <w:rFonts w:hint="eastAsia" w:ascii="宋体" w:hAnsi="宋体" w:eastAsia="宋体" w:cs="宋体"/>
                <w:b/>
                <w:bCs/>
                <w:i w:val="0"/>
                <w:iCs w:val="0"/>
                <w:color w:val="auto"/>
                <w:kern w:val="0"/>
                <w:sz w:val="21"/>
                <w:szCs w:val="21"/>
                <w:highlight w:val="none"/>
                <w:u w:val="none"/>
                <w:lang w:val="en-US" w:eastAsia="zh-CN" w:bidi="ar"/>
              </w:rPr>
              <w:t>配电设施养护</w:t>
            </w: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4DD4C2">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1.配电设施、箱变，门整洁完好，箱体无渗漏现象箱变门污迹较多，箱体有渗漏缺损，每处扣0.2分。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6585E2">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42C32E">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339A9A">
            <w:pPr>
              <w:jc w:val="both"/>
              <w:rPr>
                <w:rFonts w:hint="eastAsia" w:ascii="宋体" w:hAnsi="宋体" w:eastAsia="宋体" w:cs="宋体"/>
                <w:i w:val="0"/>
                <w:iCs w:val="0"/>
                <w:color w:val="auto"/>
                <w:sz w:val="24"/>
                <w:szCs w:val="24"/>
                <w:highlight w:val="none"/>
                <w:u w:val="none"/>
              </w:rPr>
            </w:pPr>
          </w:p>
        </w:tc>
      </w:tr>
      <w:tr w14:paraId="60DBC8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C01034">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cs="宋体"/>
                <w:i w:val="0"/>
                <w:iCs w:val="0"/>
                <w:color w:val="auto"/>
                <w:kern w:val="0"/>
                <w:sz w:val="24"/>
                <w:szCs w:val="24"/>
                <w:highlight w:val="none"/>
                <w:u w:val="none"/>
                <w:lang w:val="en-US" w:eastAsia="zh-CN" w:bidi="ar"/>
              </w:rPr>
              <w:t>24</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FFA5C9">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87881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2.配电设施箱变内整洁有序，无杂物，设施无烧毛、变形现象，内部杂乱，设施有焦痕，变形每处扣0.2分。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9B16D21">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8C58CA">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F61886">
            <w:pPr>
              <w:jc w:val="both"/>
              <w:rPr>
                <w:rFonts w:hint="eastAsia" w:ascii="宋体" w:hAnsi="宋体" w:eastAsia="宋体" w:cs="宋体"/>
                <w:i w:val="0"/>
                <w:iCs w:val="0"/>
                <w:color w:val="auto"/>
                <w:sz w:val="24"/>
                <w:szCs w:val="24"/>
                <w:highlight w:val="none"/>
                <w:u w:val="none"/>
              </w:rPr>
            </w:pPr>
          </w:p>
        </w:tc>
      </w:tr>
      <w:tr w14:paraId="666AA7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17862">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25</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559959">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14D9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3.配电设施所有警示标识、铭牌必须规范、齐全、醒目，确保按需正确放置，内容清晰可辨；未按要求放置警示牌、警示标语等或者不规范，标识不齐全每处扣0.2分。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4FF980">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6B4448">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DD8DBB">
            <w:pPr>
              <w:jc w:val="both"/>
              <w:rPr>
                <w:rFonts w:hint="eastAsia" w:ascii="宋体" w:hAnsi="宋体" w:eastAsia="宋体" w:cs="宋体"/>
                <w:i w:val="0"/>
                <w:iCs w:val="0"/>
                <w:color w:val="auto"/>
                <w:sz w:val="24"/>
                <w:szCs w:val="24"/>
                <w:highlight w:val="none"/>
                <w:u w:val="none"/>
              </w:rPr>
            </w:pPr>
          </w:p>
        </w:tc>
      </w:tr>
      <w:tr w14:paraId="007F8D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61198">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26</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68FD26">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4215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4.配电设施配电箱变形，有大片污迹、锈蚀、渗水或者防水防潮受影响，每处扣除1分。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7453BD2">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17DD79">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6ABF25">
            <w:pPr>
              <w:jc w:val="both"/>
              <w:rPr>
                <w:rFonts w:hint="eastAsia" w:ascii="宋体" w:hAnsi="宋体" w:eastAsia="宋体" w:cs="宋体"/>
                <w:i w:val="0"/>
                <w:iCs w:val="0"/>
                <w:color w:val="auto"/>
                <w:sz w:val="24"/>
                <w:szCs w:val="24"/>
                <w:highlight w:val="none"/>
                <w:u w:val="none"/>
              </w:rPr>
            </w:pPr>
          </w:p>
        </w:tc>
      </w:tr>
      <w:tr w14:paraId="7740AF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98177">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27</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E2EF0">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4E8F0">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5.配电设施进、出电缆孔洞的橡皮圈或防火泥封堵不严，或者受损未及时维修每处扣除0.2分。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9E7C6A">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FB6E26">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D3565E">
            <w:pPr>
              <w:jc w:val="both"/>
              <w:rPr>
                <w:rFonts w:hint="eastAsia" w:ascii="宋体" w:hAnsi="宋体" w:eastAsia="宋体" w:cs="宋体"/>
                <w:i w:val="0"/>
                <w:iCs w:val="0"/>
                <w:color w:val="auto"/>
                <w:sz w:val="24"/>
                <w:szCs w:val="24"/>
                <w:highlight w:val="none"/>
                <w:u w:val="none"/>
              </w:rPr>
            </w:pPr>
          </w:p>
        </w:tc>
      </w:tr>
      <w:tr w14:paraId="2FB6C0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D18BA">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28</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AF30E6">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AB6C2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6.配电设施电缆标识不齐全准确，字迹模糊受损每处扣1分。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9F47120">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AD3298">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FEB39D">
            <w:pPr>
              <w:jc w:val="both"/>
              <w:rPr>
                <w:rFonts w:hint="eastAsia" w:ascii="宋体" w:hAnsi="宋体" w:eastAsia="宋体" w:cs="宋体"/>
                <w:i w:val="0"/>
                <w:iCs w:val="0"/>
                <w:color w:val="auto"/>
                <w:sz w:val="24"/>
                <w:szCs w:val="24"/>
                <w:highlight w:val="none"/>
                <w:u w:val="none"/>
              </w:rPr>
            </w:pPr>
          </w:p>
        </w:tc>
      </w:tr>
      <w:tr w14:paraId="055A289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09"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DCD703">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29</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2D455">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54767">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7.所有护栏结构必须稳固无松动，表面无锈蚀或损坏，设备门锁需完好无损且功能正常，确保有效锁闭；护栏内部应保持清洁，严禁堆放任何杂物，以确保设施安全及通行顺畅。护栏内有杂物每次扣除1分。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688373">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D5742">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695149">
            <w:pPr>
              <w:jc w:val="both"/>
              <w:rPr>
                <w:rFonts w:hint="eastAsia" w:ascii="宋体" w:hAnsi="宋体" w:eastAsia="宋体" w:cs="宋体"/>
                <w:i w:val="0"/>
                <w:iCs w:val="0"/>
                <w:color w:val="auto"/>
                <w:sz w:val="24"/>
                <w:szCs w:val="24"/>
                <w:highlight w:val="none"/>
                <w:u w:val="none"/>
              </w:rPr>
            </w:pPr>
          </w:p>
        </w:tc>
      </w:tr>
      <w:tr w14:paraId="7F87E6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EA581A">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30</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A19BA3">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8A43BF">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8.所有电缆线路应布局整齐，无随意拉扯或散乱现象，线路中不得存在断头或裸露的线头；线路杂乱、有断头，线头裸露未包严，接头连接不严或受损，每处扣1分。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28EB1B">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DB9855">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65E0D">
            <w:pPr>
              <w:jc w:val="both"/>
              <w:rPr>
                <w:rFonts w:hint="eastAsia" w:ascii="宋体" w:hAnsi="宋体" w:eastAsia="宋体" w:cs="宋体"/>
                <w:i w:val="0"/>
                <w:iCs w:val="0"/>
                <w:color w:val="auto"/>
                <w:sz w:val="24"/>
                <w:szCs w:val="24"/>
                <w:highlight w:val="none"/>
                <w:u w:val="none"/>
              </w:rPr>
            </w:pPr>
          </w:p>
        </w:tc>
      </w:tr>
      <w:tr w14:paraId="2DCF0E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5A1CA">
            <w:pPr>
              <w:keepNext w:val="0"/>
              <w:keepLines w:val="0"/>
              <w:widowControl/>
              <w:suppressLineNumbers w:val="0"/>
              <w:jc w:val="center"/>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3</w:t>
            </w:r>
            <w:r>
              <w:rPr>
                <w:rFonts w:hint="eastAsia" w:cs="宋体"/>
                <w:i w:val="0"/>
                <w:iCs w:val="0"/>
                <w:color w:val="auto"/>
                <w:kern w:val="0"/>
                <w:sz w:val="24"/>
                <w:szCs w:val="24"/>
                <w:highlight w:val="none"/>
                <w:u w:val="none"/>
                <w:lang w:val="en-US" w:eastAsia="zh-CN" w:bidi="ar"/>
              </w:rPr>
              <w:t>1</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8C9DB0">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8F63">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9.箱变无功补偿装置控制仪运行故障，未及时处理每次2分。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CEE897">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FE0A48">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F72B5A">
            <w:pPr>
              <w:jc w:val="both"/>
              <w:rPr>
                <w:rFonts w:hint="eastAsia" w:ascii="宋体" w:hAnsi="宋体" w:eastAsia="宋体" w:cs="宋体"/>
                <w:i w:val="0"/>
                <w:iCs w:val="0"/>
                <w:color w:val="auto"/>
                <w:sz w:val="24"/>
                <w:szCs w:val="24"/>
                <w:highlight w:val="none"/>
                <w:u w:val="none"/>
              </w:rPr>
            </w:pPr>
          </w:p>
        </w:tc>
      </w:tr>
      <w:tr w14:paraId="587721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7DE0A7">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ascii="宋体" w:hAnsi="宋体" w:eastAsia="宋体" w:cs="宋体"/>
                <w:i w:val="0"/>
                <w:iCs w:val="0"/>
                <w:color w:val="auto"/>
                <w:kern w:val="0"/>
                <w:sz w:val="24"/>
                <w:szCs w:val="24"/>
                <w:highlight w:val="none"/>
                <w:u w:val="none"/>
                <w:lang w:val="en-US" w:eastAsia="zh-CN" w:bidi="ar"/>
              </w:rPr>
              <w:t>3</w:t>
            </w:r>
            <w:r>
              <w:rPr>
                <w:rFonts w:hint="eastAsia" w:cs="宋体"/>
                <w:i w:val="0"/>
                <w:iCs w:val="0"/>
                <w:color w:val="auto"/>
                <w:kern w:val="0"/>
                <w:sz w:val="24"/>
                <w:szCs w:val="24"/>
                <w:highlight w:val="none"/>
                <w:u w:val="none"/>
                <w:lang w:val="en-US" w:eastAsia="zh-CN" w:bidi="ar"/>
              </w:rPr>
              <w:t>2</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C4C053">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69F175">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10.电气设备间的电气间隙和爬电距离不符合要求的每处扣除1分。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AEA023">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55EAD0">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525F7F4">
            <w:pPr>
              <w:jc w:val="both"/>
              <w:rPr>
                <w:rFonts w:hint="eastAsia" w:ascii="宋体" w:hAnsi="宋体" w:eastAsia="宋体" w:cs="宋体"/>
                <w:i w:val="0"/>
                <w:iCs w:val="0"/>
                <w:color w:val="auto"/>
                <w:sz w:val="24"/>
                <w:szCs w:val="24"/>
                <w:highlight w:val="none"/>
                <w:u w:val="none"/>
              </w:rPr>
            </w:pPr>
          </w:p>
        </w:tc>
      </w:tr>
      <w:tr w14:paraId="71FCCB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F0673D">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33</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F2ADC2">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33E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11.配电仪表故障不能正确指示或者表面有污迹影响观看，每次扣除0.2分。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0FCE0A">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A831BE">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F8B2EC">
            <w:pPr>
              <w:jc w:val="both"/>
              <w:rPr>
                <w:rFonts w:hint="eastAsia" w:ascii="宋体" w:hAnsi="宋体" w:eastAsia="宋体" w:cs="宋体"/>
                <w:i w:val="0"/>
                <w:iCs w:val="0"/>
                <w:color w:val="auto"/>
                <w:sz w:val="24"/>
                <w:szCs w:val="24"/>
                <w:highlight w:val="none"/>
                <w:u w:val="none"/>
              </w:rPr>
            </w:pPr>
          </w:p>
        </w:tc>
      </w:tr>
      <w:tr w14:paraId="39EAA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5"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FEFC5">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34</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9C6639">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B2B4CE">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12.为确保市政设施的安全可靠运行，必须严格按照规定的周期（每两年至少一次或根据实际需要）进行预防性试验和各项检查，预防性试验等检验、检查，未做每处扣2分。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252681">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71B24D">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1D366D">
            <w:pPr>
              <w:jc w:val="both"/>
              <w:rPr>
                <w:rFonts w:hint="eastAsia" w:ascii="宋体" w:hAnsi="宋体" w:eastAsia="宋体" w:cs="宋体"/>
                <w:i w:val="0"/>
                <w:iCs w:val="0"/>
                <w:color w:val="auto"/>
                <w:sz w:val="24"/>
                <w:szCs w:val="24"/>
                <w:highlight w:val="none"/>
                <w:u w:val="none"/>
              </w:rPr>
            </w:pPr>
          </w:p>
        </w:tc>
      </w:tr>
      <w:tr w14:paraId="3FC6385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0A69F5">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35</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B1E918">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86EDAD">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13.有漏电、漏油等现象未能及时处理每处扣1分，变压器未及时检测及维护每次扣5分。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AADD02">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682275">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651489">
            <w:pPr>
              <w:jc w:val="both"/>
              <w:rPr>
                <w:rFonts w:hint="eastAsia" w:ascii="宋体" w:hAnsi="宋体" w:eastAsia="宋体" w:cs="宋体"/>
                <w:i w:val="0"/>
                <w:iCs w:val="0"/>
                <w:color w:val="auto"/>
                <w:sz w:val="24"/>
                <w:szCs w:val="24"/>
                <w:highlight w:val="none"/>
                <w:u w:val="none"/>
              </w:rPr>
            </w:pPr>
          </w:p>
        </w:tc>
      </w:tr>
      <w:tr w14:paraId="72A836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0F80AD">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36</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598B08">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B6C2B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14.配电箱柜内部开关等元器件异常未及时更换每次扣除1分。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0E4B2A">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C7C8F2">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1C79C0">
            <w:pPr>
              <w:jc w:val="both"/>
              <w:rPr>
                <w:rFonts w:hint="eastAsia" w:ascii="宋体" w:hAnsi="宋体" w:eastAsia="宋体" w:cs="宋体"/>
                <w:i w:val="0"/>
                <w:iCs w:val="0"/>
                <w:color w:val="auto"/>
                <w:sz w:val="24"/>
                <w:szCs w:val="24"/>
                <w:highlight w:val="none"/>
                <w:u w:val="none"/>
              </w:rPr>
            </w:pPr>
          </w:p>
        </w:tc>
      </w:tr>
      <w:tr w14:paraId="5E124BF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9A7BA">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37</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CAF5C">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D3A64">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15.配电箱缺失、倒伏、外壳带电本配电箱（柜），每次扣除1分。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A04441A">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134BAB">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13D8FB">
            <w:pPr>
              <w:jc w:val="both"/>
              <w:rPr>
                <w:rFonts w:hint="eastAsia" w:ascii="宋体" w:hAnsi="宋体" w:eastAsia="宋体" w:cs="宋体"/>
                <w:i w:val="0"/>
                <w:iCs w:val="0"/>
                <w:color w:val="auto"/>
                <w:sz w:val="24"/>
                <w:szCs w:val="24"/>
                <w:highlight w:val="none"/>
                <w:u w:val="none"/>
              </w:rPr>
            </w:pPr>
          </w:p>
        </w:tc>
      </w:tr>
      <w:tr w14:paraId="1B286E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7" w:hRule="atLeast"/>
        </w:trPr>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A7634">
            <w:pPr>
              <w:keepNext w:val="0"/>
              <w:keepLines w:val="0"/>
              <w:widowControl/>
              <w:suppressLineNumbers w:val="0"/>
              <w:jc w:val="center"/>
              <w:textAlignment w:val="center"/>
              <w:rPr>
                <w:rFonts w:hint="default" w:ascii="宋体" w:hAnsi="宋体" w:eastAsia="宋体" w:cs="宋体"/>
                <w:i w:val="0"/>
                <w:iCs w:val="0"/>
                <w:color w:val="auto"/>
                <w:sz w:val="24"/>
                <w:szCs w:val="24"/>
                <w:highlight w:val="none"/>
                <w:u w:val="none"/>
                <w:lang w:val="en-US"/>
              </w:rPr>
            </w:pPr>
            <w:r>
              <w:rPr>
                <w:rFonts w:hint="eastAsia" w:cs="宋体"/>
                <w:i w:val="0"/>
                <w:iCs w:val="0"/>
                <w:color w:val="auto"/>
                <w:kern w:val="0"/>
                <w:sz w:val="24"/>
                <w:szCs w:val="24"/>
                <w:highlight w:val="none"/>
                <w:u w:val="none"/>
                <w:lang w:val="en-US" w:eastAsia="zh-CN" w:bidi="ar"/>
              </w:rPr>
              <w:t>38</w:t>
            </w:r>
          </w:p>
        </w:tc>
        <w:tc>
          <w:tcPr>
            <w:tcW w:w="2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84B5B">
            <w:pPr>
              <w:jc w:val="center"/>
              <w:rPr>
                <w:rFonts w:hint="eastAsia" w:ascii="宋体" w:hAnsi="宋体" w:eastAsia="宋体" w:cs="宋体"/>
                <w:b/>
                <w:bCs/>
                <w:i w:val="0"/>
                <w:iCs w:val="0"/>
                <w:color w:val="auto"/>
                <w:sz w:val="24"/>
                <w:szCs w:val="24"/>
                <w:highlight w:val="none"/>
                <w:u w:val="none"/>
              </w:rPr>
            </w:pPr>
          </w:p>
        </w:tc>
        <w:tc>
          <w:tcPr>
            <w:tcW w:w="75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95899A">
            <w:pPr>
              <w:keepNext w:val="0"/>
              <w:keepLines w:val="0"/>
              <w:widowControl/>
              <w:suppressLineNumbers w:val="0"/>
              <w:jc w:val="left"/>
              <w:textAlignment w:val="center"/>
              <w:rPr>
                <w:rFonts w:hint="eastAsia" w:ascii="宋体" w:hAnsi="宋体" w:eastAsia="宋体" w:cs="宋体"/>
                <w:i w:val="0"/>
                <w:iCs w:val="0"/>
                <w:color w:val="auto"/>
                <w:sz w:val="20"/>
                <w:szCs w:val="20"/>
                <w:highlight w:val="none"/>
                <w:u w:val="none"/>
              </w:rPr>
            </w:pPr>
            <w:r>
              <w:rPr>
                <w:rFonts w:hint="eastAsia" w:ascii="宋体" w:hAnsi="宋体" w:eastAsia="宋体" w:cs="宋体"/>
                <w:i w:val="0"/>
                <w:iCs w:val="0"/>
                <w:color w:val="auto"/>
                <w:kern w:val="0"/>
                <w:sz w:val="20"/>
                <w:szCs w:val="20"/>
                <w:highlight w:val="none"/>
                <w:u w:val="none"/>
                <w:lang w:val="en-US" w:eastAsia="zh-CN" w:bidi="ar"/>
              </w:rPr>
              <w:t>16.配电设施未能在规定时间内完成修复的，每逾期1次，扣2分。</w:t>
            </w:r>
          </w:p>
        </w:tc>
        <w:tc>
          <w:tcPr>
            <w:tcW w:w="139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5FE7F0">
            <w:pPr>
              <w:jc w:val="both"/>
              <w:rPr>
                <w:rFonts w:hint="eastAsia" w:ascii="宋体" w:hAnsi="宋体" w:eastAsia="宋体" w:cs="宋体"/>
                <w:i w:val="0"/>
                <w:iCs w:val="0"/>
                <w:color w:val="auto"/>
                <w:sz w:val="24"/>
                <w:szCs w:val="24"/>
                <w:highlight w:val="none"/>
                <w:u w:val="none"/>
              </w:rPr>
            </w:pPr>
          </w:p>
        </w:tc>
        <w:tc>
          <w:tcPr>
            <w:tcW w:w="10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7EFE4F">
            <w:pPr>
              <w:jc w:val="center"/>
              <w:rPr>
                <w:rFonts w:hint="eastAsia" w:ascii="宋体" w:hAnsi="宋体" w:eastAsia="宋体" w:cs="宋体"/>
                <w:i w:val="0"/>
                <w:iCs w:val="0"/>
                <w:color w:val="auto"/>
                <w:sz w:val="24"/>
                <w:szCs w:val="24"/>
                <w:highlight w:val="none"/>
                <w:u w:val="none"/>
              </w:rPr>
            </w:pPr>
          </w:p>
        </w:tc>
        <w:tc>
          <w:tcPr>
            <w:tcW w:w="104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ED723">
            <w:pPr>
              <w:jc w:val="both"/>
              <w:rPr>
                <w:rFonts w:hint="eastAsia" w:ascii="宋体" w:hAnsi="宋体" w:eastAsia="宋体" w:cs="宋体"/>
                <w:i w:val="0"/>
                <w:iCs w:val="0"/>
                <w:color w:val="auto"/>
                <w:sz w:val="24"/>
                <w:szCs w:val="24"/>
                <w:highlight w:val="none"/>
                <w:u w:val="none"/>
              </w:rPr>
            </w:pPr>
          </w:p>
        </w:tc>
      </w:tr>
      <w:tr w14:paraId="5BAE3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1" w:hRule="atLeast"/>
        </w:trPr>
        <w:tc>
          <w:tcPr>
            <w:tcW w:w="14525" w:type="dxa"/>
            <w:gridSpan w:val="6"/>
            <w:tcBorders>
              <w:top w:val="single" w:color="000000" w:sz="4" w:space="0"/>
              <w:left w:val="single" w:color="000000" w:sz="4" w:space="0"/>
              <w:bottom w:val="single" w:color="000000" w:sz="4" w:space="0"/>
              <w:right w:val="single" w:color="000000" w:sz="4" w:space="0"/>
            </w:tcBorders>
            <w:shd w:val="clear" w:color="auto" w:fill="auto"/>
            <w:vAlign w:val="center"/>
          </w:tcPr>
          <w:p w14:paraId="27B2971F">
            <w:pPr>
              <w:keepNext w:val="0"/>
              <w:keepLines w:val="0"/>
              <w:widowControl/>
              <w:suppressLineNumbers w:val="0"/>
              <w:ind w:firstLineChars="200"/>
              <w:jc w:val="both"/>
              <w:textAlignment w:val="center"/>
              <w:rPr>
                <w:rFonts w:hint="eastAsia" w:ascii="宋体" w:hAnsi="宋体" w:eastAsia="宋体" w:cs="宋体"/>
                <w:i w:val="0"/>
                <w:iCs w:val="0"/>
                <w:color w:val="auto"/>
                <w:sz w:val="24"/>
                <w:szCs w:val="24"/>
                <w:highlight w:val="none"/>
                <w:u w:val="none"/>
              </w:rPr>
            </w:pPr>
            <w:r>
              <w:rPr>
                <w:rFonts w:hint="eastAsia" w:ascii="宋体" w:hAnsi="宋体" w:eastAsia="宋体" w:cs="宋体"/>
                <w:i w:val="0"/>
                <w:iCs w:val="0"/>
                <w:color w:val="auto"/>
                <w:kern w:val="0"/>
                <w:sz w:val="24"/>
                <w:szCs w:val="24"/>
                <w:highlight w:val="none"/>
                <w:u w:val="none"/>
                <w:lang w:val="en-US" w:eastAsia="zh-CN" w:bidi="ar"/>
              </w:rPr>
              <w:t xml:space="preserve">扣分合计：                                                                                                     </w:t>
            </w:r>
          </w:p>
        </w:tc>
      </w:tr>
    </w:tbl>
    <w:p w14:paraId="4CB871D0">
      <w:pPr>
        <w:pStyle w:val="30"/>
        <w:rPr>
          <w:rFonts w:hint="eastAsia"/>
          <w:color w:val="auto"/>
          <w:highlight w:val="none"/>
          <w:lang w:val="zh-CN" w:eastAsia="zh-CN"/>
        </w:rPr>
        <w:sectPr>
          <w:pgSz w:w="16838" w:h="11906" w:orient="landscape"/>
          <w:pgMar w:top="1800" w:right="1440" w:bottom="1800" w:left="144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33B1A9F3">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auto"/>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lang w:val="en-US" w:eastAsia="zh-CN"/>
        </w:rPr>
        <w:t>石油基地</w:t>
      </w: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rPr>
        <w:t>市政</w:t>
      </w: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rPr>
        <w:t>园林</w:t>
      </w: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rPr>
        <w:t>环卫一体化</w:t>
      </w: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rPr>
        <w:t>项目</w:t>
      </w:r>
    </w:p>
    <w:p w14:paraId="166E583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center"/>
        <w:textAlignment w:val="auto"/>
        <w:rPr>
          <w:rFonts w:hint="eastAsia" w:ascii="宋体" w:hAnsi="宋体" w:eastAsia="宋体" w:cs="宋体"/>
          <w:b/>
          <w:bCs/>
          <w:color w:val="auto"/>
          <w:sz w:val="32"/>
          <w:szCs w:val="32"/>
          <w:highlight w:val="none"/>
          <w:lang w:val="en-US" w:eastAsia="zh-CN"/>
        </w:rPr>
      </w:pPr>
      <w:r>
        <w:rPr>
          <w:rFonts w:hint="eastAsia" w:ascii="宋体" w:hAnsi="宋体" w:eastAsia="宋体" w:cs="宋体"/>
          <w:b/>
          <w:bCs/>
          <w:color w:val="auto"/>
          <w:sz w:val="32"/>
          <w:szCs w:val="32"/>
          <w:highlight w:val="none"/>
          <w:lang w:val="en-US" w:eastAsia="zh-CN"/>
        </w:rPr>
        <w:t>满意度</w:t>
      </w:r>
      <w:r>
        <w:rPr>
          <w:rFonts w:hint="eastAsia" w:ascii="宋体" w:hAnsi="宋体" w:eastAsia="宋体" w:cs="宋体"/>
          <w:b/>
          <w:bCs/>
          <w:color w:val="auto"/>
          <w:sz w:val="32"/>
          <w:szCs w:val="32"/>
          <w:highlight w:val="none"/>
        </w:rPr>
        <w:t>调查问卷</w:t>
      </w:r>
      <w:r>
        <w:rPr>
          <w:rFonts w:hint="eastAsia" w:ascii="宋体" w:hAnsi="宋体" w:eastAsia="宋体" w:cs="宋体"/>
          <w:b/>
          <w:bCs/>
          <w:color w:val="auto"/>
          <w:sz w:val="32"/>
          <w:szCs w:val="32"/>
          <w:highlight w:val="none"/>
          <w:lang w:eastAsia="zh-CN"/>
        </w:rPr>
        <w:t>（</w:t>
      </w:r>
      <w:r>
        <w:rPr>
          <w:rFonts w:hint="eastAsia" w:ascii="宋体" w:hAnsi="宋体" w:eastAsia="宋体" w:cs="宋体"/>
          <w:b/>
          <w:bCs/>
          <w:color w:val="auto"/>
          <w:sz w:val="32"/>
          <w:szCs w:val="32"/>
          <w:highlight w:val="none"/>
          <w:lang w:val="en-US" w:eastAsia="zh-CN"/>
        </w:rPr>
        <w:t>试行）</w:t>
      </w:r>
    </w:p>
    <w:p w14:paraId="6F27CC6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jc w:val="both"/>
        <w:textAlignment w:val="auto"/>
        <w:rPr>
          <w:rFonts w:hint="eastAsia" w:ascii="宋体" w:hAnsi="宋体" w:eastAsia="宋体" w:cs="宋体"/>
          <w:color w:val="auto"/>
          <w:sz w:val="24"/>
          <w:szCs w:val="24"/>
          <w:highlight w:val="none"/>
        </w:rPr>
      </w:pPr>
    </w:p>
    <w:p w14:paraId="49D6CAB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尊敬的</w:t>
      </w:r>
      <w:r>
        <w:rPr>
          <w:rFonts w:hint="eastAsia" w:ascii="宋体" w:hAnsi="宋体" w:eastAsia="宋体" w:cs="宋体"/>
          <w:color w:val="auto"/>
          <w:sz w:val="24"/>
          <w:szCs w:val="24"/>
          <w:highlight w:val="none"/>
          <w:lang w:val="en-US" w:eastAsia="zh-CN"/>
        </w:rPr>
        <w:t>市民朋友</w:t>
      </w:r>
      <w:r>
        <w:rPr>
          <w:rFonts w:hint="eastAsia" w:ascii="宋体" w:hAnsi="宋体" w:eastAsia="宋体" w:cs="宋体"/>
          <w:color w:val="auto"/>
          <w:sz w:val="24"/>
          <w:szCs w:val="24"/>
          <w:highlight w:val="none"/>
        </w:rPr>
        <w:t xml:space="preserve">： </w:t>
      </w:r>
    </w:p>
    <w:p w14:paraId="63CF327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您好！为全面了解</w:t>
      </w:r>
      <w:r>
        <w:rPr>
          <w:rFonts w:hint="eastAsia" w:ascii="宋体" w:hAnsi="宋体" w:eastAsia="宋体" w:cs="宋体"/>
          <w:color w:val="auto"/>
          <w:sz w:val="24"/>
          <w:szCs w:val="24"/>
          <w:highlight w:val="none"/>
          <w:lang w:eastAsia="zh-CN"/>
        </w:rPr>
        <w:t>石油基地“</w:t>
      </w:r>
      <w:r>
        <w:rPr>
          <w:rFonts w:hint="eastAsia" w:ascii="宋体" w:hAnsi="宋体" w:eastAsia="宋体" w:cs="宋体"/>
          <w:color w:val="auto"/>
          <w:sz w:val="24"/>
          <w:szCs w:val="24"/>
          <w:highlight w:val="none"/>
        </w:rPr>
        <w:t>市政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环卫一体化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项目的实施效果、存在问题及优化方向，持续提升城市环境卫生与园林养护水平，开展本次</w:t>
      </w:r>
      <w:r>
        <w:rPr>
          <w:rFonts w:hint="eastAsia" w:ascii="宋体" w:hAnsi="宋体" w:eastAsia="宋体" w:cs="宋体"/>
          <w:color w:val="auto"/>
          <w:sz w:val="24"/>
          <w:szCs w:val="24"/>
          <w:highlight w:val="none"/>
          <w:lang w:val="en-US" w:eastAsia="zh-CN"/>
        </w:rPr>
        <w:t>满意度</w:t>
      </w:r>
      <w:r>
        <w:rPr>
          <w:rFonts w:hint="eastAsia" w:ascii="宋体" w:hAnsi="宋体" w:eastAsia="宋体" w:cs="宋体"/>
          <w:color w:val="auto"/>
          <w:sz w:val="24"/>
          <w:szCs w:val="24"/>
          <w:highlight w:val="none"/>
        </w:rPr>
        <w:t>问卷调查。您的意见对我们至关重要</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xml:space="preserve">感谢您的支持与配合！ </w:t>
      </w:r>
    </w:p>
    <w:p w14:paraId="28255063">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 一、基本信息 </w:t>
      </w:r>
    </w:p>
    <w:p w14:paraId="715F02C4">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1.您的身份： </w:t>
      </w:r>
    </w:p>
    <w:p w14:paraId="6CE8CA49">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 普通市民 □ 沿街商户 □ 社区工作人员  □ 政府相关部门工作人员 □ </w:t>
      </w:r>
      <w:r>
        <w:rPr>
          <w:rFonts w:hint="eastAsia" w:ascii="宋体" w:hAnsi="宋体" w:eastAsia="宋体" w:cs="宋体"/>
          <w:color w:val="auto"/>
          <w:sz w:val="24"/>
          <w:szCs w:val="24"/>
          <w:highlight w:val="none"/>
          <w:lang w:val="en-US" w:eastAsia="zh-CN"/>
        </w:rPr>
        <w:t xml:space="preserve">人大代表 </w:t>
      </w:r>
      <w:r>
        <w:rPr>
          <w:rFonts w:hint="eastAsia" w:ascii="宋体" w:hAnsi="宋体" w:eastAsia="宋体" w:cs="宋体"/>
          <w:color w:val="auto"/>
          <w:sz w:val="24"/>
          <w:szCs w:val="24"/>
          <w:highlight w:val="none"/>
        </w:rPr>
        <w:t> □ </w:t>
      </w:r>
      <w:r>
        <w:rPr>
          <w:rFonts w:hint="eastAsia" w:ascii="宋体" w:hAnsi="宋体" w:eastAsia="宋体" w:cs="宋体"/>
          <w:color w:val="auto"/>
          <w:sz w:val="24"/>
          <w:szCs w:val="24"/>
          <w:highlight w:val="none"/>
          <w:lang w:val="en-US" w:eastAsia="zh-CN"/>
        </w:rPr>
        <w:t xml:space="preserve">政协委员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 xml:space="preserve">退休人员  </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val="en-US" w:eastAsia="zh-CN"/>
        </w:rPr>
        <w:t>外来人员</w:t>
      </w:r>
    </w:p>
    <w:p w14:paraId="16B6381A">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 xml:space="preserve">二、市政方面 </w:t>
      </w:r>
    </w:p>
    <w:p w14:paraId="2B21E88F">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i w:val="0"/>
          <w:caps w:val="0"/>
          <w:color w:val="auto"/>
          <w:spacing w:val="0"/>
          <w:sz w:val="24"/>
          <w:szCs w:val="24"/>
          <w:highlight w:val="none"/>
          <w:shd w:val="clear" w:fill="FFFFFF"/>
          <w:lang w:val="en-US" w:eastAsia="zh-CN"/>
        </w:rPr>
      </w:pPr>
      <w:r>
        <w:rPr>
          <w:rFonts w:hint="eastAsia" w:ascii="宋体" w:hAnsi="宋体" w:eastAsia="宋体" w:cs="宋体"/>
          <w:color w:val="auto"/>
          <w:sz w:val="24"/>
          <w:szCs w:val="24"/>
          <w:highlight w:val="none"/>
          <w:lang w:val="en-US" w:eastAsia="zh-CN"/>
        </w:rPr>
        <w:t>1.您对</w:t>
      </w:r>
      <w:r>
        <w:rPr>
          <w:rFonts w:hint="eastAsia" w:ascii="宋体" w:hAnsi="宋体" w:eastAsia="宋体" w:cs="宋体"/>
          <w:i w:val="0"/>
          <w:caps w:val="0"/>
          <w:color w:val="auto"/>
          <w:spacing w:val="0"/>
          <w:sz w:val="24"/>
          <w:szCs w:val="24"/>
          <w:highlight w:val="none"/>
          <w:shd w:val="clear" w:fill="FFFFFF"/>
          <w:lang w:val="en-US" w:eastAsia="zh-CN"/>
        </w:rPr>
        <w:t>所在区域</w:t>
      </w:r>
      <w:r>
        <w:rPr>
          <w:rFonts w:hint="eastAsia" w:ascii="宋体" w:hAnsi="宋体" w:eastAsia="宋体" w:cs="宋体"/>
          <w:i w:val="0"/>
          <w:caps w:val="0"/>
          <w:color w:val="auto"/>
          <w:spacing w:val="0"/>
          <w:sz w:val="24"/>
          <w:szCs w:val="24"/>
          <w:highlight w:val="none"/>
          <w:shd w:val="clear" w:fill="FFFFFF"/>
        </w:rPr>
        <w:t>路灯正常照明，出现故障</w:t>
      </w:r>
      <w:r>
        <w:rPr>
          <w:rFonts w:hint="eastAsia" w:ascii="宋体" w:hAnsi="宋体" w:eastAsia="宋体" w:cs="宋体"/>
          <w:i w:val="0"/>
          <w:caps w:val="0"/>
          <w:color w:val="auto"/>
          <w:spacing w:val="0"/>
          <w:sz w:val="24"/>
          <w:szCs w:val="24"/>
          <w:highlight w:val="none"/>
          <w:shd w:val="clear" w:fill="FFFFFF"/>
          <w:lang w:eastAsia="zh-CN"/>
        </w:rPr>
        <w:t>，</w:t>
      </w:r>
      <w:r>
        <w:rPr>
          <w:rFonts w:hint="eastAsia" w:ascii="宋体" w:hAnsi="宋体" w:eastAsia="宋体" w:cs="宋体"/>
          <w:i w:val="0"/>
          <w:caps w:val="0"/>
          <w:color w:val="auto"/>
          <w:spacing w:val="0"/>
          <w:sz w:val="24"/>
          <w:szCs w:val="24"/>
          <w:highlight w:val="none"/>
          <w:shd w:val="clear" w:fill="FFFFFF"/>
        </w:rPr>
        <w:t>能</w:t>
      </w:r>
      <w:r>
        <w:rPr>
          <w:rFonts w:hint="eastAsia" w:ascii="宋体" w:hAnsi="宋体" w:eastAsia="宋体" w:cs="宋体"/>
          <w:i w:val="0"/>
          <w:caps w:val="0"/>
          <w:color w:val="auto"/>
          <w:spacing w:val="0"/>
          <w:sz w:val="24"/>
          <w:szCs w:val="24"/>
          <w:highlight w:val="none"/>
          <w:shd w:val="clear" w:fill="FFFFFF"/>
          <w:lang w:val="en-US" w:eastAsia="zh-CN"/>
        </w:rPr>
        <w:t>否</w:t>
      </w:r>
      <w:r>
        <w:rPr>
          <w:rFonts w:hint="eastAsia" w:ascii="宋体" w:hAnsi="宋体" w:eastAsia="宋体" w:cs="宋体"/>
          <w:i w:val="0"/>
          <w:caps w:val="0"/>
          <w:color w:val="auto"/>
          <w:spacing w:val="0"/>
          <w:sz w:val="24"/>
          <w:szCs w:val="24"/>
          <w:highlight w:val="none"/>
          <w:shd w:val="clear" w:fill="FFFFFF"/>
        </w:rPr>
        <w:t>及时维修的情况，</w:t>
      </w:r>
      <w:r>
        <w:rPr>
          <w:rFonts w:hint="eastAsia" w:ascii="宋体" w:hAnsi="宋体" w:eastAsia="宋体" w:cs="宋体"/>
          <w:i w:val="0"/>
          <w:caps w:val="0"/>
          <w:color w:val="auto"/>
          <w:spacing w:val="0"/>
          <w:sz w:val="24"/>
          <w:szCs w:val="24"/>
          <w:highlight w:val="none"/>
          <w:shd w:val="clear" w:fill="FFFFFF"/>
          <w:lang w:val="en-US" w:eastAsia="zh-CN"/>
        </w:rPr>
        <w:t>是否</w:t>
      </w:r>
      <w:r>
        <w:rPr>
          <w:rFonts w:hint="eastAsia" w:ascii="宋体" w:hAnsi="宋体" w:eastAsia="宋体" w:cs="宋体"/>
          <w:i w:val="0"/>
          <w:caps w:val="0"/>
          <w:color w:val="auto"/>
          <w:spacing w:val="0"/>
          <w:sz w:val="24"/>
          <w:szCs w:val="24"/>
          <w:highlight w:val="none"/>
          <w:shd w:val="clear" w:fill="FFFFFF"/>
        </w:rPr>
        <w:t>满意？</w:t>
      </w:r>
    </w:p>
    <w:p w14:paraId="7699AF64">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 xml:space="preserve"> </w:t>
      </w:r>
    </w:p>
    <w:p w14:paraId="4CF7A88C">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462028CF">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2.您对</w:t>
      </w:r>
      <w:r>
        <w:rPr>
          <w:rFonts w:hint="eastAsia" w:ascii="宋体" w:hAnsi="宋体" w:eastAsia="宋体" w:cs="宋体"/>
          <w:i w:val="0"/>
          <w:caps w:val="0"/>
          <w:color w:val="auto"/>
          <w:spacing w:val="0"/>
          <w:sz w:val="24"/>
          <w:szCs w:val="24"/>
          <w:highlight w:val="none"/>
          <w:shd w:val="clear" w:fill="FFFFFF"/>
        </w:rPr>
        <w:t>所在区域</w:t>
      </w:r>
      <w:r>
        <w:rPr>
          <w:rFonts w:hint="eastAsia" w:ascii="宋体" w:hAnsi="宋体" w:eastAsia="宋体" w:cs="宋体"/>
          <w:i w:val="0"/>
          <w:caps w:val="0"/>
          <w:color w:val="auto"/>
          <w:spacing w:val="0"/>
          <w:sz w:val="24"/>
          <w:szCs w:val="24"/>
          <w:highlight w:val="none"/>
          <w:shd w:val="clear" w:fill="FFFFFF"/>
          <w:lang w:eastAsia="zh-CN"/>
        </w:rPr>
        <w:t>路灯开关（天亮</w:t>
      </w:r>
      <w:r>
        <w:rPr>
          <w:rFonts w:hint="eastAsia" w:ascii="宋体" w:hAnsi="宋体" w:eastAsia="宋体" w:cs="宋体"/>
          <w:i w:val="0"/>
          <w:caps w:val="0"/>
          <w:color w:val="auto"/>
          <w:spacing w:val="0"/>
          <w:sz w:val="24"/>
          <w:szCs w:val="24"/>
          <w:highlight w:val="none"/>
          <w:shd w:val="clear" w:fill="FFFFFF"/>
          <w:lang w:val="en-US" w:eastAsia="zh-CN"/>
        </w:rPr>
        <w:t>/天黑控制</w:t>
      </w:r>
      <w:r>
        <w:rPr>
          <w:rFonts w:hint="eastAsia" w:ascii="宋体" w:hAnsi="宋体" w:eastAsia="宋体" w:cs="宋体"/>
          <w:i w:val="0"/>
          <w:caps w:val="0"/>
          <w:color w:val="auto"/>
          <w:spacing w:val="0"/>
          <w:sz w:val="24"/>
          <w:szCs w:val="24"/>
          <w:highlight w:val="none"/>
          <w:shd w:val="clear" w:fill="FFFFFF"/>
          <w:lang w:eastAsia="zh-CN"/>
        </w:rPr>
        <w:t>）时间</w:t>
      </w:r>
      <w:r>
        <w:rPr>
          <w:rFonts w:hint="eastAsia" w:ascii="宋体" w:hAnsi="宋体" w:eastAsia="宋体" w:cs="宋体"/>
          <w:i w:val="0"/>
          <w:caps w:val="0"/>
          <w:color w:val="auto"/>
          <w:spacing w:val="0"/>
          <w:sz w:val="24"/>
          <w:szCs w:val="24"/>
          <w:highlight w:val="none"/>
          <w:shd w:val="clear" w:fill="FFFFFF"/>
        </w:rPr>
        <w:t>情况，</w:t>
      </w:r>
      <w:r>
        <w:rPr>
          <w:rFonts w:hint="eastAsia" w:ascii="宋体" w:hAnsi="宋体" w:eastAsia="宋体" w:cs="宋体"/>
          <w:i w:val="0"/>
          <w:caps w:val="0"/>
          <w:color w:val="auto"/>
          <w:spacing w:val="0"/>
          <w:sz w:val="24"/>
          <w:szCs w:val="24"/>
          <w:highlight w:val="none"/>
          <w:shd w:val="clear" w:fill="FFFFFF"/>
          <w:lang w:val="en-US" w:eastAsia="zh-CN"/>
        </w:rPr>
        <w:t>是否</w:t>
      </w:r>
      <w:r>
        <w:rPr>
          <w:rFonts w:hint="eastAsia" w:ascii="宋体" w:hAnsi="宋体" w:eastAsia="宋体" w:cs="宋体"/>
          <w:i w:val="0"/>
          <w:caps w:val="0"/>
          <w:color w:val="auto"/>
          <w:spacing w:val="0"/>
          <w:sz w:val="24"/>
          <w:szCs w:val="24"/>
          <w:highlight w:val="none"/>
          <w:shd w:val="clear" w:fill="FFFFFF"/>
        </w:rPr>
        <w:t>满意？</w:t>
      </w:r>
    </w:p>
    <w:p w14:paraId="2C017C61">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 xml:space="preserve"> </w:t>
      </w:r>
    </w:p>
    <w:p w14:paraId="382EF9A7">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746FF8E6">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i w:val="0"/>
          <w:caps w:val="0"/>
          <w:color w:val="auto"/>
          <w:spacing w:val="0"/>
          <w:sz w:val="24"/>
          <w:szCs w:val="24"/>
          <w:highlight w:val="none"/>
          <w:shd w:val="clear" w:fill="FFFFFF"/>
          <w:lang w:val="en-US" w:eastAsia="zh-CN"/>
        </w:rPr>
        <w:t>3.</w:t>
      </w:r>
      <w:r>
        <w:rPr>
          <w:rFonts w:hint="eastAsia" w:ascii="宋体" w:hAnsi="宋体" w:eastAsia="宋体" w:cs="宋体"/>
          <w:color w:val="auto"/>
          <w:sz w:val="24"/>
          <w:szCs w:val="24"/>
          <w:highlight w:val="none"/>
          <w:lang w:val="en-US" w:eastAsia="zh-CN"/>
        </w:rPr>
        <w:t>您对</w:t>
      </w:r>
      <w:r>
        <w:rPr>
          <w:rFonts w:hint="eastAsia" w:ascii="宋体" w:hAnsi="宋体" w:eastAsia="宋体" w:cs="宋体"/>
          <w:i w:val="0"/>
          <w:caps w:val="0"/>
          <w:color w:val="auto"/>
          <w:spacing w:val="0"/>
          <w:sz w:val="24"/>
          <w:szCs w:val="24"/>
          <w:highlight w:val="none"/>
          <w:shd w:val="clear" w:fill="FFFFFF"/>
          <w:lang w:val="en-US" w:eastAsia="zh-CN"/>
        </w:rPr>
        <w:t>所在区域市政</w:t>
      </w:r>
      <w:r>
        <w:rPr>
          <w:rFonts w:hint="eastAsia" w:ascii="宋体" w:hAnsi="宋体" w:eastAsia="宋体" w:cs="宋体"/>
          <w:color w:val="auto"/>
          <w:sz w:val="24"/>
          <w:szCs w:val="24"/>
          <w:highlight w:val="none"/>
          <w:lang w:eastAsia="zh-CN"/>
        </w:rPr>
        <w:t>配电设施、箱变，门</w:t>
      </w:r>
      <w:r>
        <w:rPr>
          <w:rFonts w:hint="eastAsia" w:ascii="宋体" w:hAnsi="宋体" w:eastAsia="宋体" w:cs="宋体"/>
          <w:color w:val="auto"/>
          <w:sz w:val="24"/>
          <w:szCs w:val="24"/>
          <w:highlight w:val="none"/>
          <w:lang w:val="en-US" w:eastAsia="zh-CN"/>
        </w:rPr>
        <w:t>是否</w:t>
      </w:r>
      <w:r>
        <w:rPr>
          <w:rFonts w:hint="eastAsia" w:ascii="宋体" w:hAnsi="宋体" w:eastAsia="宋体" w:cs="宋体"/>
          <w:color w:val="auto"/>
          <w:sz w:val="24"/>
          <w:szCs w:val="24"/>
          <w:highlight w:val="none"/>
          <w:lang w:eastAsia="zh-CN"/>
        </w:rPr>
        <w:t>整洁完好，</w:t>
      </w:r>
      <w:r>
        <w:rPr>
          <w:rFonts w:hint="eastAsia" w:ascii="宋体" w:hAnsi="宋体" w:eastAsia="宋体" w:cs="宋体"/>
          <w:color w:val="auto"/>
          <w:sz w:val="24"/>
          <w:szCs w:val="24"/>
          <w:highlight w:val="none"/>
          <w:lang w:val="en-US" w:eastAsia="zh-CN"/>
        </w:rPr>
        <w:t>维修处理情况</w:t>
      </w:r>
      <w:r>
        <w:rPr>
          <w:rFonts w:hint="eastAsia" w:ascii="宋体" w:hAnsi="宋体" w:eastAsia="宋体" w:cs="宋体"/>
          <w:color w:val="auto"/>
          <w:sz w:val="24"/>
          <w:szCs w:val="24"/>
          <w:highlight w:val="none"/>
          <w:lang w:eastAsia="zh-CN"/>
        </w:rPr>
        <w:t>，</w:t>
      </w:r>
      <w:r>
        <w:rPr>
          <w:rFonts w:hint="eastAsia" w:ascii="宋体" w:hAnsi="宋体" w:eastAsia="宋体" w:cs="宋体"/>
          <w:i w:val="0"/>
          <w:caps w:val="0"/>
          <w:color w:val="auto"/>
          <w:spacing w:val="0"/>
          <w:sz w:val="24"/>
          <w:szCs w:val="24"/>
          <w:highlight w:val="none"/>
          <w:shd w:val="clear" w:fill="FFFFFF"/>
          <w:lang w:val="en-US" w:eastAsia="zh-CN"/>
        </w:rPr>
        <w:t>是否</w:t>
      </w:r>
      <w:r>
        <w:rPr>
          <w:rFonts w:hint="eastAsia" w:ascii="宋体" w:hAnsi="宋体" w:eastAsia="宋体" w:cs="宋体"/>
          <w:i w:val="0"/>
          <w:caps w:val="0"/>
          <w:color w:val="auto"/>
          <w:spacing w:val="0"/>
          <w:sz w:val="24"/>
          <w:szCs w:val="24"/>
          <w:highlight w:val="none"/>
          <w:shd w:val="clear" w:fill="FFFFFF"/>
        </w:rPr>
        <w:t>满意</w:t>
      </w:r>
      <w:r>
        <w:rPr>
          <w:rFonts w:hint="eastAsia" w:ascii="宋体" w:hAnsi="宋体" w:eastAsia="宋体" w:cs="宋体"/>
          <w:color w:val="auto"/>
          <w:sz w:val="24"/>
          <w:szCs w:val="24"/>
          <w:highlight w:val="none"/>
          <w:lang w:eastAsia="zh-CN"/>
        </w:rPr>
        <w:t>？</w:t>
      </w:r>
    </w:p>
    <w:p w14:paraId="7521F711">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531DBB8D">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4A877F7E">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i w:val="0"/>
          <w:caps w:val="0"/>
          <w:color w:val="auto"/>
          <w:spacing w:val="0"/>
          <w:sz w:val="24"/>
          <w:szCs w:val="24"/>
          <w:highlight w:val="none"/>
          <w:shd w:val="clear" w:fill="FFFFFF"/>
          <w:lang w:val="en-US" w:eastAsia="zh-CN"/>
        </w:rPr>
      </w:pPr>
      <w:r>
        <w:rPr>
          <w:rFonts w:hint="eastAsia" w:ascii="宋体" w:hAnsi="宋体" w:eastAsia="宋体" w:cs="宋体"/>
          <w:i w:val="0"/>
          <w:caps w:val="0"/>
          <w:color w:val="auto"/>
          <w:spacing w:val="0"/>
          <w:sz w:val="24"/>
          <w:szCs w:val="24"/>
          <w:highlight w:val="none"/>
          <w:shd w:val="clear" w:fill="FFFFFF"/>
          <w:lang w:val="en-US" w:eastAsia="zh-CN"/>
        </w:rPr>
        <w:t>4.您对所在区域配电设施电缆标识不齐全准确，字迹模糊受损，能及时整改</w:t>
      </w:r>
      <w:r>
        <w:rPr>
          <w:rFonts w:hint="eastAsia" w:ascii="宋体" w:hAnsi="宋体" w:eastAsia="宋体" w:cs="宋体"/>
          <w:i w:val="0"/>
          <w:caps w:val="0"/>
          <w:color w:val="auto"/>
          <w:spacing w:val="0"/>
          <w:sz w:val="24"/>
          <w:szCs w:val="24"/>
          <w:highlight w:val="none"/>
          <w:shd w:val="clear" w:fill="FFFFFF"/>
        </w:rPr>
        <w:t>情况，</w:t>
      </w:r>
      <w:r>
        <w:rPr>
          <w:rFonts w:hint="eastAsia" w:ascii="宋体" w:hAnsi="宋体" w:eastAsia="宋体" w:cs="宋体"/>
          <w:i w:val="0"/>
          <w:caps w:val="0"/>
          <w:color w:val="auto"/>
          <w:spacing w:val="0"/>
          <w:sz w:val="24"/>
          <w:szCs w:val="24"/>
          <w:highlight w:val="none"/>
          <w:shd w:val="clear" w:fill="FFFFFF"/>
          <w:lang w:val="en-US" w:eastAsia="zh-CN"/>
        </w:rPr>
        <w:t>是否</w:t>
      </w:r>
      <w:r>
        <w:rPr>
          <w:rFonts w:hint="eastAsia" w:ascii="宋体" w:hAnsi="宋体" w:eastAsia="宋体" w:cs="宋体"/>
          <w:i w:val="0"/>
          <w:caps w:val="0"/>
          <w:color w:val="auto"/>
          <w:spacing w:val="0"/>
          <w:sz w:val="24"/>
          <w:szCs w:val="24"/>
          <w:highlight w:val="none"/>
          <w:shd w:val="clear" w:fill="FFFFFF"/>
        </w:rPr>
        <w:t>满意？</w:t>
      </w:r>
    </w:p>
    <w:p w14:paraId="237E5726">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6563B397">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160F9D93">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i w:val="0"/>
          <w:caps w:val="0"/>
          <w:color w:val="auto"/>
          <w:spacing w:val="0"/>
          <w:sz w:val="24"/>
          <w:szCs w:val="24"/>
          <w:highlight w:val="none"/>
          <w:shd w:val="clear" w:fill="FFFFFF"/>
        </w:rPr>
      </w:pPr>
      <w:r>
        <w:rPr>
          <w:rFonts w:hint="eastAsia" w:ascii="宋体" w:hAnsi="宋体" w:eastAsia="宋体" w:cs="宋体"/>
          <w:i w:val="0"/>
          <w:caps w:val="0"/>
          <w:color w:val="auto"/>
          <w:spacing w:val="0"/>
          <w:sz w:val="24"/>
          <w:szCs w:val="24"/>
          <w:highlight w:val="none"/>
          <w:shd w:val="clear" w:fill="FFFFFF"/>
          <w:lang w:val="en-US" w:eastAsia="zh-CN"/>
        </w:rPr>
        <w:t>5.您对所在区域</w:t>
      </w:r>
      <w:r>
        <w:rPr>
          <w:rFonts w:hint="eastAsia" w:ascii="宋体" w:hAnsi="宋体" w:eastAsia="宋体" w:cs="宋体"/>
          <w:i w:val="0"/>
          <w:caps w:val="0"/>
          <w:color w:val="auto"/>
          <w:spacing w:val="0"/>
          <w:sz w:val="24"/>
          <w:szCs w:val="24"/>
          <w:highlight w:val="none"/>
          <w:shd w:val="clear" w:fill="FFFFFF"/>
        </w:rPr>
        <w:t>市政道路的隔离栏、防护栏等设施完好，有损坏能及时更换的情况，</w:t>
      </w:r>
      <w:r>
        <w:rPr>
          <w:rFonts w:hint="eastAsia" w:ascii="宋体" w:hAnsi="宋体" w:eastAsia="宋体" w:cs="宋体"/>
          <w:i w:val="0"/>
          <w:caps w:val="0"/>
          <w:color w:val="auto"/>
          <w:spacing w:val="0"/>
          <w:sz w:val="24"/>
          <w:szCs w:val="24"/>
          <w:highlight w:val="none"/>
          <w:shd w:val="clear" w:fill="FFFFFF"/>
          <w:lang w:val="en-US" w:eastAsia="zh-CN"/>
        </w:rPr>
        <w:t>是否</w:t>
      </w:r>
      <w:r>
        <w:rPr>
          <w:rFonts w:hint="eastAsia" w:ascii="宋体" w:hAnsi="宋体" w:eastAsia="宋体" w:cs="宋体"/>
          <w:i w:val="0"/>
          <w:caps w:val="0"/>
          <w:color w:val="auto"/>
          <w:spacing w:val="0"/>
          <w:sz w:val="24"/>
          <w:szCs w:val="24"/>
          <w:highlight w:val="none"/>
          <w:shd w:val="clear" w:fill="FFFFFF"/>
        </w:rPr>
        <w:t>满意？</w:t>
      </w:r>
    </w:p>
    <w:p w14:paraId="5AD109F8">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 xml:space="preserve"> </w:t>
      </w:r>
    </w:p>
    <w:p w14:paraId="73AECE0E">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1FE731B6">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i w:val="0"/>
          <w:caps w:val="0"/>
          <w:color w:val="auto"/>
          <w:spacing w:val="0"/>
          <w:sz w:val="24"/>
          <w:szCs w:val="24"/>
          <w:highlight w:val="none"/>
          <w:shd w:val="clear" w:fill="FFFFFF"/>
          <w:lang w:val="en-US" w:eastAsia="zh-CN"/>
        </w:rPr>
      </w:pPr>
      <w:r>
        <w:rPr>
          <w:rFonts w:hint="eastAsia" w:ascii="宋体" w:hAnsi="宋体" w:eastAsia="宋体" w:cs="宋体"/>
          <w:color w:val="auto"/>
          <w:sz w:val="24"/>
          <w:szCs w:val="24"/>
          <w:highlight w:val="none"/>
          <w:lang w:val="en-US" w:eastAsia="zh-CN"/>
        </w:rPr>
        <w:t>6.您对</w:t>
      </w:r>
      <w:r>
        <w:rPr>
          <w:rFonts w:hint="eastAsia" w:ascii="宋体" w:hAnsi="宋体" w:eastAsia="宋体" w:cs="宋体"/>
          <w:i w:val="0"/>
          <w:caps w:val="0"/>
          <w:color w:val="auto"/>
          <w:spacing w:val="0"/>
          <w:sz w:val="24"/>
          <w:szCs w:val="24"/>
          <w:highlight w:val="none"/>
          <w:shd w:val="clear" w:fill="FFFFFF"/>
          <w:lang w:val="en-US" w:eastAsia="zh-CN"/>
        </w:rPr>
        <w:t>所在区域</w:t>
      </w:r>
      <w:r>
        <w:rPr>
          <w:rFonts w:hint="eastAsia" w:ascii="宋体" w:hAnsi="宋体" w:eastAsia="宋体" w:cs="宋体"/>
          <w:color w:val="auto"/>
          <w:sz w:val="24"/>
          <w:szCs w:val="24"/>
          <w:highlight w:val="none"/>
          <w:lang w:val="en-US" w:eastAsia="zh-CN"/>
        </w:rPr>
        <w:t>雨水井篦子完好情况，有无井篦子缺失情况，</w:t>
      </w:r>
      <w:r>
        <w:rPr>
          <w:rFonts w:hint="eastAsia" w:ascii="宋体" w:hAnsi="宋体" w:eastAsia="宋体" w:cs="宋体"/>
          <w:i w:val="0"/>
          <w:caps w:val="0"/>
          <w:color w:val="auto"/>
          <w:spacing w:val="0"/>
          <w:sz w:val="24"/>
          <w:szCs w:val="24"/>
          <w:highlight w:val="none"/>
          <w:shd w:val="clear" w:fill="FFFFFF"/>
          <w:lang w:val="en-US" w:eastAsia="zh-CN"/>
        </w:rPr>
        <w:t>是否满意？</w:t>
      </w:r>
    </w:p>
    <w:p w14:paraId="4D979ED4">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19D89760">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16B51261">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440" w:lineRule="exact"/>
        <w:ind w:leftChars="200" w:right="0" w:rightChars="0"/>
        <w:jc w:val="both"/>
        <w:textAlignment w:val="auto"/>
        <w:rPr>
          <w:rFonts w:hint="eastAsia" w:ascii="宋体" w:hAnsi="宋体" w:eastAsia="宋体" w:cs="宋体"/>
          <w:i w:val="0"/>
          <w:caps w:val="0"/>
          <w:color w:val="auto"/>
          <w:spacing w:val="0"/>
          <w:sz w:val="24"/>
          <w:szCs w:val="24"/>
          <w:highlight w:val="none"/>
          <w:shd w:val="clear" w:fill="FFFFFF"/>
          <w:lang w:eastAsia="zh-CN"/>
        </w:rPr>
      </w:pPr>
      <w:r>
        <w:rPr>
          <w:rFonts w:hint="eastAsia" w:ascii="宋体" w:hAnsi="宋体" w:eastAsia="宋体" w:cs="宋体"/>
          <w:color w:val="auto"/>
          <w:sz w:val="24"/>
          <w:szCs w:val="24"/>
          <w:highlight w:val="none"/>
          <w:lang w:val="en-US" w:eastAsia="zh-CN"/>
        </w:rPr>
        <w:t>7.您对</w:t>
      </w:r>
      <w:r>
        <w:rPr>
          <w:rFonts w:hint="eastAsia" w:ascii="宋体" w:hAnsi="宋体" w:eastAsia="宋体" w:cs="宋体"/>
          <w:i w:val="0"/>
          <w:caps w:val="0"/>
          <w:color w:val="auto"/>
          <w:spacing w:val="0"/>
          <w:sz w:val="24"/>
          <w:szCs w:val="24"/>
          <w:highlight w:val="none"/>
          <w:shd w:val="clear" w:fill="FFFFFF"/>
        </w:rPr>
        <w:t>所在区域</w:t>
      </w:r>
      <w:r>
        <w:rPr>
          <w:rFonts w:hint="eastAsia" w:ascii="宋体" w:hAnsi="宋体" w:eastAsia="宋体" w:cs="宋体"/>
          <w:i w:val="0"/>
          <w:caps w:val="0"/>
          <w:color w:val="auto"/>
          <w:spacing w:val="0"/>
          <w:sz w:val="24"/>
          <w:szCs w:val="24"/>
          <w:highlight w:val="none"/>
          <w:shd w:val="clear" w:fill="FFFFFF"/>
          <w:lang w:eastAsia="zh-CN"/>
        </w:rPr>
        <w:t>人行道、路沿石等设施完好</w:t>
      </w:r>
      <w:r>
        <w:rPr>
          <w:rFonts w:hint="eastAsia" w:ascii="宋体" w:hAnsi="宋体" w:eastAsia="宋体" w:cs="宋体"/>
          <w:i w:val="0"/>
          <w:caps w:val="0"/>
          <w:color w:val="auto"/>
          <w:spacing w:val="0"/>
          <w:sz w:val="24"/>
          <w:szCs w:val="24"/>
          <w:highlight w:val="none"/>
          <w:shd w:val="clear" w:fill="FFFFFF"/>
        </w:rPr>
        <w:t>情况，</w:t>
      </w:r>
      <w:r>
        <w:rPr>
          <w:rFonts w:hint="eastAsia" w:ascii="宋体" w:hAnsi="宋体" w:eastAsia="宋体" w:cs="宋体"/>
          <w:i w:val="0"/>
          <w:caps w:val="0"/>
          <w:color w:val="auto"/>
          <w:spacing w:val="0"/>
          <w:sz w:val="24"/>
          <w:szCs w:val="24"/>
          <w:highlight w:val="none"/>
          <w:shd w:val="clear" w:fill="FFFFFF"/>
          <w:lang w:val="en-US" w:eastAsia="zh-CN"/>
        </w:rPr>
        <w:t>是否</w:t>
      </w:r>
      <w:r>
        <w:rPr>
          <w:rFonts w:hint="eastAsia" w:ascii="宋体" w:hAnsi="宋体" w:eastAsia="宋体" w:cs="宋体"/>
          <w:i w:val="0"/>
          <w:caps w:val="0"/>
          <w:color w:val="auto"/>
          <w:spacing w:val="0"/>
          <w:sz w:val="24"/>
          <w:szCs w:val="24"/>
          <w:highlight w:val="none"/>
          <w:shd w:val="clear" w:fill="FFFFFF"/>
        </w:rPr>
        <w:t>满意？</w:t>
      </w:r>
    </w:p>
    <w:p w14:paraId="37073C73">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7BAA4469">
      <w:pPr>
        <w:pStyle w:val="8"/>
        <w:keepNext w:val="0"/>
        <w:keepLines w:val="0"/>
        <w:pageBreakBefore w:val="0"/>
        <w:widowControl w:val="0"/>
        <w:numPr>
          <w:ilvl w:val="0"/>
          <w:numId w:val="0"/>
        </w:numPr>
        <w:suppressLineNumbers w:val="0"/>
        <w:kinsoku/>
        <w:wordWrap/>
        <w:overflowPunct/>
        <w:topLinePunct w:val="0"/>
        <w:autoSpaceDE/>
        <w:autoSpaceDN/>
        <w:bidi w:val="0"/>
        <w:adjustRightInd/>
        <w:snapToGrid/>
        <w:spacing w:beforeAutospacing="0" w:afterAutospacing="0" w:line="440" w:lineRule="exact"/>
        <w:ind w:leftChars="200" w:right="0" w:rightChars="0"/>
        <w:jc w:val="both"/>
        <w:textAlignment w:val="auto"/>
        <w:rPr>
          <w:rFonts w:hint="eastAsia" w:ascii="宋体" w:hAnsi="宋体" w:eastAsia="宋体" w:cs="宋体"/>
          <w:i w:val="0"/>
          <w:caps w:val="0"/>
          <w:color w:val="auto"/>
          <w:spacing w:val="0"/>
          <w:sz w:val="24"/>
          <w:szCs w:val="24"/>
          <w:highlight w:val="none"/>
          <w:shd w:val="clear" w:fill="FFFFFF"/>
          <w:lang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7ACB05B4">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8.您对</w:t>
      </w:r>
      <w:r>
        <w:rPr>
          <w:rFonts w:hint="eastAsia" w:ascii="宋体" w:hAnsi="宋体" w:eastAsia="宋体" w:cs="宋体"/>
          <w:i w:val="0"/>
          <w:caps w:val="0"/>
          <w:color w:val="auto"/>
          <w:spacing w:val="0"/>
          <w:sz w:val="24"/>
          <w:szCs w:val="24"/>
          <w:highlight w:val="none"/>
          <w:shd w:val="clear" w:fill="FFFFFF"/>
          <w:lang w:val="en-US" w:eastAsia="zh-CN"/>
        </w:rPr>
        <w:t>所在区域</w:t>
      </w:r>
      <w:r>
        <w:rPr>
          <w:rFonts w:hint="eastAsia" w:ascii="宋体" w:hAnsi="宋体" w:eastAsia="宋体" w:cs="宋体"/>
          <w:color w:val="auto"/>
          <w:sz w:val="24"/>
          <w:szCs w:val="24"/>
          <w:highlight w:val="none"/>
          <w:lang w:eastAsia="zh-CN"/>
        </w:rPr>
        <w:t>市政养护工作在解决您遇到的问题时的响应速度，</w:t>
      </w:r>
      <w:r>
        <w:rPr>
          <w:rFonts w:hint="eastAsia" w:ascii="宋体" w:hAnsi="宋体" w:eastAsia="宋体" w:cs="宋体"/>
          <w:i w:val="0"/>
          <w:caps w:val="0"/>
          <w:color w:val="auto"/>
          <w:spacing w:val="0"/>
          <w:sz w:val="24"/>
          <w:szCs w:val="24"/>
          <w:highlight w:val="none"/>
          <w:shd w:val="clear" w:fill="FFFFFF"/>
          <w:lang w:val="en-US" w:eastAsia="zh-CN"/>
        </w:rPr>
        <w:t>是否</w:t>
      </w:r>
      <w:r>
        <w:rPr>
          <w:rFonts w:hint="eastAsia" w:ascii="宋体" w:hAnsi="宋体" w:eastAsia="宋体" w:cs="宋体"/>
          <w:i w:val="0"/>
          <w:caps w:val="0"/>
          <w:color w:val="auto"/>
          <w:spacing w:val="0"/>
          <w:sz w:val="24"/>
          <w:szCs w:val="24"/>
          <w:highlight w:val="none"/>
          <w:shd w:val="clear" w:fill="FFFFFF"/>
        </w:rPr>
        <w:t>满意</w:t>
      </w:r>
      <w:r>
        <w:rPr>
          <w:rFonts w:hint="eastAsia" w:ascii="宋体" w:hAnsi="宋体" w:eastAsia="宋体" w:cs="宋体"/>
          <w:color w:val="auto"/>
          <w:sz w:val="24"/>
          <w:szCs w:val="24"/>
          <w:highlight w:val="none"/>
          <w:lang w:eastAsia="zh-CN"/>
        </w:rPr>
        <w:t>？</w:t>
      </w:r>
    </w:p>
    <w:p w14:paraId="7BFD79CA">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36BEEDE1">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781A17B9">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9.您</w:t>
      </w:r>
      <w:r>
        <w:rPr>
          <w:rFonts w:hint="eastAsia" w:ascii="宋体" w:hAnsi="宋体" w:eastAsia="宋体" w:cs="宋体"/>
          <w:color w:val="auto"/>
          <w:sz w:val="24"/>
          <w:szCs w:val="24"/>
          <w:highlight w:val="none"/>
          <w:lang w:eastAsia="zh-CN"/>
        </w:rPr>
        <w:t>对</w:t>
      </w:r>
      <w:r>
        <w:rPr>
          <w:rFonts w:hint="eastAsia" w:ascii="宋体" w:hAnsi="宋体" w:eastAsia="宋体" w:cs="宋体"/>
          <w:i w:val="0"/>
          <w:caps w:val="0"/>
          <w:color w:val="auto"/>
          <w:spacing w:val="0"/>
          <w:sz w:val="24"/>
          <w:szCs w:val="24"/>
          <w:highlight w:val="none"/>
          <w:shd w:val="clear" w:fill="FFFFFF"/>
          <w:lang w:val="en-US" w:eastAsia="zh-CN"/>
        </w:rPr>
        <w:t>所在区域</w:t>
      </w:r>
      <w:r>
        <w:rPr>
          <w:rFonts w:hint="eastAsia" w:ascii="宋体" w:hAnsi="宋体" w:eastAsia="宋体" w:cs="宋体"/>
          <w:color w:val="auto"/>
          <w:sz w:val="24"/>
          <w:szCs w:val="24"/>
          <w:highlight w:val="none"/>
          <w:lang w:eastAsia="zh-CN"/>
        </w:rPr>
        <w:t>市政养护工作的整体服务质量和效率，</w:t>
      </w:r>
      <w:r>
        <w:rPr>
          <w:rFonts w:hint="eastAsia" w:ascii="宋体" w:hAnsi="宋体" w:eastAsia="宋体" w:cs="宋体"/>
          <w:i w:val="0"/>
          <w:caps w:val="0"/>
          <w:color w:val="auto"/>
          <w:spacing w:val="0"/>
          <w:sz w:val="24"/>
          <w:szCs w:val="24"/>
          <w:highlight w:val="none"/>
          <w:shd w:val="clear" w:fill="FFFFFF"/>
          <w:lang w:val="en-US" w:eastAsia="zh-CN"/>
        </w:rPr>
        <w:t>是否</w:t>
      </w:r>
      <w:r>
        <w:rPr>
          <w:rFonts w:hint="eastAsia" w:ascii="宋体" w:hAnsi="宋体" w:eastAsia="宋体" w:cs="宋体"/>
          <w:i w:val="0"/>
          <w:caps w:val="0"/>
          <w:color w:val="auto"/>
          <w:spacing w:val="0"/>
          <w:sz w:val="24"/>
          <w:szCs w:val="24"/>
          <w:highlight w:val="none"/>
          <w:shd w:val="clear" w:fill="FFFFFF"/>
        </w:rPr>
        <w:t>满意</w:t>
      </w:r>
      <w:r>
        <w:rPr>
          <w:rFonts w:hint="eastAsia" w:ascii="宋体" w:hAnsi="宋体" w:eastAsia="宋体" w:cs="宋体"/>
          <w:color w:val="auto"/>
          <w:sz w:val="24"/>
          <w:szCs w:val="24"/>
          <w:highlight w:val="none"/>
          <w:lang w:eastAsia="zh-CN"/>
        </w:rPr>
        <w:t>？</w:t>
      </w:r>
    </w:p>
    <w:p w14:paraId="789152A0">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7F64EC98">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1311A5A4">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三、环境卫生方面</w:t>
      </w:r>
    </w:p>
    <w:p w14:paraId="163D0739">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 xml:space="preserve">.与项目实施前相比，您认为区域内的环境整体改善程度如何？ </w:t>
      </w:r>
    </w:p>
    <w:p w14:paraId="4110A518">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6351A0F0">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07C10B8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您对</w:t>
      </w:r>
      <w:r>
        <w:rPr>
          <w:rFonts w:hint="eastAsia" w:ascii="宋体" w:hAnsi="宋体" w:eastAsia="宋体" w:cs="宋体"/>
          <w:color w:val="auto"/>
          <w:sz w:val="24"/>
          <w:szCs w:val="24"/>
          <w:highlight w:val="none"/>
          <w:lang w:eastAsia="zh-CN"/>
        </w:rPr>
        <w:t>所在区域</w:t>
      </w:r>
      <w:r>
        <w:rPr>
          <w:rFonts w:hint="eastAsia" w:ascii="宋体" w:hAnsi="宋体" w:eastAsia="宋体" w:cs="宋体"/>
          <w:color w:val="auto"/>
          <w:sz w:val="24"/>
          <w:szCs w:val="24"/>
          <w:highlight w:val="none"/>
        </w:rPr>
        <w:t xml:space="preserve">道路清扫保洁的频率和效果是否满意？ </w:t>
      </w:r>
    </w:p>
    <w:p w14:paraId="44B4C752">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54D5BE3A">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49961408">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.您对</w:t>
      </w:r>
      <w:r>
        <w:rPr>
          <w:rFonts w:hint="eastAsia" w:ascii="宋体" w:hAnsi="宋体" w:eastAsia="宋体" w:cs="宋体"/>
          <w:color w:val="auto"/>
          <w:sz w:val="24"/>
          <w:szCs w:val="24"/>
          <w:highlight w:val="none"/>
          <w:lang w:eastAsia="zh-CN"/>
        </w:rPr>
        <w:t>所在区域</w:t>
      </w:r>
      <w:r>
        <w:rPr>
          <w:rFonts w:hint="eastAsia" w:ascii="宋体" w:hAnsi="宋体" w:eastAsia="宋体" w:cs="宋体"/>
          <w:color w:val="auto"/>
          <w:sz w:val="24"/>
          <w:szCs w:val="24"/>
          <w:highlight w:val="none"/>
        </w:rPr>
        <w:t>生活垃圾收集、转运的及时性如何？</w:t>
      </w:r>
    </w:p>
    <w:p w14:paraId="6D5F36B4">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0FF3C810">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54B8EEA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4.您对</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所在区域</w:t>
      </w:r>
      <w:r>
        <w:rPr>
          <w:rFonts w:hint="eastAsia" w:ascii="宋体" w:hAnsi="宋体" w:eastAsia="宋体" w:cs="宋体"/>
          <w:color w:val="auto"/>
          <w:sz w:val="24"/>
          <w:szCs w:val="24"/>
          <w:highlight w:val="none"/>
          <w:lang w:val="en-US" w:eastAsia="zh-CN"/>
        </w:rPr>
        <w:t>生活垃圾收集、转运过程中抛洒、异味、漏液等问题的管控处理</w:t>
      </w:r>
      <w:r>
        <w:rPr>
          <w:rFonts w:hint="eastAsia" w:ascii="宋体" w:hAnsi="宋体" w:eastAsia="宋体" w:cs="宋体"/>
          <w:color w:val="auto"/>
          <w:sz w:val="24"/>
          <w:szCs w:val="24"/>
          <w:highlight w:val="none"/>
          <w:lang w:eastAsia="zh-CN"/>
        </w:rPr>
        <w:t>效果是否满意？</w:t>
      </w:r>
    </w:p>
    <w:p w14:paraId="41C0E2EA">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47AC962D">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08CDED2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.您</w:t>
      </w:r>
      <w:r>
        <w:rPr>
          <w:rFonts w:hint="eastAsia" w:ascii="宋体" w:hAnsi="宋体" w:eastAsia="宋体" w:cs="宋体"/>
          <w:color w:val="auto"/>
          <w:sz w:val="24"/>
          <w:szCs w:val="24"/>
          <w:highlight w:val="none"/>
          <w:lang w:val="en-US" w:eastAsia="zh-CN"/>
        </w:rPr>
        <w:t>对</w:t>
      </w:r>
      <w:r>
        <w:rPr>
          <w:rFonts w:hint="eastAsia" w:ascii="宋体" w:hAnsi="宋体" w:eastAsia="宋体" w:cs="宋体"/>
          <w:color w:val="auto"/>
          <w:sz w:val="24"/>
          <w:szCs w:val="24"/>
          <w:highlight w:val="none"/>
        </w:rPr>
        <w:t>所在区域的公共厕所卫生状况是否</w:t>
      </w:r>
      <w:r>
        <w:rPr>
          <w:rFonts w:hint="eastAsia" w:ascii="宋体" w:hAnsi="宋体" w:eastAsia="宋体" w:cs="宋体"/>
          <w:color w:val="auto"/>
          <w:sz w:val="24"/>
          <w:szCs w:val="24"/>
          <w:highlight w:val="none"/>
          <w:lang w:val="en-US" w:eastAsia="zh-CN"/>
        </w:rPr>
        <w:t>满意</w:t>
      </w:r>
      <w:r>
        <w:rPr>
          <w:rFonts w:hint="eastAsia" w:ascii="宋体" w:hAnsi="宋体" w:eastAsia="宋体" w:cs="宋体"/>
          <w:color w:val="auto"/>
          <w:sz w:val="24"/>
          <w:szCs w:val="24"/>
          <w:highlight w:val="none"/>
        </w:rPr>
        <w:t xml:space="preserve">？ </w:t>
      </w:r>
    </w:p>
    <w:p w14:paraId="144C8BC2">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158B44D7">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6FFCADF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您</w:t>
      </w:r>
      <w:r>
        <w:rPr>
          <w:rFonts w:hint="eastAsia" w:ascii="宋体" w:hAnsi="宋体" w:eastAsia="宋体" w:cs="宋体"/>
          <w:color w:val="auto"/>
          <w:sz w:val="24"/>
          <w:szCs w:val="24"/>
          <w:highlight w:val="none"/>
          <w:lang w:val="en-US" w:eastAsia="zh-CN"/>
        </w:rPr>
        <w:t>对</w:t>
      </w:r>
      <w:r>
        <w:rPr>
          <w:rFonts w:hint="eastAsia" w:ascii="宋体" w:hAnsi="宋体" w:eastAsia="宋体" w:cs="宋体"/>
          <w:color w:val="auto"/>
          <w:sz w:val="24"/>
          <w:szCs w:val="24"/>
          <w:highlight w:val="none"/>
        </w:rPr>
        <w:t>所在区域</w:t>
      </w:r>
      <w:r>
        <w:rPr>
          <w:rFonts w:hint="eastAsia" w:ascii="宋体" w:hAnsi="宋体" w:eastAsia="宋体" w:cs="宋体"/>
          <w:color w:val="auto"/>
          <w:sz w:val="24"/>
          <w:szCs w:val="24"/>
          <w:highlight w:val="none"/>
          <w:lang w:val="en-US" w:eastAsia="zh-CN"/>
        </w:rPr>
        <w:t>公厕内设施完好（如洗手池、厕位、照明等）及日常维护情况，是否满意？</w:t>
      </w:r>
    </w:p>
    <w:p w14:paraId="5E2AE821">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7B9C6B95">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77900F7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7.您</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所在区域</w:t>
      </w:r>
      <w:r>
        <w:rPr>
          <w:rFonts w:hint="eastAsia" w:ascii="宋体" w:hAnsi="宋体" w:eastAsia="宋体" w:cs="宋体"/>
          <w:color w:val="auto"/>
          <w:sz w:val="24"/>
          <w:szCs w:val="24"/>
          <w:highlight w:val="none"/>
          <w:lang w:val="en-US" w:eastAsia="zh-CN"/>
        </w:rPr>
        <w:t>保洁车辆外观干净整齐统一、标识规范清晰的情况，是否满意？</w:t>
      </w:r>
    </w:p>
    <w:p w14:paraId="4152F669">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sym w:font="Wingdings 2" w:char="00A3"/>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42EFF782">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5BCFD040">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8.您</w:t>
      </w:r>
      <w:r>
        <w:rPr>
          <w:rFonts w:hint="eastAsia" w:ascii="宋体" w:hAnsi="宋体" w:eastAsia="宋体" w:cs="宋体"/>
          <w:color w:val="auto"/>
          <w:sz w:val="24"/>
          <w:szCs w:val="24"/>
          <w:highlight w:val="none"/>
        </w:rPr>
        <w:t>对</w:t>
      </w:r>
      <w:r>
        <w:rPr>
          <w:rFonts w:hint="eastAsia" w:ascii="宋体" w:hAnsi="宋体" w:eastAsia="宋体" w:cs="宋体"/>
          <w:color w:val="auto"/>
          <w:sz w:val="24"/>
          <w:szCs w:val="24"/>
          <w:highlight w:val="none"/>
          <w:lang w:eastAsia="zh-CN"/>
        </w:rPr>
        <w:t>所在区域</w:t>
      </w:r>
      <w:r>
        <w:rPr>
          <w:rFonts w:hint="eastAsia" w:ascii="宋体" w:hAnsi="宋体" w:eastAsia="宋体" w:cs="宋体"/>
          <w:color w:val="auto"/>
          <w:sz w:val="24"/>
          <w:szCs w:val="24"/>
          <w:highlight w:val="none"/>
          <w:lang w:val="en-US" w:eastAsia="zh-CN"/>
        </w:rPr>
        <w:t>环卫保洁工具与车辆规范放置，作业不妨碍通行且安全标志摆放正确的情况，是否满意？</w:t>
      </w:r>
    </w:p>
    <w:p w14:paraId="15CD2519">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71CDD9ED">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09D5492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9.您对所在区域主次干道、背街小巷道路上可见垃圾（纸屑、烟头、果皮核等）不堆积，积水及时清理的情况，是否满意？</w:t>
      </w:r>
    </w:p>
    <w:p w14:paraId="35E7BE46">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160063FE">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2E46BAE2">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10.您对所在区域果皮箱每天擦洗清掏，保持内外整洁，无垃圾外溢的情况，是否满意？</w:t>
      </w:r>
    </w:p>
    <w:p w14:paraId="4495FAE3">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22D67B15">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578C677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四、园林绿化</w:t>
      </w:r>
    </w:p>
    <w:p w14:paraId="3943816D">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.您</w:t>
      </w:r>
      <w:r>
        <w:rPr>
          <w:rFonts w:hint="eastAsia" w:ascii="宋体" w:hAnsi="宋体" w:eastAsia="宋体" w:cs="宋体"/>
          <w:color w:val="auto"/>
          <w:sz w:val="24"/>
          <w:szCs w:val="24"/>
          <w:highlight w:val="none"/>
          <w:lang w:eastAsia="zh-CN"/>
        </w:rPr>
        <w:t>对</w:t>
      </w:r>
      <w:r>
        <w:rPr>
          <w:rFonts w:hint="eastAsia" w:ascii="宋体" w:hAnsi="宋体" w:eastAsia="宋体" w:cs="宋体"/>
          <w:color w:val="auto"/>
          <w:sz w:val="24"/>
          <w:szCs w:val="24"/>
          <w:highlight w:val="none"/>
          <w:lang w:val="en-US" w:eastAsia="zh-CN"/>
        </w:rPr>
        <w:t>所在区域公共绿地树木</w:t>
      </w:r>
      <w:r>
        <w:rPr>
          <w:rFonts w:hint="eastAsia" w:ascii="宋体" w:hAnsi="宋体" w:eastAsia="宋体" w:cs="宋体"/>
          <w:color w:val="auto"/>
          <w:sz w:val="24"/>
          <w:szCs w:val="24"/>
          <w:highlight w:val="none"/>
        </w:rPr>
        <w:t>修剪</w:t>
      </w:r>
      <w:r>
        <w:rPr>
          <w:rFonts w:hint="eastAsia" w:ascii="宋体" w:hAnsi="宋体" w:eastAsia="宋体" w:cs="宋体"/>
          <w:color w:val="auto"/>
          <w:sz w:val="24"/>
          <w:szCs w:val="24"/>
          <w:highlight w:val="none"/>
          <w:lang w:eastAsia="zh-CN"/>
        </w:rPr>
        <w:t>、枯死枝修剪</w:t>
      </w:r>
      <w:r>
        <w:rPr>
          <w:rFonts w:hint="eastAsia" w:ascii="宋体" w:hAnsi="宋体" w:eastAsia="宋体" w:cs="宋体"/>
          <w:color w:val="auto"/>
          <w:sz w:val="24"/>
          <w:szCs w:val="24"/>
          <w:highlight w:val="none"/>
        </w:rPr>
        <w:t>工作</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是否</w:t>
      </w:r>
      <w:r>
        <w:rPr>
          <w:rFonts w:hint="eastAsia" w:ascii="宋体" w:hAnsi="宋体" w:eastAsia="宋体" w:cs="宋体"/>
          <w:color w:val="auto"/>
          <w:sz w:val="24"/>
          <w:szCs w:val="24"/>
          <w:highlight w:val="none"/>
          <w:lang w:val="en-US" w:eastAsia="zh-CN"/>
        </w:rPr>
        <w:t>满意</w:t>
      </w:r>
      <w:r>
        <w:rPr>
          <w:rFonts w:hint="eastAsia" w:ascii="宋体" w:hAnsi="宋体" w:eastAsia="宋体" w:cs="宋体"/>
          <w:color w:val="auto"/>
          <w:sz w:val="24"/>
          <w:szCs w:val="24"/>
          <w:highlight w:val="none"/>
        </w:rPr>
        <w:t xml:space="preserve">？ </w:t>
      </w:r>
    </w:p>
    <w:p w14:paraId="7C9843D3">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3267208F">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6A1CFEE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rPr>
        <w:t>.您对</w:t>
      </w:r>
      <w:r>
        <w:rPr>
          <w:rFonts w:hint="eastAsia" w:ascii="宋体" w:hAnsi="宋体" w:eastAsia="宋体" w:cs="宋体"/>
          <w:color w:val="auto"/>
          <w:sz w:val="24"/>
          <w:szCs w:val="24"/>
          <w:highlight w:val="none"/>
          <w:lang w:val="en-US" w:eastAsia="zh-CN"/>
        </w:rPr>
        <w:t>所在区域公园内</w:t>
      </w:r>
      <w:r>
        <w:rPr>
          <w:rFonts w:hint="eastAsia" w:ascii="宋体" w:hAnsi="宋体" w:eastAsia="宋体" w:cs="宋体"/>
          <w:color w:val="auto"/>
          <w:sz w:val="24"/>
          <w:szCs w:val="24"/>
          <w:highlight w:val="none"/>
        </w:rPr>
        <w:t>绿地</w:t>
      </w:r>
      <w:r>
        <w:rPr>
          <w:rFonts w:hint="eastAsia" w:ascii="宋体" w:hAnsi="宋体" w:eastAsia="宋体" w:cs="宋体"/>
          <w:color w:val="auto"/>
          <w:sz w:val="24"/>
          <w:szCs w:val="24"/>
          <w:highlight w:val="none"/>
          <w:lang w:eastAsia="zh-CN"/>
        </w:rPr>
        <w:t>树木修剪，</w:t>
      </w:r>
      <w:r>
        <w:rPr>
          <w:rFonts w:hint="eastAsia" w:ascii="宋体" w:hAnsi="宋体" w:eastAsia="宋体" w:cs="宋体"/>
          <w:color w:val="auto"/>
          <w:sz w:val="24"/>
          <w:szCs w:val="24"/>
          <w:highlight w:val="none"/>
        </w:rPr>
        <w:t xml:space="preserve">是否满意？ </w:t>
      </w:r>
    </w:p>
    <w:p w14:paraId="5C60FC35">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4BA0AF4B">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70A3452E">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3.您对所在区域公园内</w:t>
      </w:r>
      <w:r>
        <w:rPr>
          <w:rFonts w:hint="eastAsia" w:ascii="宋体" w:hAnsi="宋体" w:eastAsia="宋体" w:cs="宋体"/>
          <w:color w:val="auto"/>
          <w:sz w:val="24"/>
          <w:szCs w:val="24"/>
          <w:highlight w:val="none"/>
        </w:rPr>
        <w:t>绿地</w:t>
      </w:r>
      <w:r>
        <w:rPr>
          <w:rFonts w:hint="eastAsia" w:ascii="宋体" w:hAnsi="宋体" w:eastAsia="宋体" w:cs="宋体"/>
          <w:color w:val="auto"/>
          <w:sz w:val="24"/>
          <w:szCs w:val="24"/>
          <w:highlight w:val="none"/>
          <w:lang w:val="en-US" w:eastAsia="zh-CN"/>
        </w:rPr>
        <w:t>卫生保洁情况，</w:t>
      </w:r>
      <w:r>
        <w:rPr>
          <w:rFonts w:hint="eastAsia" w:ascii="宋体" w:hAnsi="宋体" w:eastAsia="宋体" w:cs="宋体"/>
          <w:color w:val="auto"/>
          <w:sz w:val="24"/>
          <w:szCs w:val="24"/>
          <w:highlight w:val="none"/>
        </w:rPr>
        <w:t>是否</w:t>
      </w:r>
      <w:r>
        <w:rPr>
          <w:rFonts w:hint="eastAsia" w:ascii="宋体" w:hAnsi="宋体" w:eastAsia="宋体" w:cs="宋体"/>
          <w:color w:val="auto"/>
          <w:sz w:val="24"/>
          <w:szCs w:val="24"/>
          <w:highlight w:val="none"/>
          <w:lang w:val="en-US" w:eastAsia="zh-CN"/>
        </w:rPr>
        <w:t>满意</w:t>
      </w:r>
      <w:r>
        <w:rPr>
          <w:rFonts w:hint="eastAsia" w:ascii="宋体" w:hAnsi="宋体" w:eastAsia="宋体" w:cs="宋体"/>
          <w:color w:val="auto"/>
          <w:sz w:val="24"/>
          <w:szCs w:val="24"/>
          <w:highlight w:val="none"/>
        </w:rPr>
        <w:t>？</w:t>
      </w:r>
    </w:p>
    <w:p w14:paraId="1FF2F77B">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23B04710">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641E8541">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4.您对所在区域园林作业后垃圾及时处理情况，是否满意？</w:t>
      </w:r>
    </w:p>
    <w:p w14:paraId="22EDA318">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rPr>
        <w:t xml:space="preserve"> </w:t>
      </w:r>
    </w:p>
    <w:p w14:paraId="42111BB7">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1807C98B">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5.您对所在区域病虫害防治工作，</w:t>
      </w:r>
      <w:r>
        <w:rPr>
          <w:rFonts w:hint="eastAsia" w:ascii="宋体" w:hAnsi="宋体" w:eastAsia="宋体" w:cs="宋体"/>
          <w:color w:val="auto"/>
          <w:sz w:val="24"/>
          <w:szCs w:val="24"/>
          <w:highlight w:val="none"/>
        </w:rPr>
        <w:t>是否</w:t>
      </w:r>
      <w:r>
        <w:rPr>
          <w:rFonts w:hint="eastAsia" w:ascii="宋体" w:hAnsi="宋体" w:eastAsia="宋体" w:cs="宋体"/>
          <w:color w:val="auto"/>
          <w:sz w:val="24"/>
          <w:szCs w:val="24"/>
          <w:highlight w:val="none"/>
          <w:lang w:val="en-US" w:eastAsia="zh-CN"/>
        </w:rPr>
        <w:t>满意</w:t>
      </w:r>
      <w:r>
        <w:rPr>
          <w:rFonts w:hint="eastAsia" w:ascii="宋体" w:hAnsi="宋体" w:eastAsia="宋体" w:cs="宋体"/>
          <w:color w:val="auto"/>
          <w:sz w:val="24"/>
          <w:szCs w:val="24"/>
          <w:highlight w:val="none"/>
        </w:rPr>
        <w:t>？</w:t>
      </w:r>
    </w:p>
    <w:p w14:paraId="01D6863D">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3A86889C">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3F0610AC">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6.您对所在区域公共绿地、绿化带卫生保洁情况，是否满意？</w:t>
      </w:r>
    </w:p>
    <w:p w14:paraId="64CD8EFB">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3072E13F">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7E39762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7.您对所在区域侵占绿地、破坏花草树木处理情况，是否满意？</w:t>
      </w:r>
    </w:p>
    <w:p w14:paraId="1BFDB3F9">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26042C9E">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4D271F9A">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8.您对所在区域园林的基础设施（如绿化井、井盖、园路、建筑小品等）能及时维护，保持完好的情况，是否满意？</w:t>
      </w:r>
    </w:p>
    <w:p w14:paraId="19E0E072">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22C516A3">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70D3340F">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9.您对所在区域水域周边（如有水域）设置安全警示牌及水域内垃圾杂物清理情况，是否满意？</w:t>
      </w:r>
    </w:p>
    <w:p w14:paraId="602759A7">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3E339631">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u w:val="single"/>
          <w:lang w:val="en-US" w:eastAsia="zh-CN"/>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p>
    <w:p w14:paraId="6D3436C6">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10.您对所在区域园林绿化整体水平，是否满意？</w:t>
      </w:r>
    </w:p>
    <w:p w14:paraId="13B0159B">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eastAsia="zh-CN"/>
        </w:rPr>
        <w:t>合格</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w:t>
      </w:r>
      <w:r>
        <w:rPr>
          <w:rFonts w:hint="eastAsia" w:ascii="宋体" w:hAnsi="宋体" w:eastAsia="宋体" w:cs="宋体"/>
          <w:color w:val="auto"/>
          <w:sz w:val="24"/>
          <w:szCs w:val="24"/>
          <w:highlight w:val="none"/>
          <w:lang w:val="en-US" w:eastAsia="zh-CN"/>
        </w:rPr>
        <w:t xml:space="preserve">基本合格       </w:t>
      </w:r>
      <w:r>
        <w:rPr>
          <w:rFonts w:hint="eastAsia" w:ascii="宋体" w:hAnsi="宋体" w:eastAsia="宋体" w:cs="宋体"/>
          <w:color w:val="auto"/>
          <w:sz w:val="24"/>
          <w:szCs w:val="24"/>
          <w:highlight w:val="none"/>
        </w:rPr>
        <w:t xml:space="preserve"> </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  不</w:t>
      </w:r>
      <w:r>
        <w:rPr>
          <w:rFonts w:hint="eastAsia" w:ascii="宋体" w:hAnsi="宋体" w:eastAsia="宋体" w:cs="宋体"/>
          <w:color w:val="auto"/>
          <w:sz w:val="24"/>
          <w:szCs w:val="24"/>
          <w:highlight w:val="none"/>
          <w:lang w:eastAsia="zh-CN"/>
        </w:rPr>
        <w:t>合格</w:t>
      </w:r>
    </w:p>
    <w:p w14:paraId="42CDD8F7">
      <w:pPr>
        <w:pStyle w:val="8"/>
        <w:keepNext w:val="0"/>
        <w:keepLines w:val="0"/>
        <w:pageBreakBefore w:val="0"/>
        <w:widowControl w:val="0"/>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不合格地点及原因</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rPr>
        <w:t xml:space="preserve"> </w:t>
      </w:r>
    </w:p>
    <w:p w14:paraId="5F89221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五、其他方面</w:t>
      </w:r>
    </w:p>
    <w:p w14:paraId="626653E7">
      <w:pPr>
        <w:pStyle w:val="8"/>
        <w:keepNext w:val="0"/>
        <w:keepLines w:val="0"/>
        <w:pageBreakBefore w:val="0"/>
        <w:widowControl/>
        <w:suppressLineNumbers w:val="0"/>
        <w:tabs>
          <w:tab w:val="left" w:pos="2310"/>
        </w:tabs>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您对提升</w:t>
      </w:r>
      <w:r>
        <w:rPr>
          <w:rFonts w:hint="eastAsia" w:ascii="宋体" w:hAnsi="宋体" w:eastAsia="宋体" w:cs="宋体"/>
          <w:color w:val="auto"/>
          <w:sz w:val="24"/>
          <w:szCs w:val="24"/>
          <w:highlight w:val="none"/>
          <w:lang w:eastAsia="zh-CN"/>
        </w:rPr>
        <w:t>石油基地“</w:t>
      </w:r>
      <w:r>
        <w:rPr>
          <w:rFonts w:hint="eastAsia" w:ascii="宋体" w:hAnsi="宋体" w:eastAsia="宋体" w:cs="宋体"/>
          <w:color w:val="auto"/>
          <w:sz w:val="24"/>
          <w:szCs w:val="24"/>
          <w:highlight w:val="none"/>
        </w:rPr>
        <w:t>市政</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园林</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环卫一体化</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项目工作质量有哪些</w:t>
      </w:r>
      <w:r>
        <w:rPr>
          <w:rFonts w:hint="eastAsia" w:ascii="宋体" w:hAnsi="宋体" w:eastAsia="宋体" w:cs="宋体"/>
          <w:color w:val="auto"/>
          <w:sz w:val="24"/>
          <w:szCs w:val="24"/>
          <w:highlight w:val="none"/>
          <w:lang w:val="en-US" w:eastAsia="zh-CN"/>
        </w:rPr>
        <w:t>意见、</w:t>
      </w:r>
      <w:r>
        <w:rPr>
          <w:rFonts w:hint="eastAsia" w:ascii="宋体" w:hAnsi="宋体" w:eastAsia="宋体" w:cs="宋体"/>
          <w:color w:val="auto"/>
          <w:sz w:val="24"/>
          <w:szCs w:val="24"/>
          <w:highlight w:val="none"/>
        </w:rPr>
        <w:t>建议？</w:t>
      </w:r>
    </w:p>
    <w:p w14:paraId="748E56D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p>
    <w:p w14:paraId="6E018639">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440" w:lineRule="exact"/>
        <w:ind w:firstLine="480" w:firstLineChars="200"/>
        <w:jc w:val="both"/>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 问卷到此结束，再次感谢您的参与！</w:t>
      </w:r>
    </w:p>
    <w:p w14:paraId="5F132907">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sz w:val="32"/>
          <w:szCs w:val="32"/>
          <w:highlight w:val="none"/>
        </w:rPr>
        <w:t xml:space="preserve"> </w:t>
      </w:r>
    </w:p>
    <w:p w14:paraId="64083CA5">
      <w:pPr>
        <w:pStyle w:val="8"/>
        <w:keepNext w:val="0"/>
        <w:keepLines w:val="0"/>
        <w:pageBreakBefore w:val="0"/>
        <w:widowControl/>
        <w:suppressLineNumbers w:val="0"/>
        <w:kinsoku/>
        <w:wordWrap/>
        <w:overflowPunct/>
        <w:topLinePunct w:val="0"/>
        <w:autoSpaceDE/>
        <w:autoSpaceDN/>
        <w:bidi w:val="0"/>
        <w:adjustRightInd/>
        <w:snapToGrid/>
        <w:spacing w:beforeAutospacing="0" w:afterAutospacing="0" w:line="560" w:lineRule="exact"/>
        <w:ind w:firstLine="640" w:firstLineChars="200"/>
        <w:jc w:val="both"/>
        <w:textAlignment w:val="auto"/>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081947B7">
      <w:pPr>
        <w:rPr>
          <w:rFonts w:hint="eastAsia" w:ascii="宋体" w:eastAsia="宋体" w:cs="宋体"/>
          <w:color w:val="auto"/>
          <w:sz w:val="36"/>
          <w:szCs w:val="36"/>
          <w:highlight w:val="none"/>
        </w:rPr>
      </w:pPr>
      <w:r>
        <w:rPr>
          <w:rFonts w:hint="eastAsia" w:ascii="宋体" w:eastAsia="宋体" w:cs="宋体"/>
          <w:color w:val="auto"/>
          <w:sz w:val="36"/>
          <w:szCs w:val="36"/>
          <w:highlight w:val="none"/>
        </w:rPr>
        <w:br w:type="page"/>
      </w:r>
    </w:p>
    <w:p w14:paraId="2476F769">
      <w:pPr>
        <w:spacing w:line="540" w:lineRule="exact"/>
        <w:jc w:val="center"/>
        <w:rPr>
          <w:rFonts w:hint="eastAsia" w:ascii="宋体" w:eastAsia="宋体" w:cs="宋体"/>
          <w:b/>
          <w:bCs/>
          <w:color w:val="auto"/>
          <w:sz w:val="32"/>
          <w:szCs w:val="32"/>
          <w:highlight w:val="none"/>
        </w:rPr>
      </w:pPr>
      <w:r>
        <w:rPr>
          <w:rFonts w:hint="eastAsia" w:ascii="宋体" w:eastAsia="宋体" w:cs="宋体"/>
          <w:b/>
          <w:bCs/>
          <w:color w:val="auto"/>
          <w:sz w:val="32"/>
          <w:szCs w:val="32"/>
          <w:highlight w:val="none"/>
        </w:rPr>
        <w:t>考核扣分通知单</w:t>
      </w:r>
    </w:p>
    <w:p w14:paraId="2FAAD89C">
      <w:pPr>
        <w:spacing w:line="540" w:lineRule="exact"/>
        <w:jc w:val="right"/>
        <w:rPr>
          <w:rFonts w:hint="eastAsia" w:ascii="宋体" w:eastAsia="宋体" w:cs="宋体"/>
          <w:color w:val="auto"/>
          <w:sz w:val="28"/>
          <w:szCs w:val="28"/>
          <w:highlight w:val="none"/>
        </w:rPr>
      </w:pPr>
    </w:p>
    <w:p w14:paraId="734C6406">
      <w:pPr>
        <w:spacing w:line="520" w:lineRule="exact"/>
        <w:rPr>
          <w:rFonts w:hint="eastAsia" w:ascii="宋体" w:eastAsia="宋体" w:cs="宋体"/>
          <w:color w:val="auto"/>
          <w:sz w:val="28"/>
          <w:szCs w:val="28"/>
          <w:highlight w:val="none"/>
        </w:rPr>
      </w:pP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w:t>
      </w:r>
    </w:p>
    <w:p w14:paraId="399B4B02">
      <w:pPr>
        <w:spacing w:line="520" w:lineRule="exact"/>
        <w:ind w:firstLine="560" w:firstLineChars="200"/>
        <w:rPr>
          <w:rFonts w:hint="eastAsia" w:ascii="宋体" w:eastAsia="宋体" w:cs="宋体"/>
          <w:color w:val="auto"/>
          <w:sz w:val="28"/>
          <w:szCs w:val="28"/>
          <w:highlight w:val="none"/>
          <w:u w:val="single"/>
        </w:rPr>
      </w:pP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年</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月</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日，检查（具体位置）</w:t>
      </w:r>
      <w:r>
        <w:rPr>
          <w:rFonts w:hint="eastAsia" w:ascii="宋体" w:eastAsia="宋体" w:cs="宋体"/>
          <w:color w:val="auto"/>
          <w:sz w:val="28"/>
          <w:szCs w:val="28"/>
          <w:highlight w:val="none"/>
          <w:u w:val="single"/>
        </w:rPr>
        <w:t xml:space="preserve">                  </w:t>
      </w:r>
    </w:p>
    <w:p w14:paraId="38692476">
      <w:pPr>
        <w:spacing w:line="520" w:lineRule="exact"/>
        <w:rPr>
          <w:rFonts w:hint="eastAsia" w:ascii="宋体" w:eastAsia="宋体" w:cs="宋体"/>
          <w:color w:val="auto"/>
          <w:sz w:val="28"/>
          <w:szCs w:val="28"/>
          <w:highlight w:val="none"/>
          <w:u w:val="single"/>
        </w:rPr>
      </w:pP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，发现以下问题：</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u w:val="single"/>
          <w:lang w:val="en-US" w:eastAsia="zh-CN"/>
        </w:rPr>
        <w:t xml:space="preserve">           </w:t>
      </w:r>
      <w:r>
        <w:rPr>
          <w:rFonts w:hint="eastAsia" w:ascii="宋体" w:eastAsia="宋体" w:cs="宋体"/>
          <w:color w:val="auto"/>
          <w:sz w:val="28"/>
          <w:szCs w:val="28"/>
          <w:highlight w:val="none"/>
          <w:u w:val="single"/>
        </w:rPr>
        <w:t xml:space="preserve">     </w:t>
      </w:r>
    </w:p>
    <w:p w14:paraId="1A028746">
      <w:pPr>
        <w:spacing w:line="520" w:lineRule="exact"/>
        <w:jc w:val="left"/>
        <w:rPr>
          <w:rFonts w:hint="eastAsia" w:ascii="宋体" w:eastAsia="宋体" w:cs="宋体"/>
          <w:color w:val="auto"/>
          <w:sz w:val="28"/>
          <w:szCs w:val="28"/>
          <w:highlight w:val="none"/>
          <w:u w:val="single"/>
        </w:rPr>
      </w:pP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u w:val="single"/>
          <w:lang w:val="en-US" w:eastAsia="zh-CN"/>
        </w:rPr>
        <w:t xml:space="preserve">           </w:t>
      </w:r>
      <w:r>
        <w:rPr>
          <w:rFonts w:hint="eastAsia" w:ascii="宋体" w:eastAsia="宋体" w:cs="宋体"/>
          <w:color w:val="auto"/>
          <w:sz w:val="28"/>
          <w:szCs w:val="28"/>
          <w:highlight w:val="none"/>
          <w:u w:val="single"/>
        </w:rPr>
        <w:t xml:space="preserve">     </w:t>
      </w:r>
    </w:p>
    <w:p w14:paraId="3D182302">
      <w:pPr>
        <w:spacing w:line="520" w:lineRule="exact"/>
        <w:jc w:val="left"/>
        <w:rPr>
          <w:rFonts w:hint="eastAsia" w:ascii="宋体" w:eastAsia="宋体" w:cs="宋体"/>
          <w:color w:val="auto"/>
          <w:sz w:val="28"/>
          <w:szCs w:val="28"/>
          <w:highlight w:val="none"/>
          <w:u w:val="single"/>
        </w:rPr>
      </w:pP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未按照要求进行整改，</w:t>
      </w:r>
      <w:r>
        <w:rPr>
          <w:rFonts w:hint="eastAsia" w:ascii="宋体" w:eastAsia="宋体" w:cs="宋体"/>
          <w:color w:val="auto"/>
          <w:sz w:val="28"/>
          <w:szCs w:val="28"/>
          <w:highlight w:val="none"/>
          <w:lang w:eastAsia="zh-CN"/>
        </w:rPr>
        <w:t>根据考核细则</w:t>
      </w:r>
      <w:r>
        <w:rPr>
          <w:rFonts w:hint="eastAsia" w:ascii="宋体" w:eastAsia="宋体" w:cs="宋体"/>
          <w:color w:val="auto"/>
          <w:sz w:val="28"/>
          <w:szCs w:val="28"/>
          <w:highlight w:val="none"/>
        </w:rPr>
        <w:t>扣</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分。现责令你单位</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u w:val="single"/>
          <w:lang w:val="en-US" w:eastAsia="zh-CN"/>
        </w:rPr>
        <w:t xml:space="preserve">  </w:t>
      </w:r>
      <w:r>
        <w:rPr>
          <w:rFonts w:hint="eastAsia" w:ascii="宋体" w:eastAsia="宋体" w:cs="宋体"/>
          <w:color w:val="auto"/>
          <w:sz w:val="28"/>
          <w:szCs w:val="28"/>
          <w:highlight w:val="none"/>
          <w:u w:val="none"/>
          <w:lang w:val="en-US" w:eastAsia="zh-CN"/>
        </w:rPr>
        <w:t>小</w:t>
      </w:r>
      <w:r>
        <w:rPr>
          <w:rFonts w:hint="eastAsia" w:ascii="宋体" w:eastAsia="宋体" w:cs="宋体"/>
          <w:color w:val="auto"/>
          <w:sz w:val="28"/>
          <w:szCs w:val="28"/>
          <w:highlight w:val="none"/>
          <w:u w:val="none"/>
          <w:lang w:eastAsia="zh-CN"/>
        </w:rPr>
        <w:t>时内，</w:t>
      </w:r>
      <w:r>
        <w:rPr>
          <w:rFonts w:hint="eastAsia" w:ascii="宋体" w:eastAsia="宋体" w:cs="宋体"/>
          <w:color w:val="auto"/>
          <w:sz w:val="28"/>
          <w:szCs w:val="28"/>
          <w:highlight w:val="none"/>
        </w:rPr>
        <w:t>立即进行整改</w:t>
      </w:r>
      <w:r>
        <w:rPr>
          <w:rFonts w:hint="eastAsia" w:ascii="宋体" w:eastAsia="宋体" w:cs="宋体"/>
          <w:color w:val="auto"/>
          <w:sz w:val="28"/>
          <w:szCs w:val="28"/>
          <w:highlight w:val="none"/>
          <w:lang w:eastAsia="zh-CN"/>
        </w:rPr>
        <w:t>（拒不整改的加倍扣分）</w:t>
      </w:r>
      <w:r>
        <w:rPr>
          <w:rFonts w:hint="eastAsia" w:ascii="宋体" w:eastAsia="宋体" w:cs="宋体"/>
          <w:color w:val="auto"/>
          <w:sz w:val="28"/>
          <w:szCs w:val="28"/>
          <w:highlight w:val="none"/>
        </w:rPr>
        <w:t>。</w:t>
      </w:r>
    </w:p>
    <w:p w14:paraId="20B55BE5">
      <w:pPr>
        <w:spacing w:line="520" w:lineRule="exact"/>
        <w:rPr>
          <w:rFonts w:hint="eastAsia" w:ascii="宋体" w:eastAsia="宋体" w:cs="宋体"/>
          <w:color w:val="auto"/>
          <w:sz w:val="28"/>
          <w:szCs w:val="28"/>
          <w:highlight w:val="none"/>
        </w:rPr>
      </w:pPr>
    </w:p>
    <w:p w14:paraId="5165CEF6">
      <w:pPr>
        <w:spacing w:line="520" w:lineRule="exact"/>
        <w:rPr>
          <w:rFonts w:hint="eastAsia" w:ascii="宋体" w:eastAsia="宋体" w:cs="宋体"/>
          <w:color w:val="auto"/>
          <w:sz w:val="28"/>
          <w:szCs w:val="28"/>
          <w:highlight w:val="none"/>
          <w:u w:val="single"/>
        </w:rPr>
      </w:pPr>
      <w:r>
        <w:rPr>
          <w:rFonts w:hint="eastAsia" w:ascii="宋体" w:eastAsia="宋体" w:cs="宋体"/>
          <w:color w:val="auto"/>
          <w:sz w:val="28"/>
          <w:szCs w:val="28"/>
          <w:highlight w:val="none"/>
        </w:rPr>
        <w:t>检查人（签名）</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u w:val="single"/>
          <w:lang w:val="en-US" w:eastAsia="zh-CN"/>
        </w:rPr>
        <w:t xml:space="preserve"> </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联系电话：</w:t>
      </w:r>
      <w:r>
        <w:rPr>
          <w:rFonts w:hint="eastAsia" w:ascii="宋体" w:eastAsia="宋体" w:cs="宋体"/>
          <w:color w:val="auto"/>
          <w:sz w:val="28"/>
          <w:szCs w:val="28"/>
          <w:highlight w:val="none"/>
          <w:u w:val="single"/>
        </w:rPr>
        <w:t xml:space="preserve">           </w:t>
      </w:r>
    </w:p>
    <w:p w14:paraId="4161620B">
      <w:pPr>
        <w:spacing w:line="520" w:lineRule="exact"/>
        <w:ind w:firstLine="1680" w:firstLineChars="600"/>
        <w:rPr>
          <w:rFonts w:hint="eastAsia" w:ascii="宋体" w:eastAsia="宋体" w:cs="宋体"/>
          <w:color w:val="auto"/>
          <w:sz w:val="28"/>
          <w:szCs w:val="28"/>
          <w:highlight w:val="none"/>
          <w:u w:val="single"/>
        </w:rPr>
      </w:pP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u w:val="single"/>
          <w:lang w:val="en-US" w:eastAsia="zh-CN"/>
        </w:rPr>
        <w:t xml:space="preserve">  </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联系电话：</w:t>
      </w:r>
      <w:r>
        <w:rPr>
          <w:rFonts w:hint="eastAsia" w:ascii="宋体" w:eastAsia="宋体" w:cs="宋体"/>
          <w:color w:val="auto"/>
          <w:sz w:val="28"/>
          <w:szCs w:val="28"/>
          <w:highlight w:val="none"/>
          <w:u w:val="single"/>
        </w:rPr>
        <w:t xml:space="preserve">           </w:t>
      </w:r>
    </w:p>
    <w:p w14:paraId="7C42F9DA">
      <w:pPr>
        <w:spacing w:line="520" w:lineRule="exact"/>
        <w:rPr>
          <w:rFonts w:hint="eastAsia" w:ascii="宋体" w:eastAsia="宋体" w:cs="宋体"/>
          <w:color w:val="auto"/>
          <w:sz w:val="28"/>
          <w:szCs w:val="28"/>
          <w:highlight w:val="none"/>
        </w:rPr>
      </w:pPr>
    </w:p>
    <w:p w14:paraId="59890E66">
      <w:pPr>
        <w:spacing w:line="520" w:lineRule="exact"/>
        <w:rPr>
          <w:rFonts w:hint="eastAsia" w:ascii="宋体" w:eastAsia="宋体" w:cs="宋体"/>
          <w:color w:val="auto"/>
          <w:sz w:val="28"/>
          <w:szCs w:val="28"/>
          <w:highlight w:val="none"/>
          <w:u w:val="single"/>
        </w:rPr>
      </w:pPr>
      <w:r>
        <w:rPr>
          <w:rFonts w:hint="eastAsia" w:ascii="宋体" w:eastAsia="宋体" w:cs="宋体"/>
          <w:color w:val="auto"/>
          <w:sz w:val="28"/>
          <w:szCs w:val="28"/>
          <w:highlight w:val="none"/>
        </w:rPr>
        <w:t>责任人(签名)：</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u w:val="single"/>
          <w:lang w:val="en-US" w:eastAsia="zh-CN"/>
        </w:rPr>
        <w:t xml:space="preserve">  </w:t>
      </w:r>
      <w:r>
        <w:rPr>
          <w:rFonts w:hint="eastAsia" w:ascii="宋体" w:eastAsia="宋体" w:cs="宋体"/>
          <w:color w:val="auto"/>
          <w:sz w:val="28"/>
          <w:szCs w:val="28"/>
          <w:highlight w:val="none"/>
          <w:u w:val="single"/>
        </w:rPr>
        <w:t xml:space="preserve">      </w:t>
      </w:r>
      <w:r>
        <w:rPr>
          <w:rFonts w:hint="eastAsia" w:ascii="宋体" w:eastAsia="宋体" w:cs="宋体"/>
          <w:color w:val="auto"/>
          <w:sz w:val="28"/>
          <w:szCs w:val="28"/>
          <w:highlight w:val="none"/>
        </w:rPr>
        <w:t>联系电话：</w:t>
      </w:r>
      <w:r>
        <w:rPr>
          <w:rFonts w:hint="eastAsia" w:ascii="宋体" w:eastAsia="宋体" w:cs="宋体"/>
          <w:color w:val="auto"/>
          <w:sz w:val="28"/>
          <w:szCs w:val="28"/>
          <w:highlight w:val="none"/>
          <w:u w:val="single"/>
        </w:rPr>
        <w:t xml:space="preserve">          </w:t>
      </w:r>
    </w:p>
    <w:p w14:paraId="2029CD27">
      <w:pPr>
        <w:spacing w:line="520" w:lineRule="exact"/>
        <w:rPr>
          <w:rFonts w:hint="eastAsia" w:ascii="宋体" w:eastAsia="宋体" w:cs="宋体"/>
          <w:color w:val="auto"/>
          <w:sz w:val="28"/>
          <w:szCs w:val="28"/>
          <w:highlight w:val="none"/>
          <w:u w:val="single"/>
        </w:rPr>
      </w:pPr>
    </w:p>
    <w:p w14:paraId="2A36E53F">
      <w:pPr>
        <w:spacing w:line="520" w:lineRule="exact"/>
        <w:ind w:firstLine="2240" w:firstLineChars="800"/>
        <w:rPr>
          <w:rFonts w:hint="eastAsia" w:ascii="宋体" w:eastAsia="宋体" w:cs="宋体"/>
          <w:color w:val="auto"/>
          <w:sz w:val="28"/>
          <w:szCs w:val="28"/>
          <w:highlight w:val="none"/>
        </w:rPr>
      </w:pPr>
    </w:p>
    <w:p w14:paraId="6C47065C">
      <w:pPr>
        <w:spacing w:line="520" w:lineRule="exact"/>
        <w:ind w:firstLine="1680" w:firstLineChars="600"/>
        <w:rPr>
          <w:rFonts w:hint="eastAsia" w:ascii="宋体" w:eastAsia="宋体" w:cs="宋体"/>
          <w:color w:val="auto"/>
          <w:sz w:val="28"/>
          <w:szCs w:val="28"/>
          <w:highlight w:val="none"/>
        </w:rPr>
      </w:pPr>
      <w:r>
        <w:rPr>
          <w:rFonts w:hint="eastAsia" w:ascii="宋体" w:eastAsia="宋体" w:cs="宋体"/>
          <w:color w:val="auto"/>
          <w:sz w:val="28"/>
          <w:szCs w:val="28"/>
          <w:highlight w:val="none"/>
        </w:rPr>
        <w:t>哈密市伊州区</w:t>
      </w:r>
      <w:r>
        <w:rPr>
          <w:rFonts w:hint="eastAsia" w:ascii="宋体" w:eastAsia="宋体" w:cs="宋体"/>
          <w:color w:val="auto"/>
          <w:sz w:val="28"/>
          <w:szCs w:val="28"/>
          <w:highlight w:val="none"/>
          <w:lang w:val="en-US" w:eastAsia="zh-CN"/>
        </w:rPr>
        <w:t>城市公共事业服务</w:t>
      </w:r>
      <w:r>
        <w:rPr>
          <w:rFonts w:hint="eastAsia" w:ascii="宋体" w:eastAsia="宋体" w:cs="宋体"/>
          <w:color w:val="auto"/>
          <w:sz w:val="28"/>
          <w:szCs w:val="28"/>
          <w:highlight w:val="none"/>
        </w:rPr>
        <w:t>中心</w:t>
      </w:r>
    </w:p>
    <w:p w14:paraId="3832A959">
      <w:pPr>
        <w:spacing w:line="520" w:lineRule="exact"/>
        <w:rPr>
          <w:rFonts w:hint="eastAsia" w:ascii="宋体" w:eastAsia="宋体" w:cs="宋体"/>
          <w:color w:val="auto"/>
          <w:sz w:val="28"/>
          <w:szCs w:val="28"/>
          <w:highlight w:val="none"/>
        </w:rPr>
      </w:pPr>
      <w:r>
        <w:rPr>
          <w:rFonts w:hint="eastAsia" w:ascii="宋体" w:eastAsia="宋体" w:cs="宋体"/>
          <w:color w:val="auto"/>
          <w:sz w:val="28"/>
          <w:szCs w:val="28"/>
          <w:highlight w:val="none"/>
        </w:rPr>
        <w:t xml:space="preserve">                  </w:t>
      </w:r>
      <w:r>
        <w:rPr>
          <w:rFonts w:hint="eastAsia" w:ascii="宋体" w:eastAsia="宋体" w:cs="宋体"/>
          <w:color w:val="auto"/>
          <w:sz w:val="28"/>
          <w:szCs w:val="28"/>
          <w:highlight w:val="none"/>
          <w:lang w:val="en-US" w:eastAsia="zh-CN"/>
        </w:rPr>
        <w:t xml:space="preserve">  </w:t>
      </w:r>
      <w:r>
        <w:rPr>
          <w:rFonts w:hint="eastAsia" w:ascii="宋体" w:eastAsia="宋体" w:cs="宋体"/>
          <w:color w:val="auto"/>
          <w:sz w:val="28"/>
          <w:szCs w:val="28"/>
          <w:highlight w:val="none"/>
        </w:rPr>
        <w:t xml:space="preserve">  年    月    日</w:t>
      </w:r>
    </w:p>
    <w:p w14:paraId="40E2E556">
      <w:pPr>
        <w:rPr>
          <w:rFonts w:hint="eastAsia" w:ascii="仿宋_GB2312" w:eastAsia="仿宋_GB2312"/>
          <w:color w:val="auto"/>
          <w:sz w:val="30"/>
          <w:szCs w:val="30"/>
          <w:highlight w:val="none"/>
        </w:rPr>
      </w:pPr>
      <w:r>
        <w:rPr>
          <w:rFonts w:hint="eastAsia" w:ascii="仿宋_GB2312" w:eastAsia="仿宋_GB2312"/>
          <w:color w:val="auto"/>
          <w:sz w:val="30"/>
          <w:szCs w:val="30"/>
          <w:highlight w:val="none"/>
        </w:rPr>
        <w:br w:type="page"/>
      </w:r>
    </w:p>
    <w:p w14:paraId="5C8ED5FF">
      <w:pPr>
        <w:spacing w:line="520" w:lineRule="exact"/>
        <w:rPr>
          <w:rFonts w:hint="eastAsia" w:ascii="仿宋_GB2312" w:eastAsia="仿宋_GB2312"/>
          <w:color w:val="auto"/>
          <w:sz w:val="30"/>
          <w:szCs w:val="30"/>
          <w:highlight w:val="none"/>
        </w:rPr>
      </w:pPr>
    </w:p>
    <w:p w14:paraId="15147EF6">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eastAsia="方正小标宋简体"/>
          <w:color w:val="auto"/>
          <w:sz w:val="32"/>
          <w:szCs w:val="32"/>
          <w:highlight w:val="none"/>
          <w:lang w:val="en-US" w:eastAsia="zh-CN"/>
        </w:rPr>
      </w:pPr>
      <w:r>
        <w:rPr>
          <w:rFonts w:hint="eastAsia" w:ascii="方正小标宋简体" w:eastAsia="方正小标宋简体"/>
          <w:color w:val="auto"/>
          <w:sz w:val="32"/>
          <w:szCs w:val="32"/>
          <w:highlight w:val="none"/>
        </w:rPr>
        <w:t>限期整改通知</w:t>
      </w:r>
      <w:r>
        <w:rPr>
          <w:rFonts w:hint="eastAsia" w:ascii="方正小标宋简体" w:eastAsia="方正小标宋简体"/>
          <w:color w:val="auto"/>
          <w:sz w:val="32"/>
          <w:szCs w:val="32"/>
          <w:highlight w:val="none"/>
          <w:lang w:val="en-US" w:eastAsia="zh-CN"/>
        </w:rPr>
        <w:t>单</w:t>
      </w:r>
    </w:p>
    <w:p w14:paraId="0776B97B">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eastAsia="方正小标宋简体"/>
          <w:color w:val="auto"/>
          <w:sz w:val="36"/>
          <w:szCs w:val="36"/>
          <w:highlight w:val="none"/>
          <w:lang w:val="en-US" w:eastAsia="zh-CN"/>
        </w:rPr>
      </w:pPr>
    </w:p>
    <w:p w14:paraId="26AF4DB2">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14:paraId="33A3E539">
      <w:pPr>
        <w:keepNext w:val="0"/>
        <w:keepLines w:val="0"/>
        <w:pageBreakBefore w:val="0"/>
        <w:widowControl w:val="0"/>
        <w:kinsoku/>
        <w:wordWrap/>
        <w:overflowPunct/>
        <w:topLinePunct w:val="0"/>
        <w:autoSpaceDE/>
        <w:autoSpaceDN/>
        <w:bidi w:val="0"/>
        <w:adjustRightInd/>
        <w:snapToGrid/>
        <w:spacing w:line="480" w:lineRule="exact"/>
        <w:ind w:firstLine="560" w:firstLineChars="200"/>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     年   月   日</w:t>
      </w:r>
      <w:r>
        <w:rPr>
          <w:rFonts w:hint="eastAsia" w:ascii="仿宋_GB2312" w:eastAsia="仿宋_GB2312"/>
          <w:color w:val="auto"/>
          <w:sz w:val="28"/>
          <w:szCs w:val="28"/>
          <w:highlight w:val="none"/>
        </w:rPr>
        <w:t>，检查你单位管辖范围内（具体位置）</w:t>
      </w:r>
      <w:r>
        <w:rPr>
          <w:rFonts w:hint="eastAsia" w:ascii="仿宋_GB2312" w:eastAsia="仿宋_GB2312"/>
          <w:color w:val="auto"/>
          <w:sz w:val="28"/>
          <w:szCs w:val="28"/>
          <w:highlight w:val="none"/>
          <w:u w:val="single"/>
        </w:rPr>
        <w:t xml:space="preserve">                                      </w:t>
      </w:r>
    </w:p>
    <w:p w14:paraId="4518DE3A">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，发现以下问题：</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p>
    <w:p w14:paraId="0BF86E15">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p>
    <w:p w14:paraId="1A6EAD06">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p>
    <w:p w14:paraId="0BDAF8B0">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p>
    <w:p w14:paraId="2DECB672">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w:t>
      </w:r>
    </w:p>
    <w:p w14:paraId="02198F32">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责令你单位于</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年</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月</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日前整改完毕，</w:t>
      </w:r>
      <w:r>
        <w:rPr>
          <w:rFonts w:hint="eastAsia" w:ascii="仿宋_GB2312" w:eastAsia="仿宋_GB2312"/>
          <w:color w:val="auto"/>
          <w:sz w:val="28"/>
          <w:szCs w:val="28"/>
          <w:highlight w:val="none"/>
          <w:lang w:val="en-US" w:eastAsia="zh-CN"/>
        </w:rPr>
        <w:t>对反馈问题若有异议以书面形式上报</w:t>
      </w:r>
      <w:r>
        <w:rPr>
          <w:rFonts w:hint="eastAsia" w:ascii="仿宋_GB2312" w:eastAsia="仿宋_GB2312"/>
          <w:color w:val="auto"/>
          <w:sz w:val="28"/>
          <w:szCs w:val="28"/>
          <w:highlight w:val="none"/>
        </w:rPr>
        <w:t>。</w:t>
      </w:r>
    </w:p>
    <w:p w14:paraId="70161ADA">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检查人（签名）</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single"/>
        </w:rPr>
        <w:t xml:space="preserve">           </w:t>
      </w:r>
    </w:p>
    <w:p w14:paraId="647A2127">
      <w:pPr>
        <w:keepNext w:val="0"/>
        <w:keepLines w:val="0"/>
        <w:pageBreakBefore w:val="0"/>
        <w:widowControl w:val="0"/>
        <w:kinsoku/>
        <w:wordWrap/>
        <w:overflowPunct/>
        <w:topLinePunct w:val="0"/>
        <w:autoSpaceDE/>
        <w:autoSpaceDN/>
        <w:bidi w:val="0"/>
        <w:adjustRightInd/>
        <w:snapToGrid/>
        <w:spacing w:line="480" w:lineRule="exact"/>
        <w:ind w:firstLine="1680" w:firstLineChars="600"/>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single"/>
        </w:rPr>
        <w:t xml:space="preserve">           </w:t>
      </w:r>
    </w:p>
    <w:p w14:paraId="17858254">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u w:val="single"/>
        </w:rPr>
      </w:pPr>
      <w:r>
        <w:rPr>
          <w:rFonts w:hint="eastAsia" w:ascii="仿宋_GB2312" w:eastAsia="仿宋_GB2312"/>
          <w:color w:val="auto"/>
          <w:sz w:val="28"/>
          <w:szCs w:val="28"/>
          <w:highlight w:val="none"/>
        </w:rPr>
        <w:t>负责人(签名)：</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u w:val="single"/>
          <w:lang w:val="en-US" w:eastAsia="zh-CN"/>
        </w:rPr>
        <w:t xml:space="preserve">  </w:t>
      </w:r>
      <w:r>
        <w:rPr>
          <w:rFonts w:hint="eastAsia" w:ascii="仿宋_GB2312" w:eastAsia="仿宋_GB2312"/>
          <w:color w:val="auto"/>
          <w:sz w:val="28"/>
          <w:szCs w:val="28"/>
          <w:highlight w:val="none"/>
          <w:u w:val="single"/>
        </w:rPr>
        <w:t xml:space="preserve">    </w:t>
      </w:r>
      <w:r>
        <w:rPr>
          <w:rFonts w:hint="eastAsia" w:ascii="仿宋_GB2312" w:eastAsia="仿宋_GB2312"/>
          <w:color w:val="auto"/>
          <w:sz w:val="28"/>
          <w:szCs w:val="28"/>
          <w:highlight w:val="none"/>
        </w:rPr>
        <w:t>联系电话：</w:t>
      </w:r>
      <w:r>
        <w:rPr>
          <w:rFonts w:hint="eastAsia" w:ascii="仿宋_GB2312" w:eastAsia="仿宋_GB2312"/>
          <w:color w:val="auto"/>
          <w:sz w:val="28"/>
          <w:szCs w:val="28"/>
          <w:highlight w:val="none"/>
          <w:u w:val="single"/>
        </w:rPr>
        <w:t xml:space="preserve">           </w:t>
      </w:r>
    </w:p>
    <w:p w14:paraId="06F3A5FA">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仿宋_GB2312" w:eastAsia="仿宋_GB2312"/>
          <w:color w:val="auto"/>
          <w:sz w:val="28"/>
          <w:szCs w:val="28"/>
          <w:highlight w:val="none"/>
          <w:u w:val="single"/>
          <w:lang w:val="en-US" w:eastAsia="zh-CN"/>
        </w:rPr>
      </w:pPr>
    </w:p>
    <w:p w14:paraId="44D0FECD">
      <w:pPr>
        <w:keepNext w:val="0"/>
        <w:keepLines w:val="0"/>
        <w:pageBreakBefore w:val="0"/>
        <w:widowControl w:val="0"/>
        <w:kinsoku/>
        <w:wordWrap/>
        <w:overflowPunct/>
        <w:topLinePunct w:val="0"/>
        <w:autoSpaceDE/>
        <w:autoSpaceDN/>
        <w:bidi w:val="0"/>
        <w:adjustRightInd/>
        <w:snapToGrid/>
        <w:spacing w:line="480" w:lineRule="exact"/>
        <w:ind w:firstLine="1680" w:firstLineChars="600"/>
        <w:textAlignment w:val="auto"/>
        <w:rPr>
          <w:rFonts w:hint="eastAsia" w:ascii="仿宋_GB2312" w:eastAsia="仿宋_GB2312"/>
          <w:color w:val="auto"/>
          <w:sz w:val="28"/>
          <w:szCs w:val="28"/>
          <w:highlight w:val="none"/>
        </w:rPr>
      </w:pPr>
    </w:p>
    <w:p w14:paraId="7D7FD34E">
      <w:pPr>
        <w:keepNext w:val="0"/>
        <w:keepLines w:val="0"/>
        <w:pageBreakBefore w:val="0"/>
        <w:widowControl w:val="0"/>
        <w:kinsoku/>
        <w:wordWrap/>
        <w:overflowPunct/>
        <w:topLinePunct w:val="0"/>
        <w:autoSpaceDE/>
        <w:autoSpaceDN/>
        <w:bidi w:val="0"/>
        <w:adjustRightInd/>
        <w:snapToGrid/>
        <w:spacing w:line="480" w:lineRule="exact"/>
        <w:ind w:firstLine="1680" w:firstLineChars="600"/>
        <w:textAlignment w:val="auto"/>
        <w:rPr>
          <w:rFonts w:hint="eastAsia" w:ascii="仿宋_GB2312" w:eastAsia="仿宋_GB2312"/>
          <w:color w:val="auto"/>
          <w:sz w:val="28"/>
          <w:szCs w:val="28"/>
          <w:highlight w:val="none"/>
        </w:rPr>
      </w:pPr>
    </w:p>
    <w:p w14:paraId="5C704600">
      <w:pPr>
        <w:keepNext w:val="0"/>
        <w:keepLines w:val="0"/>
        <w:pageBreakBefore w:val="0"/>
        <w:widowControl w:val="0"/>
        <w:kinsoku/>
        <w:wordWrap/>
        <w:overflowPunct/>
        <w:topLinePunct w:val="0"/>
        <w:autoSpaceDE/>
        <w:autoSpaceDN/>
        <w:bidi w:val="0"/>
        <w:adjustRightInd/>
        <w:snapToGrid/>
        <w:spacing w:line="480" w:lineRule="exact"/>
        <w:ind w:firstLine="1680" w:firstLineChars="600"/>
        <w:textAlignment w:val="auto"/>
        <w:rPr>
          <w:rFonts w:hint="eastAsia" w:ascii="仿宋_GB2312" w:eastAsia="仿宋_GB2312"/>
          <w:color w:val="auto"/>
          <w:sz w:val="28"/>
          <w:szCs w:val="28"/>
          <w:highlight w:val="none"/>
        </w:rPr>
      </w:pPr>
      <w:r>
        <w:rPr>
          <w:rFonts w:hint="eastAsia" w:ascii="仿宋_GB2312" w:eastAsia="仿宋_GB2312"/>
          <w:color w:val="auto"/>
          <w:sz w:val="28"/>
          <w:szCs w:val="28"/>
          <w:highlight w:val="none"/>
        </w:rPr>
        <w:t>哈密市伊州区</w:t>
      </w:r>
      <w:r>
        <w:rPr>
          <w:rFonts w:hint="eastAsia" w:ascii="仿宋_GB2312" w:eastAsia="仿宋_GB2312"/>
          <w:color w:val="auto"/>
          <w:sz w:val="28"/>
          <w:szCs w:val="28"/>
          <w:highlight w:val="none"/>
          <w:lang w:val="en-US" w:eastAsia="zh-CN"/>
        </w:rPr>
        <w:t>城市公共事业服务</w:t>
      </w:r>
      <w:r>
        <w:rPr>
          <w:rFonts w:hint="eastAsia" w:ascii="仿宋_GB2312" w:eastAsia="仿宋_GB2312"/>
          <w:color w:val="auto"/>
          <w:sz w:val="28"/>
          <w:szCs w:val="28"/>
          <w:highlight w:val="none"/>
        </w:rPr>
        <w:t>中心</w:t>
      </w:r>
    </w:p>
    <w:p w14:paraId="50A848D5">
      <w:pPr>
        <w:keepNext w:val="0"/>
        <w:keepLines w:val="0"/>
        <w:pageBreakBefore w:val="0"/>
        <w:widowControl w:val="0"/>
        <w:kinsoku/>
        <w:wordWrap/>
        <w:overflowPunct/>
        <w:topLinePunct w:val="0"/>
        <w:autoSpaceDE/>
        <w:autoSpaceDN/>
        <w:bidi w:val="0"/>
        <w:adjustRightInd/>
        <w:snapToGrid/>
        <w:spacing w:line="480" w:lineRule="exact"/>
        <w:textAlignment w:val="auto"/>
        <w:rPr>
          <w:rFonts w:ascii="仿宋_GB2312" w:eastAsia="仿宋_GB2312"/>
          <w:color w:val="auto"/>
          <w:sz w:val="28"/>
          <w:szCs w:val="28"/>
          <w:highlight w:val="none"/>
        </w:rPr>
      </w:pPr>
      <w:r>
        <w:rPr>
          <w:rFonts w:hint="eastAsia" w:ascii="仿宋_GB2312" w:eastAsia="仿宋_GB2312"/>
          <w:color w:val="auto"/>
          <w:sz w:val="28"/>
          <w:szCs w:val="28"/>
          <w:highlight w:val="none"/>
        </w:rPr>
        <w:t xml:space="preserve">                    年    月    日</w:t>
      </w:r>
    </w:p>
    <w:p w14:paraId="3FEF3AA0">
      <w:pPr>
        <w:keepNext w:val="0"/>
        <w:keepLines w:val="0"/>
        <w:pageBreakBefore w:val="0"/>
        <w:widowControl w:val="0"/>
        <w:kinsoku/>
        <w:wordWrap/>
        <w:overflowPunct/>
        <w:topLinePunct w:val="0"/>
        <w:autoSpaceDE/>
        <w:autoSpaceDN/>
        <w:bidi w:val="0"/>
        <w:adjustRightInd/>
        <w:snapToGrid/>
        <w:spacing w:line="480" w:lineRule="exact"/>
        <w:jc w:val="center"/>
        <w:textAlignment w:val="auto"/>
        <w:rPr>
          <w:rFonts w:hint="eastAsia" w:ascii="方正小标宋简体" w:eastAsia="方正小标宋简体"/>
          <w:color w:val="auto"/>
          <w:sz w:val="36"/>
          <w:szCs w:val="36"/>
          <w:highlight w:val="none"/>
        </w:rPr>
      </w:pPr>
    </w:p>
    <w:p w14:paraId="4C2DE9E8">
      <w:pPr>
        <w:rPr>
          <w:rFonts w:hint="eastAsia"/>
          <w:color w:val="auto"/>
          <w:highlight w:val="none"/>
          <w:lang w:val="zh-CN" w:eastAsia="zh-CN"/>
        </w:rPr>
      </w:pPr>
      <w:r>
        <w:rPr>
          <w:rFonts w:hint="eastAsia"/>
          <w:color w:val="auto"/>
          <w:highlight w:val="none"/>
          <w:lang w:val="zh-CN" w:eastAsia="zh-CN"/>
        </w:rPr>
        <w:br w:type="page"/>
      </w:r>
    </w:p>
    <w:p w14:paraId="763DFB10">
      <w:pPr>
        <w:rPr>
          <w:rFonts w:hint="eastAsia"/>
          <w:color w:val="auto"/>
          <w:highlight w:val="none"/>
          <w:lang w:val="zh-CN" w:eastAsia="zh-CN"/>
        </w:rPr>
        <w:sectPr>
          <w:pgSz w:w="11906" w:h="16838"/>
          <w:pgMar w:top="1440" w:right="1800" w:bottom="1440" w:left="180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11B227F7">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527" w:name="_Toc27295"/>
      <w:bookmarkStart w:id="528" w:name="_Toc155185895"/>
      <w:r>
        <w:rPr>
          <w:rFonts w:hint="eastAsia" w:ascii="宋体" w:hAnsi="宋体" w:eastAsia="宋体" w:cs="宋体"/>
          <w:b/>
          <w:bCs/>
          <w:color w:val="auto"/>
          <w:kern w:val="44"/>
          <w:sz w:val="36"/>
          <w:szCs w:val="36"/>
          <w:highlight w:val="none"/>
          <w:lang w:val="en-US" w:eastAsia="zh-CN" w:bidi="ar-SA"/>
        </w:rPr>
        <w:t>第四章 资格审查</w:t>
      </w:r>
      <w:bookmarkEnd w:id="527"/>
      <w:bookmarkEnd w:id="528"/>
    </w:p>
    <w:p w14:paraId="2133133E">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zh-CN" w:eastAsia="zh-CN"/>
        </w:rPr>
      </w:pPr>
      <w:bookmarkStart w:id="529" w:name="_Toc8997"/>
      <w:r>
        <w:rPr>
          <w:rFonts w:hint="eastAsia"/>
          <w:color w:val="auto"/>
          <w:sz w:val="28"/>
          <w:szCs w:val="28"/>
          <w:highlight w:val="none"/>
          <w:lang w:val="en-US" w:eastAsia="zh-CN"/>
        </w:rPr>
        <w:t>一、资格审查程序</w:t>
      </w:r>
      <w:bookmarkEnd w:id="529"/>
      <w:r>
        <w:rPr>
          <w:rFonts w:hint="eastAsia"/>
          <w:color w:val="auto"/>
          <w:sz w:val="28"/>
          <w:szCs w:val="28"/>
          <w:highlight w:val="none"/>
          <w:lang w:val="en-US" w:eastAsia="zh-CN"/>
        </w:rPr>
        <w:t xml:space="preserve"> </w:t>
      </w:r>
    </w:p>
    <w:p w14:paraId="4E4090D3">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eastAsia"/>
          <w:color w:val="auto"/>
          <w:highlight w:val="none"/>
          <w:lang w:val="en-US" w:eastAsia="zh-CN"/>
        </w:rPr>
        <w:t xml:space="preserve">1 开标结束后，采购人或采购代理机构将根据《资格审查要求》中的规定，对投标人进行资格审查，并形成资格审查结果。 </w:t>
      </w:r>
    </w:p>
    <w:p w14:paraId="62799CDE">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default"/>
          <w:color w:val="auto"/>
          <w:highlight w:val="none"/>
          <w:lang w:val="en-US" w:eastAsia="zh-CN"/>
        </w:rPr>
        <w:t xml:space="preserve">2 </w:t>
      </w:r>
      <w:r>
        <w:rPr>
          <w:rFonts w:hint="eastAsia"/>
          <w:color w:val="auto"/>
          <w:highlight w:val="none"/>
          <w:lang w:val="en-US" w:eastAsia="zh-CN"/>
        </w:rPr>
        <w:t>投标人《资格证明文件》有任何一项不符合《资格审查要求》的，资格审查不合格，其</w:t>
      </w:r>
      <w:r>
        <w:rPr>
          <w:rFonts w:hint="eastAsia"/>
          <w:b/>
          <w:bCs/>
          <w:color w:val="auto"/>
          <w:highlight w:val="none"/>
          <w:lang w:val="en-US" w:eastAsia="zh-CN"/>
        </w:rPr>
        <w:t>投标无效</w:t>
      </w:r>
      <w:r>
        <w:rPr>
          <w:rFonts w:hint="eastAsia"/>
          <w:color w:val="auto"/>
          <w:highlight w:val="none"/>
          <w:lang w:val="en-US" w:eastAsia="zh-CN"/>
        </w:rPr>
        <w:t xml:space="preserve">。 </w:t>
      </w:r>
    </w:p>
    <w:p w14:paraId="37E914D8">
      <w:pPr>
        <w:pStyle w:val="39"/>
        <w:keepNext w:val="0"/>
        <w:keepLines w:val="0"/>
        <w:pageBreakBefore w:val="0"/>
        <w:widowControl w:val="0"/>
        <w:kinsoku/>
        <w:wordWrap w:val="0"/>
        <w:overflowPunct/>
        <w:topLinePunct w:val="0"/>
        <w:autoSpaceDE/>
        <w:autoSpaceDN/>
        <w:bidi w:val="0"/>
        <w:adjustRightInd/>
        <w:snapToGrid/>
        <w:spacing w:line="400" w:lineRule="exact"/>
        <w:ind w:firstLine="482"/>
        <w:textAlignment w:val="auto"/>
        <w:rPr>
          <w:rFonts w:hint="eastAsia"/>
          <w:color w:val="auto"/>
          <w:highlight w:val="none"/>
        </w:rPr>
      </w:pPr>
      <w:r>
        <w:rPr>
          <w:rFonts w:hint="eastAsia"/>
          <w:color w:val="auto"/>
          <w:highlight w:val="none"/>
          <w:lang w:val="en-US" w:eastAsia="zh-CN"/>
        </w:rPr>
        <w:t>3</w:t>
      </w:r>
      <w:r>
        <w:rPr>
          <w:rFonts w:hint="default"/>
          <w:color w:val="auto"/>
          <w:highlight w:val="none"/>
          <w:lang w:val="en-US" w:eastAsia="zh-CN"/>
        </w:rPr>
        <w:t xml:space="preserve"> </w:t>
      </w:r>
      <w:r>
        <w:rPr>
          <w:rFonts w:hint="eastAsia"/>
          <w:color w:val="auto"/>
          <w:highlight w:val="none"/>
          <w:lang w:val="en-US" w:eastAsia="zh-CN"/>
        </w:rPr>
        <w:t xml:space="preserve">资格审查合格的投标人不足 </w:t>
      </w:r>
      <w:r>
        <w:rPr>
          <w:rFonts w:hint="default"/>
          <w:color w:val="auto"/>
          <w:highlight w:val="none"/>
          <w:lang w:val="en-US" w:eastAsia="zh-CN"/>
        </w:rPr>
        <w:t xml:space="preserve">3 </w:t>
      </w:r>
      <w:r>
        <w:rPr>
          <w:rFonts w:hint="eastAsia"/>
          <w:color w:val="auto"/>
          <w:highlight w:val="none"/>
          <w:lang w:val="en-US" w:eastAsia="zh-CN"/>
        </w:rPr>
        <w:t xml:space="preserve">家的，不进行评标。 </w:t>
      </w:r>
    </w:p>
    <w:p w14:paraId="1720E868">
      <w:pPr>
        <w:pStyle w:val="3"/>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color w:val="auto"/>
          <w:sz w:val="28"/>
          <w:szCs w:val="28"/>
          <w:highlight w:val="none"/>
          <w:lang w:val="en-US" w:eastAsia="zh-CN"/>
        </w:rPr>
      </w:pPr>
      <w:bookmarkStart w:id="530" w:name="_Toc7857"/>
      <w:r>
        <w:rPr>
          <w:rFonts w:hint="eastAsia"/>
          <w:color w:val="auto"/>
          <w:sz w:val="28"/>
          <w:szCs w:val="28"/>
          <w:highlight w:val="none"/>
          <w:lang w:val="en-US" w:eastAsia="zh-CN"/>
        </w:rPr>
        <w:t>二、资格审查要求</w:t>
      </w:r>
      <w:bookmarkEnd w:id="530"/>
      <w:r>
        <w:rPr>
          <w:rFonts w:hint="eastAsia"/>
          <w:color w:val="auto"/>
          <w:sz w:val="28"/>
          <w:szCs w:val="28"/>
          <w:highlight w:val="none"/>
          <w:lang w:val="en-US" w:eastAsia="zh-CN"/>
        </w:rPr>
        <w:t xml:space="preserve"> </w:t>
      </w:r>
    </w:p>
    <w:tbl>
      <w:tblPr>
        <w:tblStyle w:val="31"/>
        <w:tblW w:w="56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817"/>
        <w:gridCol w:w="2533"/>
        <w:gridCol w:w="4667"/>
        <w:gridCol w:w="1601"/>
      </w:tblGrid>
      <w:tr w14:paraId="4C40C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54" w:hRule="atLeast"/>
          <w:jc w:val="center"/>
        </w:trPr>
        <w:tc>
          <w:tcPr>
            <w:tcW w:w="425" w:type="pct"/>
            <w:shd w:val="clear" w:color="auto" w:fill="D8D8D8" w:themeFill="background1" w:themeFillShade="D9"/>
            <w:vAlign w:val="center"/>
          </w:tcPr>
          <w:p w14:paraId="31F150F3">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序号</w:t>
            </w:r>
          </w:p>
        </w:tc>
        <w:tc>
          <w:tcPr>
            <w:tcW w:w="1316" w:type="pct"/>
            <w:shd w:val="clear" w:color="auto" w:fill="D8D8D8" w:themeFill="background1" w:themeFillShade="D9"/>
            <w:vAlign w:val="center"/>
          </w:tcPr>
          <w:p w14:paraId="29694278">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审查因素</w:t>
            </w:r>
          </w:p>
        </w:tc>
        <w:tc>
          <w:tcPr>
            <w:tcW w:w="2425" w:type="pct"/>
            <w:shd w:val="clear" w:color="auto" w:fill="D8D8D8" w:themeFill="background1" w:themeFillShade="D9"/>
            <w:vAlign w:val="center"/>
          </w:tcPr>
          <w:p w14:paraId="635BC09B">
            <w:pPr>
              <w:pStyle w:val="51"/>
              <w:jc w:val="center"/>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审查内容</w:t>
            </w:r>
          </w:p>
        </w:tc>
        <w:tc>
          <w:tcPr>
            <w:tcW w:w="832" w:type="pct"/>
            <w:shd w:val="clear" w:color="auto" w:fill="D8D8D8" w:themeFill="background1" w:themeFillShade="D9"/>
            <w:vAlign w:val="center"/>
          </w:tcPr>
          <w:p w14:paraId="6075A15A">
            <w:pPr>
              <w:pStyle w:val="51"/>
              <w:jc w:val="center"/>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格式要求</w:t>
            </w:r>
          </w:p>
        </w:tc>
      </w:tr>
      <w:tr w14:paraId="69698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716" w:hRule="atLeast"/>
          <w:jc w:val="center"/>
        </w:trPr>
        <w:tc>
          <w:tcPr>
            <w:tcW w:w="425" w:type="pct"/>
            <w:shd w:val="clear" w:color="auto" w:fill="FFFFFF" w:themeFill="background1"/>
            <w:vAlign w:val="center"/>
          </w:tcPr>
          <w:p w14:paraId="636EB3B4">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w:t>
            </w:r>
          </w:p>
        </w:tc>
        <w:tc>
          <w:tcPr>
            <w:tcW w:w="1316" w:type="pct"/>
            <w:shd w:val="clear" w:color="auto" w:fill="FFFFFF" w:themeFill="background1"/>
            <w:vAlign w:val="center"/>
          </w:tcPr>
          <w:p w14:paraId="267C1675">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满足《政府采购 </w:t>
            </w:r>
          </w:p>
          <w:p w14:paraId="58A237A7">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法》第二十二条 </w:t>
            </w:r>
          </w:p>
          <w:p w14:paraId="4DBD5590">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规定</w:t>
            </w:r>
          </w:p>
        </w:tc>
        <w:tc>
          <w:tcPr>
            <w:tcW w:w="2425" w:type="pct"/>
            <w:shd w:val="clear" w:color="auto" w:fill="FFFFFF" w:themeFill="background1"/>
            <w:vAlign w:val="center"/>
          </w:tcPr>
          <w:p w14:paraId="215E0855">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32" w:type="pct"/>
            <w:shd w:val="clear" w:color="auto" w:fill="FFFFFF" w:themeFill="background1"/>
            <w:vAlign w:val="center"/>
          </w:tcPr>
          <w:p w14:paraId="24AF5599">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rPr>
            </w:pPr>
            <w:r>
              <w:rPr>
                <w:rFonts w:hint="eastAsia" w:cs="宋体"/>
                <w:b/>
                <w:bCs/>
                <w:color w:val="auto"/>
                <w:sz w:val="24"/>
                <w:szCs w:val="24"/>
                <w:highlight w:val="none"/>
                <w:lang w:val="en-US" w:eastAsia="zh-CN"/>
              </w:rPr>
              <w:t>/</w:t>
            </w:r>
          </w:p>
        </w:tc>
      </w:tr>
      <w:tr w14:paraId="26E76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816" w:hRule="atLeast"/>
          <w:jc w:val="center"/>
        </w:trPr>
        <w:tc>
          <w:tcPr>
            <w:tcW w:w="425" w:type="pct"/>
            <w:shd w:val="clear" w:color="auto" w:fill="FFFFFF" w:themeFill="background1"/>
            <w:vAlign w:val="center"/>
          </w:tcPr>
          <w:p w14:paraId="1AF8CF7F">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1-1</w:t>
            </w:r>
          </w:p>
        </w:tc>
        <w:tc>
          <w:tcPr>
            <w:tcW w:w="1316" w:type="pct"/>
            <w:shd w:val="clear" w:color="auto" w:fill="FFFFFF" w:themeFill="background1"/>
            <w:vAlign w:val="center"/>
          </w:tcPr>
          <w:p w14:paraId="055CD5DC">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具有独立承担民事责任的能力</w:t>
            </w:r>
          </w:p>
        </w:tc>
        <w:tc>
          <w:tcPr>
            <w:tcW w:w="2425" w:type="pct"/>
            <w:shd w:val="clear" w:color="auto" w:fill="FFFFFF" w:themeFill="background1"/>
            <w:vAlign w:val="center"/>
          </w:tcPr>
          <w:p w14:paraId="7DB1C26A">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投标人为企业（包括合伙企业）的，应提供有效的“营业执照”； </w:t>
            </w:r>
          </w:p>
          <w:p w14:paraId="693E34B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投标人为事业单位的，应提供有效的“事业单位法人证书” ； </w:t>
            </w:r>
          </w:p>
          <w:p w14:paraId="0BB3751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投标人是非企业机构的，应提供有效的“执业许可证”、“登记证书”等证明文件； </w:t>
            </w:r>
          </w:p>
          <w:p w14:paraId="0667B6C1">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6"/>
                <w:sz w:val="24"/>
                <w:szCs w:val="24"/>
                <w:highlight w:val="none"/>
              </w:rPr>
            </w:pPr>
            <w:r>
              <w:rPr>
                <w:rFonts w:hint="eastAsia" w:ascii="宋体" w:hAnsi="宋体" w:eastAsia="宋体" w:cs="宋体"/>
                <w:color w:val="auto"/>
                <w:spacing w:val="-6"/>
                <w:kern w:val="0"/>
                <w:sz w:val="24"/>
                <w:szCs w:val="24"/>
                <w:highlight w:val="none"/>
                <w:lang w:val="en-US" w:eastAsia="zh-CN" w:bidi="ar"/>
              </w:rPr>
              <w:t xml:space="preserve">投标人是个体工商户的，应提供有效的“个体工商户营业执照”； </w:t>
            </w:r>
          </w:p>
          <w:p w14:paraId="3CB6034C">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11"/>
                <w:kern w:val="0"/>
                <w:sz w:val="24"/>
                <w:szCs w:val="24"/>
                <w:highlight w:val="none"/>
                <w:lang w:val="en-US" w:eastAsia="zh-CN" w:bidi="ar"/>
              </w:rPr>
              <w:t>投标人是自然人的，应提供有效的自然人身份证明。</w:t>
            </w:r>
          </w:p>
        </w:tc>
        <w:tc>
          <w:tcPr>
            <w:tcW w:w="832" w:type="pct"/>
            <w:shd w:val="clear" w:color="auto" w:fill="FFFFFF" w:themeFill="background1"/>
            <w:vAlign w:val="center"/>
          </w:tcPr>
          <w:p w14:paraId="60CD4B8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提供证明文件的电子件或电子证照</w:t>
            </w:r>
          </w:p>
        </w:tc>
      </w:tr>
      <w:tr w14:paraId="5486F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48" w:hRule="atLeast"/>
          <w:jc w:val="center"/>
        </w:trPr>
        <w:tc>
          <w:tcPr>
            <w:tcW w:w="425" w:type="pct"/>
            <w:shd w:val="clear" w:color="auto" w:fill="FFFFFF" w:themeFill="background1"/>
            <w:vAlign w:val="center"/>
          </w:tcPr>
          <w:p w14:paraId="1B6B10C6">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1-2</w:t>
            </w:r>
          </w:p>
        </w:tc>
        <w:tc>
          <w:tcPr>
            <w:tcW w:w="1316" w:type="pct"/>
            <w:shd w:val="clear" w:color="auto" w:fill="FFFFFF" w:themeFill="background1"/>
            <w:vAlign w:val="center"/>
          </w:tcPr>
          <w:p w14:paraId="1BD0E12D">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pacing w:val="-6"/>
                <w:kern w:val="0"/>
                <w:sz w:val="24"/>
                <w:szCs w:val="24"/>
                <w:highlight w:val="none"/>
                <w:lang w:val="en-US" w:eastAsia="zh-CN" w:bidi="ar"/>
              </w:rPr>
              <w:t>具有良好的商业信誉和健全的财务会计制度</w:t>
            </w:r>
          </w:p>
        </w:tc>
        <w:tc>
          <w:tcPr>
            <w:tcW w:w="2425" w:type="pct"/>
            <w:shd w:val="clear" w:color="auto" w:fill="FFFFFF" w:themeFill="background1"/>
            <w:vAlign w:val="center"/>
          </w:tcPr>
          <w:p w14:paraId="36758E5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i w:val="0"/>
                <w:iCs w:val="0"/>
                <w:color w:val="auto"/>
                <w:spacing w:val="-6"/>
                <w:kern w:val="0"/>
                <w:sz w:val="24"/>
                <w:szCs w:val="24"/>
                <w:highlight w:val="none"/>
                <w:lang w:val="en-US" w:eastAsia="zh-CN" w:bidi="ar"/>
              </w:rPr>
            </w:pPr>
            <w:r>
              <w:rPr>
                <w:rFonts w:hint="eastAsia" w:ascii="宋体" w:hAnsi="宋体" w:eastAsia="宋体" w:cs="宋体"/>
                <w:i w:val="0"/>
                <w:iCs w:val="0"/>
                <w:color w:val="auto"/>
                <w:spacing w:val="-6"/>
                <w:kern w:val="0"/>
                <w:sz w:val="24"/>
                <w:szCs w:val="24"/>
                <w:highlight w:val="none"/>
                <w:lang w:val="en-US" w:eastAsia="zh-CN" w:bidi="ar"/>
              </w:rPr>
              <w:t xml:space="preserve">满足下列一项即可： </w:t>
            </w:r>
          </w:p>
          <w:p w14:paraId="1CE13982">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i w:val="0"/>
                <w:iCs w:val="0"/>
                <w:color w:val="auto"/>
                <w:spacing w:val="-6"/>
                <w:kern w:val="0"/>
                <w:sz w:val="24"/>
                <w:szCs w:val="24"/>
                <w:highlight w:val="none"/>
                <w:lang w:val="en-US" w:eastAsia="zh-CN" w:bidi="ar"/>
              </w:rPr>
            </w:pPr>
            <w:r>
              <w:rPr>
                <w:rFonts w:hint="eastAsia" w:ascii="宋体" w:hAnsi="宋体" w:eastAsia="宋体" w:cs="宋体"/>
                <w:i w:val="0"/>
                <w:iCs w:val="0"/>
                <w:color w:val="auto"/>
                <w:spacing w:val="-6"/>
                <w:kern w:val="0"/>
                <w:sz w:val="24"/>
                <w:szCs w:val="24"/>
                <w:highlight w:val="none"/>
                <w:lang w:val="en-US" w:eastAsia="zh-CN" w:bidi="ar"/>
              </w:rPr>
              <w:t>■提供上年度</w:t>
            </w:r>
            <w:r>
              <w:rPr>
                <w:rFonts w:hint="eastAsia" w:ascii="宋体" w:hAnsi="宋体" w:eastAsia="宋体" w:cs="宋体"/>
                <w:i w:val="0"/>
                <w:iCs w:val="0"/>
                <w:color w:val="auto"/>
                <w:spacing w:val="-6"/>
                <w:kern w:val="0"/>
                <w:sz w:val="24"/>
                <w:szCs w:val="24"/>
                <w:highlight w:val="none"/>
                <w:lang w:val="en-US" w:eastAsia="zh-Hans" w:bidi="ar"/>
              </w:rPr>
              <w:t>或</w:t>
            </w:r>
            <w:r>
              <w:rPr>
                <w:rFonts w:hint="eastAsia" w:ascii="宋体" w:hAnsi="宋体" w:eastAsia="宋体" w:cs="宋体"/>
                <w:i w:val="0"/>
                <w:iCs w:val="0"/>
                <w:color w:val="auto"/>
                <w:spacing w:val="-6"/>
                <w:kern w:val="0"/>
                <w:sz w:val="24"/>
                <w:szCs w:val="24"/>
                <w:highlight w:val="none"/>
                <w:lang w:val="en-US" w:eastAsia="zh-CN" w:bidi="ar"/>
              </w:rPr>
              <w:t>上上</w:t>
            </w:r>
            <w:r>
              <w:rPr>
                <w:rFonts w:hint="eastAsia" w:ascii="宋体" w:hAnsi="宋体" w:eastAsia="宋体" w:cs="宋体"/>
                <w:i w:val="0"/>
                <w:iCs w:val="0"/>
                <w:color w:val="auto"/>
                <w:spacing w:val="-6"/>
                <w:kern w:val="0"/>
                <w:sz w:val="24"/>
                <w:szCs w:val="24"/>
                <w:highlight w:val="none"/>
                <w:lang w:val="en-US" w:eastAsia="zh-Hans" w:bidi="ar"/>
              </w:rPr>
              <w:t>年度</w:t>
            </w:r>
            <w:r>
              <w:rPr>
                <w:rFonts w:hint="eastAsia" w:ascii="宋体" w:hAnsi="宋体" w:eastAsia="宋体" w:cs="宋体"/>
                <w:i w:val="0"/>
                <w:iCs w:val="0"/>
                <w:color w:val="auto"/>
                <w:spacing w:val="-6"/>
                <w:kern w:val="0"/>
                <w:sz w:val="24"/>
                <w:szCs w:val="24"/>
                <w:highlight w:val="none"/>
                <w:lang w:val="en-US" w:eastAsia="zh-CN" w:bidi="ar"/>
              </w:rPr>
              <w:t>财务审计报告，成立时间不足1年的，可提供成立时间至当前时间节点的财务状况报告。</w:t>
            </w:r>
          </w:p>
          <w:p w14:paraId="5EC71B40">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pacing w:val="-6"/>
                <w:kern w:val="0"/>
                <w:sz w:val="24"/>
                <w:szCs w:val="24"/>
                <w:highlight w:val="none"/>
                <w:lang w:val="en-US" w:eastAsia="zh-CN" w:bidi="ar"/>
              </w:rPr>
              <w:t>■提供距投标截止时间3个月内基本开户银行出具的资信证明。</w:t>
            </w:r>
          </w:p>
        </w:tc>
        <w:tc>
          <w:tcPr>
            <w:tcW w:w="832" w:type="pct"/>
            <w:shd w:val="clear" w:color="auto" w:fill="FFFFFF" w:themeFill="background1"/>
            <w:vAlign w:val="center"/>
          </w:tcPr>
          <w:p w14:paraId="1422A2B6">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提供证明文件的电子件或电子证照</w:t>
            </w:r>
          </w:p>
        </w:tc>
      </w:tr>
      <w:tr w14:paraId="0881D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843" w:hRule="atLeast"/>
          <w:jc w:val="center"/>
        </w:trPr>
        <w:tc>
          <w:tcPr>
            <w:tcW w:w="425" w:type="pct"/>
            <w:shd w:val="clear" w:color="auto" w:fill="FFFFFF" w:themeFill="background1"/>
            <w:vAlign w:val="center"/>
          </w:tcPr>
          <w:p w14:paraId="0A4E48AD">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1-3</w:t>
            </w:r>
          </w:p>
        </w:tc>
        <w:tc>
          <w:tcPr>
            <w:tcW w:w="1316" w:type="pct"/>
            <w:shd w:val="clear" w:color="auto" w:fill="FFFFFF" w:themeFill="background1"/>
            <w:vAlign w:val="center"/>
          </w:tcPr>
          <w:p w14:paraId="6F347850">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pacing w:val="-6"/>
                <w:kern w:val="0"/>
                <w:sz w:val="24"/>
                <w:szCs w:val="24"/>
                <w:highlight w:val="none"/>
                <w:lang w:val="en-US" w:eastAsia="zh-CN" w:bidi="ar"/>
              </w:rPr>
              <w:t>有依法缴纳税收和社会保障资金的良好记录</w:t>
            </w:r>
          </w:p>
        </w:tc>
        <w:tc>
          <w:tcPr>
            <w:tcW w:w="2425" w:type="pct"/>
            <w:shd w:val="clear" w:color="auto" w:fill="FFFFFF" w:themeFill="background1"/>
            <w:vAlign w:val="center"/>
          </w:tcPr>
          <w:p w14:paraId="1A0058F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i w:val="0"/>
                <w:iCs w:val="0"/>
                <w:color w:val="auto"/>
                <w:spacing w:val="-6"/>
                <w:kern w:val="0"/>
                <w:sz w:val="24"/>
                <w:szCs w:val="24"/>
                <w:highlight w:val="none"/>
                <w:lang w:val="en-US" w:eastAsia="zh-CN" w:bidi="ar"/>
              </w:rPr>
              <w:t>提供近一年内任意3个月依法缴纳税收和社会保障资金的证明材料；依法免税企业，应提供相关证明文件；新成立的企业，可提供自成立以来相应证明材料。</w:t>
            </w:r>
          </w:p>
        </w:tc>
        <w:tc>
          <w:tcPr>
            <w:tcW w:w="832" w:type="pct"/>
            <w:shd w:val="clear" w:color="auto" w:fill="FFFFFF" w:themeFill="background1"/>
            <w:vAlign w:val="center"/>
          </w:tcPr>
          <w:p w14:paraId="0D14032D">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提供证明文件的电子件或电子证照</w:t>
            </w:r>
          </w:p>
        </w:tc>
      </w:tr>
      <w:tr w14:paraId="7DDB6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20" w:hRule="atLeast"/>
          <w:jc w:val="center"/>
        </w:trPr>
        <w:tc>
          <w:tcPr>
            <w:tcW w:w="425" w:type="pct"/>
            <w:shd w:val="clear" w:color="auto" w:fill="FFFFFF" w:themeFill="background1"/>
            <w:vAlign w:val="center"/>
          </w:tcPr>
          <w:p w14:paraId="330FEA22">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1-4</w:t>
            </w:r>
          </w:p>
        </w:tc>
        <w:tc>
          <w:tcPr>
            <w:tcW w:w="1316" w:type="pct"/>
            <w:shd w:val="clear" w:color="auto" w:fill="FFFFFF" w:themeFill="background1"/>
            <w:vAlign w:val="center"/>
          </w:tcPr>
          <w:p w14:paraId="60F45FA7">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供应商信用承诺函</w:t>
            </w:r>
          </w:p>
        </w:tc>
        <w:tc>
          <w:tcPr>
            <w:tcW w:w="2425" w:type="pct"/>
            <w:shd w:val="clear" w:color="auto" w:fill="FFFFFF" w:themeFill="background1"/>
            <w:vAlign w:val="center"/>
          </w:tcPr>
          <w:p w14:paraId="2B64265B">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提供了符合招标文件要求的</w:t>
            </w:r>
            <w:r>
              <w:rPr>
                <w:rFonts w:hint="eastAsia" w:cs="宋体"/>
                <w:color w:val="auto"/>
                <w:sz w:val="24"/>
                <w:szCs w:val="24"/>
                <w:highlight w:val="none"/>
                <w:lang w:val="en-US" w:eastAsia="zh-CN"/>
              </w:rPr>
              <w:t>《</w:t>
            </w:r>
            <w:r>
              <w:rPr>
                <w:rFonts w:hint="eastAsia" w:cs="宋体"/>
                <w:i w:val="0"/>
                <w:iCs w:val="0"/>
                <w:color w:val="auto"/>
                <w:spacing w:val="-6"/>
                <w:kern w:val="0"/>
                <w:sz w:val="24"/>
                <w:szCs w:val="24"/>
                <w:highlight w:val="none"/>
                <w:lang w:val="en-US" w:eastAsia="zh-CN" w:bidi="ar"/>
              </w:rPr>
              <w:t>供应商信用承诺函</w:t>
            </w:r>
            <w:r>
              <w:rPr>
                <w:rFonts w:hint="eastAsia" w:cs="宋体"/>
                <w:color w:val="auto"/>
                <w:sz w:val="24"/>
                <w:szCs w:val="24"/>
                <w:highlight w:val="none"/>
                <w:lang w:val="en-US" w:eastAsia="zh-CN"/>
              </w:rPr>
              <w:t>》</w:t>
            </w:r>
          </w:p>
        </w:tc>
        <w:tc>
          <w:tcPr>
            <w:tcW w:w="832" w:type="pct"/>
            <w:shd w:val="clear" w:color="auto" w:fill="FFFFFF" w:themeFill="background1"/>
            <w:vAlign w:val="center"/>
          </w:tcPr>
          <w:p w14:paraId="0ACC3285">
            <w:pPr>
              <w:keepNext w:val="0"/>
              <w:keepLines w:val="0"/>
              <w:pageBreakBefore w:val="0"/>
              <w:widowControl/>
              <w:suppressLineNumbers w:val="0"/>
              <w:kinsoku/>
              <w:wordWrap/>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rPr>
            </w:pPr>
            <w:r>
              <w:rPr>
                <w:rFonts w:hint="eastAsia" w:cs="宋体"/>
                <w:i w:val="0"/>
                <w:iCs w:val="0"/>
                <w:color w:val="auto"/>
                <w:spacing w:val="-6"/>
                <w:kern w:val="0"/>
                <w:sz w:val="24"/>
                <w:szCs w:val="24"/>
                <w:highlight w:val="none"/>
                <w:lang w:val="en-US" w:eastAsia="zh-CN" w:bidi="ar"/>
              </w:rPr>
              <w:t>格式详见</w:t>
            </w:r>
            <w:r>
              <w:rPr>
                <w:rFonts w:hint="eastAsia" w:ascii="宋体" w:hAnsi="宋体" w:eastAsia="宋体" w:cs="宋体"/>
                <w:color w:val="auto"/>
                <w:kern w:val="0"/>
                <w:sz w:val="24"/>
                <w:szCs w:val="24"/>
                <w:highlight w:val="none"/>
                <w:lang w:val="en-US" w:eastAsia="zh-CN" w:bidi="ar"/>
              </w:rPr>
              <w:t>《第七章 投标文件格式》</w:t>
            </w:r>
            <w:r>
              <w:rPr>
                <w:rFonts w:hint="eastAsia" w:cs="宋体"/>
                <w:i w:val="0"/>
                <w:iCs w:val="0"/>
                <w:color w:val="auto"/>
                <w:spacing w:val="-6"/>
                <w:kern w:val="0"/>
                <w:sz w:val="24"/>
                <w:szCs w:val="24"/>
                <w:highlight w:val="none"/>
                <w:lang w:val="en-US" w:eastAsia="zh-CN" w:bidi="ar"/>
              </w:rPr>
              <w:t>供应商信用承诺函</w:t>
            </w:r>
          </w:p>
        </w:tc>
      </w:tr>
      <w:tr w14:paraId="5B37E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103" w:hRule="atLeast"/>
          <w:jc w:val="center"/>
        </w:trPr>
        <w:tc>
          <w:tcPr>
            <w:tcW w:w="425" w:type="pct"/>
            <w:shd w:val="clear" w:color="auto" w:fill="FFFFFF" w:themeFill="background1"/>
            <w:vAlign w:val="center"/>
          </w:tcPr>
          <w:p w14:paraId="45F0574F">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w:t>
            </w:r>
          </w:p>
        </w:tc>
        <w:tc>
          <w:tcPr>
            <w:tcW w:w="1316" w:type="pct"/>
            <w:shd w:val="clear" w:color="auto" w:fill="FFFFFF" w:themeFill="background1"/>
            <w:vAlign w:val="center"/>
          </w:tcPr>
          <w:p w14:paraId="004158CF">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落实政府采购政策需满足的资格要求</w:t>
            </w:r>
          </w:p>
        </w:tc>
        <w:tc>
          <w:tcPr>
            <w:tcW w:w="2425" w:type="pct"/>
            <w:shd w:val="clear" w:color="auto" w:fill="FFFFFF" w:themeFill="background1"/>
            <w:vAlign w:val="center"/>
          </w:tcPr>
          <w:p w14:paraId="3E10D772">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32" w:type="pct"/>
            <w:shd w:val="clear" w:color="auto" w:fill="FFFFFF" w:themeFill="background1"/>
            <w:vAlign w:val="center"/>
          </w:tcPr>
          <w:p w14:paraId="0BFAF045">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w:t>
            </w:r>
          </w:p>
        </w:tc>
      </w:tr>
      <w:tr w14:paraId="1F030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98" w:hRule="atLeast"/>
          <w:jc w:val="center"/>
        </w:trPr>
        <w:tc>
          <w:tcPr>
            <w:tcW w:w="425" w:type="pct"/>
            <w:shd w:val="clear" w:color="auto" w:fill="FFFFFF" w:themeFill="background1"/>
            <w:vAlign w:val="center"/>
          </w:tcPr>
          <w:p w14:paraId="61B9AA42">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2-1</w:t>
            </w:r>
          </w:p>
        </w:tc>
        <w:tc>
          <w:tcPr>
            <w:tcW w:w="1316" w:type="pct"/>
            <w:shd w:val="clear" w:color="auto" w:fill="FFFFFF" w:themeFill="background1"/>
            <w:vAlign w:val="center"/>
          </w:tcPr>
          <w:p w14:paraId="4524F3DA">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kern w:val="0"/>
                <w:sz w:val="24"/>
                <w:szCs w:val="24"/>
                <w:highlight w:val="none"/>
                <w:lang w:val="en-US" w:eastAsia="zh-CN" w:bidi="ar"/>
              </w:rPr>
              <w:t>中小企业政策</w:t>
            </w:r>
          </w:p>
        </w:tc>
        <w:tc>
          <w:tcPr>
            <w:tcW w:w="2425" w:type="pct"/>
            <w:shd w:val="clear" w:color="auto" w:fill="FFFFFF" w:themeFill="background1"/>
            <w:vAlign w:val="center"/>
          </w:tcPr>
          <w:p w14:paraId="3BC7BED9">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具体规定见“第一章 招标公告”</w:t>
            </w:r>
          </w:p>
        </w:tc>
        <w:tc>
          <w:tcPr>
            <w:tcW w:w="832" w:type="pct"/>
            <w:shd w:val="clear" w:color="auto" w:fill="FFFFFF" w:themeFill="background1"/>
            <w:vAlign w:val="center"/>
          </w:tcPr>
          <w:p w14:paraId="1657D6EE">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w:t>
            </w:r>
          </w:p>
        </w:tc>
      </w:tr>
      <w:tr w14:paraId="17E9C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72" w:hRule="atLeast"/>
          <w:jc w:val="center"/>
        </w:trPr>
        <w:tc>
          <w:tcPr>
            <w:tcW w:w="425" w:type="pct"/>
            <w:shd w:val="clear" w:color="auto" w:fill="FFFFFF" w:themeFill="background1"/>
            <w:vAlign w:val="center"/>
          </w:tcPr>
          <w:p w14:paraId="146FC928">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p>
        </w:tc>
        <w:tc>
          <w:tcPr>
            <w:tcW w:w="1316" w:type="pct"/>
            <w:shd w:val="clear" w:color="auto" w:fill="FFFFFF" w:themeFill="background1"/>
            <w:vAlign w:val="center"/>
          </w:tcPr>
          <w:p w14:paraId="2D441054">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本项目的特定资格要求</w:t>
            </w:r>
          </w:p>
        </w:tc>
        <w:tc>
          <w:tcPr>
            <w:tcW w:w="2425" w:type="pct"/>
            <w:shd w:val="clear" w:color="auto" w:fill="FFFFFF" w:themeFill="background1"/>
            <w:vAlign w:val="center"/>
          </w:tcPr>
          <w:p w14:paraId="192E4791">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如有，见</w:t>
            </w:r>
            <w:r>
              <w:rPr>
                <w:rFonts w:hint="eastAsia" w:ascii="宋体" w:hAnsi="宋体" w:eastAsia="宋体" w:cs="宋体"/>
                <w:color w:val="auto"/>
                <w:sz w:val="24"/>
                <w:szCs w:val="24"/>
                <w:highlight w:val="none"/>
                <w:lang w:val="en-US" w:eastAsia="zh-CN"/>
              </w:rPr>
              <w:t>“第一章 招标公告”</w:t>
            </w:r>
          </w:p>
        </w:tc>
        <w:tc>
          <w:tcPr>
            <w:tcW w:w="832" w:type="pct"/>
            <w:shd w:val="clear" w:color="auto" w:fill="FFFFFF" w:themeFill="background1"/>
            <w:vAlign w:val="center"/>
          </w:tcPr>
          <w:p w14:paraId="7EC0AFB6">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cs="宋体"/>
                <w:b/>
                <w:bCs/>
                <w:color w:val="auto"/>
                <w:sz w:val="24"/>
                <w:szCs w:val="24"/>
                <w:highlight w:val="none"/>
                <w:lang w:val="en-US" w:eastAsia="zh-CN"/>
              </w:rPr>
              <w:t>/</w:t>
            </w:r>
          </w:p>
        </w:tc>
      </w:tr>
      <w:tr w14:paraId="7BF8B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872" w:hRule="atLeast"/>
          <w:jc w:val="center"/>
        </w:trPr>
        <w:tc>
          <w:tcPr>
            <w:tcW w:w="425" w:type="pct"/>
            <w:shd w:val="clear" w:color="auto" w:fill="FFFFFF" w:themeFill="background1"/>
            <w:vAlign w:val="center"/>
          </w:tcPr>
          <w:p w14:paraId="638B0A72">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3-</w:t>
            </w:r>
            <w:r>
              <w:rPr>
                <w:rFonts w:hint="eastAsia" w:cs="宋体"/>
                <w:b/>
                <w:bCs/>
                <w:color w:val="auto"/>
                <w:sz w:val="24"/>
                <w:szCs w:val="24"/>
                <w:highlight w:val="none"/>
                <w:lang w:val="en-US" w:eastAsia="zh-CN"/>
              </w:rPr>
              <w:t>1</w:t>
            </w:r>
          </w:p>
        </w:tc>
        <w:tc>
          <w:tcPr>
            <w:tcW w:w="1316" w:type="pct"/>
            <w:shd w:val="clear" w:color="auto" w:fill="FFFFFF" w:themeFill="background1"/>
            <w:vAlign w:val="center"/>
          </w:tcPr>
          <w:p w14:paraId="0B22FA5B">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本项目属于政府购买服务，投标人应不属于公益一类事业单位、使用事业编制且由财政拨款保障的群团组织</w:t>
            </w:r>
            <w:r>
              <w:rPr>
                <w:rFonts w:hint="eastAsia" w:cs="宋体"/>
                <w:color w:val="auto"/>
                <w:kern w:val="0"/>
                <w:sz w:val="24"/>
                <w:szCs w:val="24"/>
                <w:highlight w:val="none"/>
                <w:lang w:val="en-US" w:eastAsia="zh-CN" w:bidi="ar"/>
              </w:rPr>
              <w:t>。</w:t>
            </w:r>
          </w:p>
        </w:tc>
        <w:tc>
          <w:tcPr>
            <w:tcW w:w="2425" w:type="pct"/>
            <w:shd w:val="clear" w:color="auto" w:fill="FFFFFF" w:themeFill="background1"/>
            <w:vAlign w:val="center"/>
          </w:tcPr>
          <w:p w14:paraId="23F81034">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提供符合招标文件要求的</w:t>
            </w:r>
            <w:r>
              <w:rPr>
                <w:rFonts w:hint="eastAsia" w:cs="宋体"/>
                <w:color w:val="auto"/>
                <w:sz w:val="24"/>
                <w:szCs w:val="24"/>
                <w:highlight w:val="none"/>
                <w:lang w:val="en-US" w:eastAsia="zh-CN"/>
              </w:rPr>
              <w:t>《</w:t>
            </w:r>
            <w:r>
              <w:rPr>
                <w:rFonts w:hint="eastAsia" w:cs="宋体"/>
                <w:i w:val="0"/>
                <w:iCs w:val="0"/>
                <w:color w:val="auto"/>
                <w:spacing w:val="-6"/>
                <w:kern w:val="0"/>
                <w:sz w:val="24"/>
                <w:szCs w:val="24"/>
                <w:highlight w:val="none"/>
                <w:lang w:val="en-US" w:eastAsia="zh-CN" w:bidi="ar"/>
              </w:rPr>
              <w:t>供应商投标声明</w:t>
            </w:r>
            <w:r>
              <w:rPr>
                <w:rFonts w:hint="eastAsia" w:cs="宋体"/>
                <w:color w:val="auto"/>
                <w:sz w:val="24"/>
                <w:szCs w:val="24"/>
                <w:highlight w:val="none"/>
                <w:lang w:val="en-US" w:eastAsia="zh-CN"/>
              </w:rPr>
              <w:t>》</w:t>
            </w:r>
          </w:p>
        </w:tc>
        <w:tc>
          <w:tcPr>
            <w:tcW w:w="832" w:type="pct"/>
            <w:shd w:val="clear" w:color="auto" w:fill="FFFFFF" w:themeFill="background1"/>
            <w:vAlign w:val="center"/>
          </w:tcPr>
          <w:p w14:paraId="33841DB9">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cs="宋体"/>
                <w:b/>
                <w:bCs/>
                <w:color w:val="auto"/>
                <w:sz w:val="24"/>
                <w:szCs w:val="24"/>
                <w:highlight w:val="none"/>
                <w:lang w:val="en-US" w:eastAsia="zh-CN"/>
              </w:rPr>
            </w:pPr>
            <w:r>
              <w:rPr>
                <w:rFonts w:hint="eastAsia" w:cs="宋体"/>
                <w:i w:val="0"/>
                <w:iCs w:val="0"/>
                <w:color w:val="auto"/>
                <w:spacing w:val="-6"/>
                <w:kern w:val="0"/>
                <w:sz w:val="24"/>
                <w:szCs w:val="24"/>
                <w:highlight w:val="none"/>
                <w:lang w:val="en-US" w:eastAsia="zh-CN" w:bidi="ar"/>
              </w:rPr>
              <w:t>格式详见第七章 投标文件的格式 供应商投标声明</w:t>
            </w:r>
          </w:p>
        </w:tc>
      </w:tr>
      <w:tr w14:paraId="3D7C4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66" w:hRule="atLeast"/>
          <w:jc w:val="center"/>
        </w:trPr>
        <w:tc>
          <w:tcPr>
            <w:tcW w:w="425" w:type="pct"/>
            <w:shd w:val="clear" w:color="auto" w:fill="FFFFFF" w:themeFill="background1"/>
            <w:vAlign w:val="center"/>
          </w:tcPr>
          <w:p w14:paraId="5FFF96DA">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3-2</w:t>
            </w:r>
          </w:p>
        </w:tc>
        <w:tc>
          <w:tcPr>
            <w:tcW w:w="1316" w:type="pct"/>
            <w:shd w:val="clear" w:color="auto" w:fill="FFFFFF" w:themeFill="background1"/>
            <w:vAlign w:val="center"/>
          </w:tcPr>
          <w:p w14:paraId="2E4C33AD">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单位负责人为同一人或者存在直接控股、管理关系的不同供应商，不得参加同一合同项下的政府采购活动</w:t>
            </w:r>
          </w:p>
        </w:tc>
        <w:tc>
          <w:tcPr>
            <w:tcW w:w="2425" w:type="pct"/>
            <w:shd w:val="clear" w:color="auto" w:fill="FFFFFF" w:themeFill="background1"/>
            <w:vAlign w:val="center"/>
          </w:tcPr>
          <w:p w14:paraId="2E3A291D">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提供符合招标文件要求的</w:t>
            </w:r>
            <w:r>
              <w:rPr>
                <w:rFonts w:hint="eastAsia" w:cs="宋体"/>
                <w:color w:val="auto"/>
                <w:sz w:val="24"/>
                <w:szCs w:val="24"/>
                <w:highlight w:val="none"/>
                <w:lang w:val="en-US" w:eastAsia="zh-CN"/>
              </w:rPr>
              <w:t>《</w:t>
            </w:r>
            <w:r>
              <w:rPr>
                <w:rFonts w:hint="eastAsia" w:cs="宋体"/>
                <w:i w:val="0"/>
                <w:iCs w:val="0"/>
                <w:color w:val="auto"/>
                <w:spacing w:val="-6"/>
                <w:kern w:val="0"/>
                <w:sz w:val="24"/>
                <w:szCs w:val="24"/>
                <w:highlight w:val="none"/>
                <w:lang w:val="en-US" w:eastAsia="zh-CN" w:bidi="ar"/>
              </w:rPr>
              <w:t>供应商投标声明</w:t>
            </w:r>
            <w:r>
              <w:rPr>
                <w:rFonts w:hint="eastAsia" w:cs="宋体"/>
                <w:color w:val="auto"/>
                <w:sz w:val="24"/>
                <w:szCs w:val="24"/>
                <w:highlight w:val="none"/>
                <w:lang w:val="en-US" w:eastAsia="zh-CN"/>
              </w:rPr>
              <w:t>》</w:t>
            </w:r>
          </w:p>
        </w:tc>
        <w:tc>
          <w:tcPr>
            <w:tcW w:w="832" w:type="pct"/>
            <w:shd w:val="clear" w:color="auto" w:fill="FFFFFF" w:themeFill="background1"/>
            <w:vAlign w:val="center"/>
          </w:tcPr>
          <w:p w14:paraId="3F44BDC5">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cs="宋体"/>
                <w:i w:val="0"/>
                <w:iCs w:val="0"/>
                <w:color w:val="auto"/>
                <w:spacing w:val="-6"/>
                <w:kern w:val="0"/>
                <w:sz w:val="24"/>
                <w:szCs w:val="24"/>
                <w:highlight w:val="none"/>
                <w:lang w:val="en-US" w:eastAsia="zh-CN" w:bidi="ar"/>
              </w:rPr>
              <w:t>格式详见第七章 投标文件的格式 供应商投标声明</w:t>
            </w:r>
          </w:p>
        </w:tc>
      </w:tr>
      <w:tr w14:paraId="7F003D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47" w:hRule="atLeast"/>
          <w:jc w:val="center"/>
        </w:trPr>
        <w:tc>
          <w:tcPr>
            <w:tcW w:w="425" w:type="pct"/>
            <w:shd w:val="clear" w:color="auto" w:fill="FFFFFF" w:themeFill="background1"/>
            <w:vAlign w:val="center"/>
          </w:tcPr>
          <w:p w14:paraId="0452EB92">
            <w:pPr>
              <w:pStyle w:val="51"/>
              <w:keepNext w:val="0"/>
              <w:keepLines w:val="0"/>
              <w:pageBreakBefore w:val="0"/>
              <w:kinsoku/>
              <w:overflowPunct/>
              <w:topLinePunct w:val="0"/>
              <w:autoSpaceDE/>
              <w:autoSpaceDN/>
              <w:bidi w:val="0"/>
              <w:adjustRightInd/>
              <w:snapToGrid/>
              <w:spacing w:line="400" w:lineRule="exact"/>
              <w:jc w:val="left"/>
              <w:textAlignment w:val="auto"/>
              <w:rPr>
                <w:rFonts w:hint="default" w:ascii="宋体" w:hAnsi="宋体" w:eastAsia="宋体" w:cs="宋体"/>
                <w:b/>
                <w:bCs/>
                <w:color w:val="auto"/>
                <w:sz w:val="24"/>
                <w:szCs w:val="24"/>
                <w:highlight w:val="none"/>
                <w:lang w:val="en-US" w:eastAsia="zh-CN"/>
              </w:rPr>
            </w:pPr>
            <w:r>
              <w:rPr>
                <w:rFonts w:hint="eastAsia" w:cs="宋体"/>
                <w:b/>
                <w:bCs/>
                <w:color w:val="auto"/>
                <w:sz w:val="24"/>
                <w:szCs w:val="24"/>
                <w:highlight w:val="none"/>
                <w:lang w:val="en-US" w:eastAsia="zh-CN"/>
              </w:rPr>
              <w:t>3-3</w:t>
            </w:r>
          </w:p>
        </w:tc>
        <w:tc>
          <w:tcPr>
            <w:tcW w:w="1316" w:type="pct"/>
            <w:shd w:val="clear" w:color="auto" w:fill="FFFFFF" w:themeFill="background1"/>
            <w:vAlign w:val="center"/>
          </w:tcPr>
          <w:p w14:paraId="08F77E83">
            <w:pPr>
              <w:pStyle w:val="51"/>
              <w:keepNext w:val="0"/>
              <w:keepLines w:val="0"/>
              <w:pageBreakBefore w:val="0"/>
              <w:kinsoku/>
              <w:overflowPunct/>
              <w:topLinePunct w:val="0"/>
              <w:autoSpaceDE/>
              <w:autoSpaceDN/>
              <w:bidi w:val="0"/>
              <w:adjustRightInd/>
              <w:snapToGrid/>
              <w:spacing w:line="400" w:lineRule="exact"/>
              <w:jc w:val="left"/>
              <w:textAlignment w:val="auto"/>
              <w:rPr>
                <w:rFonts w:hint="default" w:ascii="宋体" w:hAnsi="宋体" w:eastAsia="宋体" w:cs="宋体"/>
                <w:color w:val="auto"/>
                <w:kern w:val="0"/>
                <w:sz w:val="24"/>
                <w:szCs w:val="24"/>
                <w:highlight w:val="none"/>
                <w:lang w:val="en-US" w:eastAsia="zh-CN" w:bidi="ar"/>
              </w:rPr>
            </w:pPr>
            <w:r>
              <w:rPr>
                <w:rFonts w:hint="default" w:ascii="宋体" w:hAnsi="宋体" w:eastAsia="宋体" w:cs="宋体"/>
                <w:color w:val="auto"/>
                <w:kern w:val="0"/>
                <w:sz w:val="24"/>
                <w:szCs w:val="24"/>
                <w:highlight w:val="none"/>
                <w:lang w:val="en-US" w:eastAsia="zh-CN" w:bidi="ar"/>
              </w:rPr>
              <w:t>为采购项目提供整体设计、规范编制或者项目管理、监理、检测等服务的供应商，不得再参加该采购项目的其他采购活动。</w:t>
            </w:r>
          </w:p>
        </w:tc>
        <w:tc>
          <w:tcPr>
            <w:tcW w:w="2425" w:type="pct"/>
            <w:shd w:val="clear" w:color="auto" w:fill="FFFFFF" w:themeFill="background1"/>
            <w:vAlign w:val="center"/>
          </w:tcPr>
          <w:p w14:paraId="13965532">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en-US" w:eastAsia="zh-CN"/>
              </w:rPr>
              <w:t>提供符合招标文件要求的</w:t>
            </w:r>
            <w:r>
              <w:rPr>
                <w:rFonts w:hint="eastAsia" w:cs="宋体"/>
                <w:color w:val="auto"/>
                <w:sz w:val="24"/>
                <w:szCs w:val="24"/>
                <w:highlight w:val="none"/>
                <w:lang w:val="en-US" w:eastAsia="zh-CN"/>
              </w:rPr>
              <w:t>《</w:t>
            </w:r>
            <w:r>
              <w:rPr>
                <w:rFonts w:hint="eastAsia" w:cs="宋体"/>
                <w:i w:val="0"/>
                <w:iCs w:val="0"/>
                <w:color w:val="auto"/>
                <w:spacing w:val="-6"/>
                <w:kern w:val="0"/>
                <w:sz w:val="24"/>
                <w:szCs w:val="24"/>
                <w:highlight w:val="none"/>
                <w:lang w:val="en-US" w:eastAsia="zh-CN" w:bidi="ar"/>
              </w:rPr>
              <w:t>供应商投标声明</w:t>
            </w:r>
            <w:r>
              <w:rPr>
                <w:rFonts w:hint="eastAsia" w:cs="宋体"/>
                <w:color w:val="auto"/>
                <w:sz w:val="24"/>
                <w:szCs w:val="24"/>
                <w:highlight w:val="none"/>
                <w:lang w:val="en-US" w:eastAsia="zh-CN"/>
              </w:rPr>
              <w:t>》</w:t>
            </w:r>
          </w:p>
        </w:tc>
        <w:tc>
          <w:tcPr>
            <w:tcW w:w="832" w:type="pct"/>
            <w:shd w:val="clear" w:color="auto" w:fill="FFFFFF" w:themeFill="background1"/>
            <w:vAlign w:val="center"/>
          </w:tcPr>
          <w:p w14:paraId="1D134158">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cs="宋体"/>
                <w:i w:val="0"/>
                <w:iCs w:val="0"/>
                <w:color w:val="auto"/>
                <w:spacing w:val="-6"/>
                <w:kern w:val="0"/>
                <w:sz w:val="24"/>
                <w:szCs w:val="24"/>
                <w:highlight w:val="none"/>
                <w:lang w:val="en-US" w:eastAsia="zh-CN" w:bidi="ar"/>
              </w:rPr>
              <w:t>格式详见第七章 投标文件的格式 供应商投标声明</w:t>
            </w:r>
          </w:p>
        </w:tc>
      </w:tr>
      <w:tr w14:paraId="0C209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671" w:hRule="atLeast"/>
          <w:jc w:val="center"/>
        </w:trPr>
        <w:tc>
          <w:tcPr>
            <w:tcW w:w="425" w:type="pct"/>
            <w:shd w:val="clear" w:color="auto" w:fill="FFFFFF" w:themeFill="background1"/>
            <w:vAlign w:val="center"/>
          </w:tcPr>
          <w:p w14:paraId="40D4B2A9">
            <w:pPr>
              <w:pStyle w:val="51"/>
              <w:keepNext w:val="0"/>
              <w:keepLines w:val="0"/>
              <w:pageBreakBefore w:val="0"/>
              <w:kinsoku/>
              <w:overflowPunct/>
              <w:topLinePunct w:val="0"/>
              <w:autoSpaceDE/>
              <w:autoSpaceDN/>
              <w:bidi w:val="0"/>
              <w:adjustRightInd/>
              <w:snapToGrid/>
              <w:spacing w:line="400" w:lineRule="exact"/>
              <w:jc w:val="left"/>
              <w:textAlignment w:val="auto"/>
              <w:rPr>
                <w:rFonts w:hint="default" w:cs="宋体"/>
                <w:b/>
                <w:bCs/>
                <w:color w:val="auto"/>
                <w:sz w:val="24"/>
                <w:szCs w:val="24"/>
                <w:highlight w:val="none"/>
                <w:lang w:val="en-US" w:eastAsia="zh-CN"/>
              </w:rPr>
            </w:pPr>
            <w:r>
              <w:rPr>
                <w:rFonts w:hint="eastAsia" w:cs="宋体"/>
                <w:b/>
                <w:bCs/>
                <w:color w:val="auto"/>
                <w:sz w:val="24"/>
                <w:szCs w:val="24"/>
                <w:highlight w:val="none"/>
                <w:lang w:val="en-US" w:eastAsia="zh-CN"/>
              </w:rPr>
              <w:t>3-4</w:t>
            </w:r>
          </w:p>
        </w:tc>
        <w:tc>
          <w:tcPr>
            <w:tcW w:w="1316" w:type="pct"/>
            <w:shd w:val="clear" w:color="auto" w:fill="FFFFFF" w:themeFill="background1"/>
            <w:vAlign w:val="center"/>
          </w:tcPr>
          <w:p w14:paraId="4502DA40">
            <w:pPr>
              <w:pStyle w:val="51"/>
              <w:keepNext w:val="0"/>
              <w:keepLines w:val="0"/>
              <w:pageBreakBefore w:val="0"/>
              <w:kinsoku/>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sz w:val="24"/>
                <w:szCs w:val="24"/>
                <w:highlight w:val="none"/>
                <w:lang w:val="hr-HR"/>
              </w:rPr>
              <w:t>在</w:t>
            </w:r>
            <w:r>
              <w:rPr>
                <w:rFonts w:hint="eastAsia" w:ascii="宋体" w:hAnsi="宋体" w:eastAsia="宋体" w:cs="宋体"/>
                <w:color w:val="auto"/>
                <w:sz w:val="24"/>
                <w:szCs w:val="24"/>
                <w:highlight w:val="none"/>
                <w:lang w:val="en-US" w:eastAsia="zh-CN"/>
              </w:rPr>
              <w:t>资格审查阶段经查询，未被列入“失信被执行人”、“重大税收违法失信主体”、“政府采购严重违法失信行为记录名单”其中之一</w:t>
            </w:r>
            <w:r>
              <w:rPr>
                <w:rFonts w:hint="eastAsia" w:ascii="宋体" w:hAnsi="宋体" w:eastAsia="宋体" w:cs="宋体"/>
                <w:color w:val="auto"/>
                <w:sz w:val="24"/>
                <w:szCs w:val="24"/>
                <w:highlight w:val="none"/>
                <w:lang w:val="hr-HR"/>
              </w:rPr>
              <w:t>。如有以上不良信用记录</w:t>
            </w:r>
            <w:r>
              <w:rPr>
                <w:rFonts w:hint="eastAsia" w:ascii="宋体" w:hAnsi="宋体" w:eastAsia="宋体" w:cs="宋体"/>
                <w:color w:val="auto"/>
                <w:sz w:val="24"/>
                <w:szCs w:val="24"/>
                <w:highlight w:val="none"/>
                <w:lang w:val="en-US" w:eastAsia="zh-CN"/>
              </w:rPr>
              <w:t>之一的，</w:t>
            </w:r>
            <w:r>
              <w:rPr>
                <w:rFonts w:hint="eastAsia" w:ascii="宋体" w:hAnsi="宋体" w:eastAsia="宋体" w:cs="宋体"/>
                <w:color w:val="auto"/>
                <w:sz w:val="24"/>
                <w:szCs w:val="24"/>
                <w:highlight w:val="none"/>
                <w:lang w:val="hr-HR"/>
              </w:rPr>
              <w:t>其</w:t>
            </w:r>
            <w:r>
              <w:rPr>
                <w:rFonts w:hint="eastAsia" w:ascii="宋体" w:hAnsi="宋体" w:eastAsia="宋体" w:cs="宋体"/>
                <w:b/>
                <w:bCs/>
                <w:color w:val="auto"/>
                <w:sz w:val="24"/>
                <w:szCs w:val="24"/>
                <w:highlight w:val="none"/>
                <w:lang w:val="hr-HR"/>
              </w:rPr>
              <w:t>投标</w:t>
            </w:r>
            <w:r>
              <w:rPr>
                <w:rFonts w:hint="eastAsia" w:ascii="宋体" w:hAnsi="宋体" w:eastAsia="宋体" w:cs="宋体"/>
                <w:b/>
                <w:bCs/>
                <w:color w:val="auto"/>
                <w:sz w:val="24"/>
                <w:szCs w:val="24"/>
                <w:highlight w:val="none"/>
                <w:lang w:val="en-US" w:eastAsia="zh-CN"/>
              </w:rPr>
              <w:t>无效</w:t>
            </w:r>
            <w:r>
              <w:rPr>
                <w:rFonts w:hint="eastAsia" w:ascii="宋体" w:hAnsi="宋体" w:eastAsia="宋体" w:cs="宋体"/>
                <w:color w:val="auto"/>
                <w:sz w:val="24"/>
                <w:szCs w:val="24"/>
                <w:highlight w:val="none"/>
                <w:lang w:val="hr-HR"/>
              </w:rPr>
              <w:t>。</w:t>
            </w:r>
          </w:p>
        </w:tc>
        <w:tc>
          <w:tcPr>
            <w:tcW w:w="2425" w:type="pct"/>
            <w:shd w:val="clear" w:color="auto" w:fill="FFFFFF" w:themeFill="background1"/>
            <w:vAlign w:val="center"/>
          </w:tcPr>
          <w:p w14:paraId="1BC43663">
            <w:pPr>
              <w:pStyle w:val="51"/>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 xml:space="preserve">查询渠道：信用中国网站和中国政府采购网（ www.creditchina.gov.cn、www.ccgp.gov.cn）； </w:t>
            </w:r>
          </w:p>
          <w:p w14:paraId="47E46D9F">
            <w:pPr>
              <w:pStyle w:val="51"/>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宋体" w:hAnsi="宋体" w:eastAsia="宋体" w:cs="宋体"/>
                <w:i w:val="0"/>
                <w:iCs w:val="0"/>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 xml:space="preserve">截止时间：递交响应文件截止时间以后、资格审查阶段对供应商信用记录的实际查询时间；信用信息查询记录和证据留存具体方式：查询结果网页打印页作为查询记录和证据，与其他采购文件一并保存； </w:t>
            </w:r>
          </w:p>
          <w:p w14:paraId="02652840">
            <w:pPr>
              <w:pStyle w:val="51"/>
              <w:keepNext w:val="0"/>
              <w:keepLines w:val="0"/>
              <w:pageBreakBefore w:val="0"/>
              <w:widowControl w:val="0"/>
              <w:kinsoku/>
              <w:wordWrap w:val="0"/>
              <w:overflowPunct/>
              <w:topLinePunct w:val="0"/>
              <w:autoSpaceDE/>
              <w:autoSpaceDN/>
              <w:bidi w:val="0"/>
              <w:adjustRightInd/>
              <w:snapToGrid/>
              <w:spacing w:line="400" w:lineRule="exact"/>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i w:val="0"/>
                <w:iCs w:val="0"/>
                <w:color w:val="auto"/>
                <w:kern w:val="0"/>
                <w:sz w:val="24"/>
                <w:szCs w:val="24"/>
                <w:highlight w:val="none"/>
                <w:lang w:val="en-US" w:eastAsia="zh-CN" w:bidi="ar"/>
              </w:rPr>
              <w:t>信用记录的使用原则：经认定被列入失信被执行人、重大税收违法失信主体、政府采购严重违法失信行为记录名单的供应商，其磋商响应无效。联合体形式响应的，联合体成员存在不良信用记录，视同联合体存在不良信用记录。</w:t>
            </w:r>
          </w:p>
        </w:tc>
        <w:tc>
          <w:tcPr>
            <w:tcW w:w="832" w:type="pct"/>
            <w:shd w:val="clear" w:color="auto" w:fill="FFFFFF" w:themeFill="background1"/>
            <w:vAlign w:val="center"/>
          </w:tcPr>
          <w:p w14:paraId="67A37745">
            <w:pPr>
              <w:pStyle w:val="51"/>
              <w:keepNext w:val="0"/>
              <w:keepLines w:val="0"/>
              <w:pageBreakBefore w:val="0"/>
              <w:kinsoku/>
              <w:overflowPunct/>
              <w:topLinePunct w:val="0"/>
              <w:autoSpaceDE/>
              <w:autoSpaceDN/>
              <w:bidi w:val="0"/>
              <w:adjustRightInd/>
              <w:snapToGrid/>
              <w:spacing w:line="400" w:lineRule="exact"/>
              <w:jc w:val="left"/>
              <w:textAlignment w:val="auto"/>
              <w:rPr>
                <w:rFonts w:hint="default"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以采购人或代理机构查询结果为准</w:t>
            </w:r>
          </w:p>
        </w:tc>
      </w:tr>
    </w:tbl>
    <w:p w14:paraId="75823E1B">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 xml:space="preserve"> </w:t>
      </w:r>
    </w:p>
    <w:p w14:paraId="178C422B">
      <w:pPr>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br w:type="page"/>
      </w:r>
    </w:p>
    <w:p w14:paraId="21B53EAD">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default" w:ascii="宋体" w:hAnsi="宋体" w:eastAsia="宋体" w:cs="宋体"/>
          <w:b/>
          <w:bCs/>
          <w:color w:val="auto"/>
          <w:kern w:val="44"/>
          <w:sz w:val="36"/>
          <w:szCs w:val="36"/>
          <w:highlight w:val="none"/>
          <w:lang w:val="en-US" w:eastAsia="zh-CN" w:bidi="ar-SA"/>
        </w:rPr>
      </w:pPr>
      <w:r>
        <w:rPr>
          <w:rFonts w:hint="eastAsia" w:ascii="宋体" w:hAnsi="宋体" w:eastAsia="宋体" w:cs="宋体"/>
          <w:color w:val="auto"/>
          <w:kern w:val="0"/>
          <w:sz w:val="24"/>
          <w:szCs w:val="24"/>
          <w:highlight w:val="none"/>
          <w:lang w:val="en-US" w:eastAsia="zh-CN" w:bidi="ar"/>
        </w:rPr>
        <w:t xml:space="preserve"> </w:t>
      </w:r>
      <w:bookmarkStart w:id="531" w:name="_Toc155185903"/>
      <w:bookmarkStart w:id="532" w:name="_Toc24166"/>
      <w:r>
        <w:rPr>
          <w:rFonts w:hint="eastAsia" w:ascii="宋体" w:hAnsi="宋体" w:eastAsia="宋体" w:cs="宋体"/>
          <w:b/>
          <w:bCs/>
          <w:color w:val="auto"/>
          <w:kern w:val="44"/>
          <w:sz w:val="36"/>
          <w:szCs w:val="36"/>
          <w:highlight w:val="none"/>
          <w:lang w:val="en-US" w:eastAsia="zh-CN" w:bidi="ar-SA"/>
        </w:rPr>
        <w:t>第五章 评标方法</w:t>
      </w:r>
      <w:bookmarkEnd w:id="531"/>
      <w:r>
        <w:rPr>
          <w:rFonts w:hint="eastAsia" w:ascii="宋体" w:hAnsi="宋体" w:eastAsia="宋体" w:cs="宋体"/>
          <w:b/>
          <w:bCs/>
          <w:color w:val="auto"/>
          <w:kern w:val="44"/>
          <w:sz w:val="36"/>
          <w:szCs w:val="36"/>
          <w:highlight w:val="none"/>
          <w:lang w:val="en-US" w:eastAsia="zh-CN" w:bidi="ar-SA"/>
        </w:rPr>
        <w:t>及标准(综合评分法)</w:t>
      </w:r>
      <w:bookmarkEnd w:id="532"/>
    </w:p>
    <w:p w14:paraId="2BB6F8A4">
      <w:pPr>
        <w:pStyle w:val="39"/>
        <w:rPr>
          <w:color w:val="auto"/>
          <w:highlight w:val="none"/>
        </w:rPr>
      </w:pPr>
      <w:r>
        <w:rPr>
          <w:rFonts w:hint="eastAsia"/>
          <w:color w:val="auto"/>
          <w:highlight w:val="none"/>
        </w:rPr>
        <w:t>根据《中华人民共和国政府采购法》及其实施条例、《政府采购货物和服务招标投标管理办法》</w:t>
      </w:r>
      <w:r>
        <w:rPr>
          <w:rFonts w:hint="eastAsia"/>
          <w:color w:val="auto"/>
          <w:highlight w:val="none"/>
          <w:lang w:val="en-US" w:eastAsia="zh-CN"/>
        </w:rPr>
        <w:t>及</w:t>
      </w:r>
      <w:r>
        <w:rPr>
          <w:rFonts w:hint="eastAsia"/>
          <w:color w:val="auto"/>
          <w:highlight w:val="none"/>
        </w:rPr>
        <w:t>相关法律法规确定以下评标</w:t>
      </w:r>
      <w:r>
        <w:rPr>
          <w:rFonts w:hint="eastAsia"/>
          <w:color w:val="auto"/>
          <w:highlight w:val="none"/>
          <w:lang w:val="en-US" w:eastAsia="zh-CN"/>
        </w:rPr>
        <w:t>方</w:t>
      </w:r>
      <w:r>
        <w:rPr>
          <w:rFonts w:hint="eastAsia"/>
          <w:color w:val="auto"/>
          <w:highlight w:val="none"/>
        </w:rPr>
        <w:t>法及标准。</w:t>
      </w:r>
    </w:p>
    <w:p w14:paraId="040C2DF7">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33" w:name="_Toc25386"/>
      <w:bookmarkStart w:id="534" w:name="_Toc494561962"/>
      <w:bookmarkStart w:id="535" w:name="_Toc109899903"/>
      <w:bookmarkStart w:id="536" w:name="_Toc61280402"/>
      <w:bookmarkStart w:id="537" w:name="_Toc155185905"/>
      <w:bookmarkStart w:id="538" w:name="_Toc109900322"/>
      <w:bookmarkStart w:id="539" w:name="_Toc272247709"/>
      <w:bookmarkStart w:id="540" w:name="_Toc140132826"/>
      <w:bookmarkStart w:id="541" w:name="_Toc109899484"/>
      <w:bookmarkStart w:id="542" w:name="_Toc511894518"/>
      <w:bookmarkStart w:id="543" w:name="_Toc278891606"/>
      <w:r>
        <w:rPr>
          <w:rFonts w:hint="eastAsia" w:ascii="宋体" w:hAnsi="宋体" w:eastAsia="宋体" w:cs="宋体"/>
          <w:color w:val="auto"/>
          <w:sz w:val="28"/>
          <w:szCs w:val="28"/>
          <w:highlight w:val="none"/>
          <w:lang w:val="zh-CN" w:eastAsia="zh-CN"/>
        </w:rPr>
        <w:t>一、评标</w:t>
      </w:r>
      <w:r>
        <w:rPr>
          <w:rFonts w:hint="eastAsia" w:ascii="宋体" w:hAnsi="宋体" w:eastAsia="宋体" w:cs="宋体"/>
          <w:color w:val="auto"/>
          <w:sz w:val="28"/>
          <w:szCs w:val="28"/>
          <w:highlight w:val="none"/>
          <w:lang w:val="en-US" w:eastAsia="zh-CN"/>
        </w:rPr>
        <w:t>方</w:t>
      </w:r>
      <w:r>
        <w:rPr>
          <w:rFonts w:hint="eastAsia" w:ascii="宋体" w:hAnsi="宋体" w:eastAsia="宋体" w:cs="宋体"/>
          <w:color w:val="auto"/>
          <w:sz w:val="28"/>
          <w:szCs w:val="28"/>
          <w:highlight w:val="none"/>
          <w:lang w:val="zh-CN" w:eastAsia="zh-CN"/>
        </w:rPr>
        <w:t>法</w:t>
      </w:r>
      <w:bookmarkEnd w:id="533"/>
    </w:p>
    <w:p w14:paraId="40F9AE81">
      <w:pPr>
        <w:pStyle w:val="39"/>
        <w:keepNext w:val="0"/>
        <w:keepLines w:val="0"/>
        <w:pageBreakBefore w:val="0"/>
        <w:widowControl w:val="0"/>
        <w:kinsoku/>
        <w:wordWrap w:val="0"/>
        <w:overflowPunct/>
        <w:topLinePunct w:val="0"/>
        <w:autoSpaceDE/>
        <w:autoSpaceDN/>
        <w:bidi w:val="0"/>
        <w:adjustRightInd/>
        <w:snapToGrid/>
        <w:ind w:firstLine="482"/>
        <w:textAlignment w:val="auto"/>
        <w:rPr>
          <w:color w:val="auto"/>
          <w:highlight w:val="none"/>
        </w:rPr>
      </w:pPr>
      <w:r>
        <w:rPr>
          <w:rFonts w:hint="eastAsia"/>
          <w:color w:val="auto"/>
          <w:highlight w:val="none"/>
        </w:rPr>
        <w:t>1.</w:t>
      </w:r>
      <w:r>
        <w:rPr>
          <w:rFonts w:hint="eastAsia"/>
          <w:b/>
          <w:bCs/>
          <w:color w:val="auto"/>
          <w:highlight w:val="none"/>
        </w:rPr>
        <w:t>本项目采用综合评分法</w:t>
      </w:r>
      <w:r>
        <w:rPr>
          <w:rFonts w:hint="eastAsia"/>
          <w:color w:val="auto"/>
          <w:highlight w:val="none"/>
        </w:rPr>
        <w:t>。综合评分法，是指投标文件满足招标文件全部实质性要求，且按照评审因素的量化指标评审得分最高的投标人为中标候选人的评标方法。</w:t>
      </w:r>
    </w:p>
    <w:p w14:paraId="5EC2DCA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544" w:name="_Toc14439"/>
      <w:r>
        <w:rPr>
          <w:rFonts w:hint="eastAsia" w:ascii="宋体" w:hAnsi="宋体" w:eastAsia="宋体" w:cs="宋体"/>
          <w:color w:val="auto"/>
          <w:sz w:val="28"/>
          <w:szCs w:val="28"/>
          <w:highlight w:val="none"/>
          <w:lang w:val="en-US" w:eastAsia="zh-CN"/>
        </w:rPr>
        <w:t>二</w:t>
      </w:r>
      <w:r>
        <w:rPr>
          <w:rFonts w:hint="eastAsia" w:ascii="宋体" w:hAnsi="宋体" w:eastAsia="宋体" w:cs="宋体"/>
          <w:color w:val="auto"/>
          <w:sz w:val="28"/>
          <w:szCs w:val="28"/>
          <w:highlight w:val="none"/>
          <w:lang w:val="zh-CN" w:eastAsia="zh-CN"/>
        </w:rPr>
        <w:t>、评标程序</w:t>
      </w:r>
      <w:bookmarkEnd w:id="544"/>
    </w:p>
    <w:p w14:paraId="2CEA851A">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5" w:name="_Toc16514"/>
      <w:bookmarkStart w:id="546" w:name="_Toc30735"/>
      <w:bookmarkStart w:id="547" w:name="_Toc27226"/>
      <w:bookmarkStart w:id="548" w:name="_Toc18989"/>
      <w:r>
        <w:rPr>
          <w:rFonts w:hint="eastAsia" w:ascii="宋体" w:hAnsi="宋体" w:eastAsia="宋体" w:cs="宋体"/>
          <w:b/>
          <w:bCs/>
          <w:color w:val="auto"/>
          <w:kern w:val="2"/>
          <w:sz w:val="24"/>
          <w:szCs w:val="24"/>
          <w:highlight w:val="none"/>
          <w:lang w:val="zh-CN" w:eastAsia="zh-CN" w:bidi="ar-SA"/>
        </w:rPr>
        <w:t>（一）符合性审查</w:t>
      </w:r>
      <w:bookmarkEnd w:id="545"/>
      <w:bookmarkEnd w:id="546"/>
      <w:bookmarkEnd w:id="547"/>
      <w:bookmarkEnd w:id="548"/>
    </w:p>
    <w:p w14:paraId="4E726315">
      <w:pPr>
        <w:pStyle w:val="39"/>
        <w:rPr>
          <w:rFonts w:hint="eastAsia"/>
          <w:color w:val="auto"/>
          <w:highlight w:val="none"/>
          <w:lang w:val="zh-CN"/>
        </w:rPr>
      </w:pPr>
      <w:r>
        <w:rPr>
          <w:rFonts w:hint="eastAsia"/>
          <w:color w:val="auto"/>
          <w:highlight w:val="none"/>
          <w:lang w:val="en-US" w:eastAsia="zh-CN"/>
        </w:rPr>
        <w:t>2.</w:t>
      </w:r>
      <w:r>
        <w:rPr>
          <w:rFonts w:hint="eastAsia"/>
          <w:color w:val="auto"/>
          <w:highlight w:val="none"/>
        </w:rPr>
        <w:t>评标委员会应当对</w:t>
      </w:r>
      <w:r>
        <w:rPr>
          <w:rFonts w:hint="eastAsia"/>
          <w:color w:val="auto"/>
          <w:highlight w:val="none"/>
          <w:lang w:val="en-US" w:eastAsia="zh-CN"/>
        </w:rPr>
        <w:t>通过</w:t>
      </w:r>
      <w:r>
        <w:rPr>
          <w:rFonts w:hint="eastAsia"/>
          <w:color w:val="auto"/>
          <w:highlight w:val="none"/>
        </w:rPr>
        <w:t>资格</w:t>
      </w:r>
      <w:r>
        <w:rPr>
          <w:rFonts w:hint="eastAsia"/>
          <w:color w:val="auto"/>
          <w:highlight w:val="none"/>
          <w:lang w:val="en-US" w:eastAsia="zh-CN"/>
        </w:rPr>
        <w:t>审查</w:t>
      </w:r>
      <w:r>
        <w:rPr>
          <w:rFonts w:hint="eastAsia"/>
          <w:color w:val="auto"/>
          <w:highlight w:val="none"/>
        </w:rPr>
        <w:t>的投标人的投标文件进行符合性审查，以确定其是否满足招标文件的实质性要求。投标人必须通过符合性审查的全部评审指标</w:t>
      </w:r>
      <w:r>
        <w:rPr>
          <w:rFonts w:hint="eastAsia"/>
          <w:color w:val="auto"/>
          <w:highlight w:val="none"/>
          <w:lang w:eastAsia="zh-CN"/>
        </w:rPr>
        <w:t>，</w:t>
      </w:r>
      <w:r>
        <w:rPr>
          <w:rFonts w:hint="eastAsia"/>
          <w:color w:val="auto"/>
          <w:highlight w:val="none"/>
        </w:rPr>
        <w:t>不满足招标文件的实质性要求的，</w:t>
      </w:r>
      <w:r>
        <w:rPr>
          <w:rFonts w:hint="eastAsia"/>
          <w:color w:val="auto"/>
          <w:highlight w:val="none"/>
          <w:lang w:val="en-US" w:eastAsia="zh-CN"/>
        </w:rPr>
        <w:t>其</w:t>
      </w:r>
      <w:r>
        <w:rPr>
          <w:rFonts w:hint="eastAsia"/>
          <w:b/>
          <w:bCs/>
          <w:color w:val="auto"/>
          <w:highlight w:val="none"/>
        </w:rPr>
        <w:t>投标无效</w:t>
      </w:r>
      <w:r>
        <w:rPr>
          <w:rFonts w:hint="eastAsia"/>
          <w:color w:val="auto"/>
          <w:highlight w:val="none"/>
        </w:rPr>
        <w:t>。</w:t>
      </w:r>
      <w:r>
        <w:rPr>
          <w:rFonts w:hint="eastAsia"/>
          <w:color w:val="auto"/>
          <w:highlight w:val="none"/>
          <w:lang w:val="en-US" w:eastAsia="zh-CN"/>
        </w:rPr>
        <w:t>具体内容详</w:t>
      </w:r>
      <w:r>
        <w:rPr>
          <w:rFonts w:hint="eastAsia"/>
          <w:color w:val="auto"/>
          <w:highlight w:val="none"/>
          <w:lang w:val="zh-CN"/>
        </w:rPr>
        <w:t>本章“</w:t>
      </w:r>
      <w:r>
        <w:rPr>
          <w:rFonts w:hint="eastAsia"/>
          <w:color w:val="auto"/>
          <w:highlight w:val="none"/>
          <w:lang w:val="en-US" w:eastAsia="zh-CN"/>
        </w:rPr>
        <w:t>四</w:t>
      </w:r>
      <w:r>
        <w:rPr>
          <w:rFonts w:hint="eastAsia"/>
          <w:color w:val="auto"/>
          <w:highlight w:val="none"/>
          <w:lang w:val="zh-CN"/>
        </w:rPr>
        <w:t>、评标标准”中</w:t>
      </w:r>
      <w:r>
        <w:rPr>
          <w:rFonts w:hint="eastAsia"/>
          <w:color w:val="auto"/>
          <w:highlight w:val="none"/>
          <w:lang w:val="en-US" w:eastAsia="zh-CN"/>
        </w:rPr>
        <w:t>的</w:t>
      </w:r>
      <w:r>
        <w:rPr>
          <w:rFonts w:hint="eastAsia"/>
          <w:color w:val="auto"/>
          <w:highlight w:val="none"/>
          <w:lang w:val="zh-CN"/>
        </w:rPr>
        <w:t>“（一）符合性审查”。</w:t>
      </w:r>
    </w:p>
    <w:p w14:paraId="6117DC47">
      <w:pPr>
        <w:pStyle w:val="39"/>
        <w:rPr>
          <w:rFonts w:hint="eastAsia"/>
          <w:color w:val="auto"/>
          <w:highlight w:val="none"/>
          <w:lang w:val="zh-CN"/>
        </w:rPr>
      </w:pPr>
      <w:r>
        <w:rPr>
          <w:rFonts w:hint="eastAsia"/>
          <w:color w:val="auto"/>
          <w:highlight w:val="none"/>
          <w:lang w:val="en-US" w:eastAsia="zh-CN"/>
        </w:rPr>
        <w:t>通过</w:t>
      </w:r>
      <w:r>
        <w:rPr>
          <w:rFonts w:hint="eastAsia"/>
          <w:color w:val="auto"/>
          <w:highlight w:val="none"/>
        </w:rPr>
        <w:t>符合性审查</w:t>
      </w:r>
      <w:r>
        <w:rPr>
          <w:rFonts w:hint="eastAsia"/>
          <w:color w:val="auto"/>
          <w:highlight w:val="none"/>
          <w:lang w:val="en-US" w:eastAsia="zh-CN"/>
        </w:rPr>
        <w:t>的</w:t>
      </w:r>
      <w:r>
        <w:rPr>
          <w:rFonts w:hint="eastAsia"/>
          <w:color w:val="auto"/>
          <w:highlight w:val="none"/>
        </w:rPr>
        <w:t>有效</w:t>
      </w:r>
      <w:r>
        <w:rPr>
          <w:rFonts w:hint="eastAsia"/>
          <w:color w:val="auto"/>
          <w:highlight w:val="none"/>
          <w:lang w:eastAsia="zh-CN"/>
        </w:rPr>
        <w:t>供应商</w:t>
      </w:r>
      <w:r>
        <w:rPr>
          <w:rFonts w:hint="eastAsia"/>
          <w:color w:val="auto"/>
          <w:highlight w:val="none"/>
        </w:rPr>
        <w:t>不足3家的应当终止采购活动，发布项目终止公告并说明原因，重新开展采购活动。</w:t>
      </w:r>
    </w:p>
    <w:p w14:paraId="34580356">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49" w:name="_Toc102116178"/>
      <w:bookmarkStart w:id="550" w:name="_Toc102116048"/>
      <w:bookmarkStart w:id="551" w:name="_Toc102119879"/>
      <w:bookmarkStart w:id="552" w:name="_Toc102057744"/>
      <w:bookmarkStart w:id="553" w:name="_Toc155185907"/>
      <w:bookmarkStart w:id="554" w:name="_Toc102114946"/>
      <w:bookmarkStart w:id="555" w:name="_Toc102056244"/>
      <w:bookmarkStart w:id="556" w:name="_Toc20930"/>
      <w:bookmarkStart w:id="557" w:name="_Toc14698"/>
      <w:bookmarkStart w:id="558" w:name="_Toc163492903"/>
      <w:bookmarkStart w:id="559" w:name="_Toc10476"/>
      <w:bookmarkStart w:id="560" w:name="_Toc2036"/>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zh-CN" w:eastAsia="zh-CN" w:bidi="ar-SA"/>
        </w:rPr>
        <w:t>）投标文件澄清</w:t>
      </w:r>
      <w:bookmarkEnd w:id="549"/>
      <w:bookmarkEnd w:id="550"/>
      <w:bookmarkEnd w:id="551"/>
      <w:bookmarkEnd w:id="552"/>
      <w:bookmarkEnd w:id="553"/>
      <w:bookmarkEnd w:id="554"/>
      <w:bookmarkEnd w:id="555"/>
      <w:r>
        <w:rPr>
          <w:rFonts w:hint="eastAsia" w:ascii="宋体" w:hAnsi="宋体" w:eastAsia="宋体" w:cs="宋体"/>
          <w:b/>
          <w:bCs/>
          <w:color w:val="auto"/>
          <w:kern w:val="2"/>
          <w:sz w:val="24"/>
          <w:szCs w:val="24"/>
          <w:highlight w:val="none"/>
          <w:lang w:val="zh-CN" w:eastAsia="zh-CN" w:bidi="ar-SA"/>
        </w:rPr>
        <w:t>及修正</w:t>
      </w:r>
      <w:bookmarkEnd w:id="556"/>
      <w:bookmarkEnd w:id="557"/>
      <w:bookmarkEnd w:id="558"/>
      <w:bookmarkEnd w:id="559"/>
      <w:bookmarkEnd w:id="560"/>
    </w:p>
    <w:p w14:paraId="0EC9197C">
      <w:pPr>
        <w:pStyle w:val="39"/>
        <w:keepNext w:val="0"/>
        <w:keepLines w:val="0"/>
        <w:pageBreakBefore w:val="0"/>
        <w:widowControl w:val="0"/>
        <w:kinsoku/>
        <w:wordWrap w:val="0"/>
        <w:overflowPunct/>
        <w:topLinePunct w:val="0"/>
        <w:autoSpaceDE/>
        <w:autoSpaceDN/>
        <w:bidi w:val="0"/>
        <w:adjustRightInd/>
        <w:snapToGrid/>
        <w:textAlignment w:val="auto"/>
        <w:rPr>
          <w:color w:val="auto"/>
          <w:highlight w:val="none"/>
        </w:rPr>
      </w:pPr>
      <w:r>
        <w:rPr>
          <w:rFonts w:hint="eastAsia"/>
          <w:color w:val="auto"/>
          <w:highlight w:val="none"/>
          <w:lang w:val="en-US" w:eastAsia="zh-CN"/>
        </w:rPr>
        <w:t>3</w:t>
      </w:r>
      <w:r>
        <w:rPr>
          <w:color w:val="auto"/>
          <w:highlight w:val="none"/>
        </w:rPr>
        <w:t>.</w:t>
      </w:r>
      <w:r>
        <w:rPr>
          <w:rFonts w:hint="eastAsia"/>
          <w:iCs/>
          <w:color w:val="auto"/>
          <w:spacing w:val="-6"/>
          <w:sz w:val="24"/>
          <w:highlight w:val="none"/>
        </w:rPr>
        <w:t>评标期间，对于投标文件中含义不明确、同类问题表述不一致或者有明显文字和计算错误的内容需要投标人作出必要的澄清、说明或者补正的，评标委员会应当在</w:t>
      </w:r>
      <w:r>
        <w:rPr>
          <w:rFonts w:hint="eastAsia"/>
          <w:iCs/>
          <w:color w:val="auto"/>
          <w:spacing w:val="-6"/>
          <w:sz w:val="24"/>
          <w:highlight w:val="none"/>
          <w:lang w:val="en-US" w:eastAsia="zh-CN"/>
        </w:rPr>
        <w:t>政采云平台评标</w:t>
      </w:r>
      <w:r>
        <w:rPr>
          <w:rFonts w:hint="eastAsia"/>
          <w:iCs/>
          <w:color w:val="auto"/>
          <w:spacing w:val="-6"/>
          <w:sz w:val="24"/>
          <w:highlight w:val="none"/>
        </w:rPr>
        <w:t>系统中以书面形式要求投标人作出必要的澄清、说明或者补正。</w:t>
      </w:r>
    </w:p>
    <w:p w14:paraId="079329DA">
      <w:pPr>
        <w:pStyle w:val="39"/>
        <w:keepNext w:val="0"/>
        <w:keepLines w:val="0"/>
        <w:pageBreakBefore w:val="0"/>
        <w:widowControl w:val="0"/>
        <w:kinsoku/>
        <w:wordWrap w:val="0"/>
        <w:overflowPunct/>
        <w:topLinePunct w:val="0"/>
        <w:autoSpaceDE/>
        <w:autoSpaceDN/>
        <w:bidi w:val="0"/>
        <w:adjustRightInd/>
        <w:snapToGrid/>
        <w:textAlignment w:val="auto"/>
        <w:rPr>
          <w:color w:val="auto"/>
          <w:highlight w:val="none"/>
        </w:rPr>
      </w:pPr>
      <w:r>
        <w:rPr>
          <w:rFonts w:hint="eastAsia"/>
          <w:color w:val="auto"/>
          <w:highlight w:val="none"/>
          <w:lang w:val="en-US" w:eastAsia="zh-CN"/>
        </w:rPr>
        <w:t>4</w:t>
      </w:r>
      <w:r>
        <w:rPr>
          <w:color w:val="auto"/>
          <w:highlight w:val="none"/>
        </w:rPr>
        <w:t>.</w:t>
      </w:r>
      <w:r>
        <w:rPr>
          <w:rFonts w:hint="eastAsia"/>
          <w:color w:val="auto"/>
          <w:highlight w:val="none"/>
        </w:rPr>
        <w:t>投标人应按照评标委员会要求在规定时间内作出澄清、说明或者补正，</w:t>
      </w:r>
      <w:r>
        <w:rPr>
          <w:color w:val="auto"/>
          <w:highlight w:val="none"/>
        </w:rPr>
        <w:t>澄清、说明或者补正不得超出投标文件的范围或者改变投标文件的实质性内容。</w:t>
      </w:r>
    </w:p>
    <w:p w14:paraId="591A6455">
      <w:pPr>
        <w:pStyle w:val="39"/>
        <w:keepNext w:val="0"/>
        <w:keepLines w:val="0"/>
        <w:pageBreakBefore w:val="0"/>
        <w:widowControl w:val="0"/>
        <w:kinsoku/>
        <w:wordWrap w:val="0"/>
        <w:overflowPunct/>
        <w:topLinePunct w:val="0"/>
        <w:autoSpaceDE/>
        <w:autoSpaceDN/>
        <w:bidi w:val="0"/>
        <w:adjustRightInd/>
        <w:snapToGrid/>
        <w:textAlignment w:val="auto"/>
        <w:rPr>
          <w:color w:val="auto"/>
          <w:highlight w:val="none"/>
        </w:rPr>
      </w:pPr>
      <w:r>
        <w:rPr>
          <w:rFonts w:hint="eastAsia"/>
          <w:color w:val="auto"/>
          <w:highlight w:val="none"/>
          <w:lang w:val="en-US" w:eastAsia="zh-CN"/>
        </w:rPr>
        <w:t>5</w:t>
      </w:r>
      <w:r>
        <w:rPr>
          <w:color w:val="auto"/>
          <w:highlight w:val="none"/>
        </w:rPr>
        <w:t>.</w:t>
      </w:r>
      <w:r>
        <w:rPr>
          <w:rFonts w:hint="eastAsia"/>
          <w:color w:val="auto"/>
          <w:highlight w:val="none"/>
        </w:rPr>
        <w:t>投标人的</w:t>
      </w:r>
      <w:r>
        <w:rPr>
          <w:color w:val="auto"/>
          <w:highlight w:val="none"/>
        </w:rPr>
        <w:t>澄清、说明或者补正</w:t>
      </w:r>
      <w:r>
        <w:rPr>
          <w:rFonts w:hint="eastAsia"/>
          <w:color w:val="auto"/>
          <w:highlight w:val="none"/>
        </w:rPr>
        <w:t>是其投标文件的有效组成部分，</w:t>
      </w:r>
      <w:r>
        <w:rPr>
          <w:color w:val="auto"/>
          <w:highlight w:val="none"/>
        </w:rPr>
        <w:t>澄清、说明或者补正应当</w:t>
      </w:r>
      <w:r>
        <w:rPr>
          <w:rFonts w:hint="eastAsia"/>
          <w:color w:val="auto"/>
          <w:highlight w:val="none"/>
        </w:rPr>
        <w:t>在</w:t>
      </w:r>
      <w:r>
        <w:rPr>
          <w:rFonts w:hint="eastAsia"/>
          <w:color w:val="auto"/>
          <w:highlight w:val="none"/>
          <w:lang w:val="en-US" w:eastAsia="zh-CN"/>
        </w:rPr>
        <w:t>政采云平台评标</w:t>
      </w:r>
      <w:r>
        <w:rPr>
          <w:rFonts w:hint="eastAsia"/>
          <w:color w:val="auto"/>
          <w:highlight w:val="none"/>
        </w:rPr>
        <w:t>系统中加盖电子印章后提交</w:t>
      </w:r>
      <w:r>
        <w:rPr>
          <w:color w:val="auto"/>
          <w:highlight w:val="none"/>
        </w:rPr>
        <w:t>。</w:t>
      </w:r>
    </w:p>
    <w:p w14:paraId="3B466024">
      <w:pPr>
        <w:pStyle w:val="39"/>
        <w:keepNext w:val="0"/>
        <w:keepLines w:val="0"/>
        <w:pageBreakBefore w:val="0"/>
        <w:widowControl w:val="0"/>
        <w:kinsoku/>
        <w:wordWrap w:val="0"/>
        <w:overflowPunct/>
        <w:topLinePunct w:val="0"/>
        <w:autoSpaceDE/>
        <w:autoSpaceDN/>
        <w:bidi w:val="0"/>
        <w:adjustRightInd/>
        <w:snapToGrid/>
        <w:textAlignment w:val="auto"/>
        <w:rPr>
          <w:color w:val="auto"/>
          <w:highlight w:val="none"/>
        </w:rPr>
      </w:pPr>
      <w:r>
        <w:rPr>
          <w:rFonts w:hint="eastAsia"/>
          <w:color w:val="auto"/>
          <w:highlight w:val="none"/>
          <w:lang w:val="en-US" w:eastAsia="zh-CN"/>
        </w:rPr>
        <w:t>6</w:t>
      </w:r>
      <w:r>
        <w:rPr>
          <w:color w:val="auto"/>
          <w:highlight w:val="none"/>
        </w:rPr>
        <w:t>.</w:t>
      </w:r>
      <w:r>
        <w:rPr>
          <w:rFonts w:hint="eastAsia"/>
          <w:color w:val="auto"/>
          <w:highlight w:val="none"/>
        </w:rPr>
        <w:t>报价合理性说明：</w:t>
      </w:r>
      <w:r>
        <w:rPr>
          <w:color w:val="auto"/>
          <w:highlight w:val="none"/>
        </w:rPr>
        <w:t>评标委员会认为投标人的报价明显低于其他通过</w:t>
      </w:r>
      <w:r>
        <w:rPr>
          <w:rFonts w:hint="eastAsia"/>
          <w:color w:val="auto"/>
          <w:highlight w:val="none"/>
        </w:rPr>
        <w:t>符合性审查</w:t>
      </w:r>
      <w:r>
        <w:rPr>
          <w:color w:val="auto"/>
          <w:highlight w:val="none"/>
        </w:rPr>
        <w:t>投标人的报价，有可能影响</w:t>
      </w:r>
      <w:r>
        <w:rPr>
          <w:rFonts w:hint="eastAsia"/>
          <w:color w:val="auto"/>
          <w:highlight w:val="none"/>
          <w:lang w:val="en-US" w:eastAsia="zh-CN"/>
        </w:rPr>
        <w:t>服务</w:t>
      </w:r>
      <w:r>
        <w:rPr>
          <w:color w:val="auto"/>
          <w:highlight w:val="none"/>
        </w:rPr>
        <w:t>质量或者不能诚信履约的，</w:t>
      </w:r>
      <w:r>
        <w:rPr>
          <w:rFonts w:hint="eastAsia"/>
          <w:color w:val="auto"/>
          <w:highlight w:val="none"/>
          <w:lang w:val="en-US" w:eastAsia="zh-CN"/>
        </w:rPr>
        <w:t>应当</w:t>
      </w:r>
      <w:r>
        <w:rPr>
          <w:color w:val="auto"/>
          <w:highlight w:val="none"/>
        </w:rPr>
        <w:t>要求</w:t>
      </w:r>
      <w:r>
        <w:rPr>
          <w:rFonts w:hint="eastAsia"/>
          <w:color w:val="auto"/>
          <w:highlight w:val="none"/>
          <w:lang w:val="en-US" w:eastAsia="zh-CN"/>
        </w:rPr>
        <w:t>该投标人</w:t>
      </w:r>
      <w:r>
        <w:rPr>
          <w:rFonts w:hint="eastAsia"/>
          <w:color w:val="auto"/>
          <w:highlight w:val="none"/>
        </w:rPr>
        <w:t>在</w:t>
      </w:r>
      <w:r>
        <w:rPr>
          <w:color w:val="auto"/>
          <w:highlight w:val="none"/>
        </w:rPr>
        <w:t>合理的时间内提供说明，必要时提交相关证明材料；</w:t>
      </w:r>
      <w:r>
        <w:rPr>
          <w:rFonts w:hint="eastAsia"/>
          <w:color w:val="auto"/>
          <w:highlight w:val="none"/>
          <w:lang w:val="en-US" w:eastAsia="zh-CN"/>
        </w:rPr>
        <w:t>若</w:t>
      </w:r>
      <w:r>
        <w:rPr>
          <w:color w:val="auto"/>
          <w:highlight w:val="none"/>
        </w:rPr>
        <w:t>投标人不能证明其报价合理性的，评标委员</w:t>
      </w:r>
      <w:r>
        <w:rPr>
          <w:rFonts w:hint="eastAsia"/>
          <w:color w:val="auto"/>
          <w:highlight w:val="none"/>
          <w:lang w:val="en-US" w:eastAsia="zh-CN"/>
        </w:rPr>
        <w:t>会应当</w:t>
      </w:r>
      <w:r>
        <w:rPr>
          <w:rFonts w:hint="eastAsia"/>
          <w:color w:val="auto"/>
          <w:highlight w:val="none"/>
        </w:rPr>
        <w:t>将其作</w:t>
      </w:r>
      <w:r>
        <w:rPr>
          <w:b/>
          <w:bCs/>
          <w:color w:val="auto"/>
          <w:highlight w:val="none"/>
        </w:rPr>
        <w:t>无效投标</w:t>
      </w:r>
      <w:r>
        <w:rPr>
          <w:color w:val="auto"/>
          <w:highlight w:val="none"/>
        </w:rPr>
        <w:t>处理。</w:t>
      </w:r>
    </w:p>
    <w:p w14:paraId="4FD6345C">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7.投标报价须包含招标文件全部内容，如分项报价表有缺漏视为已含在其他各项报价中，将不对投标总价进行调整。评标委员会有权要求投标人在评标现场合理的时间内对此进行书面确认，投标人不确认的，视为将一个采购包中的内容拆分投标，其</w:t>
      </w:r>
      <w:r>
        <w:rPr>
          <w:rFonts w:hint="eastAsia"/>
          <w:b/>
          <w:bCs/>
          <w:color w:val="auto"/>
          <w:highlight w:val="none"/>
          <w:lang w:val="en-US" w:eastAsia="zh-CN"/>
        </w:rPr>
        <w:t>投标无效</w:t>
      </w:r>
      <w:r>
        <w:rPr>
          <w:rFonts w:hint="eastAsia"/>
          <w:color w:val="auto"/>
          <w:highlight w:val="none"/>
          <w:lang w:val="en-US" w:eastAsia="zh-CN"/>
        </w:rPr>
        <w:t>。</w:t>
      </w:r>
    </w:p>
    <w:p w14:paraId="015D7E7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8.投标文件报价出现前后不一致的，除招标文件另有规定外，按照下列规定修正：</w:t>
      </w:r>
    </w:p>
    <w:p w14:paraId="4D967018">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8.1投标文件中开标一览表（报价表）内容与投标文件中相应内容不一致的，以开标一览表（报价表）为准；</w:t>
      </w:r>
    </w:p>
    <w:p w14:paraId="657B9F51">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8.2大写金额和小写金额不一致的，以大写金额为准；</w:t>
      </w:r>
    </w:p>
    <w:p w14:paraId="628E9D79">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8.3单价金额小数点或者百分比有明显错位的，以开标一览表的总价为准，并修改单价；</w:t>
      </w:r>
    </w:p>
    <w:p w14:paraId="3D45997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8.4总价金额与按单价汇总金额不一致的，以单价金额计算结果为准。</w:t>
      </w:r>
    </w:p>
    <w:p w14:paraId="4E5FFFFF">
      <w:pPr>
        <w:pStyle w:val="39"/>
        <w:keepNext w:val="0"/>
        <w:keepLines w:val="0"/>
        <w:pageBreakBefore w:val="0"/>
        <w:widowControl w:val="0"/>
        <w:kinsoku/>
        <w:wordWrap w:val="0"/>
        <w:overflowPunct/>
        <w:topLinePunct w:val="0"/>
        <w:autoSpaceDE/>
        <w:autoSpaceDN/>
        <w:bidi w:val="0"/>
        <w:adjustRightInd/>
        <w:snapToGrid/>
        <w:ind w:left="0" w:leftChars="0" w:firstLine="480" w:firstLineChars="200"/>
        <w:textAlignment w:val="auto"/>
        <w:rPr>
          <w:rFonts w:hint="eastAsia"/>
          <w:color w:val="auto"/>
          <w:highlight w:val="none"/>
          <w:lang w:val="en-US" w:eastAsia="zh-CN"/>
        </w:rPr>
      </w:pPr>
      <w:r>
        <w:rPr>
          <w:rFonts w:hint="eastAsia"/>
          <w:color w:val="auto"/>
          <w:highlight w:val="none"/>
          <w:lang w:val="en-US" w:eastAsia="zh-CN"/>
        </w:rPr>
        <w:t>同时出现两种以上不一致的，按照8.1—8.4的顺序修正。修正后的报价采用书面形式，并加盖公章，或者由法定代表人或其授权的代表签字，经投标人确认后产生约束力，投标人不确认的，其</w:t>
      </w:r>
      <w:r>
        <w:rPr>
          <w:rFonts w:hint="eastAsia"/>
          <w:b/>
          <w:bCs/>
          <w:color w:val="auto"/>
          <w:highlight w:val="none"/>
          <w:lang w:val="en-US" w:eastAsia="zh-CN"/>
        </w:rPr>
        <w:t>投标无效</w:t>
      </w:r>
      <w:r>
        <w:rPr>
          <w:rFonts w:hint="eastAsia"/>
          <w:color w:val="auto"/>
          <w:highlight w:val="none"/>
          <w:lang w:val="en-US" w:eastAsia="zh-CN"/>
        </w:rPr>
        <w:t>。</w:t>
      </w:r>
    </w:p>
    <w:p w14:paraId="33748C4F">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61" w:name="_Toc24825"/>
      <w:bookmarkStart w:id="562" w:name="_Toc8536"/>
      <w:bookmarkStart w:id="563" w:name="_Toc1388"/>
      <w:bookmarkStart w:id="564" w:name="_Toc13289"/>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zh-CN" w:eastAsia="zh-CN" w:bidi="ar-SA"/>
        </w:rPr>
        <w:t>）比较与评价</w:t>
      </w:r>
      <w:bookmarkEnd w:id="561"/>
      <w:bookmarkEnd w:id="562"/>
      <w:bookmarkEnd w:id="563"/>
      <w:bookmarkEnd w:id="564"/>
    </w:p>
    <w:p w14:paraId="2BE6ECB2">
      <w:pPr>
        <w:pStyle w:val="39"/>
        <w:rPr>
          <w:rFonts w:hint="eastAsia"/>
          <w:color w:val="auto"/>
          <w:highlight w:val="none"/>
        </w:rPr>
      </w:pPr>
      <w:r>
        <w:rPr>
          <w:rFonts w:hint="eastAsia"/>
          <w:color w:val="auto"/>
          <w:highlight w:val="none"/>
          <w:lang w:val="en-US" w:eastAsia="zh-CN"/>
        </w:rPr>
        <w:t>9.</w:t>
      </w:r>
      <w:r>
        <w:rPr>
          <w:rFonts w:hint="eastAsia"/>
          <w:color w:val="auto"/>
          <w:highlight w:val="none"/>
        </w:rPr>
        <w:t>评标委员会应当按照招标文件中规定的评标方法和标准，对符合性审查合格的投标文件进行商务和技术评</w:t>
      </w:r>
      <w:r>
        <w:rPr>
          <w:rFonts w:hint="eastAsia"/>
          <w:color w:val="auto"/>
          <w:highlight w:val="none"/>
          <w:lang w:val="en-US" w:eastAsia="zh-CN"/>
        </w:rPr>
        <w:t>估</w:t>
      </w:r>
      <w:r>
        <w:rPr>
          <w:rFonts w:hint="eastAsia"/>
          <w:color w:val="auto"/>
          <w:highlight w:val="none"/>
        </w:rPr>
        <w:t>，综合比较与评价</w:t>
      </w:r>
      <w:r>
        <w:rPr>
          <w:rFonts w:hint="eastAsia"/>
          <w:color w:val="auto"/>
          <w:highlight w:val="none"/>
          <w:lang w:val="en-US" w:eastAsia="zh-CN"/>
        </w:rPr>
        <w:t>；未通过符合性审查的投标文件不得进入比较与评价</w:t>
      </w:r>
      <w:r>
        <w:rPr>
          <w:rFonts w:hint="eastAsia"/>
          <w:color w:val="auto"/>
          <w:highlight w:val="none"/>
        </w:rPr>
        <w:t>。评审因素包括投标报价、商务技术以及落实政府采购政策。评审因素及标准见本章</w:t>
      </w:r>
      <w:r>
        <w:rPr>
          <w:rFonts w:hint="eastAsia"/>
          <w:color w:val="auto"/>
          <w:highlight w:val="none"/>
          <w:lang w:eastAsia="zh-CN"/>
        </w:rPr>
        <w:t>“</w:t>
      </w:r>
      <w:r>
        <w:rPr>
          <w:rFonts w:hint="eastAsia"/>
          <w:color w:val="auto"/>
          <w:highlight w:val="none"/>
          <w:lang w:val="en-US" w:eastAsia="zh-CN"/>
        </w:rPr>
        <w:t>四、</w:t>
      </w:r>
      <w:r>
        <w:rPr>
          <w:rFonts w:hint="eastAsia"/>
          <w:color w:val="auto"/>
          <w:highlight w:val="none"/>
        </w:rPr>
        <w:t>评</w:t>
      </w:r>
      <w:r>
        <w:rPr>
          <w:rFonts w:hint="eastAsia"/>
          <w:color w:val="auto"/>
          <w:highlight w:val="none"/>
          <w:lang w:val="en-US" w:eastAsia="zh-CN"/>
        </w:rPr>
        <w:t>标</w:t>
      </w:r>
      <w:r>
        <w:rPr>
          <w:rFonts w:hint="eastAsia"/>
          <w:color w:val="auto"/>
          <w:highlight w:val="none"/>
        </w:rPr>
        <w:t>标准</w:t>
      </w:r>
      <w:r>
        <w:rPr>
          <w:rFonts w:hint="eastAsia"/>
          <w:color w:val="auto"/>
          <w:highlight w:val="none"/>
          <w:lang w:eastAsia="zh-CN"/>
        </w:rPr>
        <w:t>”</w:t>
      </w:r>
      <w:r>
        <w:rPr>
          <w:rFonts w:hint="eastAsia"/>
          <w:color w:val="auto"/>
          <w:highlight w:val="none"/>
        </w:rPr>
        <w:t>。</w:t>
      </w:r>
    </w:p>
    <w:p w14:paraId="384D833B">
      <w:pPr>
        <w:pStyle w:val="39"/>
        <w:keepNext w:val="0"/>
        <w:keepLines w:val="0"/>
        <w:pageBreakBefore w:val="0"/>
        <w:widowControl w:val="0"/>
        <w:kinsoku/>
        <w:overflowPunct/>
        <w:topLinePunct w:val="0"/>
        <w:autoSpaceDE/>
        <w:autoSpaceDN/>
        <w:bidi w:val="0"/>
        <w:adjustRightInd/>
        <w:snapToGrid/>
        <w:textAlignment w:val="auto"/>
        <w:rPr>
          <w:rFonts w:hint="eastAsia"/>
          <w:color w:val="auto"/>
          <w:highlight w:val="none"/>
        </w:rPr>
      </w:pPr>
      <w:r>
        <w:rPr>
          <w:rFonts w:hint="eastAsia"/>
          <w:color w:val="auto"/>
          <w:highlight w:val="none"/>
          <w:lang w:val="en-US" w:eastAsia="zh-CN"/>
        </w:rPr>
        <w:t>10</w:t>
      </w:r>
      <w:r>
        <w:rPr>
          <w:color w:val="auto"/>
          <w:highlight w:val="none"/>
        </w:rPr>
        <w:t>.</w:t>
      </w:r>
      <w:r>
        <w:rPr>
          <w:rFonts w:hint="eastAsia"/>
          <w:color w:val="auto"/>
          <w:highlight w:val="none"/>
        </w:rPr>
        <w:t>有效投标</w:t>
      </w:r>
      <w:r>
        <w:rPr>
          <w:rFonts w:hint="eastAsia"/>
          <w:color w:val="auto"/>
          <w:highlight w:val="none"/>
          <w:lang w:val="en-US" w:eastAsia="zh-CN"/>
        </w:rPr>
        <w:t>人</w:t>
      </w:r>
      <w:r>
        <w:rPr>
          <w:rFonts w:hint="eastAsia"/>
          <w:color w:val="auto"/>
          <w:highlight w:val="none"/>
        </w:rPr>
        <w:t>不足</w:t>
      </w:r>
      <w:r>
        <w:rPr>
          <w:color w:val="auto"/>
          <w:highlight w:val="none"/>
        </w:rPr>
        <w:t>3</w:t>
      </w:r>
      <w:r>
        <w:rPr>
          <w:rFonts w:hint="eastAsia"/>
          <w:color w:val="auto"/>
          <w:highlight w:val="none"/>
        </w:rPr>
        <w:t>家的应按</w:t>
      </w:r>
      <w:r>
        <w:rPr>
          <w:rFonts w:hint="eastAsia"/>
          <w:b/>
          <w:bCs/>
          <w:color w:val="auto"/>
          <w:highlight w:val="none"/>
        </w:rPr>
        <w:t>废标</w:t>
      </w:r>
      <w:r>
        <w:rPr>
          <w:rFonts w:hint="eastAsia"/>
          <w:color w:val="auto"/>
          <w:highlight w:val="none"/>
        </w:rPr>
        <w:t>处理。</w:t>
      </w:r>
    </w:p>
    <w:p w14:paraId="7C54BD9F">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65" w:name="_Toc22691"/>
      <w:bookmarkStart w:id="566" w:name="_Toc4273"/>
      <w:bookmarkStart w:id="567" w:name="_Toc24190"/>
      <w:bookmarkStart w:id="568" w:name="_Toc8617"/>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bCs/>
          <w:color w:val="auto"/>
          <w:kern w:val="2"/>
          <w:sz w:val="24"/>
          <w:szCs w:val="24"/>
          <w:highlight w:val="none"/>
          <w:lang w:val="zh-CN" w:eastAsia="zh-CN" w:bidi="ar-SA"/>
        </w:rPr>
        <w:t>）报价评审</w:t>
      </w:r>
      <w:bookmarkEnd w:id="565"/>
      <w:bookmarkEnd w:id="566"/>
      <w:bookmarkEnd w:id="567"/>
      <w:bookmarkEnd w:id="568"/>
    </w:p>
    <w:p w14:paraId="21874171">
      <w:pPr>
        <w:pStyle w:val="39"/>
        <w:rPr>
          <w:color w:val="auto"/>
          <w:highlight w:val="none"/>
        </w:rPr>
      </w:pPr>
      <w:r>
        <w:rPr>
          <w:rFonts w:hint="eastAsia"/>
          <w:color w:val="auto"/>
          <w:highlight w:val="none"/>
          <w:lang w:val="en-US" w:eastAsia="zh-CN"/>
        </w:rPr>
        <w:t>11.</w:t>
      </w:r>
      <w:r>
        <w:rPr>
          <w:color w:val="auto"/>
          <w:highlight w:val="none"/>
        </w:rPr>
        <w:t>投标报价评审</w:t>
      </w:r>
    </w:p>
    <w:p w14:paraId="266BD854">
      <w:pPr>
        <w:pStyle w:val="39"/>
        <w:rPr>
          <w:color w:val="auto"/>
          <w:highlight w:val="none"/>
        </w:rPr>
      </w:pPr>
      <w:r>
        <w:rPr>
          <w:rFonts w:hint="eastAsia" w:ascii="宋体" w:hAnsi="宋体" w:eastAsia="宋体"/>
          <w:color w:val="auto"/>
          <w:highlight w:val="none"/>
          <w:lang w:val="en-US" w:eastAsia="zh-CN"/>
        </w:rPr>
        <w:t>11.1服务项目的价格分值占总分值的比重不得低于</w:t>
      </w:r>
      <w:r>
        <w:rPr>
          <w:rFonts w:hint="default" w:ascii="宋体" w:hAnsi="宋体" w:eastAsia="宋体"/>
          <w:color w:val="auto"/>
          <w:highlight w:val="none"/>
          <w:lang w:val="en-US" w:eastAsia="zh-CN"/>
        </w:rPr>
        <w:t>10%。</w:t>
      </w:r>
      <w:r>
        <w:rPr>
          <w:rFonts w:hint="eastAsia"/>
          <w:color w:val="auto"/>
          <w:highlight w:val="none"/>
          <w:lang w:val="en-US" w:eastAsia="zh-CN"/>
        </w:rPr>
        <w:t>执行国家统一定价标准和采用固定价格采购的项目，其价格不列为评审因素。</w:t>
      </w:r>
      <w:r>
        <w:rPr>
          <w:color w:val="auto"/>
          <w:highlight w:val="none"/>
        </w:rPr>
        <w:t>价格分应当采用低价优先法计算，即满足招标文件要求且投标价格最低的投标报价为评标基准价，其价格分为满分。其他投标人的价格分统一按照下列公式计算：</w:t>
      </w:r>
    </w:p>
    <w:p w14:paraId="2D86B7AD">
      <w:pPr>
        <w:pStyle w:val="39"/>
        <w:rPr>
          <w:color w:val="auto"/>
          <w:highlight w:val="none"/>
        </w:rPr>
      </w:pPr>
      <w:r>
        <w:rPr>
          <w:rFonts w:hint="eastAsia"/>
          <w:color w:val="auto"/>
          <w:highlight w:val="none"/>
        </w:rPr>
        <w:t>投标报价得分</w:t>
      </w:r>
      <w:r>
        <w:rPr>
          <w:color w:val="auto"/>
          <w:highlight w:val="none"/>
        </w:rPr>
        <w:t>=(评标基准价／投标报价)×</w:t>
      </w:r>
      <w:r>
        <w:rPr>
          <w:rFonts w:hint="eastAsia"/>
          <w:color w:val="auto"/>
          <w:highlight w:val="none"/>
        </w:rPr>
        <w:t>价格</w:t>
      </w:r>
      <w:r>
        <w:rPr>
          <w:rFonts w:hint="eastAsia"/>
          <w:color w:val="auto"/>
          <w:highlight w:val="none"/>
          <w:lang w:eastAsia="zh-CN"/>
        </w:rPr>
        <w:t>分值</w:t>
      </w:r>
    </w:p>
    <w:p w14:paraId="0CCB2E48">
      <w:pPr>
        <w:pStyle w:val="39"/>
        <w:rPr>
          <w:color w:val="auto"/>
          <w:highlight w:val="none"/>
        </w:rPr>
      </w:pPr>
      <w:r>
        <w:rPr>
          <w:rFonts w:hint="eastAsia"/>
          <w:color w:val="auto"/>
          <w:highlight w:val="none"/>
        </w:rPr>
        <w:t>评标过程中，不得去掉报价中的最高报价和最低报价。</w:t>
      </w:r>
    </w:p>
    <w:p w14:paraId="14E623B0">
      <w:pPr>
        <w:pStyle w:val="39"/>
        <w:rPr>
          <w:color w:val="auto"/>
          <w:highlight w:val="none"/>
        </w:rPr>
      </w:pPr>
      <w:r>
        <w:rPr>
          <w:rFonts w:hint="eastAsia"/>
          <w:color w:val="auto"/>
          <w:highlight w:val="none"/>
          <w:lang w:val="en-US" w:eastAsia="zh-CN"/>
        </w:rPr>
        <w:t>11.</w:t>
      </w:r>
      <w:r>
        <w:rPr>
          <w:color w:val="auto"/>
          <w:highlight w:val="none"/>
        </w:rPr>
        <w:t>2</w:t>
      </w:r>
      <w:r>
        <w:rPr>
          <w:rFonts w:hint="eastAsia"/>
          <w:iCs/>
          <w:color w:val="auto"/>
          <w:spacing w:val="-6"/>
          <w:sz w:val="24"/>
          <w:highlight w:val="none"/>
        </w:rPr>
        <w:t>除算术修正和落实政府采购政策的价格扣除外，不对投标报价进行调整；</w:t>
      </w:r>
    </w:p>
    <w:p w14:paraId="6DDDADCE">
      <w:pPr>
        <w:pStyle w:val="39"/>
        <w:rPr>
          <w:color w:val="auto"/>
          <w:highlight w:val="none"/>
        </w:rPr>
      </w:pPr>
      <w:r>
        <w:rPr>
          <w:rFonts w:hint="eastAsia"/>
          <w:color w:val="auto"/>
          <w:highlight w:val="none"/>
          <w:lang w:val="en-US" w:eastAsia="zh-CN"/>
        </w:rPr>
        <w:t>11.</w:t>
      </w:r>
      <w:r>
        <w:rPr>
          <w:color w:val="auto"/>
          <w:highlight w:val="none"/>
        </w:rPr>
        <w:t>3价</w:t>
      </w:r>
      <w:r>
        <w:rPr>
          <w:rFonts w:hint="eastAsia"/>
          <w:color w:val="auto"/>
          <w:highlight w:val="none"/>
        </w:rPr>
        <w:t>格</w:t>
      </w:r>
      <w:r>
        <w:rPr>
          <w:rFonts w:hint="eastAsia"/>
          <w:color w:val="auto"/>
          <w:highlight w:val="none"/>
          <w:lang w:eastAsia="zh-CN"/>
        </w:rPr>
        <w:t>分值</w:t>
      </w:r>
      <w:r>
        <w:rPr>
          <w:rFonts w:hint="eastAsia"/>
          <w:color w:val="auto"/>
          <w:highlight w:val="none"/>
        </w:rPr>
        <w:t>见本章</w:t>
      </w:r>
      <w:r>
        <w:rPr>
          <w:rFonts w:hint="eastAsia"/>
          <w:color w:val="auto"/>
          <w:highlight w:val="none"/>
          <w:lang w:eastAsia="zh-CN"/>
        </w:rPr>
        <w:t>“</w:t>
      </w:r>
      <w:r>
        <w:rPr>
          <w:rFonts w:hint="eastAsia"/>
          <w:color w:val="auto"/>
          <w:highlight w:val="none"/>
          <w:lang w:val="en-US" w:eastAsia="zh-CN"/>
        </w:rPr>
        <w:t>四、</w:t>
      </w:r>
      <w:r>
        <w:rPr>
          <w:rFonts w:hint="eastAsia"/>
          <w:color w:val="auto"/>
          <w:highlight w:val="none"/>
        </w:rPr>
        <w:t>评</w:t>
      </w:r>
      <w:r>
        <w:rPr>
          <w:rFonts w:hint="eastAsia"/>
          <w:color w:val="auto"/>
          <w:highlight w:val="none"/>
          <w:lang w:val="en-US" w:eastAsia="zh-CN"/>
        </w:rPr>
        <w:t>标</w:t>
      </w:r>
      <w:r>
        <w:rPr>
          <w:rFonts w:hint="eastAsia"/>
          <w:color w:val="auto"/>
          <w:highlight w:val="none"/>
        </w:rPr>
        <w:t>标准</w:t>
      </w:r>
      <w:r>
        <w:rPr>
          <w:rFonts w:hint="eastAsia"/>
          <w:color w:val="auto"/>
          <w:highlight w:val="none"/>
          <w:lang w:eastAsia="zh-CN"/>
        </w:rPr>
        <w:t>”</w:t>
      </w:r>
      <w:r>
        <w:rPr>
          <w:color w:val="auto"/>
          <w:highlight w:val="none"/>
        </w:rPr>
        <w:t>。</w:t>
      </w:r>
    </w:p>
    <w:p w14:paraId="30866637">
      <w:pPr>
        <w:pStyle w:val="39"/>
        <w:rPr>
          <w:b w:val="0"/>
          <w:bCs w:val="0"/>
          <w:color w:val="auto"/>
          <w:highlight w:val="none"/>
        </w:rPr>
      </w:pPr>
      <w:r>
        <w:rPr>
          <w:rFonts w:hint="eastAsia"/>
          <w:b w:val="0"/>
          <w:bCs w:val="0"/>
          <w:color w:val="auto"/>
          <w:highlight w:val="none"/>
        </w:rPr>
        <w:t>1</w:t>
      </w:r>
      <w:r>
        <w:rPr>
          <w:rFonts w:hint="eastAsia"/>
          <w:b w:val="0"/>
          <w:bCs w:val="0"/>
          <w:color w:val="auto"/>
          <w:highlight w:val="none"/>
          <w:lang w:val="en-US" w:eastAsia="zh-CN"/>
        </w:rPr>
        <w:t>2</w:t>
      </w:r>
      <w:r>
        <w:rPr>
          <w:b w:val="0"/>
          <w:bCs w:val="0"/>
          <w:color w:val="auto"/>
          <w:highlight w:val="none"/>
        </w:rPr>
        <w:t>.</w:t>
      </w:r>
      <w:r>
        <w:rPr>
          <w:rFonts w:hint="eastAsia"/>
          <w:b w:val="0"/>
          <w:bCs w:val="0"/>
          <w:color w:val="auto"/>
          <w:highlight w:val="none"/>
        </w:rPr>
        <w:t>政府采购政策评审</w:t>
      </w:r>
    </w:p>
    <w:p w14:paraId="1627C557">
      <w:pPr>
        <w:pStyle w:val="39"/>
        <w:numPr>
          <w:ilvl w:val="0"/>
          <w:numId w:val="0"/>
        </w:numPr>
        <w:ind w:firstLine="480" w:firstLineChars="200"/>
        <w:rPr>
          <w:color w:val="auto"/>
          <w:highlight w:val="none"/>
        </w:rPr>
      </w:pPr>
      <w:r>
        <w:rPr>
          <w:color w:val="auto"/>
          <w:highlight w:val="none"/>
        </w:rPr>
        <w:t>1</w:t>
      </w:r>
      <w:r>
        <w:rPr>
          <w:rFonts w:hint="eastAsia"/>
          <w:color w:val="auto"/>
          <w:highlight w:val="none"/>
          <w:lang w:val="en-US" w:eastAsia="zh-CN"/>
        </w:rPr>
        <w:t>2</w:t>
      </w:r>
      <w:r>
        <w:rPr>
          <w:color w:val="auto"/>
          <w:highlight w:val="none"/>
        </w:rPr>
        <w:t>.1非专门面向中小企业的采购项目或采购包，对符合规定的小微企业（</w:t>
      </w:r>
      <w:r>
        <w:rPr>
          <w:rFonts w:hint="eastAsia"/>
          <w:color w:val="auto"/>
          <w:highlight w:val="none"/>
          <w:lang w:val="en-US" w:eastAsia="zh-CN"/>
        </w:rPr>
        <w:t>含</w:t>
      </w:r>
      <w:r>
        <w:rPr>
          <w:color w:val="auto"/>
          <w:highlight w:val="none"/>
        </w:rPr>
        <w:t>监狱企业、残疾人福利性单位、联合体各方均为小微企业的联合体、符合小微企业划分标准的个体工商户视同小微企业）报价</w:t>
      </w:r>
      <w:r>
        <w:rPr>
          <w:rFonts w:hint="eastAsia"/>
          <w:color w:val="auto"/>
          <w:highlight w:val="none"/>
        </w:rPr>
        <w:t>按照本招标文件</w:t>
      </w:r>
      <w:r>
        <w:rPr>
          <w:rFonts w:hint="eastAsia"/>
          <w:color w:val="auto"/>
          <w:highlight w:val="none"/>
          <w:lang w:eastAsia="zh-CN"/>
        </w:rPr>
        <w:t>“</w:t>
      </w:r>
      <w:r>
        <w:rPr>
          <w:rFonts w:hint="eastAsia"/>
          <w:color w:val="auto"/>
          <w:highlight w:val="none"/>
        </w:rPr>
        <w:t>投标人须知前附表”中的规定</w:t>
      </w:r>
      <w:r>
        <w:rPr>
          <w:color w:val="auto"/>
          <w:highlight w:val="none"/>
        </w:rPr>
        <w:t>扣除</w:t>
      </w:r>
      <w:r>
        <w:rPr>
          <w:rFonts w:hint="eastAsia"/>
          <w:color w:val="auto"/>
          <w:highlight w:val="none"/>
        </w:rPr>
        <w:t>，</w:t>
      </w:r>
      <w:r>
        <w:rPr>
          <w:rFonts w:hint="eastAsia" w:ascii="宋体" w:hAnsi="宋体" w:eastAsia="宋体" w:cs="宋体"/>
          <w:color w:val="auto"/>
          <w:sz w:val="24"/>
          <w:szCs w:val="24"/>
          <w:highlight w:val="none"/>
        </w:rPr>
        <w:t>，用扣除后的价格</w:t>
      </w:r>
      <w:r>
        <w:rPr>
          <w:rFonts w:hint="eastAsia" w:cs="宋体"/>
          <w:color w:val="auto"/>
          <w:sz w:val="24"/>
          <w:szCs w:val="24"/>
          <w:highlight w:val="none"/>
          <w:lang w:val="en-US" w:eastAsia="zh-CN"/>
        </w:rPr>
        <w:t>参与</w:t>
      </w:r>
      <w:r>
        <w:rPr>
          <w:rFonts w:hint="eastAsia" w:ascii="宋体" w:hAnsi="宋体" w:eastAsia="宋体" w:cs="宋体"/>
          <w:color w:val="auto"/>
          <w:sz w:val="24"/>
          <w:szCs w:val="24"/>
          <w:highlight w:val="none"/>
        </w:rPr>
        <w:t>评审</w:t>
      </w:r>
      <w:r>
        <w:rPr>
          <w:rFonts w:hint="eastAsia" w:cs="宋体"/>
          <w:color w:val="auto"/>
          <w:sz w:val="24"/>
          <w:szCs w:val="24"/>
          <w:highlight w:val="none"/>
          <w:lang w:eastAsia="zh-CN"/>
        </w:rPr>
        <w:t>。</w:t>
      </w:r>
      <w:r>
        <w:rPr>
          <w:rFonts w:hint="eastAsia"/>
          <w:color w:val="auto"/>
          <w:highlight w:val="none"/>
        </w:rPr>
        <w:t>对小微企业中的监狱企业、残疾人福利性单位、采购产品纳入创新产品应用示范推荐目录内企业、采购产品获得节能产品或环境标志产品认证证书的</w:t>
      </w:r>
      <w:r>
        <w:rPr>
          <w:rFonts w:hint="eastAsia" w:cs="宋体"/>
          <w:color w:val="auto"/>
          <w:sz w:val="24"/>
          <w:szCs w:val="24"/>
          <w:highlight w:val="none"/>
          <w:lang w:val="en-US" w:eastAsia="zh-CN"/>
        </w:rPr>
        <w:t>投标人</w:t>
      </w:r>
      <w:r>
        <w:rPr>
          <w:rFonts w:hint="eastAsia"/>
          <w:color w:val="auto"/>
          <w:highlight w:val="none"/>
        </w:rPr>
        <w:t>报价按照本</w:t>
      </w:r>
      <w:r>
        <w:rPr>
          <w:rFonts w:hint="eastAsia"/>
          <w:color w:val="auto"/>
          <w:highlight w:val="none"/>
          <w:lang w:val="en-US" w:eastAsia="zh-CN"/>
        </w:rPr>
        <w:t>招标</w:t>
      </w:r>
      <w:r>
        <w:rPr>
          <w:rFonts w:hint="eastAsia"/>
          <w:color w:val="auto"/>
          <w:highlight w:val="none"/>
        </w:rPr>
        <w:t>文件</w:t>
      </w:r>
      <w:r>
        <w:rPr>
          <w:rFonts w:hint="eastAsia"/>
          <w:color w:val="auto"/>
          <w:highlight w:val="none"/>
          <w:lang w:eastAsia="zh-CN"/>
        </w:rPr>
        <w:t>“</w:t>
      </w:r>
      <w:r>
        <w:rPr>
          <w:rFonts w:hint="eastAsia"/>
          <w:color w:val="auto"/>
          <w:highlight w:val="none"/>
          <w:lang w:val="en-US" w:eastAsia="zh-CN"/>
        </w:rPr>
        <w:t>投标人</w:t>
      </w:r>
      <w:r>
        <w:rPr>
          <w:rFonts w:hint="eastAsia"/>
          <w:color w:val="auto"/>
          <w:highlight w:val="none"/>
        </w:rPr>
        <w:t>须知前附表”中的规定</w:t>
      </w:r>
      <w:r>
        <w:rPr>
          <w:rFonts w:hint="eastAsia" w:cs="宋体"/>
          <w:color w:val="auto"/>
          <w:sz w:val="24"/>
          <w:szCs w:val="24"/>
          <w:highlight w:val="none"/>
          <w:lang w:val="en-US" w:eastAsia="zh-CN"/>
        </w:rPr>
        <w:t>给予评审优惠</w:t>
      </w:r>
      <w:r>
        <w:rPr>
          <w:color w:val="auto"/>
          <w:highlight w:val="none"/>
        </w:rPr>
        <w:t>。</w:t>
      </w:r>
    </w:p>
    <w:p w14:paraId="1E5F4E03">
      <w:pPr>
        <w:pStyle w:val="39"/>
        <w:numPr>
          <w:ilvl w:val="0"/>
          <w:numId w:val="0"/>
        </w:numPr>
        <w:ind w:firstLine="480" w:firstLineChars="200"/>
        <w:rPr>
          <w:rFonts w:ascii="宋体" w:hAnsi="宋体" w:eastAsia="宋体"/>
          <w:color w:val="auto"/>
          <w:highlight w:val="none"/>
        </w:rPr>
      </w:pPr>
      <w:r>
        <w:rPr>
          <w:rFonts w:hint="eastAsia" w:ascii="宋体" w:hAnsi="宋体" w:eastAsia="宋体"/>
          <w:color w:val="auto"/>
          <w:highlight w:val="none"/>
          <w:lang w:val="en-US" w:eastAsia="zh-CN"/>
        </w:rPr>
        <w:t>12.</w:t>
      </w:r>
      <w:r>
        <w:rPr>
          <w:rFonts w:hint="eastAsia" w:ascii="宋体" w:hAnsi="宋体" w:eastAsia="宋体"/>
          <w:color w:val="auto"/>
          <w:highlight w:val="none"/>
          <w:lang w:val="zh-CN" w:eastAsia="zh-CN"/>
        </w:rPr>
        <w:t>2</w:t>
      </w:r>
      <w:r>
        <w:rPr>
          <w:rFonts w:ascii="宋体" w:hAnsi="宋体" w:eastAsia="宋体"/>
          <w:color w:val="auto"/>
          <w:highlight w:val="none"/>
        </w:rPr>
        <w:t>参加政府采购活动的小微企业</w:t>
      </w:r>
      <w:r>
        <w:rPr>
          <w:rFonts w:hint="eastAsia"/>
          <w:color w:val="auto"/>
          <w:highlight w:val="none"/>
        </w:rPr>
        <w:t>（含节能环保、创新产品企业）</w:t>
      </w:r>
      <w:r>
        <w:rPr>
          <w:rFonts w:ascii="宋体" w:hAnsi="宋体" w:eastAsia="宋体"/>
          <w:color w:val="auto"/>
          <w:highlight w:val="none"/>
        </w:rPr>
        <w:t>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r>
        <w:rPr>
          <w:rFonts w:hint="eastAsia"/>
          <w:color w:val="auto"/>
          <w:highlight w:val="none"/>
          <w:lang w:val="en-US" w:eastAsia="zh-CN"/>
        </w:rPr>
        <w:t>若供应商同时属于小型或微型企业、监狱企业、残疾人福利性单位中的两种及以上，将不重复享受小微企业价格扣减的优惠政策。</w:t>
      </w:r>
    </w:p>
    <w:p w14:paraId="1A495953">
      <w:pPr>
        <w:pStyle w:val="39"/>
        <w:numPr>
          <w:ilvl w:val="0"/>
          <w:numId w:val="0"/>
        </w:numPr>
        <w:shd w:val="clear" w:color="auto" w:fill="FFFFFF" w:themeFill="background1"/>
        <w:ind w:firstLine="480" w:firstLineChars="200"/>
        <w:rPr>
          <w:rFonts w:ascii="宋体" w:hAnsi="宋体" w:eastAsia="宋体" w:cstheme="minorBidi"/>
          <w:color w:val="auto"/>
          <w:kern w:val="2"/>
          <w:sz w:val="24"/>
          <w:szCs w:val="22"/>
          <w:highlight w:val="none"/>
          <w:lang w:val="en-US" w:eastAsia="zh-CN" w:bidi="ar-SA"/>
        </w:rPr>
      </w:pPr>
      <w:r>
        <w:rPr>
          <w:rFonts w:ascii="宋体" w:hAnsi="宋体" w:eastAsia="宋体" w:cstheme="minorBidi"/>
          <w:color w:val="auto"/>
          <w:kern w:val="2"/>
          <w:sz w:val="24"/>
          <w:szCs w:val="22"/>
          <w:highlight w:val="none"/>
          <w:lang w:val="en-US" w:eastAsia="zh-CN" w:bidi="ar-SA"/>
        </w:rPr>
        <w:t>组成联合体或者接受分包的小微企业与联合体内其他企业、分包企业</w:t>
      </w:r>
      <w:r>
        <w:rPr>
          <w:rFonts w:hint="default" w:ascii="宋体" w:hAnsi="宋体" w:eastAsia="宋体" w:cstheme="minorBidi"/>
          <w:color w:val="auto"/>
          <w:kern w:val="2"/>
          <w:sz w:val="24"/>
          <w:szCs w:val="22"/>
          <w:highlight w:val="none"/>
          <w:lang w:val="en-US" w:eastAsia="zh-CN" w:bidi="ar-SA"/>
        </w:rPr>
        <w:t>之间存在直接控股、管理关系的，不享受价格扣除优惠政策。</w:t>
      </w:r>
    </w:p>
    <w:p w14:paraId="4FDAF77C">
      <w:pPr>
        <w:pStyle w:val="39"/>
        <w:numPr>
          <w:ilvl w:val="0"/>
          <w:numId w:val="0"/>
        </w:numPr>
        <w:ind w:firstLine="480" w:firstLineChars="200"/>
        <w:rPr>
          <w:rFonts w:ascii="宋体" w:hAnsi="宋体" w:eastAsia="宋体"/>
          <w:color w:val="auto"/>
          <w:highlight w:val="none"/>
        </w:rPr>
      </w:pPr>
      <w:r>
        <w:rPr>
          <w:rFonts w:ascii="宋体" w:hAnsi="宋体" w:eastAsia="宋体" w:cstheme="minorBidi"/>
          <w:color w:val="auto"/>
          <w:kern w:val="2"/>
          <w:sz w:val="24"/>
          <w:szCs w:val="22"/>
          <w:highlight w:val="none"/>
          <w:lang w:val="en-US" w:eastAsia="zh-CN" w:bidi="ar-SA"/>
        </w:rPr>
        <w:t>价格扣除比例对小型企业和微型企业同等对待，不作区分。</w:t>
      </w:r>
    </w:p>
    <w:p w14:paraId="71DD10A8">
      <w:pPr>
        <w:pStyle w:val="39"/>
        <w:numPr>
          <w:ilvl w:val="0"/>
          <w:numId w:val="0"/>
        </w:numPr>
        <w:ind w:firstLine="480" w:firstLineChars="200"/>
        <w:rPr>
          <w:rFonts w:ascii="宋体" w:hAnsi="宋体" w:eastAsia="宋体"/>
          <w:color w:val="auto"/>
          <w:highlight w:val="none"/>
        </w:rPr>
      </w:pPr>
      <w:r>
        <w:rPr>
          <w:rFonts w:hint="eastAsia" w:ascii="宋体" w:hAnsi="宋体" w:eastAsia="宋体"/>
          <w:color w:val="auto"/>
          <w:highlight w:val="none"/>
          <w:lang w:val="en-US" w:eastAsia="zh-CN"/>
        </w:rPr>
        <w:t>12.</w:t>
      </w:r>
      <w:r>
        <w:rPr>
          <w:rFonts w:hint="eastAsia" w:ascii="宋体" w:hAnsi="宋体" w:eastAsia="宋体"/>
          <w:color w:val="auto"/>
          <w:highlight w:val="none"/>
          <w:lang w:val="zh-CN" w:eastAsia="zh-CN"/>
        </w:rPr>
        <w:t>3</w:t>
      </w:r>
      <w:r>
        <w:rPr>
          <w:rFonts w:ascii="宋体" w:hAnsi="宋体" w:eastAsia="宋体"/>
          <w:color w:val="auto"/>
          <w:highlight w:val="none"/>
        </w:rPr>
        <w:t>专门面向中小企业、预留部分采购份额面向中小企业采购的项目或采购包，评审时不再进行价格扣除。</w:t>
      </w:r>
    </w:p>
    <w:p w14:paraId="3874ED83">
      <w:pPr>
        <w:pStyle w:val="39"/>
        <w:numPr>
          <w:ilvl w:val="0"/>
          <w:numId w:val="0"/>
        </w:numPr>
        <w:ind w:firstLine="480" w:firstLineChars="200"/>
        <w:rPr>
          <w:rFonts w:hint="eastAsia" w:ascii="宋体" w:hAnsi="宋体" w:eastAsia="宋体"/>
          <w:color w:val="auto"/>
          <w:highlight w:val="none"/>
        </w:rPr>
      </w:pPr>
      <w:r>
        <w:rPr>
          <w:rFonts w:hint="eastAsia" w:ascii="宋体" w:hAnsi="宋体" w:eastAsia="宋体"/>
          <w:color w:val="auto"/>
          <w:highlight w:val="none"/>
          <w:lang w:val="en-US" w:eastAsia="zh-CN"/>
        </w:rPr>
        <w:t>12.4</w:t>
      </w:r>
      <w:r>
        <w:rPr>
          <w:rFonts w:hint="eastAsia" w:ascii="宋体" w:hAnsi="宋体" w:eastAsia="宋体"/>
          <w:color w:val="auto"/>
          <w:highlight w:val="none"/>
        </w:rPr>
        <w:t>对于未预留份额专门面向中小企业的政府采购项目，以及预留份额政府采购项目中的非预留部分标项，对小型和微型企业的投标报价给予10%-</w:t>
      </w:r>
      <w:r>
        <w:rPr>
          <w:rFonts w:ascii="宋体" w:hAnsi="宋体" w:eastAsia="宋体"/>
          <w:color w:val="auto"/>
          <w:highlight w:val="none"/>
        </w:rPr>
        <w:t>20</w:t>
      </w:r>
      <w:r>
        <w:rPr>
          <w:rFonts w:hint="eastAsia" w:ascii="宋体" w:hAnsi="宋体" w:eastAsia="宋体"/>
          <w:color w:val="auto"/>
          <w:highlight w:val="none"/>
        </w:rPr>
        <w:t>%的扣除</w:t>
      </w:r>
      <w:r>
        <w:rPr>
          <w:rFonts w:hint="eastAsia"/>
          <w:color w:val="auto"/>
          <w:highlight w:val="none"/>
          <w:lang w:eastAsia="zh-CN"/>
        </w:rPr>
        <w:t>（</w:t>
      </w:r>
      <w:r>
        <w:rPr>
          <w:rFonts w:hint="eastAsia"/>
          <w:color w:val="auto"/>
          <w:highlight w:val="none"/>
          <w:lang w:val="en-US" w:eastAsia="zh-CN"/>
        </w:rPr>
        <w:t>具体比例详见投标人须知前附表</w:t>
      </w:r>
      <w:r>
        <w:rPr>
          <w:rFonts w:hint="eastAsia"/>
          <w:color w:val="auto"/>
          <w:highlight w:val="none"/>
          <w:lang w:eastAsia="zh-CN"/>
        </w:rPr>
        <w:t>）</w:t>
      </w:r>
      <w:r>
        <w:rPr>
          <w:rFonts w:hint="eastAsia" w:ascii="宋体" w:hAnsi="宋体" w:eastAsia="宋体"/>
          <w:color w:val="auto"/>
          <w:highlight w:val="none"/>
        </w:rPr>
        <w:t>，用扣除后的价格参与评审。接受大中型企业与小微企业组成联合体或者允许大中型企业向一家或者多家小微企业分包的政府采购项目，对于联合</w:t>
      </w:r>
      <w:r>
        <w:rPr>
          <w:rFonts w:hint="eastAsia" w:ascii="宋体" w:hAnsi="宋体" w:eastAsia="宋体"/>
          <w:color w:val="auto"/>
          <w:highlight w:val="none"/>
          <w:lang w:val="en-US" w:eastAsia="zh-CN"/>
        </w:rPr>
        <w:t>体</w:t>
      </w:r>
      <w:r>
        <w:rPr>
          <w:rFonts w:hint="eastAsia" w:ascii="宋体" w:hAnsi="宋体" w:eastAsia="宋体"/>
          <w:color w:val="auto"/>
          <w:highlight w:val="none"/>
        </w:rPr>
        <w:t>协议</w:t>
      </w:r>
      <w:r>
        <w:rPr>
          <w:rFonts w:hint="eastAsia" w:ascii="宋体" w:hAnsi="宋体" w:eastAsia="宋体"/>
          <w:color w:val="auto"/>
          <w:highlight w:val="none"/>
          <w:lang w:val="en-US" w:eastAsia="zh-CN"/>
        </w:rPr>
        <w:t>书</w:t>
      </w:r>
      <w:r>
        <w:rPr>
          <w:rFonts w:hint="eastAsia" w:ascii="宋体" w:hAnsi="宋体" w:eastAsia="宋体"/>
          <w:color w:val="auto"/>
          <w:highlight w:val="none"/>
        </w:rPr>
        <w:t>或者分包意向协议</w:t>
      </w:r>
      <w:r>
        <w:rPr>
          <w:rFonts w:hint="eastAsia" w:ascii="宋体" w:hAnsi="宋体" w:eastAsia="宋体"/>
          <w:color w:val="auto"/>
          <w:highlight w:val="none"/>
          <w:lang w:val="en-US" w:eastAsia="zh-CN"/>
        </w:rPr>
        <w:t>书</w:t>
      </w:r>
      <w:r>
        <w:rPr>
          <w:rFonts w:hint="eastAsia" w:ascii="宋体" w:hAnsi="宋体" w:eastAsia="宋体"/>
          <w:color w:val="auto"/>
          <w:highlight w:val="none"/>
        </w:rPr>
        <w:t>约定小微企业的合同份额占到合同总金额30%以上的，对联合体或者大中型企业的报价给予4%-</w:t>
      </w:r>
      <w:r>
        <w:rPr>
          <w:rFonts w:ascii="宋体" w:hAnsi="宋体" w:eastAsia="宋体"/>
          <w:color w:val="auto"/>
          <w:highlight w:val="none"/>
        </w:rPr>
        <w:t>6</w:t>
      </w:r>
      <w:r>
        <w:rPr>
          <w:rFonts w:hint="eastAsia" w:ascii="宋体" w:hAnsi="宋体" w:eastAsia="宋体"/>
          <w:color w:val="auto"/>
          <w:highlight w:val="none"/>
        </w:rPr>
        <w:t>%的扣除</w:t>
      </w:r>
      <w:r>
        <w:rPr>
          <w:rFonts w:hint="eastAsia"/>
          <w:color w:val="auto"/>
          <w:highlight w:val="none"/>
          <w:lang w:eastAsia="zh-CN"/>
        </w:rPr>
        <w:t>（</w:t>
      </w:r>
      <w:r>
        <w:rPr>
          <w:rFonts w:hint="eastAsia"/>
          <w:color w:val="auto"/>
          <w:highlight w:val="none"/>
          <w:lang w:val="en-US" w:eastAsia="zh-CN"/>
        </w:rPr>
        <w:t>具体比例详见投标人须知前附表</w:t>
      </w:r>
      <w:r>
        <w:rPr>
          <w:rFonts w:hint="eastAsia"/>
          <w:color w:val="auto"/>
          <w:highlight w:val="none"/>
          <w:lang w:eastAsia="zh-CN"/>
        </w:rPr>
        <w:t>）</w:t>
      </w:r>
      <w:r>
        <w:rPr>
          <w:rFonts w:hint="eastAsia" w:ascii="宋体" w:hAnsi="宋体" w:eastAsia="宋体"/>
          <w:color w:val="auto"/>
          <w:highlight w:val="none"/>
        </w:rPr>
        <w:t>，用扣除后的价格参加评审。组成联合体或者接受分包的小微企业与联合体内其他企业、分包企业之间存在直接控股、管理关系的，不享受价格扣除优惠政策。</w:t>
      </w:r>
    </w:p>
    <w:p w14:paraId="6BF2D456">
      <w:pPr>
        <w:pStyle w:val="39"/>
        <w:jc w:val="both"/>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w:t>
      </w: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.5供应商对其提供的产品出具《关于符合本国产品标准的声明函》或财政部会同有关部门规定的有关证明文件。出具符合要求的《声明函》或有关证明文件的，该产品视为本国产品。</w:t>
      </w:r>
    </w:p>
    <w:p w14:paraId="563030B5">
      <w:pPr>
        <w:pStyle w:val="39"/>
        <w:jc w:val="both"/>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0780894">
      <w:pPr>
        <w:pStyle w:val="39"/>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12.6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0E821466">
      <w:pPr>
        <w:pStyle w:val="39"/>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w:t>
      </w:r>
      <w:r>
        <w:rPr>
          <w:rFonts w:hint="eastAsia"/>
          <w:snapToGrid w:val="0"/>
          <w:color w:val="auto"/>
          <w:sz w:val="24"/>
          <w:highlight w:val="none"/>
          <w:lang w:val="en-US" w:eastAsia="zh-CN"/>
        </w:rPr>
        <w:t>2</w:t>
      </w:r>
      <w:r>
        <w:rPr>
          <w:rFonts w:hint="eastAsia" w:eastAsia="宋体"/>
          <w:snapToGrid w:val="0"/>
          <w:color w:val="auto"/>
          <w:sz w:val="24"/>
          <w:highlight w:val="none"/>
          <w:lang w:val="en-US" w:eastAsia="zh-CN"/>
        </w:rPr>
        <w:t>.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030C7D46">
      <w:pPr>
        <w:pStyle w:val="39"/>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w:t>
      </w:r>
      <w:r>
        <w:rPr>
          <w:rFonts w:hint="eastAsia"/>
          <w:snapToGrid w:val="0"/>
          <w:color w:val="auto"/>
          <w:sz w:val="24"/>
          <w:highlight w:val="none"/>
          <w:lang w:val="en-US" w:eastAsia="zh-CN"/>
        </w:rPr>
        <w:t>2</w:t>
      </w:r>
      <w:r>
        <w:rPr>
          <w:rFonts w:hint="eastAsia" w:eastAsia="宋体"/>
          <w:snapToGrid w:val="0"/>
          <w:color w:val="auto"/>
          <w:sz w:val="24"/>
          <w:highlight w:val="none"/>
          <w:lang w:val="en-US" w:eastAsia="zh-CN"/>
        </w:rPr>
        <w:t>.8对于仅有本国产品参与竞争的政府采购项目，本国产品不享受价格扣除评审优惠。</w:t>
      </w:r>
    </w:p>
    <w:p w14:paraId="2424F396">
      <w:pPr>
        <w:pStyle w:val="39"/>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w:t>
      </w:r>
      <w:r>
        <w:rPr>
          <w:rFonts w:hint="eastAsia"/>
          <w:snapToGrid w:val="0"/>
          <w:color w:val="auto"/>
          <w:sz w:val="24"/>
          <w:highlight w:val="none"/>
          <w:lang w:val="en-US" w:eastAsia="zh-CN"/>
        </w:rPr>
        <w:t>2</w:t>
      </w:r>
      <w:r>
        <w:rPr>
          <w:rFonts w:hint="eastAsia" w:eastAsia="宋体"/>
          <w:snapToGrid w:val="0"/>
          <w:color w:val="auto"/>
          <w:sz w:val="24"/>
          <w:highlight w:val="none"/>
          <w:lang w:val="en-US" w:eastAsia="zh-CN"/>
        </w:rPr>
        <w:t>.</w:t>
      </w:r>
      <w:r>
        <w:rPr>
          <w:rFonts w:hint="eastAsia"/>
          <w:snapToGrid w:val="0"/>
          <w:color w:val="auto"/>
          <w:sz w:val="24"/>
          <w:highlight w:val="none"/>
          <w:lang w:val="en-US" w:eastAsia="zh-CN"/>
        </w:rPr>
        <w:t>9</w:t>
      </w:r>
      <w:r>
        <w:rPr>
          <w:rFonts w:hint="eastAsia" w:eastAsia="宋体"/>
          <w:snapToGrid w:val="0"/>
          <w:color w:val="auto"/>
          <w:sz w:val="24"/>
          <w:highlight w:val="none"/>
          <w:lang w:val="en-US" w:eastAsia="zh-CN"/>
        </w:rPr>
        <w:t>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18651A53">
      <w:pPr>
        <w:pStyle w:val="39"/>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1</w:t>
      </w:r>
      <w:r>
        <w:rPr>
          <w:rFonts w:hint="eastAsia"/>
          <w:snapToGrid w:val="0"/>
          <w:color w:val="auto"/>
          <w:sz w:val="24"/>
          <w:highlight w:val="none"/>
          <w:lang w:val="en-US" w:eastAsia="zh-CN"/>
        </w:rPr>
        <w:t>2</w:t>
      </w:r>
      <w:r>
        <w:rPr>
          <w:rFonts w:hint="eastAsia" w:eastAsia="宋体"/>
          <w:snapToGrid w:val="0"/>
          <w:color w:val="auto"/>
          <w:sz w:val="24"/>
          <w:highlight w:val="none"/>
          <w:lang w:val="en-US" w:eastAsia="zh-CN"/>
        </w:rPr>
        <w:t>.</w:t>
      </w:r>
      <w:r>
        <w:rPr>
          <w:rFonts w:hint="eastAsia"/>
          <w:snapToGrid w:val="0"/>
          <w:color w:val="auto"/>
          <w:sz w:val="24"/>
          <w:highlight w:val="none"/>
          <w:lang w:val="en-US" w:eastAsia="zh-CN"/>
        </w:rPr>
        <w:t>10</w:t>
      </w:r>
      <w:r>
        <w:rPr>
          <w:rFonts w:hint="eastAsia" w:eastAsia="宋体"/>
          <w:snapToGrid w:val="0"/>
          <w:color w:val="auto"/>
          <w:sz w:val="24"/>
          <w:highlight w:val="none"/>
          <w:lang w:val="en-US" w:eastAsia="zh-CN"/>
        </w:rPr>
        <w:t>对医疗器械产品，</w:t>
      </w:r>
      <w:r>
        <w:rPr>
          <w:rFonts w:hint="eastAsia"/>
          <w:snapToGrid w:val="0"/>
          <w:color w:val="auto"/>
          <w:sz w:val="24"/>
          <w:highlight w:val="none"/>
          <w:lang w:val="en-US" w:eastAsia="zh-CN"/>
        </w:rPr>
        <w:t>提供</w:t>
      </w:r>
      <w:r>
        <w:rPr>
          <w:rFonts w:hint="eastAsia" w:eastAsia="宋体"/>
          <w:snapToGrid w:val="0"/>
          <w:color w:val="auto"/>
          <w:sz w:val="24"/>
          <w:highlight w:val="none"/>
          <w:lang w:val="en-US" w:eastAsia="zh-CN"/>
        </w:rPr>
        <w:t>取得药品监督管理部门授予的准字号医疗器械注册证的，</w:t>
      </w:r>
      <w:r>
        <w:rPr>
          <w:rFonts w:hint="eastAsia"/>
          <w:snapToGrid w:val="0"/>
          <w:color w:val="auto"/>
          <w:sz w:val="24"/>
          <w:highlight w:val="none"/>
          <w:lang w:val="en-US" w:eastAsia="zh-CN"/>
        </w:rPr>
        <w:t>视为符合本国产品标准，无须填写</w:t>
      </w:r>
      <w:r>
        <w:rPr>
          <w:rFonts w:hint="eastAsia" w:eastAsia="宋体"/>
          <w:snapToGrid w:val="0"/>
          <w:color w:val="auto"/>
          <w:sz w:val="24"/>
          <w:highlight w:val="none"/>
          <w:lang w:val="en-US" w:eastAsia="zh-CN"/>
        </w:rPr>
        <w:t>《声明函》</w:t>
      </w:r>
      <w:r>
        <w:rPr>
          <w:rFonts w:hint="eastAsia"/>
          <w:snapToGrid w:val="0"/>
          <w:color w:val="auto"/>
          <w:sz w:val="24"/>
          <w:highlight w:val="none"/>
          <w:lang w:val="en-US" w:eastAsia="zh-CN"/>
        </w:rPr>
        <w:t>，</w:t>
      </w:r>
      <w:r>
        <w:rPr>
          <w:rFonts w:hint="eastAsia" w:ascii="宋体" w:hAnsi="宋体" w:eastAsia="宋体" w:cs="宋体"/>
          <w:color w:val="auto"/>
          <w:sz w:val="24"/>
          <w:szCs w:val="24"/>
          <w:highlight w:val="none"/>
          <w:lang w:val="en-US" w:eastAsia="zh-CN"/>
        </w:rPr>
        <w:t>报价给予20%的价格扣除，用扣除后的价格参与评审</w:t>
      </w:r>
      <w:r>
        <w:rPr>
          <w:rFonts w:hint="eastAsia" w:cs="宋体"/>
          <w:color w:val="auto"/>
          <w:sz w:val="24"/>
          <w:szCs w:val="24"/>
          <w:highlight w:val="none"/>
          <w:lang w:val="en-US" w:eastAsia="zh-CN"/>
        </w:rPr>
        <w:t>。</w:t>
      </w:r>
    </w:p>
    <w:p w14:paraId="1D051A3C">
      <w:pPr>
        <w:pStyle w:val="39"/>
        <w:numPr>
          <w:ilvl w:val="0"/>
          <w:numId w:val="0"/>
        </w:numPr>
        <w:ind w:firstLine="480" w:firstLineChars="200"/>
        <w:rPr>
          <w:rFonts w:hint="eastAsia" w:ascii="宋体" w:hAnsi="宋体" w:eastAsia="宋体"/>
          <w:color w:val="auto"/>
          <w:highlight w:val="none"/>
        </w:rPr>
      </w:pPr>
      <w:r>
        <w:rPr>
          <w:rFonts w:hint="eastAsia" w:eastAsia="宋体"/>
          <w:snapToGrid w:val="0"/>
          <w:color w:val="auto"/>
          <w:sz w:val="24"/>
          <w:highlight w:val="none"/>
          <w:lang w:val="en-US" w:eastAsia="zh-CN"/>
        </w:rPr>
        <w:t>1</w:t>
      </w:r>
      <w:r>
        <w:rPr>
          <w:rFonts w:hint="eastAsia"/>
          <w:snapToGrid w:val="0"/>
          <w:color w:val="auto"/>
          <w:sz w:val="24"/>
          <w:highlight w:val="none"/>
          <w:lang w:val="en-US" w:eastAsia="zh-CN"/>
        </w:rPr>
        <w:t>2</w:t>
      </w:r>
      <w:r>
        <w:rPr>
          <w:rFonts w:hint="eastAsia" w:eastAsia="宋体"/>
          <w:snapToGrid w:val="0"/>
          <w:color w:val="auto"/>
          <w:sz w:val="24"/>
          <w:highlight w:val="none"/>
          <w:lang w:val="en-US" w:eastAsia="zh-CN"/>
        </w:rPr>
        <w:t>.</w:t>
      </w:r>
      <w:r>
        <w:rPr>
          <w:rFonts w:hint="eastAsia"/>
          <w:snapToGrid w:val="0"/>
          <w:color w:val="auto"/>
          <w:sz w:val="24"/>
          <w:highlight w:val="none"/>
          <w:lang w:val="en-US" w:eastAsia="zh-CN"/>
        </w:rPr>
        <w:t>11</w:t>
      </w:r>
      <w:r>
        <w:rPr>
          <w:rFonts w:hint="eastAsia" w:eastAsia="宋体"/>
          <w:snapToGrid w:val="0"/>
          <w:color w:val="auto"/>
          <w:sz w:val="24"/>
          <w:highlight w:val="none"/>
          <w:lang w:val="en-US" w:eastAsia="zh-CN"/>
        </w:rPr>
        <w:t>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48FFFDB">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69" w:name="_Toc13576"/>
      <w:bookmarkStart w:id="570" w:name="_Toc32272"/>
      <w:bookmarkStart w:id="571" w:name="_Toc12014"/>
      <w:bookmarkStart w:id="572" w:name="_Toc871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五</w:t>
      </w:r>
      <w:r>
        <w:rPr>
          <w:rFonts w:hint="eastAsia" w:ascii="宋体" w:hAnsi="宋体" w:eastAsia="宋体" w:cs="宋体"/>
          <w:b/>
          <w:bCs/>
          <w:color w:val="auto"/>
          <w:kern w:val="2"/>
          <w:sz w:val="24"/>
          <w:szCs w:val="24"/>
          <w:highlight w:val="none"/>
          <w:lang w:val="zh-CN" w:eastAsia="zh-CN" w:bidi="ar-SA"/>
        </w:rPr>
        <w:t>）评标得分及复核</w:t>
      </w:r>
      <w:bookmarkEnd w:id="569"/>
      <w:bookmarkEnd w:id="570"/>
      <w:bookmarkEnd w:id="571"/>
      <w:bookmarkEnd w:id="572"/>
    </w:p>
    <w:p w14:paraId="073A56A5">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13.评标过程中，各项分值一般精确到小数点后两位，评标得分应为商务评分、技术评分、报价评分之和。评标委员会各成员应汇总每个投标人的得分。</w:t>
      </w:r>
    </w:p>
    <w:p w14:paraId="0BE80DC7">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14.评标结果汇总完成后，采购代理机构应对评标结果进行复核。经复核发现存在以下情形之一的，</w:t>
      </w:r>
      <w:r>
        <w:rPr>
          <w:rFonts w:hint="eastAsia"/>
          <w:iCs/>
          <w:color w:val="auto"/>
          <w:spacing w:val="-6"/>
          <w:sz w:val="24"/>
          <w:highlight w:val="none"/>
          <w:lang w:val="en-US" w:eastAsia="zh-CN"/>
        </w:rPr>
        <w:t>评标委员会应当当场修改评标结果，并在评标报告中记载</w:t>
      </w:r>
      <w:r>
        <w:rPr>
          <w:rFonts w:hint="eastAsia"/>
          <w:color w:val="auto"/>
          <w:highlight w:val="none"/>
          <w:lang w:val="en-US" w:eastAsia="zh-CN"/>
        </w:rPr>
        <w:t>：</w:t>
      </w:r>
    </w:p>
    <w:p w14:paraId="427128F3">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14.1分值汇总计算错误的；</w:t>
      </w:r>
    </w:p>
    <w:p w14:paraId="4404F7B4">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14.2分项评分超出评分标准范围的；</w:t>
      </w:r>
    </w:p>
    <w:p w14:paraId="18150CA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14.3评标委员会成员对客观评审因素评分不一致的；</w:t>
      </w:r>
    </w:p>
    <w:p w14:paraId="6BFAB3DA">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14.4经评标委员会认定评分畸高、畸低的。</w:t>
      </w:r>
    </w:p>
    <w:p w14:paraId="0FD26D1C">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15.各投标人的最终得分为评标委员会所有成员对各投标人评标得分汇总后的算术平均值。</w:t>
      </w:r>
    </w:p>
    <w:p w14:paraId="1FD846A7">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15.1除资格性检查认定错误、分值汇总计算错误、分项评分超出评分标准范围、客观分评分不一致、经评标委员会一致认定评分畸高、畸低的情形外，采购人或者采购代理机构不得以任何理由组织重新评审。采购人、采购代理机构发现评标委员会未按照招标文件规定的评审标准进行评审的，应当重新开展采购活动，并同时书面报告本级财政部门。</w:t>
      </w:r>
    </w:p>
    <w:p w14:paraId="52280223">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15.2采购人或者采购代理机构不得通过对样品进行检测、对投标人进行考察等方式改变评审结果。</w:t>
      </w:r>
    </w:p>
    <w:p w14:paraId="5AB9E04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73" w:name="_Toc25831"/>
      <w:bookmarkStart w:id="574" w:name="_Toc10811"/>
      <w:bookmarkStart w:id="575" w:name="_Toc30929"/>
      <w:bookmarkStart w:id="576" w:name="_Toc1690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六</w:t>
      </w:r>
      <w:r>
        <w:rPr>
          <w:rFonts w:hint="eastAsia" w:ascii="宋体" w:hAnsi="宋体" w:eastAsia="宋体" w:cs="宋体"/>
          <w:b/>
          <w:bCs/>
          <w:color w:val="auto"/>
          <w:kern w:val="2"/>
          <w:sz w:val="24"/>
          <w:szCs w:val="24"/>
          <w:highlight w:val="none"/>
          <w:lang w:val="zh-CN" w:eastAsia="zh-CN" w:bidi="ar-SA"/>
        </w:rPr>
        <w:t>）排序与推荐</w:t>
      </w:r>
      <w:bookmarkEnd w:id="573"/>
      <w:bookmarkEnd w:id="574"/>
      <w:bookmarkEnd w:id="575"/>
      <w:bookmarkEnd w:id="576"/>
    </w:p>
    <w:p w14:paraId="514ADBD8">
      <w:pPr>
        <w:pStyle w:val="39"/>
        <w:rPr>
          <w:rFonts w:hint="eastAsia"/>
          <w:color w:val="auto"/>
          <w:highlight w:val="none"/>
        </w:rPr>
      </w:pPr>
      <w:r>
        <w:rPr>
          <w:rFonts w:hint="eastAsia"/>
          <w:color w:val="auto"/>
          <w:highlight w:val="none"/>
          <w:lang w:val="en-US" w:eastAsia="zh-CN"/>
        </w:rPr>
        <w:t>16.</w:t>
      </w:r>
      <w:r>
        <w:rPr>
          <w:rFonts w:hint="eastAsia"/>
          <w:color w:val="auto"/>
          <w:highlight w:val="none"/>
        </w:rPr>
        <w:t>评标结果按评审后得分由高到低顺序排列。投标文件满足招标文件全部实质性要求，且按照评审因素的量化指标评审得分最高的投标人为排名第一的中标候选人。得分相同的，按投标报价由低到高顺序排列。得分且投标报价相同的，</w:t>
      </w:r>
      <w:r>
        <w:rPr>
          <w:rFonts w:hint="eastAsia"/>
          <w:color w:val="auto"/>
          <w:highlight w:val="none"/>
          <w:lang w:val="en-US" w:eastAsia="zh-CN"/>
        </w:rPr>
        <w:t>按</w:t>
      </w:r>
      <w:r>
        <w:rPr>
          <w:rFonts w:hint="eastAsia"/>
          <w:color w:val="auto"/>
          <w:highlight w:val="none"/>
        </w:rPr>
        <w:t>技术指标</w:t>
      </w:r>
      <w:r>
        <w:rPr>
          <w:rFonts w:hint="eastAsia"/>
          <w:color w:val="auto"/>
          <w:highlight w:val="none"/>
          <w:lang w:val="en-US" w:eastAsia="zh-CN"/>
        </w:rPr>
        <w:t>优劣顺序排列</w:t>
      </w:r>
      <w:r>
        <w:rPr>
          <w:rFonts w:hint="eastAsia"/>
          <w:color w:val="auto"/>
          <w:highlight w:val="none"/>
        </w:rPr>
        <w:t>。</w:t>
      </w:r>
    </w:p>
    <w:p w14:paraId="3B1F6C1A">
      <w:pPr>
        <w:pStyle w:val="39"/>
        <w:rPr>
          <w:color w:val="auto"/>
          <w:highlight w:val="none"/>
        </w:rPr>
      </w:pPr>
      <w:r>
        <w:rPr>
          <w:rFonts w:hint="eastAsia"/>
          <w:color w:val="auto"/>
          <w:highlight w:val="none"/>
          <w:lang w:val="en-US" w:eastAsia="zh-CN"/>
        </w:rPr>
        <w:t>17.</w:t>
      </w:r>
      <w:r>
        <w:rPr>
          <w:rFonts w:hint="eastAsia"/>
          <w:color w:val="auto"/>
          <w:highlight w:val="none"/>
        </w:rPr>
        <w:t>中标候选人</w:t>
      </w:r>
      <w:r>
        <w:rPr>
          <w:rFonts w:hint="eastAsia"/>
          <w:color w:val="auto"/>
          <w:highlight w:val="none"/>
          <w:lang w:val="en-US" w:eastAsia="zh-CN"/>
        </w:rPr>
        <w:t>推荐家数详</w:t>
      </w:r>
      <w:r>
        <w:rPr>
          <w:rFonts w:hint="eastAsia"/>
          <w:color w:val="auto"/>
          <w:highlight w:val="none"/>
        </w:rPr>
        <w:t>见“</w:t>
      </w:r>
      <w:r>
        <w:rPr>
          <w:rFonts w:hint="eastAsia"/>
          <w:color w:val="auto"/>
          <w:highlight w:val="none"/>
          <w:lang w:val="en-US" w:eastAsia="zh-CN"/>
        </w:rPr>
        <w:t>投标人须知</w:t>
      </w:r>
      <w:r>
        <w:rPr>
          <w:rFonts w:hint="eastAsia"/>
          <w:color w:val="auto"/>
          <w:highlight w:val="none"/>
        </w:rPr>
        <w:t>前附表”。</w:t>
      </w:r>
    </w:p>
    <w:p w14:paraId="1F98E10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77" w:name="_Toc13628"/>
      <w:bookmarkStart w:id="578" w:name="_Toc7048"/>
      <w:bookmarkStart w:id="579" w:name="_Toc26366"/>
      <w:bookmarkStart w:id="580" w:name="_Toc31063"/>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七</w:t>
      </w:r>
      <w:r>
        <w:rPr>
          <w:rFonts w:hint="eastAsia" w:ascii="宋体" w:hAnsi="宋体" w:eastAsia="宋体" w:cs="宋体"/>
          <w:b/>
          <w:bCs/>
          <w:color w:val="auto"/>
          <w:kern w:val="2"/>
          <w:sz w:val="24"/>
          <w:szCs w:val="24"/>
          <w:highlight w:val="none"/>
          <w:lang w:val="zh-CN" w:eastAsia="zh-CN" w:bidi="ar-SA"/>
        </w:rPr>
        <w:t>）编写评标报告</w:t>
      </w:r>
      <w:bookmarkEnd w:id="577"/>
      <w:bookmarkEnd w:id="578"/>
      <w:bookmarkEnd w:id="579"/>
      <w:bookmarkEnd w:id="580"/>
    </w:p>
    <w:p w14:paraId="3576CABA">
      <w:pPr>
        <w:pStyle w:val="39"/>
        <w:rPr>
          <w:color w:val="auto"/>
          <w:highlight w:val="none"/>
        </w:rPr>
      </w:pPr>
      <w:r>
        <w:rPr>
          <w:rFonts w:hint="eastAsia"/>
          <w:color w:val="auto"/>
          <w:highlight w:val="none"/>
          <w:lang w:val="en-US" w:eastAsia="zh-CN"/>
        </w:rPr>
        <w:t>18.</w:t>
      </w:r>
      <w:r>
        <w:rPr>
          <w:rFonts w:hint="eastAsia"/>
          <w:color w:val="auto"/>
          <w:highlight w:val="none"/>
        </w:rPr>
        <w:t>评标委员会根据全体评标成员签字的原始评标记录和评标结果编写评标报告。评标委员会应当在评标报告上签名，对自己的评审意见承担法律责任。评标委员会成员对需要共同认定的事项存在争议的，应当按照少数服从多数的原则作出结论。持不同意见的评标委员会成员应当在评标报告上签署不同意见，并说明理由，否则视为同意评标报告。</w:t>
      </w:r>
    </w:p>
    <w:p w14:paraId="29512443">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81" w:name="_Toc155185913"/>
      <w:bookmarkStart w:id="582" w:name="_Toc102116021"/>
      <w:bookmarkStart w:id="583" w:name="_Toc4897"/>
      <w:bookmarkStart w:id="584" w:name="_Toc102114919"/>
      <w:bookmarkStart w:id="585" w:name="_Toc102057717"/>
      <w:bookmarkStart w:id="586" w:name="_Toc102116151"/>
      <w:bookmarkStart w:id="587" w:name="_Toc102056217"/>
      <w:bookmarkStart w:id="588" w:name="_Toc163492906"/>
      <w:bookmarkStart w:id="589" w:name="_Toc22304"/>
      <w:bookmarkStart w:id="590" w:name="_Toc5672"/>
      <w:bookmarkStart w:id="591" w:name="_Toc102119852"/>
      <w:bookmarkStart w:id="592" w:name="_Toc25294"/>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八</w:t>
      </w:r>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投标无效及</w:t>
      </w:r>
      <w:r>
        <w:rPr>
          <w:rFonts w:hint="eastAsia" w:ascii="宋体" w:hAnsi="宋体" w:eastAsia="宋体" w:cs="宋体"/>
          <w:b/>
          <w:bCs/>
          <w:color w:val="auto"/>
          <w:kern w:val="2"/>
          <w:sz w:val="24"/>
          <w:szCs w:val="24"/>
          <w:highlight w:val="none"/>
          <w:lang w:val="zh-CN" w:eastAsia="zh-CN" w:bidi="ar-SA"/>
        </w:rPr>
        <w:t>应予废标的情形</w:t>
      </w:r>
      <w:bookmarkEnd w:id="581"/>
      <w:bookmarkEnd w:id="582"/>
      <w:bookmarkEnd w:id="583"/>
      <w:bookmarkEnd w:id="584"/>
      <w:bookmarkEnd w:id="585"/>
      <w:bookmarkEnd w:id="586"/>
      <w:bookmarkEnd w:id="587"/>
      <w:bookmarkEnd w:id="588"/>
      <w:bookmarkEnd w:id="589"/>
      <w:bookmarkEnd w:id="590"/>
      <w:bookmarkEnd w:id="591"/>
      <w:bookmarkEnd w:id="592"/>
    </w:p>
    <w:p w14:paraId="2D93D6F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19.投标人存在下列情形之一的，</w:t>
      </w:r>
      <w:r>
        <w:rPr>
          <w:rFonts w:hint="eastAsia"/>
          <w:b/>
          <w:bCs/>
          <w:color w:val="auto"/>
          <w:highlight w:val="none"/>
          <w:lang w:val="en-US" w:eastAsia="zh-CN"/>
        </w:rPr>
        <w:t>投标无效</w:t>
      </w:r>
      <w:r>
        <w:rPr>
          <w:rFonts w:hint="eastAsia"/>
          <w:color w:val="auto"/>
          <w:highlight w:val="none"/>
          <w:lang w:val="en-US" w:eastAsia="zh-CN"/>
        </w:rPr>
        <w:t>：</w:t>
      </w:r>
    </w:p>
    <w:p w14:paraId="5C1B2C9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1</w:t>
      </w:r>
      <w:r>
        <w:rPr>
          <w:rFonts w:hint="eastAsia"/>
          <w:color w:val="auto"/>
          <w:highlight w:val="none"/>
          <w:lang w:val="en-US" w:eastAsia="zh-CN"/>
        </w:rPr>
        <w:t>投标人</w:t>
      </w:r>
      <w:r>
        <w:rPr>
          <w:rFonts w:hint="eastAsia"/>
          <w:color w:val="auto"/>
          <w:highlight w:val="none"/>
          <w:lang w:val="zh-CN" w:eastAsia="zh-CN"/>
        </w:rPr>
        <w:t>不具备《中华人民共和国政府采购法》第二十二条规定条件</w:t>
      </w:r>
      <w:r>
        <w:rPr>
          <w:rFonts w:hint="eastAsia"/>
          <w:color w:val="auto"/>
          <w:highlight w:val="none"/>
          <w:lang w:val="en-US" w:eastAsia="zh-CN"/>
        </w:rPr>
        <w:t>；</w:t>
      </w:r>
    </w:p>
    <w:p w14:paraId="15C939E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eastAsia="宋体"/>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2</w:t>
      </w:r>
      <w:r>
        <w:rPr>
          <w:rFonts w:hint="eastAsia"/>
          <w:color w:val="auto"/>
          <w:highlight w:val="none"/>
        </w:rPr>
        <w:t>投标文件未按招标文件要求签署、盖章的</w:t>
      </w:r>
      <w:r>
        <w:rPr>
          <w:rFonts w:hint="eastAsia"/>
          <w:color w:val="auto"/>
          <w:highlight w:val="none"/>
          <w:lang w:val="en-US" w:eastAsia="zh-CN"/>
        </w:rPr>
        <w:t>；</w:t>
      </w:r>
    </w:p>
    <w:p w14:paraId="0A936FC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3</w:t>
      </w:r>
      <w:r>
        <w:rPr>
          <w:rFonts w:hint="eastAsia"/>
          <w:color w:val="auto"/>
          <w:highlight w:val="none"/>
          <w:lang w:val="en-US" w:eastAsia="zh-CN"/>
        </w:rPr>
        <w:t>不具备招标文件中规定的资格要求的（投标人未提供有效资格文件的，视为投标人不具备招标文件中规定的资格要求）；</w:t>
      </w:r>
    </w:p>
    <w:p w14:paraId="0C68E355">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4</w:t>
      </w:r>
      <w:r>
        <w:rPr>
          <w:rFonts w:hint="eastAsia"/>
          <w:color w:val="auto"/>
          <w:highlight w:val="none"/>
          <w:lang w:val="en-US" w:eastAsia="zh-CN"/>
        </w:rPr>
        <w:t>投标</w:t>
      </w:r>
      <w:r>
        <w:rPr>
          <w:rFonts w:hint="eastAsia"/>
          <w:color w:val="auto"/>
          <w:highlight w:val="none"/>
          <w:lang w:val="zh-CN" w:eastAsia="zh-CN"/>
        </w:rPr>
        <w:t>文件提供虚假材料的</w:t>
      </w:r>
      <w:r>
        <w:rPr>
          <w:rFonts w:hint="eastAsia"/>
          <w:color w:val="auto"/>
          <w:highlight w:val="none"/>
          <w:lang w:val="en-US" w:eastAsia="zh-CN"/>
        </w:rPr>
        <w:t>；</w:t>
      </w:r>
    </w:p>
    <w:p w14:paraId="3FDAE16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5</w:t>
      </w:r>
      <w:r>
        <w:rPr>
          <w:rFonts w:hint="eastAsia"/>
          <w:color w:val="auto"/>
          <w:highlight w:val="none"/>
          <w:lang w:val="en-US" w:eastAsia="zh-CN"/>
        </w:rPr>
        <w:t>投标</w:t>
      </w:r>
      <w:r>
        <w:rPr>
          <w:rFonts w:hint="eastAsia"/>
          <w:color w:val="auto"/>
          <w:highlight w:val="none"/>
          <w:lang w:val="zh-CN" w:eastAsia="zh-CN"/>
        </w:rPr>
        <w:t>文件不满足</w:t>
      </w:r>
      <w:r>
        <w:rPr>
          <w:rFonts w:hint="eastAsia"/>
          <w:color w:val="auto"/>
          <w:highlight w:val="none"/>
          <w:lang w:val="en-US" w:eastAsia="zh-CN"/>
        </w:rPr>
        <w:t>招标</w:t>
      </w:r>
      <w:r>
        <w:rPr>
          <w:rFonts w:hint="eastAsia"/>
          <w:color w:val="auto"/>
          <w:highlight w:val="none"/>
          <w:lang w:val="zh-CN" w:eastAsia="zh-CN"/>
        </w:rPr>
        <w:t>文件中标注“★”号的实质性条款（或指标）要求的</w:t>
      </w:r>
      <w:r>
        <w:rPr>
          <w:rFonts w:hint="eastAsia"/>
          <w:color w:val="auto"/>
          <w:highlight w:val="none"/>
          <w:lang w:val="en-US" w:eastAsia="zh-CN"/>
        </w:rPr>
        <w:t>；</w:t>
      </w:r>
    </w:p>
    <w:p w14:paraId="2C5FC304">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6</w:t>
      </w:r>
      <w:r>
        <w:rPr>
          <w:rFonts w:hint="eastAsia"/>
          <w:color w:val="auto"/>
          <w:highlight w:val="none"/>
          <w:lang w:val="en-US" w:eastAsia="zh-CN"/>
        </w:rPr>
        <w:t>投标人</w:t>
      </w:r>
      <w:r>
        <w:rPr>
          <w:rFonts w:hint="eastAsia"/>
          <w:color w:val="auto"/>
          <w:highlight w:val="none"/>
          <w:lang w:val="zh-CN" w:eastAsia="zh-CN"/>
        </w:rPr>
        <w:t>报价超过招标文件中规定的</w:t>
      </w:r>
      <w:r>
        <w:rPr>
          <w:rFonts w:hint="eastAsia" w:ascii="宋体" w:hAnsi="宋体" w:eastAsia="宋体"/>
          <w:color w:val="auto"/>
          <w:highlight w:val="none"/>
          <w:lang w:val="en-US" w:eastAsia="zh-CN"/>
        </w:rPr>
        <w:t>最高限价或者预算金额</w:t>
      </w:r>
      <w:r>
        <w:rPr>
          <w:rFonts w:hint="eastAsia"/>
          <w:color w:val="auto"/>
          <w:highlight w:val="none"/>
          <w:lang w:val="zh-CN" w:eastAsia="zh-CN"/>
        </w:rPr>
        <w:t>的</w:t>
      </w:r>
      <w:r>
        <w:rPr>
          <w:rFonts w:hint="eastAsia"/>
          <w:color w:val="auto"/>
          <w:highlight w:val="none"/>
          <w:lang w:val="en-US" w:eastAsia="zh-CN"/>
        </w:rPr>
        <w:t>；</w:t>
      </w:r>
    </w:p>
    <w:p w14:paraId="6FC2A54F">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7联合体的供应商未提交各方共同签署的</w:t>
      </w:r>
      <w:r>
        <w:rPr>
          <w:rFonts w:hint="eastAsia"/>
          <w:color w:val="auto"/>
          <w:highlight w:val="none"/>
          <w:lang w:val="en-US" w:eastAsia="zh-CN"/>
        </w:rPr>
        <w:t>联合体</w:t>
      </w:r>
      <w:r>
        <w:rPr>
          <w:rFonts w:hint="eastAsia"/>
          <w:color w:val="auto"/>
          <w:highlight w:val="none"/>
          <w:lang w:val="zh-CN" w:eastAsia="zh-CN"/>
        </w:rPr>
        <w:t>协议</w:t>
      </w:r>
      <w:r>
        <w:rPr>
          <w:rFonts w:hint="eastAsia"/>
          <w:color w:val="auto"/>
          <w:highlight w:val="none"/>
          <w:lang w:val="en-US" w:eastAsia="zh-CN"/>
        </w:rPr>
        <w:t>的；</w:t>
      </w:r>
    </w:p>
    <w:p w14:paraId="4D1E7850">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8</w:t>
      </w:r>
      <w:r>
        <w:rPr>
          <w:rFonts w:hint="eastAsia"/>
          <w:color w:val="auto"/>
          <w:highlight w:val="none"/>
          <w:lang w:val="en-US" w:eastAsia="zh-CN"/>
        </w:rPr>
        <w:t>投标人</w:t>
      </w:r>
      <w:r>
        <w:rPr>
          <w:rFonts w:hint="eastAsia"/>
          <w:color w:val="auto"/>
          <w:highlight w:val="none"/>
          <w:lang w:val="zh-CN" w:eastAsia="zh-CN"/>
        </w:rPr>
        <w:t>未按</w:t>
      </w:r>
      <w:r>
        <w:rPr>
          <w:rFonts w:hint="eastAsia"/>
          <w:color w:val="auto"/>
          <w:highlight w:val="none"/>
          <w:lang w:val="en-US" w:eastAsia="zh-CN"/>
        </w:rPr>
        <w:t>招标</w:t>
      </w:r>
      <w:r>
        <w:rPr>
          <w:rFonts w:hint="eastAsia"/>
          <w:color w:val="auto"/>
          <w:highlight w:val="none"/>
          <w:lang w:val="zh-CN" w:eastAsia="zh-CN"/>
        </w:rPr>
        <w:t>文件</w:t>
      </w:r>
      <w:r>
        <w:rPr>
          <w:rFonts w:hint="eastAsia"/>
          <w:color w:val="auto"/>
          <w:highlight w:val="none"/>
          <w:lang w:val="en-US" w:eastAsia="zh-CN"/>
        </w:rPr>
        <w:t>的规定</w:t>
      </w:r>
      <w:r>
        <w:rPr>
          <w:rFonts w:hint="eastAsia"/>
          <w:color w:val="auto"/>
          <w:highlight w:val="none"/>
          <w:lang w:val="zh-CN" w:eastAsia="zh-CN"/>
        </w:rPr>
        <w:t>交纳投标保证金</w:t>
      </w:r>
      <w:r>
        <w:rPr>
          <w:rFonts w:hint="eastAsia"/>
          <w:color w:val="auto"/>
          <w:highlight w:val="none"/>
          <w:lang w:val="en-US" w:eastAsia="zh-CN"/>
        </w:rPr>
        <w:t>的；</w:t>
      </w:r>
    </w:p>
    <w:p w14:paraId="149A35CB">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zh-CN" w:eastAsia="zh-CN"/>
        </w:rPr>
      </w:pPr>
      <w:r>
        <w:rPr>
          <w:rFonts w:hint="eastAsia"/>
          <w:color w:val="auto"/>
          <w:highlight w:val="none"/>
          <w:lang w:val="en-US" w:eastAsia="zh-CN"/>
        </w:rPr>
        <w:t>19.</w:t>
      </w:r>
      <w:r>
        <w:rPr>
          <w:rFonts w:hint="eastAsia"/>
          <w:color w:val="auto"/>
          <w:highlight w:val="none"/>
          <w:lang w:val="zh-CN" w:eastAsia="zh-CN"/>
        </w:rPr>
        <w:t>9评审期间,</w:t>
      </w:r>
      <w:r>
        <w:rPr>
          <w:rFonts w:hint="eastAsia"/>
          <w:color w:val="auto"/>
          <w:highlight w:val="none"/>
          <w:lang w:val="en-US" w:eastAsia="zh-CN"/>
        </w:rPr>
        <w:t>投标人</w:t>
      </w:r>
      <w:r>
        <w:rPr>
          <w:rFonts w:hint="eastAsia"/>
          <w:color w:val="auto"/>
          <w:highlight w:val="none"/>
          <w:lang w:val="zh-CN" w:eastAsia="zh-CN"/>
        </w:rPr>
        <w:t>没有按评标委员会的要求提交经授权代表签字的澄清、说明、补正或改变了</w:t>
      </w:r>
      <w:r>
        <w:rPr>
          <w:rFonts w:hint="eastAsia"/>
          <w:color w:val="auto"/>
          <w:highlight w:val="none"/>
          <w:lang w:val="en-US" w:eastAsia="zh-CN"/>
        </w:rPr>
        <w:t>投标</w:t>
      </w:r>
      <w:r>
        <w:rPr>
          <w:rFonts w:hint="eastAsia"/>
          <w:color w:val="auto"/>
          <w:highlight w:val="none"/>
          <w:lang w:val="zh-CN" w:eastAsia="zh-CN"/>
        </w:rPr>
        <w:t>文件的实质性内容</w:t>
      </w:r>
      <w:r>
        <w:rPr>
          <w:rFonts w:hint="eastAsia"/>
          <w:color w:val="auto"/>
          <w:highlight w:val="none"/>
          <w:lang w:val="en-US" w:eastAsia="zh-CN"/>
        </w:rPr>
        <w:t>的；</w:t>
      </w:r>
    </w:p>
    <w:p w14:paraId="19EFB935">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10</w:t>
      </w:r>
      <w:r>
        <w:rPr>
          <w:rFonts w:hint="eastAsia"/>
          <w:color w:val="auto"/>
          <w:highlight w:val="none"/>
          <w:lang w:val="en-US" w:eastAsia="zh-CN"/>
        </w:rPr>
        <w:t>投标人</w:t>
      </w:r>
      <w:r>
        <w:rPr>
          <w:rFonts w:hint="eastAsia"/>
          <w:color w:val="auto"/>
          <w:highlight w:val="none"/>
          <w:lang w:val="zh-CN" w:eastAsia="zh-CN"/>
        </w:rPr>
        <w:t>对采购人、采购代理机构、评标委员会及其工作人员施加影响,有碍公平、公正</w:t>
      </w:r>
      <w:r>
        <w:rPr>
          <w:rFonts w:hint="eastAsia"/>
          <w:color w:val="auto"/>
          <w:highlight w:val="none"/>
          <w:lang w:val="en-US" w:eastAsia="zh-CN"/>
        </w:rPr>
        <w:t>的；</w:t>
      </w:r>
    </w:p>
    <w:p w14:paraId="3A6B238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default"/>
          <w:color w:val="auto"/>
          <w:highlight w:val="none"/>
          <w:lang w:val="en-US" w:eastAsia="zh-CN"/>
        </w:rPr>
      </w:pPr>
      <w:r>
        <w:rPr>
          <w:rFonts w:hint="eastAsia"/>
          <w:color w:val="auto"/>
          <w:highlight w:val="none"/>
          <w:lang w:val="en-US" w:eastAsia="zh-CN"/>
        </w:rPr>
        <w:t>19.11投标文件含有采购人不能接受的附加条件的；</w:t>
      </w:r>
    </w:p>
    <w:p w14:paraId="3764E979">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19.</w:t>
      </w:r>
      <w:r>
        <w:rPr>
          <w:rFonts w:hint="eastAsia"/>
          <w:color w:val="auto"/>
          <w:highlight w:val="none"/>
          <w:lang w:val="zh-CN" w:eastAsia="zh-CN"/>
        </w:rPr>
        <w:t>1</w:t>
      </w:r>
      <w:r>
        <w:rPr>
          <w:rFonts w:hint="eastAsia"/>
          <w:color w:val="auto"/>
          <w:highlight w:val="none"/>
          <w:lang w:val="en-US" w:eastAsia="zh-CN"/>
        </w:rPr>
        <w:t>2</w:t>
      </w:r>
      <w:r>
        <w:rPr>
          <w:rFonts w:hint="eastAsia"/>
          <w:color w:val="auto"/>
          <w:highlight w:val="none"/>
          <w:lang w:val="zh-CN" w:eastAsia="zh-CN"/>
        </w:rPr>
        <w:t>法律、法规、规章规定属于</w:t>
      </w:r>
      <w:r>
        <w:rPr>
          <w:rFonts w:hint="eastAsia"/>
          <w:color w:val="auto"/>
          <w:highlight w:val="none"/>
          <w:lang w:val="en-US" w:eastAsia="zh-CN"/>
        </w:rPr>
        <w:t>投标</w:t>
      </w:r>
      <w:r>
        <w:rPr>
          <w:rFonts w:hint="eastAsia"/>
          <w:color w:val="auto"/>
          <w:highlight w:val="none"/>
          <w:lang w:val="zh-CN" w:eastAsia="zh-CN"/>
        </w:rPr>
        <w:t>无效的其他情形。</w:t>
      </w:r>
    </w:p>
    <w:p w14:paraId="601D797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20.有下列情形之一的，视为投标人串通投标，其</w:t>
      </w:r>
      <w:r>
        <w:rPr>
          <w:rFonts w:hint="eastAsia"/>
          <w:b/>
          <w:bCs/>
          <w:color w:val="auto"/>
          <w:highlight w:val="none"/>
          <w:lang w:val="en-US" w:eastAsia="zh-CN"/>
        </w:rPr>
        <w:t>投标无效</w:t>
      </w:r>
      <w:r>
        <w:rPr>
          <w:rFonts w:hint="eastAsia"/>
          <w:color w:val="auto"/>
          <w:highlight w:val="none"/>
          <w:lang w:val="en-US" w:eastAsia="zh-CN"/>
        </w:rPr>
        <w:t>：</w:t>
      </w:r>
    </w:p>
    <w:p w14:paraId="0BD50610">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20.1不同投标人的投标文件由同一单位或者个人编制；</w:t>
      </w:r>
    </w:p>
    <w:p w14:paraId="3181555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20.2不同投标人委托同一单位或者个人办理投标事宜；</w:t>
      </w:r>
    </w:p>
    <w:p w14:paraId="3AD2037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20.3不同投标人的投标文件载明的项目管理成员或者联系人员为同一人；</w:t>
      </w:r>
    </w:p>
    <w:p w14:paraId="3F168EA2">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20.4不同投标人的投标文件异常一致或者投标报价呈规律性差异；</w:t>
      </w:r>
    </w:p>
    <w:p w14:paraId="634E7939">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20.5不同投标人的投标文件相互混装；</w:t>
      </w:r>
    </w:p>
    <w:p w14:paraId="3B078CE3">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20.6不同投标人的投标保证金从同一单位或者个人的账户转出；</w:t>
      </w:r>
    </w:p>
    <w:p w14:paraId="1C3AF755">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20.7</w:t>
      </w:r>
      <w:r>
        <w:rPr>
          <w:rFonts w:hint="eastAsia"/>
          <w:color w:val="auto"/>
          <w:highlight w:val="none"/>
          <w:lang w:val="zh-CN" w:eastAsia="zh-CN"/>
        </w:rPr>
        <w:t>不同投标人使用同一电脑（机器特征值一致：如MAC地址等）或使用同一电子密钥，编制或上传电子投标文件</w:t>
      </w:r>
      <w:r>
        <w:rPr>
          <w:rFonts w:hint="eastAsia"/>
          <w:color w:val="auto"/>
          <w:highlight w:val="none"/>
          <w:lang w:val="en-US" w:eastAsia="zh-CN"/>
        </w:rPr>
        <w:t>；</w:t>
      </w:r>
    </w:p>
    <w:p w14:paraId="0641DF48">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default" w:eastAsia="宋体"/>
          <w:color w:val="auto"/>
          <w:highlight w:val="none"/>
          <w:lang w:val="en-US" w:eastAsia="zh-CN"/>
        </w:rPr>
      </w:pPr>
      <w:r>
        <w:rPr>
          <w:rFonts w:hint="eastAsia"/>
          <w:color w:val="auto"/>
          <w:highlight w:val="none"/>
          <w:lang w:val="en-US" w:eastAsia="zh-CN"/>
        </w:rPr>
        <w:t>20.8法律、法规、规章规定属于投标人串通投标的其他情形</w:t>
      </w:r>
      <w:r>
        <w:rPr>
          <w:rFonts w:hint="eastAsia"/>
          <w:color w:val="auto"/>
          <w:highlight w:val="none"/>
          <w:lang w:val="zh-CN" w:eastAsia="zh-CN"/>
        </w:rPr>
        <w:t>。</w:t>
      </w:r>
    </w:p>
    <w:p w14:paraId="737FAF06">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w:t>
      </w:r>
      <w:r>
        <w:rPr>
          <w:color w:val="auto"/>
          <w:highlight w:val="none"/>
        </w:rPr>
        <w:t>.</w:t>
      </w:r>
      <w:r>
        <w:rPr>
          <w:rFonts w:hint="eastAsia"/>
          <w:color w:val="auto"/>
          <w:highlight w:val="none"/>
        </w:rPr>
        <w:t>根据《中华人民共和国政府采购法》第三十六条之规定，在招标采购过程中，出现下列情形之一的，应予</w:t>
      </w:r>
      <w:r>
        <w:rPr>
          <w:rFonts w:hint="eastAsia"/>
          <w:b/>
          <w:bCs/>
          <w:color w:val="auto"/>
          <w:highlight w:val="none"/>
        </w:rPr>
        <w:t>废标</w:t>
      </w:r>
      <w:r>
        <w:rPr>
          <w:rFonts w:hint="eastAsia"/>
          <w:color w:val="auto"/>
          <w:highlight w:val="none"/>
        </w:rPr>
        <w:t>：</w:t>
      </w:r>
    </w:p>
    <w:p w14:paraId="2C92042A">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w:t>
      </w:r>
      <w:r>
        <w:rPr>
          <w:color w:val="auto"/>
          <w:highlight w:val="none"/>
        </w:rPr>
        <w:t>.1</w:t>
      </w:r>
      <w:r>
        <w:rPr>
          <w:rFonts w:hint="eastAsia"/>
          <w:iCs/>
          <w:color w:val="auto"/>
          <w:spacing w:val="-6"/>
          <w:sz w:val="24"/>
          <w:highlight w:val="none"/>
        </w:rPr>
        <w:t>符合专业条件的供应商或者对招标文件作实质响应的供应商不足3家的；</w:t>
      </w:r>
    </w:p>
    <w:p w14:paraId="34ECD7A2">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w:t>
      </w:r>
      <w:r>
        <w:rPr>
          <w:color w:val="auto"/>
          <w:highlight w:val="none"/>
        </w:rPr>
        <w:t>.2</w:t>
      </w:r>
      <w:r>
        <w:rPr>
          <w:rFonts w:hint="eastAsia"/>
          <w:color w:val="auto"/>
          <w:highlight w:val="none"/>
        </w:rPr>
        <w:t>出现影响采购公正的违法、违规行为的；</w:t>
      </w:r>
    </w:p>
    <w:p w14:paraId="55223AA1">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w:t>
      </w:r>
      <w:r>
        <w:rPr>
          <w:color w:val="auto"/>
          <w:highlight w:val="none"/>
        </w:rPr>
        <w:t>.3</w:t>
      </w:r>
      <w:r>
        <w:rPr>
          <w:rFonts w:hint="eastAsia"/>
          <w:color w:val="auto"/>
          <w:highlight w:val="none"/>
        </w:rPr>
        <w:t>投标人的报价均超过了采购预算，采购人不能支付的；</w:t>
      </w:r>
    </w:p>
    <w:p w14:paraId="238CC2DB">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lang w:val="en-US" w:eastAsia="zh-CN"/>
        </w:rPr>
      </w:pPr>
      <w:r>
        <w:rPr>
          <w:rFonts w:hint="eastAsia"/>
          <w:color w:val="auto"/>
          <w:highlight w:val="none"/>
          <w:lang w:val="en-US" w:eastAsia="zh-CN"/>
        </w:rPr>
        <w:t>21</w:t>
      </w:r>
      <w:r>
        <w:rPr>
          <w:color w:val="auto"/>
          <w:highlight w:val="none"/>
        </w:rPr>
        <w:t>.4</w:t>
      </w:r>
      <w:r>
        <w:rPr>
          <w:rFonts w:hint="eastAsia"/>
          <w:color w:val="auto"/>
          <w:highlight w:val="none"/>
        </w:rPr>
        <w:t>因重大变故，采购任务取消的</w:t>
      </w:r>
      <w:r>
        <w:rPr>
          <w:rFonts w:hint="eastAsia"/>
          <w:color w:val="auto"/>
          <w:highlight w:val="none"/>
          <w:lang w:val="en-US" w:eastAsia="zh-CN"/>
        </w:rPr>
        <w:t>；</w:t>
      </w:r>
    </w:p>
    <w:p w14:paraId="42948BC7">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21.5</w:t>
      </w:r>
      <w:r>
        <w:rPr>
          <w:rFonts w:hint="eastAsia"/>
          <w:color w:val="auto"/>
          <w:highlight w:val="none"/>
        </w:rPr>
        <w:t>法律、法规、规章规定属于</w:t>
      </w:r>
      <w:r>
        <w:rPr>
          <w:rFonts w:hint="eastAsia"/>
          <w:color w:val="auto"/>
          <w:highlight w:val="none"/>
          <w:lang w:val="en-US" w:eastAsia="zh-CN"/>
        </w:rPr>
        <w:t>废标</w:t>
      </w:r>
      <w:r>
        <w:rPr>
          <w:rFonts w:hint="eastAsia"/>
          <w:color w:val="auto"/>
          <w:highlight w:val="none"/>
        </w:rPr>
        <w:t>的其他情形。</w:t>
      </w:r>
    </w:p>
    <w:p w14:paraId="3EE39131">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22.</w:t>
      </w:r>
      <w:r>
        <w:rPr>
          <w:rFonts w:hint="eastAsia"/>
          <w:color w:val="auto"/>
          <w:highlight w:val="none"/>
        </w:rPr>
        <w:t>废标后，采购人应当将废标理由通知所有投标人。</w:t>
      </w:r>
    </w:p>
    <w:p w14:paraId="05AB6DCD">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593" w:name="_Toc14002"/>
      <w:bookmarkStart w:id="594" w:name="_Toc102116152"/>
      <w:bookmarkStart w:id="595" w:name="_Toc102114920"/>
      <w:bookmarkStart w:id="596" w:name="_Toc155185914"/>
      <w:bookmarkStart w:id="597" w:name="_Toc5243"/>
      <w:bookmarkStart w:id="598" w:name="_Toc102056218"/>
      <w:bookmarkStart w:id="599" w:name="_Toc17420"/>
      <w:bookmarkStart w:id="600" w:name="_Toc102119853"/>
      <w:bookmarkStart w:id="601" w:name="_Toc163492907"/>
      <w:bookmarkStart w:id="602" w:name="_Toc20839"/>
      <w:bookmarkStart w:id="603" w:name="_Toc102116022"/>
      <w:bookmarkStart w:id="604" w:name="_Toc102057718"/>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九</w:t>
      </w:r>
      <w:r>
        <w:rPr>
          <w:rFonts w:hint="eastAsia" w:ascii="宋体" w:hAnsi="宋体" w:eastAsia="宋体" w:cs="宋体"/>
          <w:b/>
          <w:bCs/>
          <w:color w:val="auto"/>
          <w:kern w:val="2"/>
          <w:sz w:val="24"/>
          <w:szCs w:val="24"/>
          <w:highlight w:val="none"/>
          <w:lang w:val="zh-CN" w:eastAsia="zh-CN" w:bidi="ar-SA"/>
        </w:rPr>
        <w:t>）停止评标的情形</w:t>
      </w:r>
      <w:bookmarkEnd w:id="593"/>
      <w:bookmarkEnd w:id="594"/>
      <w:bookmarkEnd w:id="595"/>
      <w:bookmarkEnd w:id="596"/>
      <w:bookmarkEnd w:id="597"/>
      <w:bookmarkEnd w:id="598"/>
      <w:bookmarkEnd w:id="599"/>
      <w:bookmarkEnd w:id="600"/>
      <w:bookmarkEnd w:id="601"/>
      <w:bookmarkEnd w:id="602"/>
      <w:bookmarkEnd w:id="603"/>
      <w:bookmarkEnd w:id="604"/>
    </w:p>
    <w:p w14:paraId="190044DE">
      <w:pPr>
        <w:pStyle w:val="39"/>
        <w:rPr>
          <w:rFonts w:hint="eastAsia"/>
          <w:color w:val="auto"/>
          <w:highlight w:val="none"/>
        </w:rPr>
      </w:pPr>
      <w:r>
        <w:rPr>
          <w:rFonts w:hint="eastAsia"/>
          <w:color w:val="auto"/>
          <w:highlight w:val="none"/>
          <w:lang w:val="en-US" w:eastAsia="zh-CN"/>
        </w:rPr>
        <w:t>23</w:t>
      </w:r>
      <w:r>
        <w:rPr>
          <w:color w:val="auto"/>
          <w:highlight w:val="none"/>
        </w:rPr>
        <w:t>.</w:t>
      </w:r>
      <w:r>
        <w:rPr>
          <w:rFonts w:hint="eastAsia"/>
          <w:color w:val="auto"/>
          <w:highlight w:val="none"/>
        </w:rPr>
        <w:t>评标委员会发现招标文件存在歧义、重大缺陷导致评标工作无法进行，或者招标文件内容违反国家有关强制性规定的，应当停止评标工作，与采购人或者采购代理机构沟通并作书面记录。采购人或者采购代理机构确认后，应当修改招标文件，重新组织采购活动。</w:t>
      </w:r>
    </w:p>
    <w:p w14:paraId="2CDB1955">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05" w:name="_Toc10597"/>
      <w:bookmarkStart w:id="606" w:name="_Toc13967"/>
      <w:bookmarkStart w:id="607" w:name="_Toc20200"/>
      <w:bookmarkStart w:id="608" w:name="_Toc8262"/>
      <w:r>
        <w:rPr>
          <w:rFonts w:hint="eastAsia" w:ascii="宋体" w:hAnsi="宋体" w:eastAsia="宋体" w:cs="宋体"/>
          <w:b/>
          <w:bCs/>
          <w:color w:val="auto"/>
          <w:kern w:val="2"/>
          <w:sz w:val="24"/>
          <w:szCs w:val="24"/>
          <w:highlight w:val="none"/>
          <w:lang w:val="zh-CN" w:eastAsia="zh-CN" w:bidi="ar-SA"/>
        </w:rPr>
        <w:t>（</w:t>
      </w:r>
      <w:r>
        <w:rPr>
          <w:rFonts w:hint="eastAsia" w:ascii="宋体" w:hAnsi="宋体" w:eastAsia="宋体" w:cs="宋体"/>
          <w:b/>
          <w:bCs/>
          <w:color w:val="auto"/>
          <w:kern w:val="2"/>
          <w:sz w:val="24"/>
          <w:szCs w:val="24"/>
          <w:highlight w:val="none"/>
          <w:lang w:val="en-US" w:eastAsia="zh-CN" w:bidi="ar-SA"/>
        </w:rPr>
        <w:t>十</w:t>
      </w:r>
      <w:r>
        <w:rPr>
          <w:rFonts w:hint="eastAsia" w:ascii="宋体" w:hAnsi="宋体" w:eastAsia="宋体" w:cs="宋体"/>
          <w:b/>
          <w:bCs/>
          <w:color w:val="auto"/>
          <w:kern w:val="2"/>
          <w:sz w:val="24"/>
          <w:szCs w:val="24"/>
          <w:highlight w:val="none"/>
          <w:lang w:val="zh-CN" w:eastAsia="zh-CN" w:bidi="ar-SA"/>
        </w:rPr>
        <w:t>）重新开展采购</w:t>
      </w:r>
      <w:bookmarkEnd w:id="605"/>
      <w:bookmarkEnd w:id="606"/>
      <w:bookmarkEnd w:id="607"/>
      <w:bookmarkEnd w:id="608"/>
    </w:p>
    <w:p w14:paraId="461B653A">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有</w:t>
      </w:r>
      <w:r>
        <w:rPr>
          <w:rFonts w:hint="eastAsia"/>
          <w:color w:val="auto"/>
          <w:highlight w:val="none"/>
          <w:lang w:eastAsia="zh-CN"/>
        </w:rPr>
        <w:t>《</w:t>
      </w:r>
      <w:r>
        <w:rPr>
          <w:rFonts w:hint="eastAsia"/>
          <w:color w:val="auto"/>
          <w:highlight w:val="none"/>
        </w:rPr>
        <w:t>中华人民共和国政府采购法</w:t>
      </w:r>
      <w:r>
        <w:rPr>
          <w:rFonts w:hint="eastAsia"/>
          <w:color w:val="auto"/>
          <w:highlight w:val="none"/>
          <w:lang w:eastAsia="zh-CN"/>
        </w:rPr>
        <w:t>》</w:t>
      </w:r>
      <w:r>
        <w:rPr>
          <w:rFonts w:hint="eastAsia"/>
          <w:color w:val="auto"/>
          <w:highlight w:val="none"/>
        </w:rPr>
        <w:t>第七十一条、第七十二条规定的违法行为之一，影响或者可能影响中标结果的，依照下列规定处理：</w:t>
      </w:r>
    </w:p>
    <w:p w14:paraId="7AA5C7C3">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.1</w:t>
      </w:r>
      <w:r>
        <w:rPr>
          <w:rFonts w:hint="eastAsia"/>
          <w:iCs/>
          <w:color w:val="auto"/>
          <w:spacing w:val="-6"/>
          <w:sz w:val="24"/>
          <w:highlight w:val="none"/>
        </w:rPr>
        <w:t>未确定中标供应商的，终止本次政府采购活动，重新开展政府采购活动。</w:t>
      </w:r>
    </w:p>
    <w:p w14:paraId="3A794890">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.2已确定中标供应商但尚未签订政府采购合同的，中标结果无效，从合格的中标候选人中另行确定中标供应商；没有合格的中标候选人的，重新开展政府采购活动。</w:t>
      </w:r>
    </w:p>
    <w:p w14:paraId="595100CC">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.3政府采购合同已签订但尚未履行的，撤销合同，从合格的中标候选人中另行确定中标供应商；没有合格的中标候选人的，重新开展政府采购活动。</w:t>
      </w:r>
    </w:p>
    <w:p w14:paraId="45E078B1">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rFonts w:hint="eastAsia"/>
          <w:color w:val="auto"/>
          <w:highlight w:val="none"/>
        </w:rPr>
      </w:pPr>
      <w:r>
        <w:rPr>
          <w:rFonts w:hint="eastAsia"/>
          <w:color w:val="auto"/>
          <w:highlight w:val="none"/>
          <w:lang w:val="en-US" w:eastAsia="zh-CN"/>
        </w:rPr>
        <w:t>24</w:t>
      </w:r>
      <w:r>
        <w:rPr>
          <w:rFonts w:hint="eastAsia"/>
          <w:color w:val="auto"/>
          <w:highlight w:val="none"/>
        </w:rPr>
        <w:t>.4政府采购合同已经履行，给采购人、供应商造成损失的，由责任人承担赔偿责任。</w:t>
      </w:r>
    </w:p>
    <w:p w14:paraId="43A428E9">
      <w:pPr>
        <w:pStyle w:val="39"/>
        <w:keepNext w:val="0"/>
        <w:keepLines w:val="0"/>
        <w:pageBreakBefore w:val="0"/>
        <w:widowControl w:val="0"/>
        <w:kinsoku/>
        <w:wordWrap w:val="0"/>
        <w:overflowPunct/>
        <w:topLinePunct w:val="0"/>
        <w:autoSpaceDE/>
        <w:autoSpaceDN/>
        <w:bidi w:val="0"/>
        <w:adjustRightInd/>
        <w:snapToGrid/>
        <w:spacing w:line="460" w:lineRule="exact"/>
        <w:ind w:firstLine="482"/>
        <w:textAlignment w:val="auto"/>
        <w:rPr>
          <w:color w:val="auto"/>
          <w:highlight w:val="none"/>
        </w:rPr>
      </w:pPr>
      <w:r>
        <w:rPr>
          <w:rFonts w:hint="eastAsia"/>
          <w:color w:val="auto"/>
          <w:highlight w:val="none"/>
          <w:lang w:val="en-US" w:eastAsia="zh-CN"/>
        </w:rPr>
        <w:t>24</w:t>
      </w:r>
      <w:r>
        <w:rPr>
          <w:rFonts w:hint="eastAsia"/>
          <w:color w:val="auto"/>
          <w:highlight w:val="none"/>
        </w:rPr>
        <w:t>.5政府采购当事人有其他违反</w:t>
      </w:r>
      <w:r>
        <w:rPr>
          <w:rFonts w:hint="eastAsia"/>
          <w:iCs/>
          <w:color w:val="auto"/>
          <w:spacing w:val="-6"/>
          <w:sz w:val="24"/>
          <w:highlight w:val="none"/>
          <w:lang w:eastAsia="zh-CN"/>
        </w:rPr>
        <w:t>《</w:t>
      </w:r>
      <w:r>
        <w:rPr>
          <w:rFonts w:hint="eastAsia"/>
          <w:iCs/>
          <w:color w:val="auto"/>
          <w:spacing w:val="-6"/>
          <w:sz w:val="24"/>
          <w:highlight w:val="none"/>
        </w:rPr>
        <w:t>中华人民共和国政府采购法</w:t>
      </w:r>
      <w:r>
        <w:rPr>
          <w:rFonts w:hint="eastAsia"/>
          <w:iCs/>
          <w:color w:val="auto"/>
          <w:spacing w:val="-6"/>
          <w:sz w:val="24"/>
          <w:highlight w:val="none"/>
          <w:lang w:eastAsia="zh-CN"/>
        </w:rPr>
        <w:t>》</w:t>
      </w:r>
      <w:r>
        <w:rPr>
          <w:rFonts w:hint="eastAsia"/>
          <w:iCs/>
          <w:color w:val="auto"/>
          <w:spacing w:val="-6"/>
          <w:sz w:val="24"/>
          <w:highlight w:val="none"/>
        </w:rPr>
        <w:t>或者</w:t>
      </w:r>
      <w:r>
        <w:rPr>
          <w:rFonts w:hint="eastAsia"/>
          <w:iCs/>
          <w:color w:val="auto"/>
          <w:spacing w:val="-6"/>
          <w:sz w:val="24"/>
          <w:highlight w:val="none"/>
          <w:lang w:eastAsia="zh-CN"/>
        </w:rPr>
        <w:t>《</w:t>
      </w:r>
      <w:r>
        <w:rPr>
          <w:rFonts w:hint="eastAsia"/>
          <w:iCs/>
          <w:color w:val="auto"/>
          <w:spacing w:val="-6"/>
          <w:sz w:val="24"/>
          <w:highlight w:val="none"/>
        </w:rPr>
        <w:t>中华人民共和国政府采购法实施条例</w:t>
      </w:r>
      <w:r>
        <w:rPr>
          <w:rFonts w:hint="eastAsia"/>
          <w:iCs/>
          <w:color w:val="auto"/>
          <w:spacing w:val="-6"/>
          <w:sz w:val="24"/>
          <w:highlight w:val="none"/>
          <w:lang w:eastAsia="zh-CN"/>
        </w:rPr>
        <w:t>》</w:t>
      </w:r>
      <w:r>
        <w:rPr>
          <w:rFonts w:hint="eastAsia"/>
          <w:color w:val="auto"/>
          <w:highlight w:val="none"/>
        </w:rPr>
        <w:t>等法律法规规定的行为，经改正后仍然影响或者可能影响中标结果或者依法被认定为中标无效的，依照</w:t>
      </w:r>
      <w:r>
        <w:rPr>
          <w:rFonts w:hint="eastAsia"/>
          <w:color w:val="auto"/>
          <w:highlight w:val="none"/>
          <w:lang w:val="en-US" w:eastAsia="zh-CN"/>
        </w:rPr>
        <w:t>24</w:t>
      </w:r>
      <w:r>
        <w:rPr>
          <w:rFonts w:hint="eastAsia"/>
          <w:color w:val="auto"/>
          <w:highlight w:val="none"/>
        </w:rPr>
        <w:t>.1</w:t>
      </w:r>
      <w:r>
        <w:rPr>
          <w:rFonts w:hint="eastAsia"/>
          <w:color w:val="auto"/>
          <w:highlight w:val="none"/>
          <w:lang w:eastAsia="zh-CN"/>
        </w:rPr>
        <w:t>—</w:t>
      </w:r>
      <w:r>
        <w:rPr>
          <w:rFonts w:hint="eastAsia"/>
          <w:color w:val="auto"/>
          <w:highlight w:val="none"/>
          <w:lang w:val="en-US" w:eastAsia="zh-CN"/>
        </w:rPr>
        <w:t>24</w:t>
      </w:r>
      <w:r>
        <w:rPr>
          <w:rFonts w:hint="eastAsia"/>
          <w:color w:val="auto"/>
          <w:highlight w:val="none"/>
        </w:rPr>
        <w:t>.4规定处理。</w:t>
      </w:r>
    </w:p>
    <w:bookmarkEnd w:id="534"/>
    <w:bookmarkEnd w:id="535"/>
    <w:bookmarkEnd w:id="536"/>
    <w:bookmarkEnd w:id="537"/>
    <w:bookmarkEnd w:id="538"/>
    <w:bookmarkEnd w:id="539"/>
    <w:bookmarkEnd w:id="540"/>
    <w:bookmarkEnd w:id="541"/>
    <w:bookmarkEnd w:id="542"/>
    <w:bookmarkEnd w:id="543"/>
    <w:p w14:paraId="6AD5E432">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default" w:ascii="宋体" w:hAnsi="宋体" w:eastAsia="宋体" w:cs="宋体"/>
          <w:color w:val="auto"/>
          <w:sz w:val="28"/>
          <w:szCs w:val="28"/>
          <w:highlight w:val="none"/>
          <w:lang w:val="en-US" w:eastAsia="zh-CN"/>
        </w:rPr>
      </w:pPr>
      <w:bookmarkStart w:id="609" w:name="_Toc27264"/>
      <w:bookmarkStart w:id="610" w:name="_Toc23718"/>
      <w:r>
        <w:rPr>
          <w:rFonts w:hint="eastAsia" w:ascii="宋体" w:hAnsi="宋体" w:eastAsia="宋体" w:cs="宋体"/>
          <w:color w:val="auto"/>
          <w:sz w:val="28"/>
          <w:szCs w:val="28"/>
          <w:highlight w:val="none"/>
          <w:lang w:val="zh-CN" w:eastAsia="zh-CN"/>
        </w:rPr>
        <w:t>三、评标</w:t>
      </w:r>
      <w:r>
        <w:rPr>
          <w:rFonts w:hint="eastAsia" w:ascii="宋体" w:hAnsi="宋体" w:eastAsia="宋体" w:cs="宋体"/>
          <w:color w:val="auto"/>
          <w:sz w:val="28"/>
          <w:szCs w:val="28"/>
          <w:highlight w:val="none"/>
          <w:lang w:val="en-US" w:eastAsia="zh-CN"/>
        </w:rPr>
        <w:t>其他要求</w:t>
      </w:r>
      <w:bookmarkEnd w:id="609"/>
      <w:bookmarkEnd w:id="610"/>
    </w:p>
    <w:p w14:paraId="555D6B49">
      <w:pPr>
        <w:pStyle w:val="39"/>
        <w:keepNext w:val="0"/>
        <w:keepLines w:val="0"/>
        <w:pageBreakBefore w:val="0"/>
        <w:widowControl w:val="0"/>
        <w:kinsoku/>
        <w:overflowPunct/>
        <w:topLinePunct w:val="0"/>
        <w:autoSpaceDE/>
        <w:autoSpaceDN/>
        <w:bidi w:val="0"/>
        <w:adjustRightInd/>
        <w:snapToGrid/>
        <w:textAlignment w:val="auto"/>
        <w:rPr>
          <w:rFonts w:hint="eastAsia"/>
          <w:color w:val="auto"/>
          <w:highlight w:val="none"/>
          <w:lang w:eastAsia="zh-CN"/>
        </w:rPr>
      </w:pPr>
      <w:r>
        <w:rPr>
          <w:rFonts w:hint="eastAsia"/>
          <w:color w:val="auto"/>
          <w:highlight w:val="none"/>
          <w:lang w:val="en-US" w:eastAsia="zh-CN"/>
        </w:rPr>
        <w:t>无</w:t>
      </w:r>
    </w:p>
    <w:p w14:paraId="0BE29AB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宋体" w:hAnsi="宋体" w:eastAsia="宋体" w:cs="宋体"/>
          <w:color w:val="auto"/>
          <w:sz w:val="28"/>
          <w:szCs w:val="28"/>
          <w:highlight w:val="none"/>
          <w:lang w:val="zh-CN" w:eastAsia="zh-CN"/>
        </w:rPr>
      </w:pPr>
      <w:bookmarkStart w:id="611" w:name="_Toc9385"/>
      <w:bookmarkStart w:id="612" w:name="_Toc22385"/>
      <w:r>
        <w:rPr>
          <w:rFonts w:hint="eastAsia" w:ascii="宋体" w:hAnsi="宋体" w:eastAsia="宋体" w:cs="宋体"/>
          <w:color w:val="auto"/>
          <w:sz w:val="28"/>
          <w:szCs w:val="28"/>
          <w:highlight w:val="none"/>
          <w:lang w:val="en-US" w:eastAsia="zh-CN"/>
        </w:rPr>
        <w:t>四</w:t>
      </w:r>
      <w:r>
        <w:rPr>
          <w:rFonts w:hint="eastAsia" w:ascii="宋体" w:hAnsi="宋体" w:eastAsia="宋体" w:cs="宋体"/>
          <w:color w:val="auto"/>
          <w:sz w:val="28"/>
          <w:szCs w:val="28"/>
          <w:highlight w:val="none"/>
          <w:lang w:val="zh-CN" w:eastAsia="zh-CN"/>
        </w:rPr>
        <w:t>、评标标准</w:t>
      </w:r>
      <w:bookmarkEnd w:id="611"/>
      <w:bookmarkEnd w:id="612"/>
    </w:p>
    <w:p w14:paraId="6FC1DEB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13" w:name="_Toc17498"/>
      <w:bookmarkStart w:id="614" w:name="_Toc163492909"/>
      <w:bookmarkStart w:id="615" w:name="_Toc29368"/>
      <w:bookmarkStart w:id="616" w:name="_Toc12396"/>
      <w:bookmarkStart w:id="617" w:name="_Toc1508"/>
      <w:r>
        <w:rPr>
          <w:rFonts w:hint="eastAsia" w:ascii="宋体" w:hAnsi="宋体" w:eastAsia="宋体" w:cs="宋体"/>
          <w:b/>
          <w:bCs/>
          <w:color w:val="auto"/>
          <w:kern w:val="2"/>
          <w:sz w:val="24"/>
          <w:szCs w:val="24"/>
          <w:highlight w:val="none"/>
          <w:lang w:val="zh-CN" w:eastAsia="zh-CN" w:bidi="ar-SA"/>
        </w:rPr>
        <w:t>（一）符合性审查表</w:t>
      </w:r>
      <w:bookmarkEnd w:id="613"/>
      <w:bookmarkEnd w:id="614"/>
      <w:bookmarkEnd w:id="615"/>
      <w:bookmarkEnd w:id="616"/>
      <w:bookmarkEnd w:id="617"/>
    </w:p>
    <w:tbl>
      <w:tblPr>
        <w:tblStyle w:val="31"/>
        <w:tblW w:w="5442"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4"/>
        <w:gridCol w:w="1576"/>
        <w:gridCol w:w="5235"/>
        <w:gridCol w:w="869"/>
        <w:gridCol w:w="1091"/>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272" w:type="pct"/>
            <w:vMerge w:val="restart"/>
            <w:shd w:val="clear" w:color="auto" w:fill="D8D8D8" w:themeFill="background1" w:themeFillShade="D9"/>
            <w:vAlign w:val="center"/>
          </w:tcPr>
          <w:p w14:paraId="3B188FC3">
            <w:pPr>
              <w:pStyle w:val="51"/>
              <w:jc w:val="center"/>
              <w:rPr>
                <w:rFonts w:hint="eastAsia" w:ascii="宋体" w:hAnsi="宋体" w:eastAsia="宋体" w:cs="宋体"/>
                <w:b/>
                <w:bCs/>
                <w:color w:val="auto"/>
                <w:sz w:val="21"/>
                <w:szCs w:val="21"/>
                <w:highlight w:val="none"/>
                <w:lang w:val="zh-CN"/>
              </w:rPr>
            </w:pPr>
            <w:bookmarkStart w:id="618" w:name="_Toc163492910"/>
            <w:bookmarkStart w:id="619" w:name="_Toc155185917"/>
            <w:r>
              <w:rPr>
                <w:rFonts w:hint="eastAsia" w:ascii="宋体" w:hAnsi="宋体" w:eastAsia="宋体" w:cs="宋体"/>
                <w:b/>
                <w:bCs/>
                <w:color w:val="auto"/>
                <w:sz w:val="21"/>
                <w:szCs w:val="21"/>
                <w:highlight w:val="none"/>
                <w:lang w:val="zh-CN"/>
              </w:rPr>
              <w:t>序号</w:t>
            </w:r>
          </w:p>
        </w:tc>
        <w:tc>
          <w:tcPr>
            <w:tcW w:w="849" w:type="pct"/>
            <w:vMerge w:val="restart"/>
            <w:shd w:val="clear" w:color="auto" w:fill="D8D8D8" w:themeFill="background1" w:themeFillShade="D9"/>
            <w:vAlign w:val="center"/>
          </w:tcPr>
          <w:p w14:paraId="316B5F87">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审查项名称</w:t>
            </w:r>
          </w:p>
        </w:tc>
        <w:tc>
          <w:tcPr>
            <w:tcW w:w="2821" w:type="pct"/>
            <w:vMerge w:val="restart"/>
            <w:shd w:val="clear" w:color="auto" w:fill="D8D8D8" w:themeFill="background1" w:themeFillShade="D9"/>
            <w:vAlign w:val="center"/>
          </w:tcPr>
          <w:p w14:paraId="44B32FDC">
            <w:pPr>
              <w:pStyle w:val="51"/>
              <w:jc w:val="center"/>
              <w:rPr>
                <w:rFonts w:hint="eastAsia" w:ascii="宋体" w:hAnsi="宋体" w:eastAsia="宋体" w:cs="宋体"/>
                <w:b/>
                <w:bCs/>
                <w:color w:val="auto"/>
                <w:sz w:val="21"/>
                <w:szCs w:val="21"/>
                <w:highlight w:val="none"/>
                <w:lang w:val="zh-CN"/>
              </w:rPr>
            </w:pPr>
            <w:r>
              <w:rPr>
                <w:rFonts w:hint="eastAsia" w:ascii="宋体" w:hAnsi="宋体" w:eastAsia="宋体" w:cs="宋体"/>
                <w:b/>
                <w:bCs/>
                <w:color w:val="auto"/>
                <w:sz w:val="21"/>
                <w:szCs w:val="21"/>
                <w:highlight w:val="none"/>
                <w:lang w:val="zh-CN"/>
              </w:rPr>
              <w:t>审查内容</w:t>
            </w:r>
          </w:p>
        </w:tc>
        <w:tc>
          <w:tcPr>
            <w:tcW w:w="1056" w:type="pct"/>
            <w:gridSpan w:val="2"/>
            <w:shd w:val="clear" w:color="auto" w:fill="D8D8D8" w:themeFill="background1" w:themeFillShade="D9"/>
            <w:vAlign w:val="center"/>
          </w:tcPr>
          <w:p w14:paraId="2724C461">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82" w:hRule="atLeast"/>
        </w:trPr>
        <w:tc>
          <w:tcPr>
            <w:tcW w:w="272" w:type="pct"/>
            <w:vMerge w:val="continue"/>
            <w:shd w:val="clear" w:color="auto" w:fill="D8D8D8" w:themeFill="background1" w:themeFillShade="D9"/>
            <w:vAlign w:val="center"/>
          </w:tcPr>
          <w:p w14:paraId="1859AA86">
            <w:pPr>
              <w:pStyle w:val="51"/>
              <w:jc w:val="center"/>
              <w:rPr>
                <w:rFonts w:hint="eastAsia" w:ascii="宋体" w:hAnsi="宋体" w:eastAsia="宋体" w:cs="宋体"/>
                <w:b/>
                <w:bCs/>
                <w:color w:val="auto"/>
                <w:sz w:val="21"/>
                <w:szCs w:val="21"/>
                <w:highlight w:val="none"/>
                <w:lang w:val="zh-CN"/>
              </w:rPr>
            </w:pPr>
          </w:p>
        </w:tc>
        <w:tc>
          <w:tcPr>
            <w:tcW w:w="849" w:type="pct"/>
            <w:vMerge w:val="continue"/>
            <w:shd w:val="clear" w:color="auto" w:fill="D8D8D8" w:themeFill="background1" w:themeFillShade="D9"/>
            <w:vAlign w:val="center"/>
          </w:tcPr>
          <w:p w14:paraId="51EF0565">
            <w:pPr>
              <w:pStyle w:val="51"/>
              <w:jc w:val="center"/>
              <w:rPr>
                <w:rFonts w:hint="eastAsia" w:ascii="宋体" w:hAnsi="宋体" w:eastAsia="宋体" w:cs="宋体"/>
                <w:b/>
                <w:bCs/>
                <w:color w:val="auto"/>
                <w:sz w:val="21"/>
                <w:szCs w:val="21"/>
                <w:highlight w:val="none"/>
                <w:lang w:val="zh-CN"/>
              </w:rPr>
            </w:pPr>
          </w:p>
        </w:tc>
        <w:tc>
          <w:tcPr>
            <w:tcW w:w="2821" w:type="pct"/>
            <w:vMerge w:val="continue"/>
            <w:shd w:val="clear" w:color="auto" w:fill="D8D8D8" w:themeFill="background1" w:themeFillShade="D9"/>
            <w:vAlign w:val="center"/>
          </w:tcPr>
          <w:p w14:paraId="2128C077">
            <w:pPr>
              <w:pStyle w:val="51"/>
              <w:jc w:val="center"/>
              <w:rPr>
                <w:rFonts w:hint="eastAsia" w:ascii="宋体" w:hAnsi="宋体" w:eastAsia="宋体" w:cs="宋体"/>
                <w:b/>
                <w:bCs/>
                <w:color w:val="auto"/>
                <w:sz w:val="21"/>
                <w:szCs w:val="21"/>
                <w:highlight w:val="none"/>
                <w:lang w:val="zh-CN"/>
              </w:rPr>
            </w:pPr>
          </w:p>
        </w:tc>
        <w:tc>
          <w:tcPr>
            <w:tcW w:w="468" w:type="pct"/>
            <w:shd w:val="clear" w:color="auto" w:fill="D8D8D8" w:themeFill="background1" w:themeFillShade="D9"/>
            <w:vAlign w:val="center"/>
          </w:tcPr>
          <w:p w14:paraId="0CAA21D7">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符合</w:t>
            </w:r>
          </w:p>
        </w:tc>
        <w:tc>
          <w:tcPr>
            <w:tcW w:w="588" w:type="pct"/>
            <w:shd w:val="clear" w:color="auto" w:fill="D8D8D8" w:themeFill="background1" w:themeFillShade="D9"/>
            <w:vAlign w:val="center"/>
          </w:tcPr>
          <w:p w14:paraId="15D1F439">
            <w:pPr>
              <w:pStyle w:val="51"/>
              <w:jc w:val="center"/>
              <w:rPr>
                <w:rFonts w:hint="eastAsia" w:ascii="宋体" w:hAnsi="宋体" w:eastAsia="宋体" w:cs="宋体"/>
                <w:b/>
                <w:bCs/>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9" w:hRule="atLeast"/>
        </w:trPr>
        <w:tc>
          <w:tcPr>
            <w:tcW w:w="272" w:type="pct"/>
            <w:shd w:val="clear" w:color="auto" w:fill="auto"/>
            <w:vAlign w:val="center"/>
          </w:tcPr>
          <w:p w14:paraId="4A515C07">
            <w:pPr>
              <w:pStyle w:val="51"/>
              <w:numPr>
                <w:ilvl w:val="0"/>
                <w:numId w:val="0"/>
              </w:numPr>
              <w:ind w:left="420" w:leftChars="0" w:hanging="420" w:firstLineChars="0"/>
              <w:jc w:val="center"/>
              <w:rPr>
                <w:rFonts w:hint="eastAsia" w:ascii="宋体" w:hAnsi="宋体" w:eastAsia="宋体" w:cs="宋体"/>
                <w:color w:val="auto"/>
                <w:sz w:val="21"/>
                <w:szCs w:val="21"/>
                <w:highlight w:val="none"/>
                <w:lang w:val="zh-CN"/>
              </w:rPr>
            </w:pPr>
            <w:r>
              <w:rPr>
                <w:rFonts w:hint="eastAsia" w:ascii="宋体" w:hAnsi="宋体" w:eastAsia="宋体" w:cs="宋体"/>
                <w:color w:val="auto"/>
                <w:kern w:val="2"/>
                <w:sz w:val="21"/>
                <w:szCs w:val="21"/>
                <w:highlight w:val="none"/>
                <w:lang w:val="zh-CN" w:eastAsia="zh-CN" w:bidi="ar-SA"/>
              </w:rPr>
              <w:t>1</w:t>
            </w:r>
          </w:p>
        </w:tc>
        <w:tc>
          <w:tcPr>
            <w:tcW w:w="849" w:type="pct"/>
            <w:vAlign w:val="center"/>
          </w:tcPr>
          <w:p w14:paraId="5E0E3062">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投标文件</w:t>
            </w:r>
            <w:r>
              <w:rPr>
                <w:rFonts w:hint="eastAsia" w:ascii="宋体" w:hAnsi="宋体" w:eastAsia="宋体" w:cs="宋体"/>
                <w:color w:val="auto"/>
                <w:sz w:val="21"/>
                <w:szCs w:val="21"/>
                <w:highlight w:val="none"/>
              </w:rPr>
              <w:t>签署</w:t>
            </w:r>
          </w:p>
        </w:tc>
        <w:tc>
          <w:tcPr>
            <w:tcW w:w="2821" w:type="pct"/>
            <w:shd w:val="clear" w:color="auto" w:fill="auto"/>
            <w:vAlign w:val="center"/>
          </w:tcPr>
          <w:p w14:paraId="0FA4ED80">
            <w:pPr>
              <w:pStyle w:val="51"/>
              <w:rPr>
                <w:rFonts w:hint="eastAsia" w:ascii="宋体" w:hAnsi="宋体" w:eastAsia="宋体" w:cs="宋体"/>
                <w:color w:val="auto"/>
                <w:sz w:val="21"/>
                <w:szCs w:val="21"/>
                <w:highlight w:val="none"/>
                <w:lang w:val="zh-CN" w:eastAsia="zh-CN"/>
              </w:rPr>
            </w:pPr>
            <w:r>
              <w:rPr>
                <w:rFonts w:hint="eastAsia" w:ascii="宋体" w:hAnsi="宋体" w:eastAsia="宋体" w:cs="宋体"/>
                <w:color w:val="auto"/>
                <w:sz w:val="21"/>
                <w:szCs w:val="21"/>
                <w:highlight w:val="none"/>
                <w:lang w:val="en-US" w:eastAsia="zh-CN"/>
              </w:rPr>
              <w:t>投标文件按招标文件要求签署、盖章的</w:t>
            </w:r>
          </w:p>
        </w:tc>
        <w:tc>
          <w:tcPr>
            <w:tcW w:w="468" w:type="pct"/>
            <w:shd w:val="clear" w:color="auto" w:fill="auto"/>
            <w:vAlign w:val="center"/>
          </w:tcPr>
          <w:p w14:paraId="1E1F1EB1">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35325BAA">
            <w:pPr>
              <w:pStyle w:val="51"/>
              <w:rPr>
                <w:rFonts w:hint="eastAsia" w:ascii="宋体" w:hAnsi="宋体" w:eastAsia="宋体" w:cs="宋体"/>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272" w:type="pct"/>
            <w:shd w:val="clear" w:color="auto" w:fill="auto"/>
            <w:vAlign w:val="center"/>
          </w:tcPr>
          <w:p w14:paraId="70154C2F">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2</w:t>
            </w:r>
          </w:p>
        </w:tc>
        <w:tc>
          <w:tcPr>
            <w:tcW w:w="849" w:type="pct"/>
            <w:shd w:val="clear" w:color="auto" w:fill="auto"/>
            <w:vAlign w:val="center"/>
          </w:tcPr>
          <w:p w14:paraId="1B390AF0">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实质性要求</w:t>
            </w:r>
          </w:p>
        </w:tc>
        <w:tc>
          <w:tcPr>
            <w:tcW w:w="2821" w:type="pct"/>
            <w:shd w:val="clear" w:color="auto" w:fill="auto"/>
            <w:vAlign w:val="center"/>
          </w:tcPr>
          <w:p w14:paraId="6D95F485">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具体详见</w:t>
            </w:r>
            <w:r>
              <w:rPr>
                <w:rFonts w:hint="eastAsia" w:ascii="宋体" w:hAnsi="宋体" w:eastAsia="宋体" w:cs="宋体"/>
                <w:color w:val="auto"/>
                <w:sz w:val="21"/>
                <w:szCs w:val="21"/>
                <w:highlight w:val="none"/>
                <w:lang w:val="zh-CN"/>
              </w:rPr>
              <w:t>“实质性响应一览表”</w:t>
            </w:r>
          </w:p>
        </w:tc>
        <w:tc>
          <w:tcPr>
            <w:tcW w:w="468" w:type="pct"/>
            <w:shd w:val="clear" w:color="auto" w:fill="auto"/>
            <w:vAlign w:val="center"/>
          </w:tcPr>
          <w:p w14:paraId="4C63B966">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5A615EFE">
            <w:pPr>
              <w:pStyle w:val="51"/>
              <w:rPr>
                <w:rFonts w:hint="eastAsia" w:ascii="宋体" w:hAnsi="宋体" w:eastAsia="宋体" w:cs="宋体"/>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trPr>
        <w:tc>
          <w:tcPr>
            <w:tcW w:w="272" w:type="pct"/>
            <w:shd w:val="clear" w:color="auto" w:fill="auto"/>
            <w:vAlign w:val="center"/>
          </w:tcPr>
          <w:p w14:paraId="48860C47">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3</w:t>
            </w:r>
          </w:p>
        </w:tc>
        <w:tc>
          <w:tcPr>
            <w:tcW w:w="849" w:type="pct"/>
            <w:vAlign w:val="center"/>
          </w:tcPr>
          <w:p w14:paraId="31EA832C">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投标报价</w:t>
            </w:r>
          </w:p>
        </w:tc>
        <w:tc>
          <w:tcPr>
            <w:tcW w:w="2821" w:type="pct"/>
            <w:shd w:val="clear" w:color="auto" w:fill="auto"/>
            <w:vAlign w:val="center"/>
          </w:tcPr>
          <w:p w14:paraId="02D97709">
            <w:pPr>
              <w:pStyle w:val="51"/>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投标人报价未超过招标文件中规定的</w:t>
            </w:r>
            <w:r>
              <w:rPr>
                <w:rFonts w:hint="eastAsia" w:ascii="宋体" w:hAnsi="宋体" w:eastAsia="宋体" w:cs="宋体"/>
                <w:color w:val="auto"/>
                <w:sz w:val="21"/>
                <w:szCs w:val="21"/>
                <w:highlight w:val="none"/>
                <w:lang w:val="en-US" w:eastAsia="zh-CN"/>
              </w:rPr>
              <w:t>最高限价或者预算金额</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18835E98">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32826E79">
            <w:pPr>
              <w:pStyle w:val="51"/>
              <w:rPr>
                <w:rFonts w:hint="eastAsia" w:ascii="宋体" w:hAnsi="宋体" w:eastAsia="宋体" w:cs="宋体"/>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60" w:hRule="atLeast"/>
        </w:trPr>
        <w:tc>
          <w:tcPr>
            <w:tcW w:w="272" w:type="pct"/>
            <w:shd w:val="clear" w:color="auto" w:fill="auto"/>
            <w:vAlign w:val="center"/>
          </w:tcPr>
          <w:p w14:paraId="0D25BA5B">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4</w:t>
            </w:r>
          </w:p>
        </w:tc>
        <w:tc>
          <w:tcPr>
            <w:tcW w:w="849" w:type="pct"/>
            <w:vAlign w:val="center"/>
          </w:tcPr>
          <w:p w14:paraId="6B53D7DD">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虚假材料</w:t>
            </w:r>
          </w:p>
        </w:tc>
        <w:tc>
          <w:tcPr>
            <w:tcW w:w="2821" w:type="pct"/>
            <w:shd w:val="clear" w:color="auto" w:fill="auto"/>
            <w:vAlign w:val="center"/>
          </w:tcPr>
          <w:p w14:paraId="3C241A91">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提供虚假材料的</w:t>
            </w:r>
          </w:p>
        </w:tc>
        <w:tc>
          <w:tcPr>
            <w:tcW w:w="468" w:type="pct"/>
            <w:shd w:val="clear" w:color="auto" w:fill="auto"/>
            <w:vAlign w:val="center"/>
          </w:tcPr>
          <w:p w14:paraId="4B513014">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48AFA180">
            <w:pPr>
              <w:pStyle w:val="51"/>
              <w:rPr>
                <w:rFonts w:hint="eastAsia" w:ascii="宋体" w:hAnsi="宋体" w:eastAsia="宋体" w:cs="宋体"/>
                <w:color w:val="auto"/>
                <w:sz w:val="21"/>
                <w:szCs w:val="21"/>
                <w:highlight w:val="none"/>
                <w:lang w:val="zh-CN"/>
              </w:rPr>
            </w:pPr>
          </w:p>
        </w:tc>
      </w:tr>
      <w:tr w14:paraId="2260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6" w:hRule="atLeast"/>
        </w:trPr>
        <w:tc>
          <w:tcPr>
            <w:tcW w:w="272" w:type="pct"/>
            <w:shd w:val="clear" w:color="auto" w:fill="auto"/>
            <w:vAlign w:val="center"/>
          </w:tcPr>
          <w:p w14:paraId="5772C4C0">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5</w:t>
            </w:r>
          </w:p>
        </w:tc>
        <w:tc>
          <w:tcPr>
            <w:tcW w:w="849" w:type="pct"/>
            <w:vAlign w:val="center"/>
          </w:tcPr>
          <w:p w14:paraId="1817A2C0">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联合体</w:t>
            </w:r>
          </w:p>
        </w:tc>
        <w:tc>
          <w:tcPr>
            <w:tcW w:w="2821" w:type="pct"/>
            <w:shd w:val="clear" w:color="auto" w:fill="auto"/>
            <w:vAlign w:val="center"/>
          </w:tcPr>
          <w:p w14:paraId="39640874">
            <w:pPr>
              <w:pStyle w:val="51"/>
              <w:rPr>
                <w:rFonts w:hint="default"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非联合体投标</w:t>
            </w:r>
          </w:p>
        </w:tc>
        <w:tc>
          <w:tcPr>
            <w:tcW w:w="468" w:type="pct"/>
            <w:shd w:val="clear" w:color="auto" w:fill="auto"/>
            <w:vAlign w:val="center"/>
          </w:tcPr>
          <w:p w14:paraId="2C782F18">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163069B8">
            <w:pPr>
              <w:pStyle w:val="51"/>
              <w:rPr>
                <w:rFonts w:hint="eastAsia" w:ascii="宋体" w:hAnsi="宋体" w:eastAsia="宋体" w:cs="宋体"/>
                <w:color w:val="auto"/>
                <w:sz w:val="21"/>
                <w:szCs w:val="21"/>
                <w:highlight w:val="none"/>
                <w:lang w:val="zh-CN"/>
              </w:rPr>
            </w:pPr>
          </w:p>
        </w:tc>
      </w:tr>
      <w:tr w14:paraId="37C4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272" w:type="pct"/>
            <w:shd w:val="clear" w:color="auto" w:fill="auto"/>
            <w:vAlign w:val="center"/>
          </w:tcPr>
          <w:p w14:paraId="31C12A1B">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zh-CN" w:eastAsia="zh-CN" w:bidi="ar-SA"/>
              </w:rPr>
              <w:t>6</w:t>
            </w:r>
          </w:p>
        </w:tc>
        <w:tc>
          <w:tcPr>
            <w:tcW w:w="849" w:type="pct"/>
            <w:vAlign w:val="center"/>
          </w:tcPr>
          <w:p w14:paraId="55194F4F">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投标保证金</w:t>
            </w:r>
          </w:p>
        </w:tc>
        <w:tc>
          <w:tcPr>
            <w:tcW w:w="2821" w:type="pct"/>
            <w:shd w:val="clear" w:color="auto" w:fill="auto"/>
            <w:vAlign w:val="center"/>
          </w:tcPr>
          <w:p w14:paraId="4803457A">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投标人按招标文件的规定交纳投标保证金的</w:t>
            </w:r>
          </w:p>
        </w:tc>
        <w:tc>
          <w:tcPr>
            <w:tcW w:w="468" w:type="pct"/>
            <w:shd w:val="clear" w:color="auto" w:fill="auto"/>
            <w:vAlign w:val="center"/>
          </w:tcPr>
          <w:p w14:paraId="194FF3C2">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2372B823">
            <w:pPr>
              <w:pStyle w:val="51"/>
              <w:rPr>
                <w:rFonts w:hint="eastAsia" w:ascii="宋体" w:hAnsi="宋体" w:eastAsia="宋体" w:cs="宋体"/>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02" w:hRule="atLeast"/>
        </w:trPr>
        <w:tc>
          <w:tcPr>
            <w:tcW w:w="272" w:type="pct"/>
            <w:shd w:val="clear" w:color="auto" w:fill="auto"/>
            <w:vAlign w:val="center"/>
          </w:tcPr>
          <w:p w14:paraId="6C002E13">
            <w:pPr>
              <w:pStyle w:val="51"/>
              <w:numPr>
                <w:ilvl w:val="0"/>
                <w:numId w:val="0"/>
              </w:numPr>
              <w:ind w:left="0" w:leftChars="0" w:firstLine="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en-US" w:eastAsia="zh-CN"/>
              </w:rPr>
              <w:t>7</w:t>
            </w:r>
          </w:p>
        </w:tc>
        <w:tc>
          <w:tcPr>
            <w:tcW w:w="849" w:type="pct"/>
            <w:vAlign w:val="center"/>
          </w:tcPr>
          <w:p w14:paraId="5C91A4A7">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投标文件的澄清、说明、补正</w:t>
            </w:r>
          </w:p>
        </w:tc>
        <w:tc>
          <w:tcPr>
            <w:tcW w:w="2821" w:type="pct"/>
            <w:shd w:val="clear" w:color="auto" w:fill="auto"/>
            <w:vAlign w:val="center"/>
          </w:tcPr>
          <w:p w14:paraId="3E6052BB">
            <w:pPr>
              <w:pStyle w:val="51"/>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eastAsia="zh-CN"/>
              </w:rPr>
              <w:t>评审期间,</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按评标委员会的要求提交经授权代表签字的澄清、说明、补正或</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改变</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文件的实质性内容</w:t>
            </w:r>
          </w:p>
        </w:tc>
        <w:tc>
          <w:tcPr>
            <w:tcW w:w="468" w:type="pct"/>
            <w:shd w:val="clear" w:color="auto" w:fill="auto"/>
            <w:vAlign w:val="center"/>
          </w:tcPr>
          <w:p w14:paraId="1EA81190">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2394B23D">
            <w:pPr>
              <w:pStyle w:val="51"/>
              <w:rPr>
                <w:rFonts w:hint="eastAsia" w:ascii="宋体" w:hAnsi="宋体" w:eastAsia="宋体" w:cs="宋体"/>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2" w:hRule="atLeast"/>
        </w:trPr>
        <w:tc>
          <w:tcPr>
            <w:tcW w:w="272" w:type="pct"/>
            <w:shd w:val="clear" w:color="auto" w:fill="auto"/>
            <w:vAlign w:val="center"/>
          </w:tcPr>
          <w:p w14:paraId="09617D9C">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8</w:t>
            </w:r>
          </w:p>
        </w:tc>
        <w:tc>
          <w:tcPr>
            <w:tcW w:w="849" w:type="pct"/>
            <w:vAlign w:val="center"/>
          </w:tcPr>
          <w:p w14:paraId="2016E93A">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投标人影响评标</w:t>
            </w:r>
          </w:p>
        </w:tc>
        <w:tc>
          <w:tcPr>
            <w:tcW w:w="2821" w:type="pct"/>
            <w:shd w:val="clear" w:color="auto" w:fill="auto"/>
            <w:vAlign w:val="center"/>
          </w:tcPr>
          <w:p w14:paraId="50B76BB4">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lang w:val="zh-CN" w:eastAsia="zh-CN"/>
              </w:rPr>
              <w:t>对采购人、采购代理机构、评标委员会及其工作人员</w:t>
            </w:r>
            <w:r>
              <w:rPr>
                <w:rFonts w:hint="eastAsia" w:ascii="宋体" w:hAnsi="宋体" w:eastAsia="宋体" w:cs="宋体"/>
                <w:color w:val="auto"/>
                <w:sz w:val="21"/>
                <w:szCs w:val="21"/>
                <w:highlight w:val="none"/>
                <w:lang w:val="en-US" w:eastAsia="zh-CN"/>
              </w:rPr>
              <w:t>未</w:t>
            </w:r>
            <w:r>
              <w:rPr>
                <w:rFonts w:hint="eastAsia" w:ascii="宋体" w:hAnsi="宋体" w:eastAsia="宋体" w:cs="宋体"/>
                <w:color w:val="auto"/>
                <w:sz w:val="21"/>
                <w:szCs w:val="21"/>
                <w:highlight w:val="none"/>
                <w:lang w:val="zh-CN" w:eastAsia="zh-CN"/>
              </w:rPr>
              <w:t>施加影响,</w:t>
            </w:r>
            <w:r>
              <w:rPr>
                <w:rFonts w:hint="eastAsia" w:ascii="宋体" w:hAnsi="宋体" w:eastAsia="宋体" w:cs="宋体"/>
                <w:color w:val="auto"/>
                <w:sz w:val="21"/>
                <w:szCs w:val="21"/>
                <w:highlight w:val="none"/>
                <w:lang w:val="en-US" w:eastAsia="zh-CN"/>
              </w:rPr>
              <w:t>无</w:t>
            </w:r>
            <w:r>
              <w:rPr>
                <w:rFonts w:hint="eastAsia" w:ascii="宋体" w:hAnsi="宋体" w:eastAsia="宋体" w:cs="宋体"/>
                <w:color w:val="auto"/>
                <w:sz w:val="21"/>
                <w:szCs w:val="21"/>
                <w:highlight w:val="none"/>
                <w:lang w:val="zh-CN" w:eastAsia="zh-CN"/>
              </w:rPr>
              <w:t>有碍公平、公正</w:t>
            </w:r>
            <w:r>
              <w:rPr>
                <w:rFonts w:hint="eastAsia" w:ascii="宋体" w:hAnsi="宋体" w:eastAsia="宋体" w:cs="宋体"/>
                <w:color w:val="auto"/>
                <w:sz w:val="21"/>
                <w:szCs w:val="21"/>
                <w:highlight w:val="none"/>
                <w:lang w:val="en-US" w:eastAsia="zh-CN"/>
              </w:rPr>
              <w:t>的</w:t>
            </w:r>
          </w:p>
        </w:tc>
        <w:tc>
          <w:tcPr>
            <w:tcW w:w="468" w:type="pct"/>
            <w:shd w:val="clear" w:color="auto" w:fill="auto"/>
            <w:vAlign w:val="center"/>
          </w:tcPr>
          <w:p w14:paraId="75DB24A7">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7D6DA84C">
            <w:pPr>
              <w:pStyle w:val="51"/>
              <w:rPr>
                <w:rFonts w:hint="eastAsia" w:ascii="宋体" w:hAnsi="宋体" w:eastAsia="宋体" w:cs="宋体"/>
                <w:color w:val="auto"/>
                <w:sz w:val="21"/>
                <w:szCs w:val="21"/>
                <w:highlight w:val="none"/>
                <w:lang w:val="zh-CN"/>
              </w:rPr>
            </w:pPr>
          </w:p>
        </w:tc>
      </w:tr>
      <w:tr w14:paraId="67196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272" w:type="pct"/>
            <w:shd w:val="clear" w:color="auto" w:fill="auto"/>
            <w:vAlign w:val="center"/>
          </w:tcPr>
          <w:p w14:paraId="06D38870">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9</w:t>
            </w:r>
          </w:p>
        </w:tc>
        <w:tc>
          <w:tcPr>
            <w:tcW w:w="849" w:type="pct"/>
            <w:vAlign w:val="center"/>
          </w:tcPr>
          <w:p w14:paraId="32AEC3D4">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rPr>
              <w:t>围标串标情形</w:t>
            </w:r>
          </w:p>
        </w:tc>
        <w:tc>
          <w:tcPr>
            <w:tcW w:w="2821" w:type="pct"/>
            <w:shd w:val="clear" w:color="auto" w:fill="auto"/>
            <w:vAlign w:val="center"/>
          </w:tcPr>
          <w:p w14:paraId="68DBD364">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“第五章 评标方法及标准”</w:t>
            </w:r>
            <w:r>
              <w:rPr>
                <w:rFonts w:hint="eastAsia" w:ascii="宋体" w:hAnsi="宋体" w:eastAsia="宋体" w:cs="宋体"/>
                <w:color w:val="auto"/>
                <w:sz w:val="21"/>
                <w:szCs w:val="21"/>
                <w:highlight w:val="none"/>
                <w:lang w:val="en-US" w:eastAsia="zh-CN"/>
              </w:rPr>
              <w:t>第20条情形之一的</w:t>
            </w:r>
          </w:p>
        </w:tc>
        <w:tc>
          <w:tcPr>
            <w:tcW w:w="468" w:type="pct"/>
            <w:shd w:val="clear" w:color="auto" w:fill="auto"/>
            <w:vAlign w:val="center"/>
          </w:tcPr>
          <w:p w14:paraId="5A26F512">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06C24958">
            <w:pPr>
              <w:pStyle w:val="51"/>
              <w:rPr>
                <w:rFonts w:hint="eastAsia" w:ascii="宋体" w:hAnsi="宋体" w:eastAsia="宋体" w:cs="宋体"/>
                <w:color w:val="auto"/>
                <w:sz w:val="21"/>
                <w:szCs w:val="21"/>
                <w:highlight w:val="none"/>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5" w:hRule="atLeast"/>
        </w:trPr>
        <w:tc>
          <w:tcPr>
            <w:tcW w:w="272" w:type="pct"/>
            <w:shd w:val="clear" w:color="auto" w:fill="auto"/>
            <w:vAlign w:val="center"/>
          </w:tcPr>
          <w:p w14:paraId="332BD4A6">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10</w:t>
            </w:r>
          </w:p>
        </w:tc>
        <w:tc>
          <w:tcPr>
            <w:tcW w:w="849" w:type="pct"/>
            <w:vAlign w:val="center"/>
          </w:tcPr>
          <w:p w14:paraId="56EEFE7E">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附加条件</w:t>
            </w:r>
          </w:p>
        </w:tc>
        <w:tc>
          <w:tcPr>
            <w:tcW w:w="2821" w:type="pct"/>
            <w:shd w:val="clear" w:color="auto" w:fill="auto"/>
            <w:vAlign w:val="center"/>
          </w:tcPr>
          <w:p w14:paraId="618DB2FB">
            <w:pPr>
              <w:pStyle w:val="51"/>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投标文件没有采购人不能接受的附加条件的</w:t>
            </w:r>
          </w:p>
        </w:tc>
        <w:tc>
          <w:tcPr>
            <w:tcW w:w="468" w:type="pct"/>
            <w:shd w:val="clear" w:color="auto" w:fill="auto"/>
            <w:vAlign w:val="center"/>
          </w:tcPr>
          <w:p w14:paraId="36C2A679">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73E4201A">
            <w:pPr>
              <w:pStyle w:val="51"/>
              <w:rPr>
                <w:rFonts w:hint="eastAsia" w:ascii="宋体" w:hAnsi="宋体" w:eastAsia="宋体" w:cs="宋体"/>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2" w:hRule="atLeast"/>
        </w:trPr>
        <w:tc>
          <w:tcPr>
            <w:tcW w:w="272" w:type="pct"/>
            <w:shd w:val="clear" w:color="auto" w:fill="auto"/>
            <w:vAlign w:val="center"/>
          </w:tcPr>
          <w:p w14:paraId="3CD6AABE">
            <w:pPr>
              <w:pStyle w:val="51"/>
              <w:numPr>
                <w:ilvl w:val="0"/>
                <w:numId w:val="0"/>
              </w:numPr>
              <w:ind w:left="420" w:leftChars="0" w:hanging="42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11</w:t>
            </w:r>
          </w:p>
        </w:tc>
        <w:tc>
          <w:tcPr>
            <w:tcW w:w="849" w:type="pct"/>
            <w:vAlign w:val="center"/>
          </w:tcPr>
          <w:p w14:paraId="40726A5F">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zh-CN"/>
              </w:rPr>
              <w:t>其他无效情形</w:t>
            </w:r>
          </w:p>
        </w:tc>
        <w:tc>
          <w:tcPr>
            <w:tcW w:w="2821" w:type="pct"/>
            <w:shd w:val="clear" w:color="auto" w:fill="auto"/>
            <w:vAlign w:val="center"/>
          </w:tcPr>
          <w:p w14:paraId="05CC0303">
            <w:pPr>
              <w:pStyle w:val="51"/>
              <w:rPr>
                <w:rFonts w:hint="eastAsia" w:ascii="宋体" w:hAnsi="宋体" w:eastAsia="宋体" w:cs="宋体"/>
                <w:color w:val="auto"/>
                <w:sz w:val="21"/>
                <w:szCs w:val="21"/>
                <w:highlight w:val="none"/>
                <w:lang w:val="zh-CN"/>
              </w:rPr>
            </w:pPr>
            <w:r>
              <w:rPr>
                <w:rFonts w:hint="eastAsia" w:ascii="宋体" w:hAnsi="宋体" w:eastAsia="宋体" w:cs="宋体"/>
                <w:color w:val="auto"/>
                <w:sz w:val="21"/>
                <w:szCs w:val="21"/>
                <w:highlight w:val="none"/>
                <w:lang w:val="en-US" w:eastAsia="zh-CN"/>
              </w:rPr>
              <w:t>没有</w:t>
            </w:r>
            <w:r>
              <w:rPr>
                <w:rFonts w:hint="eastAsia" w:ascii="宋体" w:hAnsi="宋体" w:eastAsia="宋体" w:cs="宋体"/>
                <w:color w:val="auto"/>
                <w:sz w:val="21"/>
                <w:szCs w:val="21"/>
                <w:highlight w:val="none"/>
                <w:lang w:val="zh-CN" w:eastAsia="zh-CN"/>
              </w:rPr>
              <w:t>法律、法规、规章规定属于</w:t>
            </w:r>
            <w:r>
              <w:rPr>
                <w:rFonts w:hint="eastAsia" w:ascii="宋体" w:hAnsi="宋体" w:eastAsia="宋体" w:cs="宋体"/>
                <w:color w:val="auto"/>
                <w:sz w:val="21"/>
                <w:szCs w:val="21"/>
                <w:highlight w:val="none"/>
                <w:lang w:val="en-US" w:eastAsia="zh-CN"/>
              </w:rPr>
              <w:t>投标</w:t>
            </w:r>
            <w:r>
              <w:rPr>
                <w:rFonts w:hint="eastAsia" w:ascii="宋体" w:hAnsi="宋体" w:eastAsia="宋体" w:cs="宋体"/>
                <w:color w:val="auto"/>
                <w:sz w:val="21"/>
                <w:szCs w:val="21"/>
                <w:highlight w:val="none"/>
                <w:lang w:val="zh-CN" w:eastAsia="zh-CN"/>
              </w:rPr>
              <w:t>无效的其他情形。</w:t>
            </w:r>
          </w:p>
        </w:tc>
        <w:tc>
          <w:tcPr>
            <w:tcW w:w="468" w:type="pct"/>
            <w:shd w:val="clear" w:color="auto" w:fill="auto"/>
            <w:vAlign w:val="center"/>
          </w:tcPr>
          <w:p w14:paraId="3A44DE13">
            <w:pPr>
              <w:pStyle w:val="51"/>
              <w:rPr>
                <w:rFonts w:hint="eastAsia" w:ascii="宋体" w:hAnsi="宋体" w:eastAsia="宋体" w:cs="宋体"/>
                <w:color w:val="auto"/>
                <w:sz w:val="21"/>
                <w:szCs w:val="21"/>
                <w:highlight w:val="none"/>
                <w:lang w:val="zh-CN"/>
              </w:rPr>
            </w:pPr>
          </w:p>
        </w:tc>
        <w:tc>
          <w:tcPr>
            <w:tcW w:w="588" w:type="pct"/>
            <w:shd w:val="clear" w:color="auto" w:fill="auto"/>
            <w:vAlign w:val="center"/>
          </w:tcPr>
          <w:p w14:paraId="5D1C94D8">
            <w:pPr>
              <w:pStyle w:val="51"/>
              <w:rPr>
                <w:rFonts w:hint="eastAsia" w:ascii="宋体" w:hAnsi="宋体" w:eastAsia="宋体" w:cs="宋体"/>
                <w:color w:val="auto"/>
                <w:sz w:val="21"/>
                <w:szCs w:val="21"/>
                <w:highlight w:val="none"/>
                <w:lang w:val="zh-CN"/>
              </w:rPr>
            </w:pPr>
          </w:p>
        </w:tc>
      </w:tr>
    </w:tbl>
    <w:p w14:paraId="1300A53A">
      <w:pPr>
        <w:rPr>
          <w:rFonts w:hint="eastAsia" w:ascii="宋体" w:hAnsi="宋体" w:eastAsia="宋体" w:cstheme="minorBidi"/>
          <w:b/>
          <w:bCs/>
          <w:color w:val="auto"/>
          <w:kern w:val="2"/>
          <w:sz w:val="30"/>
          <w:szCs w:val="32"/>
          <w:highlight w:val="none"/>
          <w:lang w:val="zh-CN" w:eastAsia="zh-CN" w:bidi="ar-SA"/>
        </w:rPr>
      </w:pPr>
      <w:r>
        <w:rPr>
          <w:rFonts w:hint="eastAsia" w:ascii="宋体" w:hAnsi="宋体" w:eastAsia="宋体" w:cstheme="minorBidi"/>
          <w:b/>
          <w:bCs/>
          <w:color w:val="auto"/>
          <w:kern w:val="2"/>
          <w:sz w:val="30"/>
          <w:szCs w:val="32"/>
          <w:highlight w:val="none"/>
          <w:lang w:val="zh-CN" w:eastAsia="zh-CN" w:bidi="ar-SA"/>
        </w:rPr>
        <w:br w:type="page"/>
      </w:r>
    </w:p>
    <w:p w14:paraId="7D635A1B">
      <w:pPr>
        <w:shd w:val="clear" w:color="auto" w:fill="FFFFFF"/>
        <w:tabs>
          <w:tab w:val="left" w:pos="3045"/>
        </w:tabs>
        <w:autoSpaceDE w:val="0"/>
        <w:autoSpaceDN w:val="0"/>
        <w:adjustRightInd w:val="0"/>
        <w:snapToGrid w:val="0"/>
        <w:spacing w:line="360" w:lineRule="exact"/>
        <w:rPr>
          <w:rFonts w:hint="eastAsia" w:ascii="宋体" w:hAnsi="宋体" w:cs="宋体"/>
          <w:b/>
          <w:color w:val="auto"/>
          <w:sz w:val="24"/>
          <w:highlight w:val="none"/>
        </w:rPr>
      </w:pPr>
    </w:p>
    <w:p w14:paraId="3DB6FBF5">
      <w:pPr>
        <w:shd w:val="clear" w:color="auto" w:fill="FFFFFF"/>
        <w:tabs>
          <w:tab w:val="left" w:pos="3045"/>
        </w:tabs>
        <w:autoSpaceDE w:val="0"/>
        <w:autoSpaceDN w:val="0"/>
        <w:adjustRightInd w:val="0"/>
        <w:snapToGrid w:val="0"/>
        <w:spacing w:line="360" w:lineRule="exact"/>
        <w:rPr>
          <w:rFonts w:hint="eastAsia"/>
          <w:color w:val="auto"/>
          <w:highlight w:val="none"/>
        </w:rPr>
      </w:pPr>
      <w:r>
        <w:rPr>
          <w:rFonts w:hint="eastAsia" w:ascii="宋体" w:hAnsi="宋体" w:cs="宋体"/>
          <w:b/>
          <w:color w:val="auto"/>
          <w:sz w:val="24"/>
          <w:highlight w:val="none"/>
        </w:rPr>
        <w:t>符合</w:t>
      </w:r>
      <w:r>
        <w:rPr>
          <w:rFonts w:hint="eastAsia" w:ascii="宋体" w:hAnsi="宋体" w:cs="宋体"/>
          <w:b/>
          <w:color w:val="auto"/>
          <w:sz w:val="24"/>
          <w:highlight w:val="none"/>
          <w:lang w:eastAsia="zh-CN"/>
        </w:rPr>
        <w:t>性</w:t>
      </w:r>
      <w:r>
        <w:rPr>
          <w:rFonts w:hint="eastAsia" w:cs="宋体"/>
          <w:b/>
          <w:color w:val="auto"/>
          <w:sz w:val="24"/>
          <w:highlight w:val="none"/>
          <w:lang w:val="en-US" w:eastAsia="zh-CN"/>
        </w:rPr>
        <w:t>审查表-</w:t>
      </w:r>
      <w:r>
        <w:rPr>
          <w:rFonts w:hint="eastAsia" w:ascii="宋体" w:hAnsi="宋体" w:cs="宋体"/>
          <w:b/>
          <w:color w:val="auto"/>
          <w:sz w:val="24"/>
          <w:highlight w:val="none"/>
        </w:rPr>
        <w:t>附表</w:t>
      </w:r>
    </w:p>
    <w:p w14:paraId="70584E38">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theme="minorBidi"/>
          <w:b/>
          <w:bCs/>
          <w:color w:val="auto"/>
          <w:kern w:val="2"/>
          <w:sz w:val="28"/>
          <w:szCs w:val="28"/>
          <w:highlight w:val="none"/>
          <w:lang w:val="zh-CN" w:eastAsia="zh-CN" w:bidi="ar-SA"/>
        </w:rPr>
      </w:pPr>
      <w:bookmarkStart w:id="620" w:name="_Toc23492"/>
      <w:bookmarkStart w:id="621" w:name="_Toc26981"/>
      <w:bookmarkStart w:id="622" w:name="_Toc9687"/>
      <w:bookmarkStart w:id="623" w:name="_Toc15958"/>
      <w:bookmarkStart w:id="624" w:name="_Toc32259"/>
      <w:r>
        <w:rPr>
          <w:rFonts w:hint="eastAsia" w:ascii="宋体" w:hAnsi="宋体" w:eastAsia="宋体" w:cstheme="minorBidi"/>
          <w:b/>
          <w:bCs/>
          <w:color w:val="auto"/>
          <w:kern w:val="2"/>
          <w:sz w:val="28"/>
          <w:szCs w:val="28"/>
          <w:highlight w:val="none"/>
          <w:lang w:val="zh-CN" w:eastAsia="zh-CN" w:bidi="ar-SA"/>
        </w:rPr>
        <w:t>实质性响应一览表</w:t>
      </w:r>
      <w:bookmarkEnd w:id="620"/>
      <w:bookmarkEnd w:id="621"/>
      <w:bookmarkEnd w:id="622"/>
      <w:bookmarkEnd w:id="623"/>
      <w:bookmarkEnd w:id="624"/>
    </w:p>
    <w:tbl>
      <w:tblPr>
        <w:tblStyle w:val="31"/>
        <w:tblW w:w="5384" w:type="pct"/>
        <w:tblInd w:w="-24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3"/>
        <w:gridCol w:w="1974"/>
        <w:gridCol w:w="3957"/>
        <w:gridCol w:w="2119"/>
        <w:gridCol w:w="724"/>
      </w:tblGrid>
      <w:tr w14:paraId="098C5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219" w:type="pct"/>
            <w:vMerge w:val="restart"/>
            <w:noWrap w:val="0"/>
            <w:vAlign w:val="center"/>
          </w:tcPr>
          <w:p w14:paraId="7CE32AA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3231" w:type="pct"/>
            <w:gridSpan w:val="2"/>
            <w:noWrap w:val="0"/>
            <w:vAlign w:val="center"/>
          </w:tcPr>
          <w:p w14:paraId="01AF850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招标</w:t>
            </w:r>
            <w:r>
              <w:rPr>
                <w:rFonts w:hint="eastAsia" w:ascii="宋体" w:hAnsi="宋体" w:eastAsia="宋体" w:cs="宋体"/>
                <w:color w:val="auto"/>
                <w:sz w:val="21"/>
                <w:szCs w:val="21"/>
                <w:highlight w:val="none"/>
              </w:rPr>
              <w:t>文件要求的实质性响应内容</w:t>
            </w:r>
          </w:p>
        </w:tc>
        <w:tc>
          <w:tcPr>
            <w:tcW w:w="1154" w:type="pct"/>
            <w:vMerge w:val="restart"/>
            <w:noWrap w:val="0"/>
            <w:vAlign w:val="center"/>
          </w:tcPr>
          <w:p w14:paraId="2428BDFD">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投标文件响应</w:t>
            </w:r>
            <w:r>
              <w:rPr>
                <w:rFonts w:hint="eastAsia" w:ascii="宋体" w:hAnsi="宋体" w:eastAsia="宋体" w:cs="宋体"/>
                <w:color w:val="auto"/>
                <w:sz w:val="21"/>
                <w:szCs w:val="21"/>
                <w:highlight w:val="none"/>
                <w:lang w:val="en-US" w:eastAsia="zh-CN"/>
              </w:rPr>
              <w:t>的</w:t>
            </w:r>
            <w:r>
              <w:rPr>
                <w:rFonts w:hint="eastAsia" w:ascii="宋体" w:hAnsi="宋体" w:eastAsia="宋体" w:cs="宋体"/>
                <w:color w:val="auto"/>
                <w:sz w:val="21"/>
                <w:szCs w:val="21"/>
                <w:highlight w:val="none"/>
              </w:rPr>
              <w:t>具体内容</w:t>
            </w:r>
          </w:p>
        </w:tc>
        <w:tc>
          <w:tcPr>
            <w:tcW w:w="394" w:type="pct"/>
            <w:vMerge w:val="restart"/>
            <w:noWrap w:val="0"/>
            <w:vAlign w:val="center"/>
          </w:tcPr>
          <w:p w14:paraId="2BD3180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w:t>
            </w:r>
          </w:p>
        </w:tc>
      </w:tr>
      <w:tr w14:paraId="063C6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219" w:type="pct"/>
            <w:vMerge w:val="continue"/>
            <w:noWrap w:val="0"/>
            <w:vAlign w:val="center"/>
          </w:tcPr>
          <w:p w14:paraId="01C8640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1075" w:type="pct"/>
            <w:noWrap w:val="0"/>
            <w:vAlign w:val="center"/>
          </w:tcPr>
          <w:p w14:paraId="38AFEC8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实质性要求</w:t>
            </w:r>
          </w:p>
        </w:tc>
        <w:tc>
          <w:tcPr>
            <w:tcW w:w="2155" w:type="pct"/>
            <w:noWrap w:val="0"/>
            <w:vAlign w:val="center"/>
          </w:tcPr>
          <w:p w14:paraId="11DB857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招标文件中的规定</w:t>
            </w:r>
          </w:p>
        </w:tc>
        <w:tc>
          <w:tcPr>
            <w:tcW w:w="1154" w:type="pct"/>
            <w:vMerge w:val="continue"/>
            <w:noWrap w:val="0"/>
            <w:vAlign w:val="center"/>
          </w:tcPr>
          <w:p w14:paraId="3D2B011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c>
          <w:tcPr>
            <w:tcW w:w="394" w:type="pct"/>
            <w:vMerge w:val="continue"/>
            <w:noWrap w:val="0"/>
            <w:vAlign w:val="center"/>
          </w:tcPr>
          <w:p w14:paraId="485D618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p>
        </w:tc>
      </w:tr>
      <w:tr w14:paraId="0E72D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9" w:type="pct"/>
            <w:noWrap w:val="0"/>
            <w:vAlign w:val="center"/>
          </w:tcPr>
          <w:p w14:paraId="7ECA803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075" w:type="pct"/>
            <w:shd w:val="clear" w:color="auto" w:fill="auto"/>
            <w:noWrap w:val="0"/>
            <w:vAlign w:val="center"/>
          </w:tcPr>
          <w:p w14:paraId="62642515">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投标有效期</w:t>
            </w:r>
          </w:p>
        </w:tc>
        <w:tc>
          <w:tcPr>
            <w:tcW w:w="2155" w:type="pct"/>
            <w:shd w:val="clear" w:color="auto" w:fill="auto"/>
            <w:noWrap w:val="0"/>
            <w:vAlign w:val="center"/>
          </w:tcPr>
          <w:p w14:paraId="3517C392">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招标文件“第二章投标须知”关于投标有效期的规定</w:t>
            </w:r>
          </w:p>
        </w:tc>
        <w:tc>
          <w:tcPr>
            <w:tcW w:w="1154" w:type="pct"/>
            <w:noWrap w:val="0"/>
            <w:vAlign w:val="center"/>
          </w:tcPr>
          <w:p w14:paraId="3F7DA8EA">
            <w:pPr>
              <w:keepNext w:val="0"/>
              <w:keepLines w:val="0"/>
              <w:pageBreakBefore w:val="0"/>
              <w:widowControl w:val="0"/>
              <w:kinsoku/>
              <w:wordWrap/>
              <w:overflowPunct/>
              <w:topLinePunct w:val="0"/>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见投标文件投标函</w:t>
            </w:r>
          </w:p>
        </w:tc>
        <w:tc>
          <w:tcPr>
            <w:tcW w:w="394" w:type="pct"/>
            <w:noWrap w:val="0"/>
            <w:vAlign w:val="center"/>
          </w:tcPr>
          <w:p w14:paraId="729A312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商务</w:t>
            </w:r>
          </w:p>
        </w:tc>
      </w:tr>
      <w:tr w14:paraId="671CC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219" w:type="pct"/>
            <w:noWrap w:val="0"/>
            <w:vAlign w:val="center"/>
          </w:tcPr>
          <w:p w14:paraId="7956169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075" w:type="pct"/>
            <w:shd w:val="clear" w:color="auto" w:fill="auto"/>
            <w:noWrap w:val="0"/>
            <w:vAlign w:val="center"/>
          </w:tcPr>
          <w:p w14:paraId="7FB35A2D">
            <w:pPr>
              <w:keepNext w:val="0"/>
              <w:keepLines w:val="0"/>
              <w:pageBreakBefore w:val="0"/>
              <w:widowControl w:val="0"/>
              <w:kinsoku/>
              <w:wordWrap/>
              <w:overflowPunct/>
              <w:topLinePunct w:val="0"/>
              <w:bidi w:val="0"/>
              <w:adjustRightInd/>
              <w:snapToGrid/>
              <w:spacing w:line="360" w:lineRule="exact"/>
              <w:jc w:val="left"/>
              <w:textAlignment w:val="auto"/>
              <w:rPr>
                <w:rFonts w:hint="eastAsia" w:ascii="宋体" w:hAnsi="宋体" w:eastAsia="宋体" w:cs="宋体"/>
                <w:i w:val="0"/>
                <w:iCs w:val="0"/>
                <w:color w:val="auto"/>
                <w:kern w:val="2"/>
                <w:sz w:val="21"/>
                <w:szCs w:val="21"/>
                <w:highlight w:val="none"/>
                <w:lang w:val="en-US" w:eastAsia="zh-CN" w:bidi="ar-SA"/>
              </w:rPr>
            </w:pPr>
            <w:r>
              <w:rPr>
                <w:rFonts w:hint="eastAsia" w:cs="宋体"/>
                <w:color w:val="auto"/>
                <w:sz w:val="21"/>
                <w:szCs w:val="21"/>
                <w:highlight w:val="none"/>
                <w:lang w:val="en-US" w:eastAsia="zh-CN"/>
              </w:rPr>
              <w:t>商务条款</w:t>
            </w:r>
          </w:p>
        </w:tc>
        <w:tc>
          <w:tcPr>
            <w:tcW w:w="2155" w:type="pct"/>
            <w:shd w:val="clear" w:color="auto" w:fill="auto"/>
            <w:noWrap w:val="0"/>
            <w:vAlign w:val="center"/>
          </w:tcPr>
          <w:p w14:paraId="119C002B">
            <w:pPr>
              <w:pStyle w:val="51"/>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w:t>
            </w:r>
            <w:r>
              <w:rPr>
                <w:rFonts w:hint="eastAsia" w:cs="宋体"/>
                <w:color w:val="auto"/>
                <w:sz w:val="21"/>
                <w:szCs w:val="21"/>
                <w:highlight w:val="none"/>
                <w:lang w:val="en-US" w:eastAsia="zh-CN"/>
              </w:rPr>
              <w:t>三</w:t>
            </w:r>
            <w:r>
              <w:rPr>
                <w:rFonts w:hint="eastAsia" w:ascii="宋体" w:hAnsi="宋体" w:eastAsia="宋体" w:cs="宋体"/>
                <w:color w:val="auto"/>
                <w:sz w:val="21"/>
                <w:szCs w:val="21"/>
                <w:highlight w:val="none"/>
                <w:lang w:val="en-US" w:eastAsia="zh-CN"/>
              </w:rPr>
              <w:t xml:space="preserve">章 </w:t>
            </w:r>
            <w:r>
              <w:rPr>
                <w:rFonts w:hint="eastAsia" w:cs="宋体"/>
                <w:color w:val="auto"/>
                <w:sz w:val="21"/>
                <w:szCs w:val="21"/>
                <w:highlight w:val="none"/>
                <w:lang w:val="en-US" w:eastAsia="zh-CN"/>
              </w:rPr>
              <w:t>采购需求</w:t>
            </w:r>
            <w:r>
              <w:rPr>
                <w:rFonts w:hint="eastAsia" w:ascii="宋体" w:hAnsi="宋体" w:eastAsia="宋体" w:cs="宋体"/>
                <w:color w:val="auto"/>
                <w:sz w:val="21"/>
                <w:szCs w:val="21"/>
                <w:highlight w:val="none"/>
                <w:lang w:val="en-US" w:eastAsia="zh-CN"/>
              </w:rPr>
              <w:t>”关于</w:t>
            </w:r>
            <w:r>
              <w:rPr>
                <w:rFonts w:hint="eastAsia" w:cs="宋体"/>
                <w:color w:val="auto"/>
                <w:sz w:val="21"/>
                <w:szCs w:val="21"/>
                <w:highlight w:val="none"/>
                <w:lang w:val="en-US" w:eastAsia="zh-CN"/>
              </w:rPr>
              <w:t>商务条款加“</w:t>
            </w:r>
            <w:r>
              <w:rPr>
                <w:rFonts w:hint="eastAsia" w:ascii="宋体" w:hAnsi="宋体" w:eastAsia="宋体" w:cs="宋体"/>
                <w:snapToGrid w:val="0"/>
                <w:color w:val="auto"/>
                <w:sz w:val="24"/>
                <w:szCs w:val="24"/>
                <w:highlight w:val="none"/>
                <w:lang w:val="en-US" w:eastAsia="zh-CN"/>
              </w:rPr>
              <w:t>★</w:t>
            </w:r>
            <w:r>
              <w:rPr>
                <w:rFonts w:hint="eastAsia" w:cs="宋体"/>
                <w:color w:val="auto"/>
                <w:sz w:val="21"/>
                <w:szCs w:val="21"/>
                <w:highlight w:val="none"/>
                <w:lang w:val="en-US" w:eastAsia="zh-CN"/>
              </w:rPr>
              <w:t>”项</w:t>
            </w:r>
            <w:r>
              <w:rPr>
                <w:rFonts w:hint="eastAsia" w:ascii="宋体" w:hAnsi="宋体" w:eastAsia="宋体" w:cs="宋体"/>
                <w:color w:val="auto"/>
                <w:sz w:val="21"/>
                <w:szCs w:val="21"/>
                <w:highlight w:val="none"/>
                <w:lang w:val="en-US" w:eastAsia="zh-CN"/>
              </w:rPr>
              <w:t>的</w:t>
            </w:r>
            <w:r>
              <w:rPr>
                <w:rFonts w:hint="eastAsia" w:cs="宋体"/>
                <w:color w:val="auto"/>
                <w:sz w:val="21"/>
                <w:szCs w:val="21"/>
                <w:highlight w:val="none"/>
                <w:lang w:val="en-US" w:eastAsia="zh-CN"/>
              </w:rPr>
              <w:t>要求</w:t>
            </w:r>
          </w:p>
        </w:tc>
        <w:tc>
          <w:tcPr>
            <w:tcW w:w="1154" w:type="pct"/>
            <w:noWrap w:val="0"/>
            <w:vAlign w:val="center"/>
          </w:tcPr>
          <w:p w14:paraId="5BB89004">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见投标文件商务</w:t>
            </w:r>
            <w:r>
              <w:rPr>
                <w:rFonts w:hint="default" w:ascii="宋体" w:hAnsi="宋体" w:eastAsia="宋体" w:cs="宋体"/>
                <w:color w:val="auto"/>
                <w:sz w:val="21"/>
                <w:szCs w:val="21"/>
                <w:highlight w:val="none"/>
                <w:lang w:val="en-US" w:eastAsia="zh-CN"/>
              </w:rPr>
              <w:t>响应偏离表</w:t>
            </w:r>
          </w:p>
        </w:tc>
        <w:tc>
          <w:tcPr>
            <w:tcW w:w="394" w:type="pct"/>
            <w:noWrap w:val="0"/>
            <w:vAlign w:val="center"/>
          </w:tcPr>
          <w:p w14:paraId="0E4E117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技术</w:t>
            </w:r>
          </w:p>
        </w:tc>
      </w:tr>
      <w:tr w14:paraId="3505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219" w:type="pct"/>
            <w:shd w:val="clear" w:color="auto" w:fill="auto"/>
            <w:noWrap w:val="0"/>
            <w:vAlign w:val="center"/>
          </w:tcPr>
          <w:p w14:paraId="7D5DC93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3</w:t>
            </w:r>
          </w:p>
        </w:tc>
        <w:tc>
          <w:tcPr>
            <w:tcW w:w="1075" w:type="pct"/>
            <w:shd w:val="clear" w:color="auto" w:fill="auto"/>
            <w:noWrap w:val="0"/>
            <w:vAlign w:val="center"/>
          </w:tcPr>
          <w:p w14:paraId="505EE26A">
            <w:pPr>
              <w:keepNext w:val="0"/>
              <w:keepLines w:val="0"/>
              <w:pageBreakBefore w:val="0"/>
              <w:widowControl w:val="0"/>
              <w:kinsoku/>
              <w:wordWrap/>
              <w:overflowPunct/>
              <w:topLinePunct w:val="0"/>
              <w:bidi w:val="0"/>
              <w:adjustRightInd/>
              <w:snapToGrid/>
              <w:spacing w:line="360" w:lineRule="exact"/>
              <w:jc w:val="left"/>
              <w:textAlignment w:val="auto"/>
              <w:rPr>
                <w:rFonts w:hint="default"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技术条款</w:t>
            </w:r>
          </w:p>
        </w:tc>
        <w:tc>
          <w:tcPr>
            <w:tcW w:w="2155" w:type="pct"/>
            <w:shd w:val="clear" w:color="auto" w:fill="auto"/>
            <w:noWrap w:val="0"/>
            <w:vAlign w:val="center"/>
          </w:tcPr>
          <w:p w14:paraId="324EF1FF">
            <w:pPr>
              <w:pStyle w:val="51"/>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招标文件“第</w:t>
            </w:r>
            <w:r>
              <w:rPr>
                <w:rFonts w:hint="eastAsia" w:cs="宋体"/>
                <w:color w:val="auto"/>
                <w:sz w:val="21"/>
                <w:szCs w:val="21"/>
                <w:highlight w:val="none"/>
                <w:lang w:val="en-US" w:eastAsia="zh-CN"/>
              </w:rPr>
              <w:t>三</w:t>
            </w:r>
            <w:r>
              <w:rPr>
                <w:rFonts w:hint="eastAsia" w:ascii="宋体" w:hAnsi="宋体" w:eastAsia="宋体" w:cs="宋体"/>
                <w:color w:val="auto"/>
                <w:sz w:val="21"/>
                <w:szCs w:val="21"/>
                <w:highlight w:val="none"/>
                <w:lang w:val="en-US" w:eastAsia="zh-CN"/>
              </w:rPr>
              <w:t xml:space="preserve">章 </w:t>
            </w:r>
            <w:r>
              <w:rPr>
                <w:rFonts w:hint="eastAsia" w:cs="宋体"/>
                <w:color w:val="auto"/>
                <w:sz w:val="21"/>
                <w:szCs w:val="21"/>
                <w:highlight w:val="none"/>
                <w:lang w:val="en-US" w:eastAsia="zh-CN"/>
              </w:rPr>
              <w:t>采购需求</w:t>
            </w:r>
            <w:r>
              <w:rPr>
                <w:rFonts w:hint="eastAsia" w:ascii="宋体" w:hAnsi="宋体" w:eastAsia="宋体" w:cs="宋体"/>
                <w:color w:val="auto"/>
                <w:sz w:val="21"/>
                <w:szCs w:val="21"/>
                <w:highlight w:val="none"/>
                <w:lang w:val="en-US" w:eastAsia="zh-CN"/>
              </w:rPr>
              <w:t>”关于</w:t>
            </w:r>
            <w:r>
              <w:rPr>
                <w:rFonts w:hint="eastAsia" w:cs="宋体"/>
                <w:color w:val="auto"/>
                <w:sz w:val="21"/>
                <w:szCs w:val="21"/>
                <w:highlight w:val="none"/>
                <w:lang w:val="en-US" w:eastAsia="zh-CN"/>
              </w:rPr>
              <w:t>技术条款中加“</w:t>
            </w:r>
            <w:r>
              <w:rPr>
                <w:rFonts w:hint="eastAsia" w:ascii="宋体" w:hAnsi="宋体" w:eastAsia="宋体" w:cs="宋体"/>
                <w:snapToGrid w:val="0"/>
                <w:color w:val="auto"/>
                <w:sz w:val="24"/>
                <w:szCs w:val="24"/>
                <w:highlight w:val="none"/>
                <w:lang w:val="en-US" w:eastAsia="zh-CN"/>
              </w:rPr>
              <w:t>★</w:t>
            </w:r>
            <w:r>
              <w:rPr>
                <w:rFonts w:hint="eastAsia" w:cs="宋体"/>
                <w:color w:val="auto"/>
                <w:sz w:val="21"/>
                <w:szCs w:val="21"/>
                <w:highlight w:val="none"/>
                <w:lang w:val="en-US" w:eastAsia="zh-CN"/>
              </w:rPr>
              <w:t>”项的要求</w:t>
            </w:r>
          </w:p>
        </w:tc>
        <w:tc>
          <w:tcPr>
            <w:tcW w:w="1154" w:type="pct"/>
            <w:noWrap w:val="0"/>
            <w:vAlign w:val="center"/>
          </w:tcPr>
          <w:p w14:paraId="042BD647">
            <w:pPr>
              <w:keepNext w:val="0"/>
              <w:keepLines w:val="0"/>
              <w:pageBreakBefore w:val="0"/>
              <w:widowControl w:val="0"/>
              <w:kinsoku/>
              <w:wordWrap/>
              <w:overflowPunct/>
              <w:topLinePunct w:val="0"/>
              <w:bidi w:val="0"/>
              <w:adjustRightInd/>
              <w:snapToGrid/>
              <w:spacing w:line="360" w:lineRule="exact"/>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见投标文件技术响应偏离表</w:t>
            </w:r>
          </w:p>
        </w:tc>
        <w:tc>
          <w:tcPr>
            <w:tcW w:w="394" w:type="pct"/>
            <w:noWrap w:val="0"/>
            <w:vAlign w:val="center"/>
          </w:tcPr>
          <w:p w14:paraId="458E18A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技术</w:t>
            </w:r>
          </w:p>
        </w:tc>
      </w:tr>
      <w:tr w14:paraId="0126A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9" w:type="pct"/>
            <w:shd w:val="clear" w:color="auto" w:fill="auto"/>
            <w:noWrap w:val="0"/>
            <w:vAlign w:val="center"/>
          </w:tcPr>
          <w:p w14:paraId="24A010C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4</w:t>
            </w:r>
          </w:p>
        </w:tc>
        <w:tc>
          <w:tcPr>
            <w:tcW w:w="1075" w:type="pct"/>
            <w:shd w:val="clear" w:color="auto" w:fill="auto"/>
            <w:noWrap w:val="0"/>
            <w:vAlign w:val="center"/>
          </w:tcPr>
          <w:p w14:paraId="127FA675">
            <w:pPr>
              <w:keepNext w:val="0"/>
              <w:keepLines w:val="0"/>
              <w:pageBreakBefore w:val="0"/>
              <w:widowControl w:val="0"/>
              <w:kinsoku/>
              <w:wordWrap/>
              <w:overflowPunct/>
              <w:topLinePunct w:val="0"/>
              <w:bidi w:val="0"/>
              <w:adjustRightInd/>
              <w:snapToGrid/>
              <w:spacing w:line="360" w:lineRule="exact"/>
              <w:jc w:val="left"/>
              <w:textAlignment w:val="auto"/>
              <w:rPr>
                <w:rFonts w:hint="default"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zh-CN"/>
              </w:rPr>
              <w:t>……</w:t>
            </w:r>
          </w:p>
        </w:tc>
        <w:tc>
          <w:tcPr>
            <w:tcW w:w="2155" w:type="pct"/>
            <w:shd w:val="clear" w:color="auto" w:fill="auto"/>
            <w:noWrap w:val="0"/>
            <w:vAlign w:val="center"/>
          </w:tcPr>
          <w:p w14:paraId="723D0D7F">
            <w:pPr>
              <w:pStyle w:val="51"/>
              <w:rPr>
                <w:rFonts w:hint="eastAsia" w:ascii="宋体" w:hAnsi="宋体" w:eastAsia="宋体" w:cs="宋体"/>
                <w:color w:val="auto"/>
                <w:kern w:val="2"/>
                <w:sz w:val="21"/>
                <w:szCs w:val="21"/>
                <w:highlight w:val="none"/>
                <w:lang w:val="en-US" w:eastAsia="zh-CN" w:bidi="ar-SA"/>
              </w:rPr>
            </w:pPr>
          </w:p>
        </w:tc>
        <w:tc>
          <w:tcPr>
            <w:tcW w:w="1154" w:type="pct"/>
            <w:noWrap w:val="0"/>
            <w:vAlign w:val="center"/>
          </w:tcPr>
          <w:p w14:paraId="6E29F27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p>
        </w:tc>
        <w:tc>
          <w:tcPr>
            <w:tcW w:w="394" w:type="pct"/>
            <w:noWrap w:val="0"/>
            <w:vAlign w:val="center"/>
          </w:tcPr>
          <w:p w14:paraId="63A4B6F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188F2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219" w:type="pct"/>
            <w:shd w:val="clear" w:color="auto" w:fill="auto"/>
            <w:noWrap w:val="0"/>
            <w:vAlign w:val="center"/>
          </w:tcPr>
          <w:p w14:paraId="7D889D64">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5</w:t>
            </w:r>
          </w:p>
        </w:tc>
        <w:tc>
          <w:tcPr>
            <w:tcW w:w="1075" w:type="pct"/>
            <w:shd w:val="clear" w:color="auto" w:fill="auto"/>
            <w:noWrap w:val="0"/>
            <w:vAlign w:val="center"/>
          </w:tcPr>
          <w:p w14:paraId="1BACABE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tc>
        <w:tc>
          <w:tcPr>
            <w:tcW w:w="2155" w:type="pct"/>
            <w:noWrap w:val="0"/>
            <w:vAlign w:val="center"/>
          </w:tcPr>
          <w:p w14:paraId="6AF4E488">
            <w:pPr>
              <w:pStyle w:val="75"/>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hAnsi="宋体" w:eastAsia="宋体" w:cs="宋体"/>
                <w:color w:val="auto"/>
                <w:kern w:val="0"/>
                <w:sz w:val="21"/>
                <w:szCs w:val="21"/>
                <w:highlight w:val="none"/>
                <w:lang w:val="en-US" w:eastAsia="zh-CN" w:bidi="ar-SA"/>
              </w:rPr>
            </w:pPr>
          </w:p>
        </w:tc>
        <w:tc>
          <w:tcPr>
            <w:tcW w:w="1154" w:type="pct"/>
            <w:noWrap w:val="0"/>
            <w:vAlign w:val="center"/>
          </w:tcPr>
          <w:p w14:paraId="5791DDF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4FAB139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7D82C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6" w:hRule="atLeast"/>
        </w:trPr>
        <w:tc>
          <w:tcPr>
            <w:tcW w:w="219" w:type="pct"/>
            <w:shd w:val="clear" w:color="auto" w:fill="auto"/>
            <w:noWrap w:val="0"/>
            <w:vAlign w:val="center"/>
          </w:tcPr>
          <w:p w14:paraId="1D658F7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6</w:t>
            </w:r>
          </w:p>
        </w:tc>
        <w:tc>
          <w:tcPr>
            <w:tcW w:w="1075" w:type="pct"/>
            <w:noWrap w:val="0"/>
            <w:vAlign w:val="center"/>
          </w:tcPr>
          <w:p w14:paraId="76B2B25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p>
        </w:tc>
        <w:tc>
          <w:tcPr>
            <w:tcW w:w="2155" w:type="pct"/>
            <w:noWrap w:val="0"/>
            <w:vAlign w:val="center"/>
          </w:tcPr>
          <w:p w14:paraId="080CF7F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kern w:val="2"/>
                <w:sz w:val="21"/>
                <w:szCs w:val="21"/>
                <w:highlight w:val="none"/>
                <w:lang w:val="en-US" w:eastAsia="zh-CN" w:bidi="ar-SA"/>
              </w:rPr>
            </w:pPr>
          </w:p>
        </w:tc>
        <w:tc>
          <w:tcPr>
            <w:tcW w:w="1154" w:type="pct"/>
            <w:noWrap w:val="0"/>
            <w:vAlign w:val="center"/>
          </w:tcPr>
          <w:p w14:paraId="404E91E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4B03ECB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581E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219" w:type="pct"/>
            <w:shd w:val="clear" w:color="auto" w:fill="auto"/>
            <w:noWrap w:val="0"/>
            <w:vAlign w:val="center"/>
          </w:tcPr>
          <w:p w14:paraId="2A12EC9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7</w:t>
            </w:r>
          </w:p>
        </w:tc>
        <w:tc>
          <w:tcPr>
            <w:tcW w:w="1075" w:type="pct"/>
            <w:noWrap w:val="0"/>
            <w:vAlign w:val="center"/>
          </w:tcPr>
          <w:p w14:paraId="0BFE6DF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en-US" w:eastAsia="zh-CN"/>
              </w:rPr>
            </w:pPr>
          </w:p>
        </w:tc>
        <w:tc>
          <w:tcPr>
            <w:tcW w:w="2155" w:type="pct"/>
            <w:noWrap w:val="0"/>
            <w:vAlign w:val="center"/>
          </w:tcPr>
          <w:p w14:paraId="70263471">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color w:val="auto"/>
                <w:sz w:val="21"/>
                <w:szCs w:val="21"/>
                <w:highlight w:val="none"/>
                <w:lang w:val="en-US" w:eastAsia="zh-CN"/>
              </w:rPr>
            </w:pPr>
          </w:p>
        </w:tc>
        <w:tc>
          <w:tcPr>
            <w:tcW w:w="1154" w:type="pct"/>
            <w:noWrap w:val="0"/>
            <w:vAlign w:val="center"/>
          </w:tcPr>
          <w:p w14:paraId="7D8F15D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4F0FDAA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r w14:paraId="409E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219" w:type="pct"/>
            <w:noWrap w:val="0"/>
            <w:vAlign w:val="center"/>
          </w:tcPr>
          <w:p w14:paraId="225EEE9F">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color w:val="auto"/>
                <w:sz w:val="21"/>
                <w:szCs w:val="21"/>
                <w:highlight w:val="none"/>
                <w:lang w:val="en-US" w:eastAsia="zh-CN"/>
              </w:rPr>
            </w:pPr>
          </w:p>
        </w:tc>
        <w:tc>
          <w:tcPr>
            <w:tcW w:w="1075" w:type="pct"/>
            <w:shd w:val="clear" w:color="auto" w:fill="auto"/>
            <w:noWrap w:val="0"/>
            <w:vAlign w:val="center"/>
          </w:tcPr>
          <w:p w14:paraId="4AA8125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lang w:val="zh-CN" w:eastAsia="zh-CN"/>
              </w:rPr>
            </w:pPr>
          </w:p>
        </w:tc>
        <w:tc>
          <w:tcPr>
            <w:tcW w:w="2155" w:type="pct"/>
            <w:noWrap w:val="0"/>
            <w:vAlign w:val="center"/>
          </w:tcPr>
          <w:p w14:paraId="5D3B3A0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color w:val="auto"/>
                <w:sz w:val="21"/>
                <w:szCs w:val="21"/>
                <w:highlight w:val="none"/>
                <w:lang w:eastAsia="zh-CN"/>
              </w:rPr>
            </w:pPr>
          </w:p>
        </w:tc>
        <w:tc>
          <w:tcPr>
            <w:tcW w:w="1154" w:type="pct"/>
            <w:noWrap w:val="0"/>
            <w:vAlign w:val="center"/>
          </w:tcPr>
          <w:p w14:paraId="22A79CB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c>
          <w:tcPr>
            <w:tcW w:w="394" w:type="pct"/>
            <w:noWrap w:val="0"/>
            <w:vAlign w:val="center"/>
          </w:tcPr>
          <w:p w14:paraId="1D5F24C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color w:val="auto"/>
                <w:sz w:val="21"/>
                <w:szCs w:val="21"/>
                <w:highlight w:val="none"/>
              </w:rPr>
            </w:pPr>
          </w:p>
        </w:tc>
      </w:tr>
    </w:tbl>
    <w:p w14:paraId="16B2E944">
      <w:pPr>
        <w:rPr>
          <w:rFonts w:hint="eastAsia"/>
          <w:b/>
          <w:bCs/>
          <w:color w:val="auto"/>
          <w:sz w:val="21"/>
          <w:szCs w:val="21"/>
          <w:highlight w:val="none"/>
          <w:lang w:val="en-US" w:eastAsia="zh-CN"/>
        </w:rPr>
      </w:pPr>
    </w:p>
    <w:p w14:paraId="16A7E26A">
      <w:pPr>
        <w:rPr>
          <w:rFonts w:hint="eastAsia" w:ascii="宋体" w:hAnsi="宋体" w:eastAsia="宋体" w:cstheme="minorBidi"/>
          <w:b/>
          <w:bCs/>
          <w:color w:val="auto"/>
          <w:kern w:val="2"/>
          <w:sz w:val="30"/>
          <w:szCs w:val="32"/>
          <w:highlight w:val="none"/>
          <w:lang w:val="zh-CN" w:eastAsia="zh-CN" w:bidi="ar-SA"/>
        </w:rPr>
      </w:pPr>
      <w:r>
        <w:rPr>
          <w:rFonts w:hint="eastAsia" w:ascii="宋体" w:hAnsi="宋体" w:eastAsia="宋体" w:cstheme="minorBidi"/>
          <w:b/>
          <w:bCs/>
          <w:color w:val="auto"/>
          <w:kern w:val="2"/>
          <w:sz w:val="30"/>
          <w:szCs w:val="32"/>
          <w:highlight w:val="none"/>
          <w:lang w:val="zh-CN" w:eastAsia="zh-CN" w:bidi="ar-SA"/>
        </w:rPr>
        <w:br w:type="page"/>
      </w:r>
    </w:p>
    <w:p w14:paraId="3FE0903E">
      <w:pPr>
        <w:pStyle w:val="4"/>
        <w:keepNext/>
        <w:keepLines/>
        <w:pageBreakBefore w:val="0"/>
        <w:widowControl w:val="0"/>
        <w:numPr>
          <w:ilvl w:val="0"/>
          <w:numId w:val="0"/>
        </w:numPr>
        <w:kinsoku/>
        <w:wordWrap/>
        <w:overflowPunct/>
        <w:topLinePunct w:val="0"/>
        <w:autoSpaceDE/>
        <w:autoSpaceDN/>
        <w:bidi w:val="0"/>
        <w:adjustRightInd/>
        <w:snapToGrid/>
        <w:spacing w:before="60" w:after="60" w:line="360" w:lineRule="auto"/>
        <w:ind w:left="420" w:leftChars="0" w:hanging="420" w:firstLineChars="0"/>
        <w:textAlignment w:val="auto"/>
        <w:rPr>
          <w:rFonts w:hint="eastAsia" w:ascii="宋体" w:hAnsi="宋体" w:eastAsia="宋体" w:cs="宋体"/>
          <w:b/>
          <w:bCs/>
          <w:color w:val="auto"/>
          <w:kern w:val="2"/>
          <w:sz w:val="24"/>
          <w:szCs w:val="24"/>
          <w:highlight w:val="none"/>
          <w:lang w:val="zh-CN" w:eastAsia="zh-CN" w:bidi="ar-SA"/>
        </w:rPr>
      </w:pPr>
      <w:bookmarkStart w:id="625" w:name="_Toc30949"/>
      <w:bookmarkStart w:id="626" w:name="_Toc27284"/>
      <w:bookmarkStart w:id="627" w:name="_Toc9173"/>
      <w:bookmarkStart w:id="628" w:name="_Toc22784"/>
      <w:r>
        <w:rPr>
          <w:rFonts w:hint="eastAsia" w:ascii="宋体" w:hAnsi="宋体" w:eastAsia="宋体" w:cs="宋体"/>
          <w:b/>
          <w:bCs/>
          <w:color w:val="auto"/>
          <w:kern w:val="2"/>
          <w:sz w:val="24"/>
          <w:szCs w:val="24"/>
          <w:highlight w:val="none"/>
          <w:lang w:val="zh-CN" w:eastAsia="zh-CN" w:bidi="ar-SA"/>
        </w:rPr>
        <w:t>（二）评分标准</w:t>
      </w:r>
      <w:bookmarkEnd w:id="618"/>
      <w:bookmarkEnd w:id="619"/>
      <w:bookmarkEnd w:id="625"/>
      <w:bookmarkEnd w:id="626"/>
      <w:bookmarkEnd w:id="627"/>
      <w:bookmarkEnd w:id="628"/>
    </w:p>
    <w:tbl>
      <w:tblPr>
        <w:tblStyle w:val="31"/>
        <w:tblpPr w:leftFromText="180" w:rightFromText="180" w:vertAnchor="text" w:horzAnchor="page" w:tblpX="1391" w:tblpY="461"/>
        <w:tblOverlap w:val="never"/>
        <w:tblW w:w="557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7"/>
        <w:gridCol w:w="1723"/>
        <w:gridCol w:w="806"/>
        <w:gridCol w:w="5851"/>
      </w:tblGrid>
      <w:tr w14:paraId="3BA2F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588" w:type="pct"/>
            <w:shd w:val="clear" w:color="auto" w:fill="D8D8D8" w:themeFill="background1" w:themeFillShade="D9"/>
            <w:vAlign w:val="center"/>
          </w:tcPr>
          <w:p w14:paraId="5EF90837">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评标项目</w:t>
            </w:r>
          </w:p>
        </w:tc>
        <w:tc>
          <w:tcPr>
            <w:tcW w:w="907" w:type="pct"/>
            <w:shd w:val="clear" w:color="auto" w:fill="D8D8D8" w:themeFill="background1" w:themeFillShade="D9"/>
            <w:vAlign w:val="center"/>
          </w:tcPr>
          <w:p w14:paraId="04360CEE">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评标分项</w:t>
            </w:r>
          </w:p>
        </w:tc>
        <w:tc>
          <w:tcPr>
            <w:tcW w:w="424" w:type="pct"/>
            <w:shd w:val="clear" w:color="auto" w:fill="D8D8D8" w:themeFill="background1" w:themeFillShade="D9"/>
            <w:vAlign w:val="center"/>
          </w:tcPr>
          <w:p w14:paraId="79F1B14C">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分值</w:t>
            </w:r>
          </w:p>
        </w:tc>
        <w:tc>
          <w:tcPr>
            <w:tcW w:w="3080" w:type="pct"/>
            <w:shd w:val="clear" w:color="auto" w:fill="D8D8D8" w:themeFill="background1" w:themeFillShade="D9"/>
            <w:vAlign w:val="center"/>
          </w:tcPr>
          <w:p w14:paraId="52D9D28C">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子项目及分值</w:t>
            </w:r>
          </w:p>
        </w:tc>
      </w:tr>
      <w:tr w14:paraId="66C27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Align w:val="center"/>
          </w:tcPr>
          <w:p w14:paraId="25783A16">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价格部分</w:t>
            </w:r>
          </w:p>
          <w:p w14:paraId="0B9A1014">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10</w:t>
            </w:r>
            <w:r>
              <w:rPr>
                <w:rFonts w:hint="eastAsia" w:ascii="宋体" w:hAnsi="宋体" w:eastAsia="宋体" w:cs="宋体"/>
                <w:color w:val="auto"/>
                <w:sz w:val="21"/>
                <w:szCs w:val="21"/>
                <w:highlight w:val="none"/>
              </w:rPr>
              <w:t>分）</w:t>
            </w:r>
          </w:p>
        </w:tc>
        <w:tc>
          <w:tcPr>
            <w:tcW w:w="907" w:type="pct"/>
            <w:tcBorders>
              <w:bottom w:val="single" w:color="auto" w:sz="4" w:space="0"/>
            </w:tcBorders>
            <w:vAlign w:val="center"/>
          </w:tcPr>
          <w:p w14:paraId="141D8AE6">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投标报价</w:t>
            </w:r>
          </w:p>
        </w:tc>
        <w:tc>
          <w:tcPr>
            <w:tcW w:w="424" w:type="pct"/>
            <w:vAlign w:val="center"/>
          </w:tcPr>
          <w:p w14:paraId="53EEAAB7">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10分</w:t>
            </w:r>
          </w:p>
        </w:tc>
        <w:tc>
          <w:tcPr>
            <w:tcW w:w="3080" w:type="pct"/>
            <w:vAlign w:val="center"/>
          </w:tcPr>
          <w:p w14:paraId="34128944">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基准价为合理低价，即满足招标文件要求且最终报价最低的投标报价为评标基准价，其价格分为满分。其他供应商的价格分统一按照下列公式计算:投标报价得分=(投标基准价/投标报价)</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价格分值</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rPr>
              <w:t>100%</w:t>
            </w:r>
          </w:p>
          <w:p w14:paraId="5496795A">
            <w:pPr>
              <w:pStyle w:val="51"/>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备注：</w:t>
            </w:r>
            <w:r>
              <w:rPr>
                <w:rFonts w:hint="eastAsia" w:cs="宋体"/>
                <w:b/>
                <w:bCs/>
                <w:color w:val="auto"/>
                <w:sz w:val="21"/>
                <w:szCs w:val="21"/>
                <w:highlight w:val="none"/>
                <w:lang w:val="en-US" w:eastAsia="zh-CN"/>
              </w:rPr>
              <w:t>1.</w:t>
            </w:r>
            <w:r>
              <w:rPr>
                <w:rFonts w:hint="eastAsia" w:ascii="宋体" w:hAnsi="宋体" w:eastAsia="宋体" w:cs="宋体"/>
                <w:b/>
                <w:bCs/>
                <w:color w:val="auto"/>
                <w:sz w:val="21"/>
                <w:szCs w:val="21"/>
                <w:highlight w:val="none"/>
              </w:rPr>
              <w:t>符合</w:t>
            </w:r>
            <w:r>
              <w:rPr>
                <w:rFonts w:hint="eastAsia" w:ascii="宋体" w:hAnsi="宋体" w:eastAsia="宋体" w:cs="宋体"/>
                <w:b/>
                <w:bCs/>
                <w:color w:val="auto"/>
                <w:sz w:val="21"/>
                <w:szCs w:val="21"/>
                <w:highlight w:val="none"/>
                <w:lang w:eastAsia="zh-CN"/>
              </w:rPr>
              <w:t>“</w:t>
            </w:r>
            <w:r>
              <w:rPr>
                <w:rFonts w:hint="eastAsia" w:ascii="宋体" w:hAnsi="宋体" w:eastAsia="宋体" w:cs="宋体"/>
                <w:b/>
                <w:bCs/>
                <w:color w:val="auto"/>
                <w:sz w:val="21"/>
                <w:szCs w:val="21"/>
                <w:highlight w:val="none"/>
              </w:rPr>
              <w:t>投标人须知</w:t>
            </w:r>
            <w:r>
              <w:rPr>
                <w:rFonts w:hint="eastAsia" w:ascii="宋体" w:hAnsi="宋体" w:eastAsia="宋体" w:cs="宋体"/>
                <w:b/>
                <w:bCs/>
                <w:color w:val="auto"/>
                <w:sz w:val="21"/>
                <w:szCs w:val="21"/>
                <w:highlight w:val="none"/>
                <w:lang w:val="en-US" w:eastAsia="zh-CN"/>
              </w:rPr>
              <w:t>前附表”</w:t>
            </w:r>
            <w:r>
              <w:rPr>
                <w:rFonts w:hint="eastAsia" w:ascii="宋体" w:hAnsi="宋体" w:eastAsia="宋体" w:cs="宋体"/>
                <w:b/>
                <w:bCs/>
                <w:color w:val="auto"/>
                <w:sz w:val="21"/>
                <w:szCs w:val="21"/>
                <w:highlight w:val="none"/>
              </w:rPr>
              <w:t>中价格扣除规定的，在评审时予以价格扣除，用扣除后的价格参与评审。</w:t>
            </w:r>
          </w:p>
          <w:p w14:paraId="733ADF3E">
            <w:pPr>
              <w:pStyle w:val="51"/>
              <w:keepNext w:val="0"/>
              <w:keepLines w:val="0"/>
              <w:pageBreakBefore w:val="0"/>
              <w:widowControl w:val="0"/>
              <w:numPr>
                <w:ilvl w:val="-1"/>
                <w:numId w:val="0"/>
              </w:numPr>
              <w:kinsoku/>
              <w:wordWrap/>
              <w:overflowPunct/>
              <w:topLinePunct w:val="0"/>
              <w:autoSpaceDE/>
              <w:autoSpaceDN/>
              <w:bidi w:val="0"/>
              <w:adjustRightInd/>
              <w:snapToGrid/>
              <w:spacing w:line="360" w:lineRule="auto"/>
              <w:textAlignment w:val="auto"/>
              <w:rPr>
                <w:rFonts w:hint="default" w:ascii="宋体" w:hAnsi="宋体" w:eastAsia="宋体" w:cs="宋体"/>
                <w:b/>
                <w:bCs/>
                <w:color w:val="auto"/>
                <w:sz w:val="21"/>
                <w:szCs w:val="21"/>
                <w:highlight w:val="none"/>
                <w:lang w:val="en-US"/>
              </w:rPr>
            </w:pPr>
            <w:r>
              <w:rPr>
                <w:rFonts w:hint="eastAsia" w:cs="宋体"/>
                <w:b/>
                <w:bCs/>
                <w:color w:val="auto"/>
                <w:sz w:val="21"/>
                <w:szCs w:val="21"/>
                <w:highlight w:val="none"/>
                <w:lang w:val="en-US" w:eastAsia="zh-CN"/>
              </w:rPr>
              <w:t>2.符合政府采购异常低价情形的，应按规定对投标价格作出解释，具体要求见附件：《政府采购项目异常底价评审程序》</w:t>
            </w:r>
          </w:p>
        </w:tc>
      </w:tr>
      <w:tr w14:paraId="37C7E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restart"/>
            <w:vAlign w:val="center"/>
          </w:tcPr>
          <w:p w14:paraId="6B276AF7">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商务部分（45分）</w:t>
            </w:r>
          </w:p>
        </w:tc>
        <w:tc>
          <w:tcPr>
            <w:tcW w:w="907" w:type="pct"/>
            <w:tcBorders>
              <w:bottom w:val="single" w:color="auto" w:sz="4" w:space="0"/>
            </w:tcBorders>
            <w:vAlign w:val="center"/>
          </w:tcPr>
          <w:p w14:paraId="1276D673">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企业类似项目</w:t>
            </w:r>
          </w:p>
          <w:p w14:paraId="3E329BB3">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业绩</w:t>
            </w:r>
          </w:p>
        </w:tc>
        <w:tc>
          <w:tcPr>
            <w:tcW w:w="424" w:type="pct"/>
            <w:vAlign w:val="center"/>
          </w:tcPr>
          <w:p w14:paraId="64D0E32B">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5分</w:t>
            </w:r>
          </w:p>
        </w:tc>
        <w:tc>
          <w:tcPr>
            <w:tcW w:w="3080" w:type="pct"/>
            <w:vAlign w:val="center"/>
          </w:tcPr>
          <w:p w14:paraId="73F8B02B">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投标人近</w:t>
            </w:r>
            <w:r>
              <w:rPr>
                <w:rFonts w:hint="eastAsia" w:cs="宋体"/>
                <w:color w:val="auto"/>
                <w:sz w:val="21"/>
                <w:szCs w:val="21"/>
                <w:highlight w:val="none"/>
                <w:lang w:val="en-US" w:eastAsia="zh-CN"/>
              </w:rPr>
              <w:t>五</w:t>
            </w:r>
            <w:r>
              <w:rPr>
                <w:rFonts w:hint="eastAsia" w:ascii="宋体" w:hAnsi="宋体" w:eastAsia="宋体" w:cs="宋体"/>
                <w:color w:val="auto"/>
                <w:sz w:val="21"/>
                <w:szCs w:val="21"/>
                <w:highlight w:val="none"/>
              </w:rPr>
              <w:t>年以来承接过类似项目</w:t>
            </w:r>
            <w:r>
              <w:rPr>
                <w:rFonts w:hint="eastAsia" w:cs="宋体"/>
                <w:color w:val="auto"/>
                <w:sz w:val="21"/>
                <w:szCs w:val="21"/>
                <w:highlight w:val="none"/>
                <w:lang w:val="en-US" w:eastAsia="zh-CN"/>
              </w:rPr>
              <w:t>且服务一年以上</w:t>
            </w:r>
            <w:r>
              <w:rPr>
                <w:rFonts w:hint="eastAsia" w:ascii="宋体" w:hAnsi="宋体" w:eastAsia="宋体" w:cs="宋体"/>
                <w:color w:val="auto"/>
                <w:sz w:val="21"/>
                <w:szCs w:val="21"/>
                <w:highlight w:val="none"/>
              </w:rPr>
              <w:t>的业绩</w:t>
            </w:r>
            <w:r>
              <w:rPr>
                <w:rFonts w:hint="eastAsia" w:cs="宋体"/>
                <w:color w:val="auto"/>
                <w:sz w:val="21"/>
                <w:szCs w:val="21"/>
                <w:highlight w:val="none"/>
                <w:lang w:eastAsia="zh-CN"/>
              </w:rPr>
              <w:t>（</w:t>
            </w:r>
            <w:r>
              <w:rPr>
                <w:rFonts w:hint="eastAsia" w:cs="宋体"/>
                <w:color w:val="auto"/>
                <w:sz w:val="21"/>
                <w:szCs w:val="21"/>
                <w:highlight w:val="none"/>
                <w:lang w:val="en-US" w:eastAsia="zh-CN"/>
              </w:rPr>
              <w:t>单项包含园林、环卫、市政设施维护</w:t>
            </w:r>
            <w:r>
              <w:rPr>
                <w:rFonts w:hint="eastAsia" w:cs="宋体"/>
                <w:color w:val="auto"/>
                <w:sz w:val="21"/>
                <w:szCs w:val="21"/>
                <w:highlight w:val="none"/>
                <w:lang w:eastAsia="zh-CN"/>
              </w:rPr>
              <w:t>）</w:t>
            </w:r>
            <w:r>
              <w:rPr>
                <w:rFonts w:hint="eastAsia" w:ascii="宋体" w:hAnsi="宋体" w:eastAsia="宋体" w:cs="宋体"/>
                <w:color w:val="auto"/>
                <w:sz w:val="21"/>
                <w:szCs w:val="21"/>
                <w:highlight w:val="none"/>
              </w:rPr>
              <w:t>，每项得2.5分，最多得5分</w:t>
            </w:r>
            <w:r>
              <w:rPr>
                <w:rFonts w:hint="eastAsia" w:cs="宋体"/>
                <w:color w:val="auto"/>
                <w:sz w:val="21"/>
                <w:szCs w:val="21"/>
                <w:highlight w:val="none"/>
                <w:lang w:eastAsia="zh-CN"/>
              </w:rPr>
              <w:t>。</w:t>
            </w:r>
          </w:p>
          <w:p w14:paraId="40E255C8">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auto"/>
                <w:sz w:val="21"/>
                <w:szCs w:val="21"/>
                <w:highlight w:val="none"/>
                <w:lang w:eastAsia="zh-CN"/>
              </w:rPr>
            </w:pPr>
            <w:r>
              <w:rPr>
                <w:rFonts w:hint="eastAsia" w:cs="宋体"/>
                <w:b/>
                <w:bCs/>
                <w:color w:val="auto"/>
                <w:sz w:val="21"/>
                <w:szCs w:val="21"/>
                <w:highlight w:val="none"/>
                <w:lang w:eastAsia="zh-CN"/>
              </w:rPr>
              <w:t>（</w:t>
            </w:r>
            <w:r>
              <w:rPr>
                <w:rFonts w:hint="eastAsia" w:ascii="宋体" w:hAnsi="宋体" w:eastAsia="宋体" w:cs="宋体"/>
                <w:b/>
                <w:bCs/>
                <w:color w:val="auto"/>
                <w:sz w:val="21"/>
                <w:szCs w:val="21"/>
                <w:highlight w:val="none"/>
              </w:rPr>
              <w:t>注：提供</w:t>
            </w:r>
            <w:r>
              <w:rPr>
                <w:rFonts w:hint="eastAsia" w:cs="宋体"/>
                <w:b/>
                <w:bCs/>
                <w:color w:val="auto"/>
                <w:sz w:val="21"/>
                <w:szCs w:val="21"/>
                <w:highlight w:val="none"/>
                <w:lang w:val="en-US" w:eastAsia="zh-CN"/>
              </w:rPr>
              <w:t>业绩合同</w:t>
            </w:r>
            <w:r>
              <w:rPr>
                <w:rFonts w:hint="eastAsia" w:ascii="宋体" w:hAnsi="宋体" w:eastAsia="宋体" w:cs="宋体"/>
                <w:b/>
                <w:bCs/>
                <w:color w:val="auto"/>
                <w:sz w:val="21"/>
                <w:szCs w:val="21"/>
                <w:highlight w:val="none"/>
              </w:rPr>
              <w:t>及结算发票</w:t>
            </w:r>
            <w:r>
              <w:rPr>
                <w:rFonts w:hint="eastAsia" w:cs="宋体"/>
                <w:b/>
                <w:bCs/>
                <w:color w:val="auto"/>
                <w:sz w:val="21"/>
                <w:szCs w:val="21"/>
                <w:highlight w:val="none"/>
                <w:lang w:eastAsia="zh-CN"/>
              </w:rPr>
              <w:t>（</w:t>
            </w:r>
            <w:r>
              <w:rPr>
                <w:rFonts w:hint="eastAsia" w:cs="宋体"/>
                <w:b/>
                <w:bCs/>
                <w:color w:val="auto"/>
                <w:sz w:val="21"/>
                <w:szCs w:val="21"/>
                <w:highlight w:val="none"/>
                <w:lang w:val="en-US" w:eastAsia="zh-CN"/>
              </w:rPr>
              <w:t>不少于一年结算周期</w:t>
            </w:r>
            <w:r>
              <w:rPr>
                <w:rFonts w:hint="eastAsia" w:cs="宋体"/>
                <w:b/>
                <w:bCs/>
                <w:color w:val="auto"/>
                <w:sz w:val="21"/>
                <w:szCs w:val="21"/>
                <w:highlight w:val="none"/>
                <w:lang w:eastAsia="zh-CN"/>
              </w:rPr>
              <w:t>），</w:t>
            </w:r>
            <w:r>
              <w:rPr>
                <w:rFonts w:hint="eastAsia" w:cs="宋体"/>
                <w:b/>
                <w:bCs/>
                <w:color w:val="auto"/>
                <w:sz w:val="21"/>
                <w:szCs w:val="21"/>
                <w:highlight w:val="none"/>
                <w:lang w:val="en-US" w:eastAsia="zh-CN"/>
              </w:rPr>
              <w:t>时间以签订合同时间为准，未提供不得分</w:t>
            </w:r>
            <w:r>
              <w:rPr>
                <w:rFonts w:hint="eastAsia" w:ascii="宋体" w:hAnsi="宋体" w:eastAsia="宋体" w:cs="宋体"/>
                <w:b/>
                <w:bCs/>
                <w:color w:val="auto"/>
                <w:sz w:val="21"/>
                <w:szCs w:val="21"/>
                <w:highlight w:val="none"/>
              </w:rPr>
              <w:t>。</w:t>
            </w:r>
            <w:r>
              <w:rPr>
                <w:rFonts w:hint="eastAsia" w:cs="宋体"/>
                <w:b/>
                <w:bCs/>
                <w:color w:val="auto"/>
                <w:sz w:val="21"/>
                <w:szCs w:val="21"/>
                <w:highlight w:val="none"/>
                <w:lang w:eastAsia="zh-CN"/>
              </w:rPr>
              <w:t>）</w:t>
            </w:r>
          </w:p>
        </w:tc>
      </w:tr>
      <w:tr w14:paraId="1190D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4E68B56E">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tcBorders>
              <w:top w:val="single" w:color="auto" w:sz="4" w:space="0"/>
            </w:tcBorders>
            <w:vAlign w:val="center"/>
          </w:tcPr>
          <w:p w14:paraId="7D7B19B8">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b w:val="0"/>
                <w:bCs/>
                <w:color w:val="auto"/>
                <w:kern w:val="2"/>
                <w:sz w:val="21"/>
                <w:szCs w:val="21"/>
                <w:highlight w:val="none"/>
                <w:lang w:val="en-US" w:eastAsia="zh-CN"/>
              </w:rPr>
              <w:t>项目负责人资历</w:t>
            </w:r>
          </w:p>
        </w:tc>
        <w:tc>
          <w:tcPr>
            <w:tcW w:w="424" w:type="pct"/>
            <w:vAlign w:val="center"/>
          </w:tcPr>
          <w:p w14:paraId="73BDF0CC">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tc>
        <w:tc>
          <w:tcPr>
            <w:tcW w:w="3080" w:type="pct"/>
            <w:vAlign w:val="center"/>
          </w:tcPr>
          <w:p w14:paraId="4A065EC3">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1.拟派项目负责人具有本科以上学历得</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分，大专学历得1分</w:t>
            </w:r>
            <w:r>
              <w:rPr>
                <w:rFonts w:hint="eastAsia" w:cs="宋体"/>
                <w:color w:val="auto"/>
                <w:sz w:val="21"/>
                <w:szCs w:val="21"/>
                <w:highlight w:val="none"/>
                <w:lang w:val="en-US" w:eastAsia="zh-CN"/>
              </w:rPr>
              <w:t>；</w:t>
            </w:r>
          </w:p>
          <w:p w14:paraId="20682C96">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2.拟派项目负责人具有</w:t>
            </w:r>
            <w:r>
              <w:rPr>
                <w:rFonts w:hint="eastAsia" w:cs="宋体"/>
                <w:color w:val="auto"/>
                <w:sz w:val="21"/>
                <w:szCs w:val="21"/>
                <w:highlight w:val="none"/>
                <w:lang w:val="en-US" w:eastAsia="zh-CN"/>
              </w:rPr>
              <w:t>高级</w:t>
            </w:r>
            <w:r>
              <w:rPr>
                <w:rFonts w:hint="eastAsia" w:ascii="宋体" w:hAnsi="宋体" w:eastAsia="宋体" w:cs="宋体"/>
                <w:color w:val="auto"/>
                <w:sz w:val="21"/>
                <w:szCs w:val="21"/>
                <w:highlight w:val="none"/>
                <w:lang w:val="en-US" w:eastAsia="zh-CN"/>
              </w:rPr>
              <w:t>职称得</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r>
              <w:rPr>
                <w:rFonts w:hint="eastAsia" w:cs="宋体"/>
                <w:color w:val="auto"/>
                <w:sz w:val="21"/>
                <w:szCs w:val="21"/>
                <w:highlight w:val="none"/>
                <w:lang w:val="en-US" w:eastAsia="zh-CN"/>
              </w:rPr>
              <w:t>，</w:t>
            </w:r>
            <w:r>
              <w:rPr>
                <w:rFonts w:hint="eastAsia" w:ascii="宋体" w:hAnsi="宋体" w:eastAsia="宋体" w:cs="宋体"/>
                <w:color w:val="auto"/>
                <w:sz w:val="21"/>
                <w:szCs w:val="21"/>
                <w:highlight w:val="none"/>
                <w:lang w:val="en-US" w:eastAsia="zh-CN"/>
              </w:rPr>
              <w:t>中级职称得</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r>
              <w:rPr>
                <w:rFonts w:hint="eastAsia" w:cs="宋体"/>
                <w:color w:val="auto"/>
                <w:sz w:val="21"/>
                <w:szCs w:val="21"/>
                <w:highlight w:val="none"/>
                <w:lang w:val="en-US" w:eastAsia="zh-CN"/>
              </w:rPr>
              <w:t>。</w:t>
            </w:r>
          </w:p>
          <w:p w14:paraId="638BBA04">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b/>
                <w:bCs/>
                <w:color w:val="auto"/>
                <w:sz w:val="21"/>
                <w:szCs w:val="21"/>
                <w:highlight w:val="none"/>
                <w:lang w:val="en-US" w:eastAsia="zh-CN"/>
              </w:rPr>
              <w:t>（注：提供项目负责人的身份证、</w:t>
            </w:r>
            <w:r>
              <w:rPr>
                <w:rFonts w:hint="eastAsia" w:cs="宋体"/>
                <w:b/>
                <w:bCs/>
                <w:color w:val="auto"/>
                <w:sz w:val="21"/>
                <w:szCs w:val="21"/>
                <w:highlight w:val="none"/>
                <w:lang w:val="en-US" w:eastAsia="zh-CN"/>
              </w:rPr>
              <w:t>毕业证</w:t>
            </w:r>
            <w:r>
              <w:rPr>
                <w:rFonts w:hint="eastAsia" w:ascii="宋体" w:hAnsi="宋体" w:eastAsia="宋体" w:cs="宋体"/>
                <w:b/>
                <w:bCs/>
                <w:color w:val="auto"/>
                <w:sz w:val="21"/>
                <w:szCs w:val="21"/>
                <w:highlight w:val="none"/>
                <w:lang w:val="en-US" w:eastAsia="zh-CN"/>
              </w:rPr>
              <w:t>、职称证以及</w:t>
            </w:r>
            <w:r>
              <w:rPr>
                <w:rFonts w:hint="eastAsia" w:cs="宋体"/>
                <w:b/>
                <w:bCs/>
                <w:color w:val="auto"/>
                <w:sz w:val="21"/>
                <w:szCs w:val="21"/>
                <w:highlight w:val="none"/>
                <w:lang w:val="en-US" w:eastAsia="zh-CN"/>
              </w:rPr>
              <w:t>在</w:t>
            </w:r>
            <w:r>
              <w:rPr>
                <w:rFonts w:hint="eastAsia" w:ascii="宋体" w:hAnsi="宋体" w:eastAsia="宋体" w:cs="宋体"/>
                <w:b/>
                <w:bCs/>
                <w:color w:val="auto"/>
                <w:sz w:val="21"/>
                <w:szCs w:val="21"/>
                <w:highlight w:val="none"/>
                <w:lang w:val="en-US" w:eastAsia="zh-CN"/>
              </w:rPr>
              <w:t>本单位缴纳的</w:t>
            </w:r>
            <w:r>
              <w:rPr>
                <w:rFonts w:hint="eastAsia" w:cs="宋体"/>
                <w:b/>
                <w:bCs/>
                <w:color w:val="auto"/>
                <w:sz w:val="21"/>
                <w:szCs w:val="21"/>
                <w:highlight w:val="none"/>
                <w:lang w:val="en-US" w:eastAsia="zh-CN"/>
              </w:rPr>
              <w:t>近1年</w:t>
            </w:r>
            <w:r>
              <w:rPr>
                <w:rFonts w:hint="eastAsia" w:ascii="宋体" w:hAnsi="宋体" w:eastAsia="宋体" w:cs="宋体"/>
                <w:b/>
                <w:bCs/>
                <w:color w:val="auto"/>
                <w:sz w:val="21"/>
                <w:szCs w:val="21"/>
                <w:highlight w:val="none"/>
                <w:lang w:val="en-US" w:eastAsia="zh-CN"/>
              </w:rPr>
              <w:t>社会保险</w:t>
            </w:r>
            <w:r>
              <w:rPr>
                <w:rFonts w:hint="eastAsia" w:cs="宋体"/>
                <w:b/>
                <w:bCs/>
                <w:color w:val="auto"/>
                <w:sz w:val="21"/>
                <w:szCs w:val="21"/>
                <w:highlight w:val="none"/>
                <w:lang w:val="en-US" w:eastAsia="zh-CN"/>
              </w:rPr>
              <w:t>等</w:t>
            </w:r>
            <w:r>
              <w:rPr>
                <w:rFonts w:hint="eastAsia" w:ascii="宋体" w:hAnsi="宋体" w:eastAsia="宋体" w:cs="宋体"/>
                <w:b/>
                <w:bCs/>
                <w:color w:val="auto"/>
                <w:sz w:val="21"/>
                <w:szCs w:val="21"/>
                <w:highlight w:val="none"/>
                <w:lang w:val="en-US" w:eastAsia="zh-CN"/>
              </w:rPr>
              <w:t>证明材料</w:t>
            </w:r>
            <w:r>
              <w:rPr>
                <w:rFonts w:hint="eastAsia" w:cs="宋体"/>
                <w:b/>
                <w:bCs/>
                <w:color w:val="auto"/>
                <w:sz w:val="21"/>
                <w:szCs w:val="21"/>
                <w:highlight w:val="none"/>
                <w:lang w:val="en-US" w:eastAsia="zh-CN"/>
              </w:rPr>
              <w:t>，未提供不得分</w:t>
            </w:r>
            <w:r>
              <w:rPr>
                <w:rFonts w:hint="eastAsia" w:ascii="宋体" w:hAnsi="宋体" w:eastAsia="宋体" w:cs="宋体"/>
                <w:b/>
                <w:bCs/>
                <w:color w:val="auto"/>
                <w:sz w:val="21"/>
                <w:szCs w:val="21"/>
                <w:highlight w:val="none"/>
                <w:lang w:val="en-US" w:eastAsia="zh-CN"/>
              </w:rPr>
              <w:t>）</w:t>
            </w:r>
          </w:p>
        </w:tc>
      </w:tr>
      <w:tr w14:paraId="75456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035B8489">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tcBorders>
              <w:top w:val="single" w:color="auto" w:sz="4" w:space="0"/>
            </w:tcBorders>
            <w:vAlign w:val="center"/>
          </w:tcPr>
          <w:p w14:paraId="02A8C6F6">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拟派</w:t>
            </w:r>
            <w:r>
              <w:rPr>
                <w:rFonts w:hint="eastAsia" w:ascii="宋体" w:hAnsi="宋体" w:eastAsia="宋体" w:cs="宋体"/>
                <w:color w:val="auto"/>
                <w:sz w:val="21"/>
                <w:szCs w:val="21"/>
                <w:highlight w:val="none"/>
                <w:lang w:eastAsia="zh-CN"/>
              </w:rPr>
              <w:t>团队</w:t>
            </w:r>
            <w:r>
              <w:rPr>
                <w:rFonts w:hint="eastAsia" w:ascii="宋体" w:hAnsi="宋体" w:eastAsia="宋体" w:cs="宋体"/>
                <w:color w:val="auto"/>
                <w:sz w:val="21"/>
                <w:szCs w:val="21"/>
                <w:highlight w:val="none"/>
                <w:lang w:val="en-US" w:eastAsia="zh-CN"/>
              </w:rPr>
              <w:t>主要成员资历</w:t>
            </w:r>
          </w:p>
        </w:tc>
        <w:tc>
          <w:tcPr>
            <w:tcW w:w="424" w:type="pct"/>
            <w:vAlign w:val="center"/>
          </w:tcPr>
          <w:p w14:paraId="36597698">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20</w:t>
            </w:r>
            <w:r>
              <w:rPr>
                <w:rFonts w:hint="eastAsia" w:ascii="宋体" w:hAnsi="宋体" w:eastAsia="宋体" w:cs="宋体"/>
                <w:color w:val="auto"/>
                <w:sz w:val="21"/>
                <w:szCs w:val="21"/>
                <w:highlight w:val="none"/>
                <w:lang w:val="en-US" w:eastAsia="zh-CN"/>
              </w:rPr>
              <w:t>分</w:t>
            </w:r>
          </w:p>
        </w:tc>
        <w:tc>
          <w:tcPr>
            <w:tcW w:w="3080" w:type="pct"/>
            <w:vAlign w:val="center"/>
          </w:tcPr>
          <w:p w14:paraId="3E229D8D">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1.管理人员</w:t>
            </w:r>
          </w:p>
          <w:p w14:paraId="4BA6BDE4">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具有本科以上学历加0.5分/人，大专学历加0.25分/人，最多加3分；</w:t>
            </w:r>
          </w:p>
          <w:p w14:paraId="70ECFAAD">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具有中级以上职称或者职业资格证书加0.5分/人，最多加3分；</w:t>
            </w:r>
          </w:p>
          <w:p w14:paraId="294F8F4C">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2.技术保障人员</w:t>
            </w:r>
          </w:p>
          <w:p w14:paraId="71F47F5F">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具有</w:t>
            </w:r>
            <w:r>
              <w:rPr>
                <w:rFonts w:hint="eastAsia" w:cs="宋体"/>
                <w:color w:val="auto"/>
                <w:sz w:val="21"/>
                <w:szCs w:val="21"/>
                <w:highlight w:val="none"/>
                <w:lang w:val="en-US" w:eastAsia="zh-CN"/>
              </w:rPr>
              <w:t>园林绿化相关</w:t>
            </w:r>
            <w:r>
              <w:rPr>
                <w:rFonts w:hint="eastAsia" w:ascii="宋体" w:hAnsi="宋体" w:eastAsia="宋体" w:cs="宋体"/>
                <w:color w:val="auto"/>
                <w:sz w:val="21"/>
                <w:szCs w:val="21"/>
                <w:highlight w:val="none"/>
                <w:lang w:val="en-US" w:eastAsia="zh-CN"/>
              </w:rPr>
              <w:t>职业技能证书加0.5分/人，</w:t>
            </w:r>
            <w:bookmarkStart w:id="629" w:name="OLE_LINK9"/>
            <w:r>
              <w:rPr>
                <w:rFonts w:hint="eastAsia" w:ascii="宋体" w:hAnsi="宋体" w:eastAsia="宋体" w:cs="宋体"/>
                <w:color w:val="auto"/>
                <w:sz w:val="21"/>
                <w:szCs w:val="21"/>
                <w:highlight w:val="none"/>
                <w:lang w:val="en-US" w:eastAsia="zh-CN"/>
              </w:rPr>
              <w:t>最多加3分</w:t>
            </w:r>
            <w:bookmarkEnd w:id="629"/>
            <w:r>
              <w:rPr>
                <w:rFonts w:hint="eastAsia" w:ascii="宋体" w:hAnsi="宋体" w:eastAsia="宋体" w:cs="宋体"/>
                <w:color w:val="auto"/>
                <w:sz w:val="21"/>
                <w:szCs w:val="21"/>
                <w:highlight w:val="none"/>
                <w:lang w:val="en-US" w:eastAsia="zh-CN"/>
              </w:rPr>
              <w:t>；</w:t>
            </w:r>
          </w:p>
          <w:p w14:paraId="1FBA45ED">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具有电工证</w:t>
            </w:r>
            <w:r>
              <w:rPr>
                <w:rFonts w:hint="eastAsia" w:cs="宋体"/>
                <w:color w:val="auto"/>
                <w:sz w:val="21"/>
                <w:szCs w:val="21"/>
                <w:highlight w:val="none"/>
                <w:lang w:val="en-US" w:eastAsia="zh-CN"/>
              </w:rPr>
              <w:t>书</w:t>
            </w:r>
            <w:r>
              <w:rPr>
                <w:rFonts w:hint="eastAsia" w:ascii="宋体" w:hAnsi="宋体" w:eastAsia="宋体" w:cs="宋体"/>
                <w:color w:val="auto"/>
                <w:sz w:val="21"/>
                <w:szCs w:val="21"/>
                <w:highlight w:val="none"/>
                <w:lang w:val="en-US" w:eastAsia="zh-CN"/>
              </w:rPr>
              <w:t>加0.5分/人最多加</w:t>
            </w: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p w14:paraId="24F523B5">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3）具有焊工证书</w:t>
            </w:r>
            <w:r>
              <w:rPr>
                <w:rFonts w:hint="eastAsia" w:ascii="宋体" w:hAnsi="宋体" w:eastAsia="宋体" w:cs="宋体"/>
                <w:color w:val="auto"/>
                <w:sz w:val="21"/>
                <w:szCs w:val="21"/>
                <w:highlight w:val="none"/>
                <w:lang w:val="en-US" w:eastAsia="zh-CN"/>
              </w:rPr>
              <w:t>加0.5分/人</w:t>
            </w:r>
            <w:r>
              <w:rPr>
                <w:rFonts w:hint="eastAsia" w:cs="宋体"/>
                <w:color w:val="auto"/>
                <w:sz w:val="21"/>
                <w:szCs w:val="21"/>
                <w:highlight w:val="none"/>
                <w:lang w:val="en-US" w:eastAsia="zh-CN"/>
              </w:rPr>
              <w:t>最多加2分；</w:t>
            </w:r>
          </w:p>
          <w:p w14:paraId="67C2D572">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4）具有</w:t>
            </w:r>
            <w:r>
              <w:rPr>
                <w:rFonts w:hint="eastAsia" w:ascii="宋体" w:hAnsi="宋体" w:eastAsia="宋体" w:cs="宋体"/>
                <w:color w:val="auto"/>
                <w:sz w:val="21"/>
                <w:szCs w:val="21"/>
                <w:highlight w:val="none"/>
                <w:lang w:val="en-US" w:eastAsia="zh-CN"/>
              </w:rPr>
              <w:t>高空作业证加0.5分/人，最多加2分；</w:t>
            </w:r>
          </w:p>
          <w:p w14:paraId="08A80954">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5）具有</w:t>
            </w:r>
            <w:r>
              <w:rPr>
                <w:rFonts w:hint="eastAsia" w:ascii="宋体" w:hAnsi="宋体" w:eastAsia="宋体" w:cs="宋体"/>
                <w:color w:val="auto"/>
                <w:sz w:val="21"/>
                <w:szCs w:val="21"/>
                <w:highlight w:val="none"/>
                <w:lang w:val="en-US" w:eastAsia="zh-CN"/>
              </w:rPr>
              <w:t>B证及以上驾驶证0.5分/人，最多加3分；</w:t>
            </w:r>
          </w:p>
          <w:p w14:paraId="332F301B">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6）具有</w:t>
            </w:r>
            <w:r>
              <w:rPr>
                <w:rFonts w:hint="eastAsia" w:ascii="宋体" w:hAnsi="宋体" w:eastAsia="宋体" w:cs="宋体"/>
                <w:color w:val="auto"/>
                <w:sz w:val="21"/>
                <w:szCs w:val="21"/>
                <w:highlight w:val="none"/>
                <w:lang w:val="en-US" w:eastAsia="zh-CN"/>
              </w:rPr>
              <w:t>特种车辆操作证加</w:t>
            </w:r>
            <w:r>
              <w:rPr>
                <w:rFonts w:hint="eastAsia" w:cs="宋体"/>
                <w:color w:val="auto"/>
                <w:sz w:val="21"/>
                <w:szCs w:val="21"/>
                <w:highlight w:val="none"/>
                <w:lang w:val="en-US" w:eastAsia="zh-CN"/>
              </w:rPr>
              <w:t>0.5</w:t>
            </w:r>
            <w:r>
              <w:rPr>
                <w:rFonts w:hint="eastAsia" w:ascii="宋体" w:hAnsi="宋体" w:eastAsia="宋体" w:cs="宋体"/>
                <w:color w:val="auto"/>
                <w:sz w:val="21"/>
                <w:szCs w:val="21"/>
                <w:highlight w:val="none"/>
                <w:lang w:val="en-US" w:eastAsia="zh-CN"/>
              </w:rPr>
              <w:t>分/人，最多加</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w:t>
            </w:r>
            <w:r>
              <w:rPr>
                <w:rFonts w:hint="eastAsia" w:cs="宋体"/>
                <w:color w:val="auto"/>
                <w:sz w:val="21"/>
                <w:szCs w:val="21"/>
                <w:highlight w:val="none"/>
                <w:lang w:val="en-US" w:eastAsia="zh-CN"/>
              </w:rPr>
              <w:t>。</w:t>
            </w:r>
          </w:p>
          <w:p w14:paraId="3CFE2F78">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lang w:val="en-US" w:eastAsia="zh-CN"/>
              </w:rPr>
              <w:t>（注：提供人员的身份证、</w:t>
            </w:r>
            <w:r>
              <w:rPr>
                <w:rFonts w:hint="eastAsia" w:cs="宋体"/>
                <w:b/>
                <w:bCs/>
                <w:color w:val="auto"/>
                <w:sz w:val="21"/>
                <w:szCs w:val="21"/>
                <w:highlight w:val="none"/>
                <w:lang w:val="en-US" w:eastAsia="zh-CN"/>
              </w:rPr>
              <w:t>资质证书</w:t>
            </w:r>
            <w:r>
              <w:rPr>
                <w:rFonts w:hint="eastAsia" w:ascii="宋体" w:hAnsi="宋体" w:eastAsia="宋体" w:cs="宋体"/>
                <w:b/>
                <w:bCs/>
                <w:color w:val="auto"/>
                <w:sz w:val="21"/>
                <w:szCs w:val="21"/>
                <w:highlight w:val="none"/>
                <w:lang w:val="en-US" w:eastAsia="zh-CN"/>
              </w:rPr>
              <w:t>及本单位缴纳的</w:t>
            </w:r>
            <w:r>
              <w:rPr>
                <w:rFonts w:hint="eastAsia" w:cs="宋体"/>
                <w:b/>
                <w:bCs/>
                <w:color w:val="auto"/>
                <w:sz w:val="21"/>
                <w:szCs w:val="21"/>
                <w:highlight w:val="none"/>
                <w:lang w:val="en-US" w:eastAsia="zh-CN"/>
              </w:rPr>
              <w:t>1年</w:t>
            </w:r>
            <w:r>
              <w:rPr>
                <w:rFonts w:hint="eastAsia" w:ascii="宋体" w:hAnsi="宋体" w:eastAsia="宋体" w:cs="宋体"/>
                <w:b/>
                <w:bCs/>
                <w:color w:val="auto"/>
                <w:sz w:val="21"/>
                <w:szCs w:val="21"/>
                <w:highlight w:val="none"/>
                <w:lang w:val="en-US" w:eastAsia="zh-CN"/>
              </w:rPr>
              <w:t>的社会保险证明材料，</w:t>
            </w:r>
            <w:r>
              <w:rPr>
                <w:rFonts w:hint="eastAsia" w:cs="宋体"/>
                <w:b/>
                <w:bCs/>
                <w:color w:val="auto"/>
                <w:sz w:val="21"/>
                <w:szCs w:val="21"/>
                <w:highlight w:val="none"/>
                <w:lang w:val="en-US" w:eastAsia="zh-CN"/>
              </w:rPr>
              <w:t>未提供</w:t>
            </w:r>
            <w:r>
              <w:rPr>
                <w:rFonts w:hint="eastAsia" w:ascii="宋体" w:hAnsi="宋体" w:eastAsia="宋体" w:cs="宋体"/>
                <w:b/>
                <w:bCs/>
                <w:color w:val="auto"/>
                <w:sz w:val="21"/>
                <w:szCs w:val="21"/>
                <w:highlight w:val="none"/>
                <w:lang w:val="en-US" w:eastAsia="zh-CN"/>
              </w:rPr>
              <w:t>不得分</w:t>
            </w:r>
            <w:r>
              <w:rPr>
                <w:rFonts w:hint="eastAsia" w:cs="宋体"/>
                <w:b/>
                <w:bCs/>
                <w:color w:val="auto"/>
                <w:sz w:val="21"/>
                <w:szCs w:val="21"/>
                <w:highlight w:val="none"/>
                <w:lang w:val="en-US" w:eastAsia="zh-CN"/>
              </w:rPr>
              <w:t>，以上人员不重复加分</w:t>
            </w:r>
            <w:r>
              <w:rPr>
                <w:rFonts w:hint="eastAsia" w:ascii="宋体" w:hAnsi="宋体" w:eastAsia="宋体" w:cs="宋体"/>
                <w:b/>
                <w:bCs/>
                <w:color w:val="auto"/>
                <w:sz w:val="21"/>
                <w:szCs w:val="21"/>
                <w:highlight w:val="none"/>
                <w:lang w:val="en-US" w:eastAsia="zh-CN"/>
              </w:rPr>
              <w:t>。）</w:t>
            </w:r>
          </w:p>
        </w:tc>
      </w:tr>
      <w:tr w14:paraId="276E4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3A642D1F">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tcBorders>
              <w:top w:val="single" w:color="auto" w:sz="4" w:space="0"/>
            </w:tcBorders>
            <w:vAlign w:val="center"/>
          </w:tcPr>
          <w:p w14:paraId="425EB562">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val="en-US" w:eastAsia="zh-CN"/>
              </w:rPr>
              <w:t>拟投入设备</w:t>
            </w:r>
          </w:p>
        </w:tc>
        <w:tc>
          <w:tcPr>
            <w:tcW w:w="424" w:type="pct"/>
            <w:vAlign w:val="center"/>
          </w:tcPr>
          <w:p w14:paraId="7E8D08B5">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15分</w:t>
            </w:r>
          </w:p>
        </w:tc>
        <w:tc>
          <w:tcPr>
            <w:tcW w:w="3080" w:type="pct"/>
            <w:vAlign w:val="center"/>
          </w:tcPr>
          <w:p w14:paraId="60F3AADB">
            <w:pPr>
              <w:pStyle w:val="51"/>
              <w:keepNext w:val="0"/>
              <w:keepLines w:val="0"/>
              <w:pageBreakBefore w:val="0"/>
              <w:widowControl w:val="0"/>
              <w:numPr>
                <w:ilvl w:val="0"/>
                <w:numId w:val="0"/>
              </w:numPr>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1.基础配置：供应商为本项目配备1台</w:t>
            </w:r>
            <w:r>
              <w:rPr>
                <w:rFonts w:hint="eastAsia" w:cs="宋体"/>
                <w:color w:val="auto"/>
                <w:sz w:val="21"/>
                <w:szCs w:val="21"/>
                <w:highlight w:val="none"/>
                <w:lang w:val="en-US" w:eastAsia="zh-CN"/>
              </w:rPr>
              <w:t>载重在1.5吨以上的</w:t>
            </w:r>
            <w:r>
              <w:rPr>
                <w:rFonts w:hint="eastAsia" w:ascii="宋体" w:hAnsi="宋体" w:eastAsia="宋体" w:cs="宋体"/>
                <w:color w:val="auto"/>
                <w:sz w:val="21"/>
                <w:szCs w:val="21"/>
                <w:highlight w:val="none"/>
                <w:lang w:val="en-US" w:eastAsia="zh-CN"/>
              </w:rPr>
              <w:t>道路清扫车、1台</w:t>
            </w:r>
            <w:r>
              <w:rPr>
                <w:rFonts w:hint="eastAsia" w:cs="宋体"/>
                <w:color w:val="auto"/>
                <w:sz w:val="21"/>
                <w:szCs w:val="21"/>
                <w:highlight w:val="none"/>
                <w:lang w:val="en-US" w:eastAsia="zh-CN"/>
              </w:rPr>
              <w:t>7吨以上</w:t>
            </w:r>
            <w:r>
              <w:rPr>
                <w:rFonts w:hint="eastAsia" w:ascii="宋体" w:hAnsi="宋体" w:eastAsia="宋体" w:cs="宋体"/>
                <w:color w:val="auto"/>
                <w:sz w:val="21"/>
                <w:szCs w:val="21"/>
                <w:highlight w:val="none"/>
                <w:lang w:val="en-US" w:eastAsia="zh-CN"/>
              </w:rPr>
              <w:t>清洗车、1台</w:t>
            </w:r>
            <w:r>
              <w:rPr>
                <w:rFonts w:hint="eastAsia" w:cs="宋体"/>
                <w:color w:val="auto"/>
                <w:sz w:val="21"/>
                <w:szCs w:val="21"/>
                <w:highlight w:val="none"/>
                <w:lang w:val="en-US" w:eastAsia="zh-CN"/>
              </w:rPr>
              <w:t>6吨以上</w:t>
            </w:r>
            <w:r>
              <w:rPr>
                <w:rFonts w:hint="eastAsia" w:ascii="宋体" w:hAnsi="宋体" w:eastAsia="宋体" w:cs="宋体"/>
                <w:color w:val="auto"/>
                <w:sz w:val="21"/>
                <w:szCs w:val="21"/>
                <w:highlight w:val="none"/>
                <w:lang w:val="en-US" w:eastAsia="zh-CN"/>
              </w:rPr>
              <w:t>吸污车、1台登高车</w:t>
            </w:r>
            <w:r>
              <w:rPr>
                <w:rFonts w:hint="eastAsia" w:cs="宋体"/>
                <w:color w:val="auto"/>
                <w:sz w:val="21"/>
                <w:szCs w:val="21"/>
                <w:highlight w:val="none"/>
                <w:lang w:val="en-US" w:eastAsia="zh-CN"/>
              </w:rPr>
              <w:t>（作业高度不低于14米）</w:t>
            </w:r>
            <w:r>
              <w:rPr>
                <w:rFonts w:hint="eastAsia" w:ascii="宋体" w:hAnsi="宋体" w:eastAsia="宋体" w:cs="宋体"/>
                <w:color w:val="auto"/>
                <w:sz w:val="21"/>
                <w:szCs w:val="21"/>
                <w:highlight w:val="none"/>
                <w:lang w:val="en-US" w:eastAsia="zh-CN"/>
              </w:rPr>
              <w:t>、1台</w:t>
            </w:r>
            <w:r>
              <w:rPr>
                <w:rFonts w:hint="eastAsia" w:cs="宋体"/>
                <w:color w:val="auto"/>
                <w:sz w:val="21"/>
                <w:szCs w:val="21"/>
                <w:highlight w:val="none"/>
                <w:lang w:val="en-US" w:eastAsia="zh-CN"/>
              </w:rPr>
              <w:t>载重在7吨</w:t>
            </w:r>
            <w:r>
              <w:rPr>
                <w:rFonts w:hint="eastAsia" w:ascii="宋体" w:hAnsi="宋体" w:eastAsia="宋体" w:cs="宋体"/>
                <w:color w:val="auto"/>
                <w:sz w:val="21"/>
                <w:szCs w:val="21"/>
                <w:highlight w:val="none"/>
                <w:lang w:val="en-US" w:eastAsia="zh-CN"/>
              </w:rPr>
              <w:t>以上</w:t>
            </w:r>
            <w:r>
              <w:rPr>
                <w:rFonts w:hint="eastAsia" w:cs="宋体"/>
                <w:color w:val="auto"/>
                <w:sz w:val="21"/>
                <w:szCs w:val="21"/>
                <w:highlight w:val="none"/>
                <w:lang w:val="en-US" w:eastAsia="zh-CN"/>
              </w:rPr>
              <w:t>或者铲斗容量在1.2㎡以上</w:t>
            </w:r>
            <w:r>
              <w:rPr>
                <w:rFonts w:hint="eastAsia" w:ascii="宋体" w:hAnsi="宋体" w:eastAsia="宋体" w:cs="宋体"/>
                <w:color w:val="auto"/>
                <w:sz w:val="21"/>
                <w:szCs w:val="21"/>
                <w:highlight w:val="none"/>
                <w:lang w:val="en-US" w:eastAsia="zh-CN"/>
              </w:rPr>
              <w:t>的扫雪车，1台载重为3吨以上的打药车，1辆载重为9吨以上的洒水车，1台载重在5吨以上的垃圾车；得8分；</w:t>
            </w:r>
          </w:p>
          <w:p w14:paraId="6F65B14D">
            <w:pPr>
              <w:pStyle w:val="51"/>
              <w:keepNext w:val="0"/>
              <w:keepLines w:val="0"/>
              <w:pageBreakBefore w:val="0"/>
              <w:widowControl w:val="0"/>
              <w:numPr>
                <w:ilvl w:val="0"/>
                <w:numId w:val="0"/>
              </w:numPr>
              <w:bidi w:val="0"/>
              <w:spacing w:line="360" w:lineRule="auto"/>
              <w:rPr>
                <w:rFonts w:hint="default" w:cs="宋体"/>
                <w:color w:val="auto"/>
                <w:sz w:val="21"/>
                <w:szCs w:val="21"/>
                <w:highlight w:val="none"/>
                <w:lang w:val="en-US" w:eastAsia="zh-CN"/>
              </w:rPr>
            </w:pPr>
            <w:r>
              <w:rPr>
                <w:rFonts w:hint="eastAsia" w:cs="宋体"/>
                <w:color w:val="auto"/>
                <w:sz w:val="21"/>
                <w:szCs w:val="21"/>
                <w:highlight w:val="none"/>
                <w:lang w:val="en-US" w:eastAsia="zh-CN"/>
              </w:rPr>
              <w:t>2.供应商每增加1台5吨以上的垃圾清运车加1分/台，最多加3分；</w:t>
            </w:r>
          </w:p>
          <w:p w14:paraId="7DDDF9E4">
            <w:pPr>
              <w:pStyle w:val="51"/>
              <w:keepNext w:val="0"/>
              <w:keepLines w:val="0"/>
              <w:pageBreakBefore w:val="0"/>
              <w:widowControl w:val="0"/>
              <w:numPr>
                <w:ilvl w:val="0"/>
                <w:numId w:val="0"/>
              </w:numPr>
              <w:bidi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3.供应商每增加1台</w:t>
            </w:r>
            <w:r>
              <w:rPr>
                <w:rFonts w:hint="eastAsia" w:cs="宋体"/>
                <w:color w:val="auto"/>
                <w:sz w:val="21"/>
                <w:szCs w:val="21"/>
                <w:highlight w:val="none"/>
                <w:lang w:val="en-US" w:eastAsia="zh-CN"/>
              </w:rPr>
              <w:t>7吨以上</w:t>
            </w:r>
            <w:r>
              <w:rPr>
                <w:rFonts w:hint="eastAsia" w:ascii="宋体" w:hAnsi="宋体" w:eastAsia="宋体" w:cs="宋体"/>
                <w:color w:val="auto"/>
                <w:sz w:val="21"/>
                <w:szCs w:val="21"/>
                <w:highlight w:val="none"/>
                <w:lang w:val="en-US" w:eastAsia="zh-CN"/>
              </w:rPr>
              <w:t>清洗车，加</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分/台，最多加</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lang w:val="en-US" w:eastAsia="zh-CN"/>
              </w:rPr>
              <w:t>分；</w:t>
            </w:r>
          </w:p>
          <w:p w14:paraId="07252B94">
            <w:pPr>
              <w:pStyle w:val="51"/>
              <w:keepNext w:val="0"/>
              <w:keepLines w:val="0"/>
              <w:pageBreakBefore w:val="0"/>
              <w:widowControl w:val="0"/>
              <w:numPr>
                <w:ilvl w:val="0"/>
                <w:numId w:val="0"/>
              </w:numPr>
              <w:bidi w:val="0"/>
              <w:spacing w:line="360" w:lineRule="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4.供应商每增加一台清扫效率在20000㎡/h以上或者载重在1.5吨以上的清扫车加0.5分/台，最多加3分；</w:t>
            </w:r>
          </w:p>
          <w:p w14:paraId="131C9AEF">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default" w:ascii="宋体" w:hAnsi="宋体" w:eastAsia="宋体" w:cs="宋体"/>
                <w:color w:val="auto"/>
                <w:sz w:val="21"/>
                <w:szCs w:val="21"/>
                <w:highlight w:val="none"/>
                <w:lang w:val="en-US" w:eastAsia="zh-CN"/>
              </w:rPr>
            </w:pPr>
            <w:r>
              <w:rPr>
                <w:rFonts w:hint="eastAsia" w:cs="宋体"/>
                <w:b/>
                <w:bCs/>
                <w:color w:val="auto"/>
                <w:sz w:val="21"/>
                <w:szCs w:val="21"/>
                <w:highlight w:val="none"/>
                <w:lang w:val="en-US" w:eastAsia="zh-CN"/>
              </w:rPr>
              <w:t>注：</w:t>
            </w:r>
            <w:r>
              <w:rPr>
                <w:rFonts w:hint="eastAsia" w:ascii="宋体" w:hAnsi="宋体" w:eastAsia="宋体" w:cs="宋体"/>
                <w:b/>
                <w:bCs/>
                <w:color w:val="auto"/>
                <w:sz w:val="21"/>
                <w:szCs w:val="21"/>
                <w:highlight w:val="none"/>
                <w:lang w:val="en-US" w:eastAsia="zh-CN"/>
              </w:rPr>
              <w:t>以上设备</w:t>
            </w:r>
            <w:r>
              <w:rPr>
                <w:rFonts w:hint="eastAsia" w:cs="宋体"/>
                <w:b/>
                <w:bCs/>
                <w:color w:val="auto"/>
                <w:sz w:val="21"/>
                <w:szCs w:val="21"/>
                <w:highlight w:val="none"/>
                <w:lang w:val="en-US" w:eastAsia="zh-CN"/>
              </w:rPr>
              <w:t>需提供</w:t>
            </w:r>
            <w:r>
              <w:rPr>
                <w:rFonts w:hint="eastAsia" w:ascii="宋体" w:hAnsi="宋体" w:eastAsia="宋体" w:cs="宋体"/>
                <w:b/>
                <w:bCs/>
                <w:color w:val="auto"/>
                <w:sz w:val="21"/>
                <w:szCs w:val="21"/>
                <w:highlight w:val="none"/>
                <w:lang w:val="en-US" w:eastAsia="zh-CN"/>
              </w:rPr>
              <w:t>投标人的行驶证或购买发票</w:t>
            </w:r>
            <w:r>
              <w:rPr>
                <w:rFonts w:hint="eastAsia" w:cs="宋体"/>
                <w:b/>
                <w:bCs/>
                <w:color w:val="auto"/>
                <w:sz w:val="21"/>
                <w:szCs w:val="21"/>
                <w:highlight w:val="none"/>
                <w:lang w:val="en-US" w:eastAsia="zh-CN"/>
              </w:rPr>
              <w:t>。未提供不得分。</w:t>
            </w:r>
          </w:p>
        </w:tc>
      </w:tr>
      <w:tr w14:paraId="5D1DDC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restart"/>
            <w:vAlign w:val="center"/>
          </w:tcPr>
          <w:p w14:paraId="46DB6A7D">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技术部分</w:t>
            </w:r>
          </w:p>
          <w:p w14:paraId="0F92F0B3">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r>
              <w:rPr>
                <w:rFonts w:hint="eastAsia" w:cs="宋体"/>
                <w:color w:val="auto"/>
                <w:sz w:val="21"/>
                <w:szCs w:val="21"/>
                <w:highlight w:val="none"/>
                <w:lang w:val="en-US" w:eastAsia="zh-CN"/>
              </w:rPr>
              <w:t>45</w:t>
            </w:r>
            <w:r>
              <w:rPr>
                <w:rFonts w:hint="eastAsia" w:ascii="宋体" w:hAnsi="宋体" w:eastAsia="宋体" w:cs="宋体"/>
                <w:color w:val="auto"/>
                <w:sz w:val="21"/>
                <w:szCs w:val="21"/>
                <w:highlight w:val="none"/>
              </w:rPr>
              <w:t>分）</w:t>
            </w:r>
          </w:p>
        </w:tc>
        <w:tc>
          <w:tcPr>
            <w:tcW w:w="907" w:type="pct"/>
            <w:tcBorders>
              <w:top w:val="single" w:color="auto" w:sz="4" w:space="0"/>
            </w:tcBorders>
            <w:shd w:val="clear" w:color="auto" w:fill="auto"/>
            <w:vAlign w:val="center"/>
          </w:tcPr>
          <w:p w14:paraId="24439834">
            <w:pPr>
              <w:pStyle w:val="8"/>
              <w:keepNext w:val="0"/>
              <w:keepLines w:val="0"/>
              <w:widowControl/>
              <w:suppressLineNumbers w:val="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kern w:val="0"/>
                <w:sz w:val="21"/>
                <w:szCs w:val="21"/>
                <w:highlight w:val="none"/>
                <w:lang w:val="en-US" w:eastAsia="zh-CN" w:bidi="ar-SA"/>
              </w:rPr>
              <w:t>项目总体服务目标及优化提升方案</w:t>
            </w:r>
          </w:p>
        </w:tc>
        <w:tc>
          <w:tcPr>
            <w:tcW w:w="424" w:type="pct"/>
            <w:vAlign w:val="center"/>
          </w:tcPr>
          <w:p w14:paraId="084A03DC">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p>
        </w:tc>
        <w:tc>
          <w:tcPr>
            <w:tcW w:w="3080" w:type="pct"/>
            <w:vAlign w:val="center"/>
          </w:tcPr>
          <w:p w14:paraId="2BA3AFD7">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投标人根据本项目需求提供项目优化提升方案，方案应结合现场实际情况，提供详细的方案，内容包括但不限于：</w:t>
            </w:r>
          </w:p>
          <w:p w14:paraId="776A3D47">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①项目现状；②项目重点难点分析；③项目承接优势</w:t>
            </w:r>
            <w:r>
              <w:rPr>
                <w:rFonts w:hint="eastAsia" w:cs="宋体"/>
                <w:color w:val="auto"/>
                <w:sz w:val="21"/>
                <w:szCs w:val="21"/>
                <w:highlight w:val="none"/>
                <w:lang w:eastAsia="zh-CN"/>
              </w:rPr>
              <w:t>；</w:t>
            </w:r>
            <w:r>
              <w:rPr>
                <w:rFonts w:hint="eastAsia" w:cs="宋体"/>
                <w:color w:val="auto"/>
                <w:sz w:val="21"/>
                <w:szCs w:val="21"/>
                <w:highlight w:val="none"/>
                <w:lang w:val="en-US" w:eastAsia="zh-CN"/>
              </w:rPr>
              <w:t>④优化提升措施</w:t>
            </w:r>
            <w:r>
              <w:rPr>
                <w:rFonts w:hint="eastAsia" w:ascii="宋体" w:hAnsi="宋体" w:eastAsia="宋体" w:cs="宋体"/>
                <w:color w:val="auto"/>
                <w:sz w:val="21"/>
                <w:szCs w:val="21"/>
                <w:highlight w:val="none"/>
              </w:rPr>
              <w:t>。</w:t>
            </w:r>
          </w:p>
          <w:p w14:paraId="70FF0C26">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以上方案内容完整清晰明确且科学合理、可行性高具有针对性并满足采购需求的，每项计</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分，最高得</w:t>
            </w: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rPr>
              <w:t>分，每缺少一项内容扣</w:t>
            </w: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分；每有一项内容不完整或未能满足采购需求的或每有一处不具有针对性或逻辑性错误且不完整的扣</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分；扣完为止。</w:t>
            </w:r>
          </w:p>
        </w:tc>
      </w:tr>
      <w:tr w14:paraId="0C8C9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1A463ACA">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tcBorders>
              <w:top w:val="single" w:color="auto" w:sz="4" w:space="0"/>
            </w:tcBorders>
            <w:shd w:val="clear" w:color="auto" w:fill="auto"/>
            <w:vAlign w:val="center"/>
          </w:tcPr>
          <w:p w14:paraId="0C1C9D11">
            <w:pPr>
              <w:pStyle w:val="8"/>
              <w:keepNext w:val="0"/>
              <w:keepLines w:val="0"/>
              <w:widowControl/>
              <w:suppressLineNumbers w:val="0"/>
              <w:rPr>
                <w:rFonts w:hint="eastAsia" w:ascii="宋体" w:hAnsi="宋体" w:eastAsia="宋体" w:cs="宋体"/>
                <w:bCs/>
                <w:color w:val="auto"/>
                <w:kern w:val="0"/>
                <w:sz w:val="21"/>
                <w:szCs w:val="21"/>
                <w:highlight w:val="none"/>
                <w:lang w:val="en-US" w:eastAsia="zh-CN" w:bidi="ar-SA"/>
              </w:rPr>
            </w:pPr>
            <w:r>
              <w:rPr>
                <w:rFonts w:hint="eastAsia" w:ascii="宋体" w:hAnsi="宋体" w:eastAsia="宋体" w:cs="宋体"/>
                <w:bCs/>
                <w:color w:val="auto"/>
                <w:sz w:val="21"/>
                <w:szCs w:val="21"/>
                <w:highlight w:val="none"/>
                <w:lang w:val="en-US" w:eastAsia="zh-CN"/>
              </w:rPr>
              <w:t>人员配置方案</w:t>
            </w:r>
          </w:p>
        </w:tc>
        <w:tc>
          <w:tcPr>
            <w:tcW w:w="424" w:type="pct"/>
            <w:vAlign w:val="center"/>
          </w:tcPr>
          <w:p w14:paraId="75EBE333">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6分</w:t>
            </w:r>
          </w:p>
        </w:tc>
        <w:tc>
          <w:tcPr>
            <w:tcW w:w="3080" w:type="pct"/>
            <w:vAlign w:val="center"/>
          </w:tcPr>
          <w:p w14:paraId="36763550">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供应商根据本项目的采购内容和需求编制人员配置方案，包含 1、人数配置方案；2、岗位职责 3、人员稳定性保障措施等内容。内容详尽、细致、全面，满足采购人的需求，得 6 分；每缺一项内容减 2 分，每有一项内容存在缺陷（缺陷指内容阐述不清晰，存在偏差或过于简略）的减 </w:t>
            </w:r>
            <w:r>
              <w:rPr>
                <w:rFonts w:hint="eastAsia" w:cs="宋体"/>
                <w:color w:val="auto"/>
                <w:sz w:val="21"/>
                <w:szCs w:val="21"/>
                <w:highlight w:val="none"/>
                <w:lang w:val="en-US" w:eastAsia="zh-CN"/>
              </w:rPr>
              <w:t>1</w:t>
            </w:r>
            <w:r>
              <w:rPr>
                <w:rFonts w:hint="eastAsia" w:ascii="宋体" w:hAnsi="宋体" w:eastAsia="宋体" w:cs="宋体"/>
                <w:color w:val="auto"/>
                <w:sz w:val="21"/>
                <w:szCs w:val="21"/>
                <w:highlight w:val="none"/>
              </w:rPr>
              <w:t>分，减完为止。</w:t>
            </w:r>
          </w:p>
        </w:tc>
      </w:tr>
      <w:tr w14:paraId="09461E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5E3520F2">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tcBorders>
              <w:top w:val="single" w:color="auto" w:sz="4" w:space="0"/>
            </w:tcBorders>
            <w:shd w:val="clear" w:color="auto" w:fill="auto"/>
            <w:vAlign w:val="center"/>
          </w:tcPr>
          <w:p w14:paraId="4ACF910B">
            <w:pPr>
              <w:pStyle w:val="61"/>
              <w:pageBreakBefore w:val="0"/>
              <w:kinsoku/>
              <w:wordWrap w:val="0"/>
              <w:overflowPunct/>
              <w:bidi w:val="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绿化养护服务实施方案</w:t>
            </w:r>
          </w:p>
        </w:tc>
        <w:tc>
          <w:tcPr>
            <w:tcW w:w="424" w:type="pct"/>
            <w:vAlign w:val="center"/>
          </w:tcPr>
          <w:p w14:paraId="228C5902">
            <w:pPr>
              <w:pStyle w:val="51"/>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8</w:t>
            </w:r>
            <w:r>
              <w:rPr>
                <w:rFonts w:hint="eastAsia" w:ascii="宋体" w:hAnsi="宋体" w:eastAsia="宋体" w:cs="宋体"/>
                <w:color w:val="auto"/>
                <w:sz w:val="21"/>
                <w:szCs w:val="21"/>
                <w:highlight w:val="none"/>
                <w:lang w:val="en-US" w:eastAsia="zh-CN"/>
              </w:rPr>
              <w:t>分</w:t>
            </w:r>
          </w:p>
        </w:tc>
        <w:tc>
          <w:tcPr>
            <w:tcW w:w="3080" w:type="pct"/>
            <w:shd w:val="clear" w:color="auto" w:fill="auto"/>
            <w:vAlign w:val="center"/>
          </w:tcPr>
          <w:p w14:paraId="48C8B044">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投标人根据本项目需求提供详细的项目绿化养护实施方案，绿化养护方案结合当地环境及季节变化，考虑各类园林植物特性，养护计划周密，措施有效，且方案能结合实地现场，内容包括但不限于：</w:t>
            </w:r>
          </w:p>
          <w:p w14:paraId="551E7894">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①养护方案；②虫害防治方案；③苗木补植方案及节假日草花布展方案；④</w:t>
            </w:r>
            <w:r>
              <w:rPr>
                <w:rFonts w:hint="eastAsia" w:ascii="宋体" w:hAnsi="宋体" w:cs="宋体"/>
                <w:bCs/>
                <w:color w:val="auto"/>
                <w:sz w:val="21"/>
                <w:szCs w:val="21"/>
                <w:highlight w:val="none"/>
                <w:lang w:val="en-US" w:eastAsia="zh-CN"/>
              </w:rPr>
              <w:t>水资源保障及节水方案</w:t>
            </w:r>
            <w:r>
              <w:rPr>
                <w:rFonts w:hint="eastAsia" w:ascii="宋体" w:hAnsi="宋体" w:eastAsia="宋体" w:cs="宋体"/>
                <w:bCs/>
                <w:color w:val="auto"/>
                <w:sz w:val="21"/>
                <w:szCs w:val="21"/>
                <w:highlight w:val="none"/>
                <w:lang w:val="en-US" w:eastAsia="zh-CN"/>
              </w:rPr>
              <w:t>。</w:t>
            </w:r>
          </w:p>
          <w:p w14:paraId="4EAB9086">
            <w:pPr>
              <w:pStyle w:val="61"/>
              <w:keepNext w:val="0"/>
              <w:keepLines w:val="0"/>
              <w:pageBreakBefore w:val="0"/>
              <w:kinsoku/>
              <w:wordWrap w:val="0"/>
              <w:overflowPunct/>
              <w:topLinePunct w:val="0"/>
              <w:autoSpaceDE/>
              <w:autoSpaceDN/>
              <w:bidi w:val="0"/>
              <w:adjustRightInd/>
              <w:snapToGrid/>
              <w:spacing w:line="360" w:lineRule="auto"/>
              <w:textAlignment w:val="auto"/>
              <w:rPr>
                <w:rFonts w:hint="default"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以上方案内容完整清晰明确且科学合理、可行性高具有针对性并满足采购需求的，每项计</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分，最高得</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en-US" w:eastAsia="zh-CN"/>
              </w:rPr>
              <w:t>分，每缺少一项内容扣</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分；每有一项内容不完整或未能满足采购需求的或每有一处不具有针对性或逻辑性错误且不完整的扣</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分；扣完为止。</w:t>
            </w:r>
          </w:p>
        </w:tc>
      </w:tr>
      <w:tr w14:paraId="2DE6B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45EFE106">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shd w:val="clear" w:color="auto" w:fill="auto"/>
            <w:vAlign w:val="center"/>
          </w:tcPr>
          <w:p w14:paraId="5A9B3193">
            <w:pPr>
              <w:pStyle w:val="61"/>
              <w:pageBreakBefore w:val="0"/>
              <w:kinsoku/>
              <w:wordWrap w:val="0"/>
              <w:overflowPunct/>
              <w:bidi w:val="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环卫保洁服务实施方案</w:t>
            </w:r>
          </w:p>
        </w:tc>
        <w:tc>
          <w:tcPr>
            <w:tcW w:w="424" w:type="pct"/>
            <w:vAlign w:val="center"/>
          </w:tcPr>
          <w:p w14:paraId="307229C2">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bCs/>
                <w:color w:val="auto"/>
                <w:sz w:val="21"/>
                <w:szCs w:val="21"/>
                <w:highlight w:val="none"/>
                <w:lang w:val="en-US" w:eastAsia="zh-CN"/>
              </w:rPr>
              <w:t>8分</w:t>
            </w:r>
          </w:p>
        </w:tc>
        <w:tc>
          <w:tcPr>
            <w:tcW w:w="3080" w:type="pct"/>
            <w:shd w:val="clear" w:color="auto" w:fill="auto"/>
            <w:vAlign w:val="center"/>
          </w:tcPr>
          <w:p w14:paraId="015C2CB9">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投标人根据本项目需求提供详细的环卫服务措施方案等内容，内容包含但不限于：</w:t>
            </w:r>
          </w:p>
          <w:p w14:paraId="1808969F">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①清扫保洁方案；②垃圾清运</w:t>
            </w:r>
            <w:r>
              <w:rPr>
                <w:rFonts w:hint="eastAsia" w:ascii="宋体" w:hAnsi="宋体" w:cs="宋体"/>
                <w:bCs/>
                <w:color w:val="auto"/>
                <w:sz w:val="21"/>
                <w:szCs w:val="21"/>
                <w:highlight w:val="none"/>
                <w:lang w:val="en-US" w:eastAsia="zh-CN"/>
              </w:rPr>
              <w:t>及压缩转运方案</w:t>
            </w:r>
            <w:r>
              <w:rPr>
                <w:rFonts w:hint="eastAsia" w:ascii="宋体" w:hAnsi="宋体" w:eastAsia="宋体" w:cs="宋体"/>
                <w:bCs/>
                <w:color w:val="auto"/>
                <w:sz w:val="21"/>
                <w:szCs w:val="21"/>
                <w:highlight w:val="none"/>
                <w:lang w:val="en-US" w:eastAsia="zh-CN"/>
              </w:rPr>
              <w:t>；③洒水降尘方案；④冬季清雪除冰方案。</w:t>
            </w:r>
          </w:p>
          <w:p w14:paraId="6867E282">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以上方案内容完整清晰明确且科学合理、可行性高具有针对性并满足采购需求的，每项计2分，最高得8分。每缺少一项内容扣2分；每有一项内容不完整或未能满足采购需求的或每有一处不具有针对性或逻辑性错误且不完整的扣</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分；扣完为止。</w:t>
            </w:r>
          </w:p>
        </w:tc>
      </w:tr>
      <w:tr w14:paraId="7E622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3EA29893">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shd w:val="clear" w:color="auto" w:fill="auto"/>
            <w:vAlign w:val="center"/>
          </w:tcPr>
          <w:p w14:paraId="4194F765">
            <w:pPr>
              <w:pStyle w:val="61"/>
              <w:pageBreakBefore w:val="0"/>
              <w:kinsoku/>
              <w:wordWrap w:val="0"/>
              <w:overflowPunct/>
              <w:bidi w:val="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市政设施养护服务实施方案</w:t>
            </w:r>
          </w:p>
        </w:tc>
        <w:tc>
          <w:tcPr>
            <w:tcW w:w="424" w:type="pct"/>
            <w:vAlign w:val="center"/>
          </w:tcPr>
          <w:p w14:paraId="42E90814">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w:t>
            </w:r>
          </w:p>
        </w:tc>
        <w:tc>
          <w:tcPr>
            <w:tcW w:w="3080" w:type="pct"/>
            <w:shd w:val="clear" w:color="auto" w:fill="auto"/>
            <w:vAlign w:val="center"/>
          </w:tcPr>
          <w:p w14:paraId="22EB5E16">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投标人根据本项目需求提供详细的市政设施维护服务措施方案等内容，内容包含但不限于：</w:t>
            </w:r>
          </w:p>
          <w:p w14:paraId="05E03256">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①道路管理维护方案；②道路附属设施的维护方案；</w:t>
            </w:r>
            <w:r>
              <w:rPr>
                <w:rFonts w:hint="eastAsia" w:ascii="宋体" w:hAnsi="宋体" w:eastAsia="宋体" w:cs="宋体"/>
                <w:bCs/>
                <w:color w:val="auto"/>
                <w:sz w:val="21"/>
                <w:szCs w:val="21"/>
                <w:highlight w:val="none"/>
                <w:lang w:val="en-US" w:eastAsia="zh-CN" w:bidi="ar-SA"/>
              </w:rPr>
              <w:t>③照明设施的管理与维护方案； ④日常节假日彩灯，宣传标语的悬挂安装与维护方案</w:t>
            </w:r>
            <w:r>
              <w:rPr>
                <w:rFonts w:hint="eastAsia" w:ascii="宋体" w:hAnsi="宋体" w:cs="宋体"/>
                <w:bCs/>
                <w:color w:val="auto"/>
                <w:sz w:val="21"/>
                <w:szCs w:val="21"/>
                <w:highlight w:val="none"/>
                <w:lang w:val="en-US" w:eastAsia="zh-CN" w:bidi="ar-SA"/>
              </w:rPr>
              <w:t>。</w:t>
            </w:r>
          </w:p>
          <w:p w14:paraId="43610C6A">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以上方案内容完整清晰明确且科学合理、可行性高具有针对性并满足采购需求的，每项计</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分，最高得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分。每缺少一项内容扣</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分；每有一项内容不完整或未能满足采购需求的或每有一处不具有针对性或逻辑性错误且不完整的扣</w:t>
            </w:r>
            <w:r>
              <w:rPr>
                <w:rFonts w:hint="eastAsia" w:ascii="宋体" w:hAnsi="宋体" w:cs="宋体"/>
                <w:bCs/>
                <w:color w:val="auto"/>
                <w:sz w:val="21"/>
                <w:szCs w:val="21"/>
                <w:highlight w:val="none"/>
                <w:lang w:val="en-US" w:eastAsia="zh-CN"/>
              </w:rPr>
              <w:t>0.5</w:t>
            </w:r>
            <w:r>
              <w:rPr>
                <w:rFonts w:hint="eastAsia" w:ascii="宋体" w:hAnsi="宋体" w:eastAsia="宋体" w:cs="宋体"/>
                <w:bCs/>
                <w:color w:val="auto"/>
                <w:sz w:val="21"/>
                <w:szCs w:val="21"/>
                <w:highlight w:val="none"/>
                <w:lang w:val="en-US" w:eastAsia="zh-CN"/>
              </w:rPr>
              <w:t>分；扣完为止。</w:t>
            </w:r>
          </w:p>
        </w:tc>
      </w:tr>
      <w:tr w14:paraId="4CDA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745B7BAF">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shd w:val="clear" w:color="auto" w:fill="auto"/>
            <w:vAlign w:val="center"/>
          </w:tcPr>
          <w:p w14:paraId="20BBC0A3">
            <w:pPr>
              <w:pStyle w:val="61"/>
              <w:pageBreakBefore w:val="0"/>
              <w:kinsoku/>
              <w:wordWrap w:val="0"/>
              <w:overflowPunct/>
              <w:bidi w:val="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安全生产作业措施方案</w:t>
            </w:r>
          </w:p>
        </w:tc>
        <w:tc>
          <w:tcPr>
            <w:tcW w:w="424" w:type="pct"/>
            <w:vAlign w:val="center"/>
          </w:tcPr>
          <w:p w14:paraId="5A03AA0A">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w:t>
            </w:r>
          </w:p>
        </w:tc>
        <w:tc>
          <w:tcPr>
            <w:tcW w:w="3080" w:type="pct"/>
            <w:shd w:val="clear" w:color="auto" w:fill="auto"/>
            <w:vAlign w:val="center"/>
          </w:tcPr>
          <w:p w14:paraId="21E0F83B">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投标人根据本项目需求提供详细的安全生产作业措施方案，内容包括但不限于：</w:t>
            </w:r>
          </w:p>
          <w:p w14:paraId="0B68D661">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①安全防护措施；②设备使用安全操作规程。</w:t>
            </w:r>
          </w:p>
          <w:p w14:paraId="7E5C6928">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以上方案内容完整清晰明确、科学合理、提高作业能力且满足采购需求的，每项计</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分，最高得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分。每缺少一项内容扣2分，每有一处不具有合理性、不详细或不能满足采购需求的扣</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分；扣完为止。</w:t>
            </w:r>
          </w:p>
        </w:tc>
      </w:tr>
      <w:tr w14:paraId="10E2E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4884E90F">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shd w:val="clear" w:color="auto" w:fill="auto"/>
            <w:vAlign w:val="center"/>
          </w:tcPr>
          <w:p w14:paraId="1E7BC17A">
            <w:pPr>
              <w:pStyle w:val="61"/>
              <w:pageBreakBefore w:val="0"/>
              <w:kinsoku/>
              <w:wordWrap w:val="0"/>
              <w:overflowPunct/>
              <w:bidi w:val="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应急预案</w:t>
            </w:r>
          </w:p>
        </w:tc>
        <w:tc>
          <w:tcPr>
            <w:tcW w:w="424" w:type="pct"/>
            <w:vAlign w:val="center"/>
          </w:tcPr>
          <w:p w14:paraId="36F2ABBE">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4</w:t>
            </w:r>
            <w:r>
              <w:rPr>
                <w:rFonts w:hint="eastAsia" w:ascii="宋体" w:hAnsi="宋体" w:eastAsia="宋体" w:cs="宋体"/>
                <w:color w:val="auto"/>
                <w:sz w:val="21"/>
                <w:szCs w:val="21"/>
                <w:highlight w:val="none"/>
                <w:lang w:val="en-US" w:eastAsia="zh-CN"/>
              </w:rPr>
              <w:t>分</w:t>
            </w:r>
          </w:p>
        </w:tc>
        <w:tc>
          <w:tcPr>
            <w:tcW w:w="3080" w:type="pct"/>
            <w:shd w:val="clear" w:color="auto" w:fill="auto"/>
            <w:vAlign w:val="center"/>
          </w:tcPr>
          <w:p w14:paraId="0848FC48">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投标人根据本项目需求提供详细的应急预案等内容，内容包含但不限于：</w:t>
            </w:r>
          </w:p>
          <w:p w14:paraId="2E057034">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①重大节点、迎检应急预案；②防火、</w:t>
            </w:r>
            <w:r>
              <w:rPr>
                <w:rFonts w:hint="eastAsia" w:ascii="宋体" w:hAnsi="宋体" w:cs="宋体"/>
                <w:bCs/>
                <w:color w:val="auto"/>
                <w:sz w:val="21"/>
                <w:szCs w:val="21"/>
                <w:highlight w:val="none"/>
                <w:lang w:val="en-US" w:eastAsia="zh-CN"/>
              </w:rPr>
              <w:t>防大风、扬尘沙等极端天气</w:t>
            </w:r>
            <w:r>
              <w:rPr>
                <w:rFonts w:hint="eastAsia" w:ascii="宋体" w:hAnsi="宋体" w:eastAsia="宋体" w:cs="宋体"/>
                <w:bCs/>
                <w:color w:val="auto"/>
                <w:sz w:val="21"/>
                <w:szCs w:val="21"/>
                <w:highlight w:val="none"/>
                <w:lang w:val="en-US" w:eastAsia="zh-CN"/>
              </w:rPr>
              <w:t>突发应急方案</w:t>
            </w:r>
            <w:r>
              <w:rPr>
                <w:rFonts w:hint="eastAsia" w:ascii="宋体" w:hAnsi="宋体" w:cs="宋体"/>
                <w:bCs/>
                <w:color w:val="auto"/>
                <w:sz w:val="21"/>
                <w:szCs w:val="21"/>
                <w:highlight w:val="none"/>
                <w:lang w:val="en-US" w:eastAsia="zh-CN"/>
              </w:rPr>
              <w:t>。</w:t>
            </w:r>
          </w:p>
          <w:p w14:paraId="1B8D31F1">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以上方案内容完整清晰明确、科学合理的，每项计</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分，最高得</w:t>
            </w:r>
            <w:r>
              <w:rPr>
                <w:rFonts w:hint="eastAsia" w:ascii="宋体" w:hAnsi="宋体" w:cs="宋体"/>
                <w:bCs/>
                <w:color w:val="auto"/>
                <w:sz w:val="21"/>
                <w:szCs w:val="21"/>
                <w:highlight w:val="none"/>
                <w:lang w:val="en-US" w:eastAsia="zh-CN"/>
              </w:rPr>
              <w:t>4</w:t>
            </w:r>
            <w:r>
              <w:rPr>
                <w:rFonts w:hint="eastAsia" w:ascii="宋体" w:hAnsi="宋体" w:eastAsia="宋体" w:cs="宋体"/>
                <w:bCs/>
                <w:color w:val="auto"/>
                <w:sz w:val="21"/>
                <w:szCs w:val="21"/>
                <w:highlight w:val="none"/>
                <w:lang w:val="en-US" w:eastAsia="zh-CN"/>
              </w:rPr>
              <w:t>分。每缺少一项内容扣</w:t>
            </w:r>
            <w:r>
              <w:rPr>
                <w:rFonts w:hint="eastAsia" w:ascii="宋体" w:hAnsi="宋体" w:cs="宋体"/>
                <w:bCs/>
                <w:color w:val="auto"/>
                <w:sz w:val="21"/>
                <w:szCs w:val="21"/>
                <w:highlight w:val="none"/>
                <w:lang w:val="en-US" w:eastAsia="zh-CN"/>
              </w:rPr>
              <w:t>2</w:t>
            </w:r>
            <w:r>
              <w:rPr>
                <w:rFonts w:hint="eastAsia" w:ascii="宋体" w:hAnsi="宋体" w:eastAsia="宋体" w:cs="宋体"/>
                <w:bCs/>
                <w:color w:val="auto"/>
                <w:sz w:val="21"/>
                <w:szCs w:val="21"/>
                <w:highlight w:val="none"/>
                <w:lang w:val="en-US" w:eastAsia="zh-CN"/>
              </w:rPr>
              <w:t>分，每有一项内容不完整或每有一处不具有针对性或逻辑性错误的扣</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分，扣完为止。</w:t>
            </w:r>
          </w:p>
        </w:tc>
      </w:tr>
      <w:tr w14:paraId="26F01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88" w:type="pct"/>
            <w:vMerge w:val="continue"/>
            <w:vAlign w:val="center"/>
          </w:tcPr>
          <w:p w14:paraId="46855A74">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p>
        </w:tc>
        <w:tc>
          <w:tcPr>
            <w:tcW w:w="907" w:type="pct"/>
            <w:shd w:val="clear" w:color="auto" w:fill="auto"/>
            <w:vAlign w:val="center"/>
          </w:tcPr>
          <w:p w14:paraId="6307715D">
            <w:pPr>
              <w:pStyle w:val="61"/>
              <w:pageBreakBefore w:val="0"/>
              <w:kinsoku/>
              <w:wordWrap w:val="0"/>
              <w:overflowPunct/>
              <w:bidi w:val="0"/>
              <w:jc w:val="center"/>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服务承诺</w:t>
            </w:r>
          </w:p>
        </w:tc>
        <w:tc>
          <w:tcPr>
            <w:tcW w:w="424" w:type="pct"/>
            <w:vAlign w:val="center"/>
          </w:tcPr>
          <w:p w14:paraId="624ADD44">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3</w:t>
            </w:r>
            <w:r>
              <w:rPr>
                <w:rFonts w:hint="eastAsia" w:ascii="宋体" w:hAnsi="宋体" w:eastAsia="宋体" w:cs="宋体"/>
                <w:color w:val="auto"/>
                <w:sz w:val="21"/>
                <w:szCs w:val="21"/>
                <w:highlight w:val="none"/>
                <w:lang w:val="en-US" w:eastAsia="zh-CN"/>
              </w:rPr>
              <w:t>分</w:t>
            </w:r>
          </w:p>
        </w:tc>
        <w:tc>
          <w:tcPr>
            <w:tcW w:w="3080" w:type="pct"/>
            <w:shd w:val="clear" w:color="auto" w:fill="auto"/>
            <w:vAlign w:val="center"/>
          </w:tcPr>
          <w:p w14:paraId="1EE0EA03">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投标人根据本项目服务要求提供相应的承诺，内容包含但不限于：</w:t>
            </w:r>
          </w:p>
          <w:p w14:paraId="758FB2A4">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①服务达标承诺</w:t>
            </w:r>
            <w:r>
              <w:rPr>
                <w:rFonts w:hint="eastAsia" w:ascii="宋体" w:hAnsi="宋体" w:cs="宋体"/>
                <w:bCs/>
                <w:color w:val="auto"/>
                <w:sz w:val="21"/>
                <w:szCs w:val="21"/>
                <w:highlight w:val="none"/>
                <w:lang w:val="en-US" w:eastAsia="zh-CN"/>
              </w:rPr>
              <w:t>；②承诺项目中标后在本地设立独立办公场所（面积≥500平方米；合同签订后30日历天提供证明资料）；③在签订合同10日内向采购人递交全部服务人员名单及相关证书信息，人员数量不低于项目采购需求标准，项目人员到岗率100%</w:t>
            </w:r>
            <w:r>
              <w:rPr>
                <w:rFonts w:hint="eastAsia" w:ascii="宋体" w:hAnsi="宋体" w:eastAsia="宋体" w:cs="宋体"/>
                <w:bCs/>
                <w:color w:val="auto"/>
                <w:sz w:val="21"/>
                <w:szCs w:val="21"/>
                <w:highlight w:val="none"/>
                <w:lang w:val="en-US" w:eastAsia="zh-CN"/>
              </w:rPr>
              <w:t>。</w:t>
            </w:r>
          </w:p>
          <w:p w14:paraId="15C451EB">
            <w:pPr>
              <w:pStyle w:val="61"/>
              <w:keepNext w:val="0"/>
              <w:keepLines w:val="0"/>
              <w:pageBreakBefore w:val="0"/>
              <w:kinsoku/>
              <w:wordWrap w:val="0"/>
              <w:overflowPunct/>
              <w:topLinePunct w:val="0"/>
              <w:autoSpaceDE/>
              <w:autoSpaceDN/>
              <w:bidi w:val="0"/>
              <w:adjustRightInd/>
              <w:snapToGrid/>
              <w:spacing w:line="360" w:lineRule="auto"/>
              <w:textAlignment w:val="auto"/>
              <w:rPr>
                <w:rFonts w:hint="eastAsia" w:ascii="宋体" w:hAnsi="宋体" w:eastAsia="宋体" w:cs="宋体"/>
                <w:bCs/>
                <w:color w:val="auto"/>
                <w:sz w:val="21"/>
                <w:szCs w:val="21"/>
                <w:highlight w:val="none"/>
                <w:lang w:val="en-US" w:eastAsia="zh-CN" w:bidi="ar-SA"/>
              </w:rPr>
            </w:pPr>
            <w:r>
              <w:rPr>
                <w:rFonts w:hint="eastAsia" w:ascii="宋体" w:hAnsi="宋体" w:eastAsia="宋体" w:cs="宋体"/>
                <w:bCs/>
                <w:color w:val="auto"/>
                <w:sz w:val="21"/>
                <w:szCs w:val="21"/>
                <w:highlight w:val="none"/>
                <w:lang w:val="en-US" w:eastAsia="zh-CN"/>
              </w:rPr>
              <w:t>以上内容详细具体完善、条理清晰、承诺指标高的，每项得1分，最高得</w:t>
            </w:r>
            <w:r>
              <w:rPr>
                <w:rFonts w:hint="eastAsia" w:ascii="宋体" w:hAnsi="宋体" w:cs="宋体"/>
                <w:bCs/>
                <w:color w:val="auto"/>
                <w:sz w:val="21"/>
                <w:szCs w:val="21"/>
                <w:highlight w:val="none"/>
                <w:lang w:val="en-US" w:eastAsia="zh-CN"/>
              </w:rPr>
              <w:t>3</w:t>
            </w:r>
            <w:r>
              <w:rPr>
                <w:rFonts w:hint="eastAsia" w:ascii="宋体" w:hAnsi="宋体" w:eastAsia="宋体" w:cs="宋体"/>
                <w:bCs/>
                <w:color w:val="auto"/>
                <w:sz w:val="21"/>
                <w:szCs w:val="21"/>
                <w:highlight w:val="none"/>
                <w:lang w:val="en-US" w:eastAsia="zh-CN"/>
              </w:rPr>
              <w:t>分。每缺少一项内容扣</w:t>
            </w:r>
            <w:r>
              <w:rPr>
                <w:rFonts w:hint="eastAsia" w:ascii="宋体" w:hAnsi="宋体" w:cs="宋体"/>
                <w:bCs/>
                <w:color w:val="auto"/>
                <w:sz w:val="21"/>
                <w:szCs w:val="21"/>
                <w:highlight w:val="none"/>
                <w:lang w:val="en-US" w:eastAsia="zh-CN"/>
              </w:rPr>
              <w:t>1</w:t>
            </w:r>
            <w:r>
              <w:rPr>
                <w:rFonts w:hint="eastAsia" w:ascii="宋体" w:hAnsi="宋体" w:eastAsia="宋体" w:cs="宋体"/>
                <w:bCs/>
                <w:color w:val="auto"/>
                <w:sz w:val="21"/>
                <w:szCs w:val="21"/>
                <w:highlight w:val="none"/>
                <w:lang w:val="en-US" w:eastAsia="zh-CN"/>
              </w:rPr>
              <w:t>分</w:t>
            </w: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扣完为止。</w:t>
            </w:r>
          </w:p>
        </w:tc>
      </w:tr>
      <w:tr w14:paraId="2E715F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495" w:type="pct"/>
            <w:gridSpan w:val="2"/>
            <w:vAlign w:val="center"/>
          </w:tcPr>
          <w:p w14:paraId="0E7BE638">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424" w:type="pct"/>
            <w:tcBorders>
              <w:bottom w:val="single" w:color="auto" w:sz="4" w:space="0"/>
            </w:tcBorders>
            <w:vAlign w:val="center"/>
          </w:tcPr>
          <w:p w14:paraId="3EF65D4B">
            <w:pPr>
              <w:pStyle w:val="51"/>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fldChar w:fldCharType="begin"/>
            </w:r>
            <w:r>
              <w:rPr>
                <w:rFonts w:hint="eastAsia" w:ascii="宋体" w:hAnsi="宋体" w:eastAsia="宋体" w:cs="宋体"/>
                <w:color w:val="auto"/>
                <w:sz w:val="21"/>
                <w:szCs w:val="21"/>
                <w:highlight w:val="none"/>
              </w:rPr>
              <w:instrText xml:space="preserve"> =SUM(ABOVE) </w:instrText>
            </w:r>
            <w:r>
              <w:rPr>
                <w:rFonts w:hint="eastAsia" w:ascii="宋体" w:hAnsi="宋体" w:eastAsia="宋体" w:cs="宋体"/>
                <w:color w:val="auto"/>
                <w:sz w:val="21"/>
                <w:szCs w:val="21"/>
                <w:highlight w:val="none"/>
              </w:rPr>
              <w:fldChar w:fldCharType="separate"/>
            </w:r>
            <w:r>
              <w:rPr>
                <w:rFonts w:hint="eastAsia" w:ascii="宋体" w:hAnsi="宋体" w:eastAsia="宋体" w:cs="宋体"/>
                <w:color w:val="auto"/>
                <w:sz w:val="21"/>
                <w:szCs w:val="21"/>
                <w:highlight w:val="none"/>
              </w:rPr>
              <w:t>100</w:t>
            </w:r>
            <w:r>
              <w:rPr>
                <w:rFonts w:hint="eastAsia" w:ascii="宋体" w:hAnsi="宋体" w:eastAsia="宋体" w:cs="宋体"/>
                <w:color w:val="auto"/>
                <w:sz w:val="21"/>
                <w:szCs w:val="21"/>
                <w:highlight w:val="none"/>
              </w:rPr>
              <w:fldChar w:fldCharType="end"/>
            </w:r>
            <w:r>
              <w:rPr>
                <w:rFonts w:hint="eastAsia" w:ascii="宋体" w:hAnsi="宋体" w:eastAsia="宋体" w:cs="宋体"/>
                <w:color w:val="auto"/>
                <w:sz w:val="21"/>
                <w:szCs w:val="21"/>
                <w:highlight w:val="none"/>
                <w:lang w:val="en-US" w:eastAsia="zh-CN"/>
              </w:rPr>
              <w:t>分</w:t>
            </w:r>
          </w:p>
        </w:tc>
        <w:tc>
          <w:tcPr>
            <w:tcW w:w="3080" w:type="pct"/>
            <w:tcBorders>
              <w:bottom w:val="single" w:color="auto" w:sz="4" w:space="0"/>
            </w:tcBorders>
            <w:vAlign w:val="center"/>
          </w:tcPr>
          <w:p w14:paraId="53E116D5">
            <w:pPr>
              <w:pStyle w:val="51"/>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color w:val="auto"/>
                <w:sz w:val="21"/>
                <w:szCs w:val="21"/>
                <w:highlight w:val="none"/>
              </w:rPr>
            </w:pPr>
          </w:p>
        </w:tc>
      </w:tr>
    </w:tbl>
    <w:p w14:paraId="2B54DB51">
      <w:pPr>
        <w:pStyle w:val="39"/>
        <w:rPr>
          <w:rFonts w:hint="eastAsia"/>
          <w:color w:val="auto"/>
          <w:highlight w:val="none"/>
        </w:rPr>
      </w:pPr>
    </w:p>
    <w:p w14:paraId="2A84EE30">
      <w:pPr>
        <w:rPr>
          <w:color w:val="auto"/>
          <w:highlight w:val="none"/>
          <w:lang w:val="zh-CN"/>
        </w:rPr>
      </w:pPr>
      <w:r>
        <w:rPr>
          <w:color w:val="auto"/>
          <w:highlight w:val="none"/>
          <w:lang w:val="zh-CN"/>
        </w:rPr>
        <w:br w:type="page"/>
      </w:r>
    </w:p>
    <w:p w14:paraId="3E960FE0">
      <w:pPr>
        <w:rPr>
          <w:rFonts w:hint="eastAsia"/>
          <w:b/>
          <w:bCs/>
          <w:color w:val="auto"/>
          <w:sz w:val="28"/>
          <w:szCs w:val="36"/>
          <w:highlight w:val="none"/>
          <w:lang w:val="en-US" w:eastAsia="zh-CN"/>
        </w:rPr>
      </w:pPr>
      <w:r>
        <w:rPr>
          <w:rFonts w:hint="eastAsia"/>
          <w:b/>
          <w:bCs/>
          <w:color w:val="auto"/>
          <w:sz w:val="28"/>
          <w:szCs w:val="36"/>
          <w:highlight w:val="none"/>
          <w:lang w:val="en-US" w:eastAsia="zh-CN"/>
        </w:rPr>
        <w:t>附件：</w:t>
      </w:r>
    </w:p>
    <w:p w14:paraId="48F188EA">
      <w:pPr>
        <w:rPr>
          <w:rFonts w:hint="eastAsia"/>
          <w:color w:val="auto"/>
          <w:highlight w:val="none"/>
          <w:lang w:val="en-US" w:eastAsia="zh-CN"/>
        </w:rPr>
      </w:pPr>
    </w:p>
    <w:p w14:paraId="6825490C">
      <w:pPr>
        <w:jc w:val="center"/>
        <w:rPr>
          <w:rFonts w:hint="eastAsia"/>
          <w:b/>
          <w:bCs/>
          <w:color w:val="auto"/>
          <w:sz w:val="28"/>
          <w:szCs w:val="36"/>
          <w:highlight w:val="none"/>
          <w:lang w:val="en-US" w:eastAsia="zh-CN"/>
        </w:rPr>
      </w:pPr>
      <w:r>
        <w:rPr>
          <w:rFonts w:hint="eastAsia"/>
          <w:b/>
          <w:bCs/>
          <w:color w:val="auto"/>
          <w:sz w:val="28"/>
          <w:szCs w:val="36"/>
          <w:highlight w:val="none"/>
          <w:lang w:val="en-US" w:eastAsia="zh-CN"/>
        </w:rPr>
        <w:t>《政府采购项目异常底价评审程序》</w:t>
      </w:r>
    </w:p>
    <w:p w14:paraId="42B92DA4">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ascii="Calibri" w:hAnsi="Calibri" w:cs="Calibri"/>
          <w:b w:val="0"/>
          <w:bCs w:val="0"/>
          <w:i w:val="0"/>
          <w:iCs w:val="0"/>
          <w:caps w:val="0"/>
          <w:color w:val="auto"/>
          <w:spacing w:val="0"/>
          <w:sz w:val="21"/>
          <w:szCs w:val="21"/>
          <w:highlight w:val="none"/>
        </w:rPr>
      </w:pPr>
      <w:r>
        <w:rPr>
          <w:rFonts w:hint="eastAsia" w:ascii="宋体" w:hAnsi="宋体" w:eastAsia="宋体" w:cs="宋体"/>
          <w:b w:val="0"/>
          <w:bCs w:val="0"/>
          <w:i w:val="0"/>
          <w:iCs w:val="0"/>
          <w:caps w:val="0"/>
          <w:color w:val="auto"/>
          <w:spacing w:val="0"/>
          <w:kern w:val="0"/>
          <w:sz w:val="24"/>
          <w:szCs w:val="24"/>
          <w:highlight w:val="none"/>
          <w:shd w:val="clear" w:fill="FFFFFF"/>
          <w:vertAlign w:val="baseline"/>
          <w:lang w:val="en-US" w:eastAsia="zh-CN" w:bidi="ar"/>
        </w:rPr>
        <w:t>（一）政府采购评审中出现下列情形之一的，评审委员会应当启动异常低价投标（响应）审查程序：</w:t>
      </w:r>
    </w:p>
    <w:p w14:paraId="09004F2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1.投标（响应）报价低于全部通过符合性审查供应商投标（响应）报价平均值65%的，即投标（响应）报价&lt;全部通过符合性审查供应商投标（响应）报价平均值×65%；</w:t>
      </w:r>
    </w:p>
    <w:p w14:paraId="16E1ADD7">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2.投标（响应）报价低于通过符合性审查的次低报价供应商投标（响应）报价65%的，即投标（响应）报价&lt;通过符合性审查的次低报价供应商投标（响应）报价×65%；</w:t>
      </w:r>
    </w:p>
    <w:p w14:paraId="4DA4199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3.投标（响应）报价低于采购项目最高限价65%的，即投标（响应）报价&lt;采购项目最高限价×65%；</w:t>
      </w:r>
    </w:p>
    <w:p w14:paraId="0F55E8B6">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4.评审委员会基于专业判断，认为供应商报价过低，有可能影响产品质量或者不能诚信履约的其他情形。</w:t>
      </w:r>
    </w:p>
    <w:p w14:paraId="06335C6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相关法律法规对供应商报价有规定的，从其规定。</w:t>
      </w:r>
    </w:p>
    <w:p w14:paraId="5215E5F9">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二）评审委员会启动异常低价投标（响应）审查后，属于前述第1项至第4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不少于30分钟）。其中，属于第3项情形，供应商已随投标（响应）文件一并提交相关书面说明及必要的证明材料的，在评审现场可不再重复提交。</w:t>
      </w:r>
    </w:p>
    <w:p w14:paraId="29D855DF">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9A540C0">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采购人、采购代理机构应当为评审委员会在评审现场及时获取同类项目中标（成交）价格、类似产品市场价格水平、行业人工费用标准、国家有关部门指导行业协会发布的行业平均成本等相关信息资料提供便利。评审委员会借助互联网等渠道查询相关信息的，应当严格遵守评审工作纪律，不得实施影响评审公正的行为。</w:t>
      </w:r>
    </w:p>
    <w:p w14:paraId="19EEF6ED">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line="480" w:lineRule="atLeast"/>
        <w:ind w:left="0" w:right="0" w:firstLine="640"/>
        <w:jc w:val="both"/>
        <w:textAlignment w:val="baseline"/>
        <w:rPr>
          <w:rFonts w:hint="default" w:ascii="Calibri" w:hAnsi="Calibri" w:cs="Calibri"/>
          <w:i w:val="0"/>
          <w:iCs w:val="0"/>
          <w:caps w:val="0"/>
          <w:color w:val="auto"/>
          <w:spacing w:val="0"/>
          <w:sz w:val="21"/>
          <w:szCs w:val="21"/>
          <w:highlight w:val="none"/>
        </w:rPr>
      </w:pPr>
      <w:r>
        <w:rPr>
          <w:rFonts w:hint="eastAsia" w:ascii="宋体" w:hAnsi="宋体" w:eastAsia="宋体" w:cs="宋体"/>
          <w:i w:val="0"/>
          <w:iCs w:val="0"/>
          <w:caps w:val="0"/>
          <w:color w:val="auto"/>
          <w:spacing w:val="0"/>
          <w:kern w:val="0"/>
          <w:sz w:val="24"/>
          <w:szCs w:val="24"/>
          <w:highlight w:val="none"/>
          <w:shd w:val="clear" w:fill="FFFFFF"/>
          <w:vertAlign w:val="baseline"/>
          <w:lang w:val="en-US" w:eastAsia="zh-CN" w:bidi="ar"/>
        </w:rPr>
        <w:t>异常低价投标（响应）审查的启动原因、审查意见和审查结果应当在评审报告中记录，并随供应商提供的相关书面说明及证明材料，以及评审委员会有关互联网浏览、查询历史一并归档。</w:t>
      </w:r>
    </w:p>
    <w:p w14:paraId="59D10B72">
      <w:pPr>
        <w:bidi w:val="0"/>
        <w:jc w:val="left"/>
        <w:rPr>
          <w:rFonts w:hint="default"/>
          <w:color w:val="auto"/>
          <w:highlight w:val="none"/>
          <w:lang w:val="en-US" w:eastAsia="zh-CN"/>
        </w:rPr>
      </w:pPr>
    </w:p>
    <w:p w14:paraId="295F7328">
      <w:pPr>
        <w:rPr>
          <w:color w:val="auto"/>
          <w:highlight w:val="none"/>
          <w:lang w:val="zh-CN"/>
        </w:rPr>
        <w:sectPr>
          <w:pgSz w:w="11906" w:h="16838"/>
          <w:pgMar w:top="1440" w:right="1800" w:bottom="1440" w:left="1800" w:header="851" w:footer="765" w:gutter="0"/>
          <w:pgBorders>
            <w:top w:val="none" w:sz="0" w:space="0"/>
            <w:left w:val="none" w:sz="0" w:space="0"/>
            <w:bottom w:val="none" w:sz="0" w:space="0"/>
            <w:right w:val="none" w:sz="0" w:space="0"/>
          </w:pgBorders>
          <w:pgNumType w:fmt="numberInDash"/>
          <w:cols w:space="0" w:num="1"/>
          <w:rtlGutter w:val="0"/>
          <w:docGrid w:type="lines" w:linePitch="312" w:charSpace="0"/>
        </w:sectPr>
      </w:pPr>
    </w:p>
    <w:p w14:paraId="54C87150">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zh-CN" w:eastAsia="zh-CN" w:bidi="ar-SA"/>
        </w:rPr>
      </w:pPr>
      <w:bookmarkStart w:id="630" w:name="_Toc155185918"/>
      <w:bookmarkStart w:id="631" w:name="_Toc25104"/>
      <w:r>
        <w:rPr>
          <w:rFonts w:hint="eastAsia" w:ascii="宋体" w:hAnsi="宋体" w:eastAsia="宋体" w:cs="宋体"/>
          <w:b/>
          <w:bCs/>
          <w:color w:val="auto"/>
          <w:kern w:val="44"/>
          <w:sz w:val="36"/>
          <w:szCs w:val="36"/>
          <w:highlight w:val="none"/>
          <w:lang w:val="zh-CN" w:eastAsia="zh-CN" w:bidi="ar-SA"/>
        </w:rPr>
        <w:t>第六章 合同</w:t>
      </w:r>
      <w:bookmarkEnd w:id="630"/>
      <w:r>
        <w:rPr>
          <w:rFonts w:hint="eastAsia" w:ascii="宋体" w:hAnsi="宋体" w:eastAsia="宋体" w:cs="宋体"/>
          <w:b/>
          <w:bCs/>
          <w:color w:val="auto"/>
          <w:kern w:val="44"/>
          <w:sz w:val="36"/>
          <w:szCs w:val="36"/>
          <w:highlight w:val="none"/>
          <w:lang w:val="zh-CN" w:eastAsia="zh-CN" w:bidi="ar-SA"/>
        </w:rPr>
        <w:t>草案</w:t>
      </w:r>
      <w:bookmarkEnd w:id="631"/>
    </w:p>
    <w:p w14:paraId="0F73DEB3">
      <w:pPr>
        <w:wordWrap w:val="0"/>
        <w:jc w:val="center"/>
        <w:rPr>
          <w:bCs/>
          <w:color w:val="auto"/>
          <w:sz w:val="36"/>
          <w:szCs w:val="36"/>
          <w:highlight w:val="none"/>
        </w:rPr>
      </w:pPr>
      <w:r>
        <w:rPr>
          <w:rFonts w:hint="eastAsia"/>
          <w:color w:val="auto"/>
          <w:highlight w:val="none"/>
        </w:rPr>
        <w:t>（</w:t>
      </w:r>
      <w:r>
        <w:rPr>
          <w:rFonts w:hint="eastAsia"/>
          <w:color w:val="auto"/>
          <w:szCs w:val="24"/>
          <w:highlight w:val="none"/>
        </w:rPr>
        <w:t>此合同书仅作为签订正式合同时的参考，正式合同书应包括本参考格式的内容）</w:t>
      </w:r>
    </w:p>
    <w:p w14:paraId="51E629DD">
      <w:pPr>
        <w:wordWrap w:val="0"/>
        <w:rPr>
          <w:bCs/>
          <w:color w:val="auto"/>
          <w:sz w:val="28"/>
          <w:szCs w:val="28"/>
          <w:highlight w:val="none"/>
        </w:rPr>
      </w:pPr>
      <w:r>
        <w:rPr>
          <w:rFonts w:hint="eastAsia" w:cs="Helvetica"/>
          <w:bCs/>
          <w:color w:val="auto"/>
          <w:szCs w:val="24"/>
          <w:highlight w:val="none"/>
          <w:lang w:val="zh-CN"/>
        </w:rPr>
        <w:t>合同编号：</w:t>
      </w:r>
      <w:r>
        <w:rPr>
          <w:rFonts w:hint="eastAsia" w:cs="Helvetica"/>
          <w:bCs/>
          <w:color w:val="auto"/>
          <w:szCs w:val="24"/>
          <w:highlight w:val="none"/>
          <w:u w:val="single"/>
        </w:rPr>
        <w:t xml:space="preserve">              </w:t>
      </w:r>
    </w:p>
    <w:p w14:paraId="4DD54709">
      <w:pPr>
        <w:pStyle w:val="13"/>
        <w:spacing w:after="0"/>
        <w:jc w:val="center"/>
        <w:rPr>
          <w:rFonts w:ascii="宋体" w:hAnsi="宋体" w:cs="宋体"/>
          <w:b/>
          <w:bCs/>
          <w:color w:val="auto"/>
          <w:spacing w:val="-20"/>
          <w:kern w:val="44"/>
          <w:sz w:val="48"/>
          <w:szCs w:val="48"/>
          <w:highlight w:val="none"/>
        </w:rPr>
      </w:pPr>
      <w:bookmarkStart w:id="632" w:name="_Toc3995"/>
    </w:p>
    <w:p w14:paraId="3B059C39">
      <w:pPr>
        <w:pStyle w:val="13"/>
        <w:rPr>
          <w:rFonts w:hint="eastAsia" w:eastAsia="宋体" w:cs="宋体"/>
          <w:color w:val="auto"/>
          <w:sz w:val="18"/>
          <w:szCs w:val="21"/>
          <w:highlight w:val="none"/>
        </w:rPr>
      </w:pPr>
    </w:p>
    <w:p w14:paraId="19090905">
      <w:pPr>
        <w:pStyle w:val="81"/>
        <w:keepNext w:val="0"/>
        <w:keepLines w:val="0"/>
        <w:pageBreakBefore w:val="0"/>
        <w:kinsoku/>
        <w:overflowPunct/>
        <w:topLinePunct w:val="0"/>
        <w:autoSpaceDE/>
        <w:autoSpaceDN/>
        <w:bidi w:val="0"/>
        <w:adjustRightInd/>
        <w:snapToGrid/>
        <w:spacing w:line="560" w:lineRule="exact"/>
        <w:jc w:val="center"/>
        <w:textAlignment w:val="auto"/>
        <w:outlineLvl w:val="0"/>
        <w:rPr>
          <w:rFonts w:hint="eastAsia" w:ascii="宋体" w:hAnsi="宋体" w:eastAsia="宋体" w:cs="宋体"/>
          <w:b/>
          <w:bCs w:val="0"/>
          <w:color w:val="auto"/>
          <w:sz w:val="36"/>
          <w:szCs w:val="36"/>
          <w:highlight w:val="none"/>
        </w:rPr>
      </w:pPr>
      <w:bookmarkStart w:id="633" w:name="_Toc415"/>
      <w:bookmarkStart w:id="634" w:name="_Toc19971"/>
      <w:bookmarkStart w:id="635" w:name="_Toc646"/>
      <w:bookmarkStart w:id="636" w:name="_Toc13256"/>
      <w:bookmarkStart w:id="637" w:name="_Toc8962"/>
      <w:bookmarkStart w:id="638" w:name="_Toc331685783"/>
      <w:bookmarkStart w:id="639" w:name="_Toc24636"/>
      <w:bookmarkStart w:id="640" w:name="_Toc4008"/>
      <w:r>
        <w:rPr>
          <w:rFonts w:hint="eastAsia" w:ascii="宋体" w:hAnsi="宋体" w:eastAsia="宋体" w:cs="宋体"/>
          <w:b/>
          <w:bCs w:val="0"/>
          <w:color w:val="auto"/>
          <w:sz w:val="36"/>
          <w:szCs w:val="36"/>
          <w:highlight w:val="none"/>
        </w:rPr>
        <w:t>哈密石油基地</w:t>
      </w:r>
      <w:r>
        <w:rPr>
          <w:rFonts w:hint="eastAsia" w:ascii="宋体" w:hAnsi="宋体" w:eastAsia="宋体" w:cs="宋体"/>
          <w:b/>
          <w:bCs w:val="0"/>
          <w:color w:val="auto"/>
          <w:sz w:val="36"/>
          <w:szCs w:val="36"/>
          <w:highlight w:val="none"/>
          <w:lang w:eastAsia="zh-CN"/>
        </w:rPr>
        <w:t>“市政、园林 、环卫一体化”</w:t>
      </w:r>
    </w:p>
    <w:p w14:paraId="00E428D8">
      <w:pPr>
        <w:pStyle w:val="81"/>
        <w:keepNext w:val="0"/>
        <w:keepLines w:val="0"/>
        <w:pageBreakBefore w:val="0"/>
        <w:kinsoku/>
        <w:overflowPunct/>
        <w:topLinePunct w:val="0"/>
        <w:autoSpaceDE/>
        <w:autoSpaceDN/>
        <w:bidi w:val="0"/>
        <w:adjustRightInd/>
        <w:snapToGrid/>
        <w:spacing w:line="560" w:lineRule="exact"/>
        <w:jc w:val="center"/>
        <w:textAlignment w:val="auto"/>
        <w:outlineLvl w:val="0"/>
        <w:rPr>
          <w:rFonts w:hint="eastAsia" w:ascii="宋体" w:hAnsi="宋体" w:eastAsia="宋体" w:cs="宋体"/>
          <w:b/>
          <w:bCs w:val="0"/>
          <w:color w:val="auto"/>
          <w:sz w:val="36"/>
          <w:szCs w:val="36"/>
          <w:highlight w:val="none"/>
        </w:rPr>
      </w:pPr>
      <w:r>
        <w:rPr>
          <w:rFonts w:hint="eastAsia" w:ascii="宋体" w:hAnsi="宋体" w:eastAsia="宋体" w:cs="宋体"/>
          <w:b/>
          <w:bCs w:val="0"/>
          <w:color w:val="auto"/>
          <w:sz w:val="36"/>
          <w:szCs w:val="36"/>
          <w:highlight w:val="none"/>
        </w:rPr>
        <w:t>运维服务协议</w:t>
      </w:r>
    </w:p>
    <w:p w14:paraId="5ECAB768">
      <w:pPr>
        <w:pStyle w:val="81"/>
        <w:keepNext w:val="0"/>
        <w:keepLines w:val="0"/>
        <w:pageBreakBefore w:val="0"/>
        <w:kinsoku/>
        <w:overflowPunct/>
        <w:topLinePunct w:val="0"/>
        <w:autoSpaceDE/>
        <w:autoSpaceDN/>
        <w:bidi w:val="0"/>
        <w:adjustRightInd/>
        <w:snapToGrid/>
        <w:spacing w:line="560" w:lineRule="exact"/>
        <w:jc w:val="center"/>
        <w:textAlignment w:val="auto"/>
        <w:outlineLvl w:val="0"/>
        <w:rPr>
          <w:rFonts w:hint="eastAsia" w:ascii="宋体" w:hAnsi="宋体" w:eastAsia="宋体" w:cs="宋体"/>
          <w:b/>
          <w:bCs w:val="0"/>
          <w:color w:val="auto"/>
          <w:sz w:val="36"/>
          <w:szCs w:val="36"/>
          <w:highlight w:val="none"/>
        </w:rPr>
      </w:pPr>
    </w:p>
    <w:p w14:paraId="04D63352">
      <w:pPr>
        <w:pStyle w:val="81"/>
        <w:keepNext w:val="0"/>
        <w:keepLines w:val="0"/>
        <w:pageBreakBefore w:val="0"/>
        <w:kinsoku/>
        <w:overflowPunct/>
        <w:topLinePunct w:val="0"/>
        <w:autoSpaceDE/>
        <w:autoSpaceDN/>
        <w:bidi w:val="0"/>
        <w:adjustRightInd/>
        <w:snapToGrid/>
        <w:spacing w:line="560" w:lineRule="exact"/>
        <w:jc w:val="center"/>
        <w:textAlignment w:val="auto"/>
        <w:outlineLvl w:val="0"/>
        <w:rPr>
          <w:rFonts w:hint="eastAsia" w:ascii="宋体" w:hAnsi="宋体" w:eastAsia="宋体" w:cs="宋体"/>
          <w:b/>
          <w:bCs w:val="0"/>
          <w:color w:val="auto"/>
          <w:sz w:val="36"/>
          <w:szCs w:val="36"/>
          <w:highlight w:val="none"/>
        </w:rPr>
      </w:pPr>
    </w:p>
    <w:p w14:paraId="1BD11644">
      <w:pPr>
        <w:pStyle w:val="13"/>
        <w:keepNext w:val="0"/>
        <w:keepLines w:val="0"/>
        <w:pageBreakBefore w:val="0"/>
        <w:widowControl/>
        <w:kinsoku/>
        <w:wordWrap/>
        <w:overflowPunct/>
        <w:topLinePunct w:val="0"/>
        <w:autoSpaceDE/>
        <w:autoSpaceDN/>
        <w:bidi w:val="0"/>
        <w:adjustRightInd/>
        <w:snapToGrid/>
        <w:spacing w:line="560" w:lineRule="exact"/>
        <w:ind w:firstLine="480" w:firstLineChars="200"/>
        <w:textAlignment w:val="auto"/>
        <w:rPr>
          <w:rFonts w:hint="eastAsia" w:ascii="宋体" w:hAnsi="宋体" w:eastAsia="宋体" w:cs="宋体"/>
          <w:color w:val="auto"/>
          <w:sz w:val="24"/>
          <w:szCs w:val="24"/>
          <w:highlight w:val="none"/>
          <w:u w:val="none"/>
          <w:lang w:eastAsia="zh-CN"/>
        </w:rPr>
      </w:pPr>
    </w:p>
    <w:p w14:paraId="41821B6C">
      <w:pPr>
        <w:pStyle w:val="13"/>
        <w:keepNext w:val="0"/>
        <w:keepLines w:val="0"/>
        <w:pageBreakBefore w:val="0"/>
        <w:widowControl/>
        <w:kinsoku/>
        <w:wordWrap/>
        <w:overflowPunct/>
        <w:topLinePunct w:val="0"/>
        <w:autoSpaceDE/>
        <w:autoSpaceDN/>
        <w:bidi w:val="0"/>
        <w:adjustRightInd/>
        <w:snapToGrid/>
        <w:spacing w:line="560" w:lineRule="exact"/>
        <w:ind w:firstLine="0" w:firstLineChars="0"/>
        <w:textAlignment w:val="auto"/>
        <w:rPr>
          <w:rFonts w:hint="eastAsia" w:ascii="宋体" w:hAnsi="宋体" w:eastAsia="宋体" w:cs="宋体"/>
          <w:color w:val="auto"/>
          <w:sz w:val="24"/>
          <w:szCs w:val="24"/>
          <w:highlight w:val="none"/>
          <w:u w:val="none"/>
          <w:lang w:eastAsia="zh-CN"/>
        </w:rPr>
      </w:pPr>
    </w:p>
    <w:p w14:paraId="4BF577DE">
      <w:pPr>
        <w:pStyle w:val="13"/>
        <w:keepNext w:val="0"/>
        <w:keepLines w:val="0"/>
        <w:pageBreakBefore w:val="0"/>
        <w:widowControl/>
        <w:kinsoku/>
        <w:wordWrap/>
        <w:overflowPunct/>
        <w:topLinePunct w:val="0"/>
        <w:autoSpaceDE/>
        <w:autoSpaceDN/>
        <w:bidi w:val="0"/>
        <w:adjustRightInd/>
        <w:snapToGrid/>
        <w:spacing w:line="560" w:lineRule="exact"/>
        <w:ind w:firstLine="0" w:firstLineChars="0"/>
        <w:jc w:val="center"/>
        <w:textAlignment w:val="auto"/>
        <w:rPr>
          <w:rFonts w:hint="eastAsia" w:ascii="宋体" w:hAnsi="宋体" w:eastAsia="宋体" w:cs="宋体"/>
          <w:b/>
          <w:bCs/>
          <w:color w:val="auto"/>
          <w:sz w:val="28"/>
          <w:szCs w:val="28"/>
          <w:highlight w:val="none"/>
          <w:u w:val="none"/>
          <w:lang w:eastAsia="zh-CN"/>
        </w:rPr>
      </w:pPr>
      <w:r>
        <w:rPr>
          <w:rFonts w:hint="eastAsia" w:ascii="宋体" w:hAnsi="宋体" w:eastAsia="宋体" w:cs="宋体"/>
          <w:b/>
          <w:bCs/>
          <w:color w:val="auto"/>
          <w:sz w:val="28"/>
          <w:szCs w:val="28"/>
          <w:highlight w:val="none"/>
          <w:u w:val="none"/>
          <w:lang w:eastAsia="zh-CN"/>
        </w:rPr>
        <w:t>项目名称：</w:t>
      </w:r>
      <w:r>
        <w:rPr>
          <w:rFonts w:hint="eastAsia" w:ascii="宋体" w:hAnsi="宋体" w:eastAsia="宋体" w:cs="宋体"/>
          <w:b/>
          <w:bCs/>
          <w:color w:val="auto"/>
          <w:sz w:val="28"/>
          <w:szCs w:val="28"/>
          <w:highlight w:val="none"/>
          <w:u w:val="none"/>
          <w:lang w:val="en-US" w:eastAsia="zh-CN"/>
        </w:rPr>
        <w:t>哈密市伊州区吐哈石油基地“市政、园林 、环卫一体化”（2026-2028年）第三方采购项目</w:t>
      </w:r>
    </w:p>
    <w:p w14:paraId="1F96A082">
      <w:pPr>
        <w:keepNext w:val="0"/>
        <w:keepLines w:val="0"/>
        <w:pageBreakBefore w:val="0"/>
        <w:widowControl/>
        <w:wordWrap/>
        <w:overflowPunct/>
        <w:topLinePunct w:val="0"/>
        <w:bidi w:val="0"/>
        <w:spacing w:line="560" w:lineRule="exact"/>
        <w:rPr>
          <w:rFonts w:hint="eastAsia" w:cs="宋体"/>
          <w:color w:val="auto"/>
          <w:sz w:val="21"/>
          <w:szCs w:val="20"/>
          <w:highlight w:val="none"/>
        </w:rPr>
      </w:pPr>
    </w:p>
    <w:p w14:paraId="385FA7FC">
      <w:pPr>
        <w:keepNext w:val="0"/>
        <w:keepLines w:val="0"/>
        <w:pageBreakBefore w:val="0"/>
        <w:widowControl/>
        <w:wordWrap/>
        <w:overflowPunct/>
        <w:topLinePunct w:val="0"/>
        <w:bidi w:val="0"/>
        <w:spacing w:line="560" w:lineRule="exact"/>
        <w:rPr>
          <w:rFonts w:hint="eastAsia" w:cs="宋体"/>
          <w:color w:val="auto"/>
          <w:sz w:val="21"/>
          <w:szCs w:val="20"/>
          <w:highlight w:val="none"/>
        </w:rPr>
      </w:pPr>
    </w:p>
    <w:p w14:paraId="7969922F">
      <w:pPr>
        <w:keepNext w:val="0"/>
        <w:keepLines w:val="0"/>
        <w:pageBreakBefore w:val="0"/>
        <w:widowControl/>
        <w:wordWrap/>
        <w:overflowPunct/>
        <w:topLinePunct w:val="0"/>
        <w:bidi w:val="0"/>
        <w:spacing w:line="560" w:lineRule="exact"/>
        <w:rPr>
          <w:rFonts w:hint="eastAsia" w:cs="宋体"/>
          <w:color w:val="auto"/>
          <w:sz w:val="21"/>
          <w:szCs w:val="20"/>
          <w:highlight w:val="none"/>
        </w:rPr>
      </w:pPr>
    </w:p>
    <w:p w14:paraId="1426F64C">
      <w:pPr>
        <w:keepNext w:val="0"/>
        <w:keepLines w:val="0"/>
        <w:pageBreakBefore w:val="0"/>
        <w:widowControl/>
        <w:wordWrap/>
        <w:overflowPunct/>
        <w:topLinePunct w:val="0"/>
        <w:bidi w:val="0"/>
        <w:spacing w:line="560" w:lineRule="exact"/>
        <w:rPr>
          <w:rFonts w:hint="eastAsia" w:cs="宋体"/>
          <w:color w:val="auto"/>
          <w:sz w:val="21"/>
          <w:szCs w:val="20"/>
          <w:highlight w:val="none"/>
        </w:rPr>
      </w:pPr>
    </w:p>
    <w:p w14:paraId="6F76CE90">
      <w:pPr>
        <w:keepNext w:val="0"/>
        <w:keepLines w:val="0"/>
        <w:pageBreakBefore w:val="0"/>
        <w:widowControl/>
        <w:wordWrap/>
        <w:overflowPunct/>
        <w:topLinePunct w:val="0"/>
        <w:bidi w:val="0"/>
        <w:spacing w:line="560" w:lineRule="exact"/>
        <w:rPr>
          <w:rFonts w:hint="eastAsia" w:cs="宋体"/>
          <w:color w:val="auto"/>
          <w:sz w:val="21"/>
          <w:szCs w:val="20"/>
          <w:highlight w:val="none"/>
        </w:rPr>
      </w:pPr>
    </w:p>
    <w:p w14:paraId="05EE1BC5">
      <w:pPr>
        <w:keepNext w:val="0"/>
        <w:keepLines w:val="0"/>
        <w:pageBreakBefore w:val="0"/>
        <w:widowControl/>
        <w:wordWrap/>
        <w:overflowPunct/>
        <w:topLinePunct w:val="0"/>
        <w:bidi w:val="0"/>
        <w:spacing w:line="560" w:lineRule="exact"/>
        <w:rPr>
          <w:rFonts w:hint="eastAsia" w:eastAsia="宋体" w:cs="宋体"/>
          <w:color w:val="auto"/>
          <w:sz w:val="21"/>
          <w:szCs w:val="20"/>
          <w:highlight w:val="none"/>
          <w:lang w:val="en-US" w:eastAsia="zh-CN"/>
        </w:rPr>
      </w:pPr>
    </w:p>
    <w:p w14:paraId="48B8FB0B">
      <w:pPr>
        <w:keepNext w:val="0"/>
        <w:keepLines w:val="0"/>
        <w:pageBreakBefore w:val="0"/>
        <w:widowControl/>
        <w:wordWrap/>
        <w:overflowPunct/>
        <w:topLinePunct w:val="0"/>
        <w:bidi w:val="0"/>
        <w:spacing w:line="560" w:lineRule="exact"/>
        <w:rPr>
          <w:rFonts w:hint="eastAsia" w:eastAsia="宋体" w:cs="宋体"/>
          <w:color w:val="auto"/>
          <w:sz w:val="21"/>
          <w:szCs w:val="20"/>
          <w:highlight w:val="none"/>
          <w:lang w:val="en-US" w:eastAsia="zh-CN"/>
        </w:rPr>
      </w:pPr>
    </w:p>
    <w:p w14:paraId="37FA6F35">
      <w:pPr>
        <w:keepNext w:val="0"/>
        <w:keepLines w:val="0"/>
        <w:pageBreakBefore w:val="0"/>
        <w:widowControl/>
        <w:wordWrap/>
        <w:overflowPunct/>
        <w:topLinePunct w:val="0"/>
        <w:bidi w:val="0"/>
        <w:spacing w:line="560" w:lineRule="exact"/>
        <w:ind w:firstLine="0" w:firstLineChars="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签订地点：哈密市伊州区</w:t>
      </w:r>
    </w:p>
    <w:p w14:paraId="6164CB3B">
      <w:pPr>
        <w:keepNext w:val="0"/>
        <w:keepLines w:val="0"/>
        <w:pageBreakBefore w:val="0"/>
        <w:widowControl/>
        <w:wordWrap/>
        <w:overflowPunct/>
        <w:topLinePunct w:val="0"/>
        <w:bidi w:val="0"/>
        <w:spacing w:line="560" w:lineRule="exact"/>
        <w:ind w:firstLine="0"/>
        <w:rPr>
          <w:rFonts w:hint="eastAsia" w:ascii="宋体" w:hAnsi="宋体" w:eastAsia="宋体" w:cs="宋体"/>
          <w:color w:val="auto"/>
          <w:sz w:val="24"/>
          <w:szCs w:val="24"/>
          <w:highlight w:val="none"/>
          <w:u w:val="none"/>
          <w:lang w:val="en-US" w:eastAsia="zh-CN"/>
        </w:rPr>
      </w:pPr>
      <w:r>
        <w:rPr>
          <w:rFonts w:hint="eastAsia" w:ascii="宋体" w:hAnsi="宋体" w:eastAsia="宋体" w:cs="宋体"/>
          <w:color w:val="auto"/>
          <w:sz w:val="24"/>
          <w:szCs w:val="24"/>
          <w:highlight w:val="none"/>
          <w:u w:val="none"/>
          <w:lang w:val="en-US" w:eastAsia="zh-CN"/>
        </w:rPr>
        <w:t>签订日期：   年    月   日</w:t>
      </w:r>
    </w:p>
    <w:p w14:paraId="40677561">
      <w:pPr>
        <w:keepNext w:val="0"/>
        <w:keepLines w:val="0"/>
        <w:pageBreakBefore w:val="0"/>
        <w:widowControl/>
        <w:wordWrap/>
        <w:overflowPunct/>
        <w:topLinePunct w:val="0"/>
        <w:bidi w:val="0"/>
        <w:spacing w:line="560" w:lineRule="exact"/>
        <w:rPr>
          <w:rFonts w:hint="eastAsia" w:ascii="宋体" w:hAnsi="宋体" w:eastAsia="宋体" w:cs="宋体"/>
          <w:color w:val="auto"/>
          <w:sz w:val="24"/>
          <w:szCs w:val="24"/>
          <w:highlight w:val="none"/>
          <w:u w:val="none"/>
          <w:lang w:val="en-US" w:eastAsia="zh-CN"/>
        </w:rPr>
      </w:pPr>
    </w:p>
    <w:p w14:paraId="107D3ACD">
      <w:pPr>
        <w:keepNext w:val="0"/>
        <w:keepLines w:val="0"/>
        <w:pageBreakBefore w:val="0"/>
        <w:widowControl/>
        <w:kinsoku w:val="0"/>
        <w:wordWrap/>
        <w:overflowPunct/>
        <w:topLinePunct w:val="0"/>
        <w:autoSpaceDE w:val="0"/>
        <w:autoSpaceDN w:val="0"/>
        <w:bidi w:val="0"/>
        <w:adjustRightInd w:val="0"/>
        <w:snapToGrid w:val="0"/>
        <w:spacing w:before="90" w:line="560" w:lineRule="exact"/>
        <w:ind w:left="3549"/>
        <w:textAlignment w:val="baseline"/>
        <w:rPr>
          <w:rFonts w:hint="eastAsia" w:ascii="宋体" w:hAnsi="宋体" w:eastAsia="宋体" w:cs="宋体"/>
          <w:b/>
          <w:bCs/>
          <w:color w:val="auto"/>
          <w:spacing w:val="-37"/>
          <w:sz w:val="28"/>
          <w:szCs w:val="28"/>
          <w:highlight w:val="none"/>
        </w:rPr>
      </w:pPr>
    </w:p>
    <w:p w14:paraId="1B180E94">
      <w:pPr>
        <w:keepNext w:val="0"/>
        <w:keepLines w:val="0"/>
        <w:pageBreakBefore w:val="0"/>
        <w:widowControl/>
        <w:wordWrap/>
        <w:overflowPunct/>
        <w:topLinePunct w:val="0"/>
        <w:bidi w:val="0"/>
        <w:spacing w:line="560" w:lineRule="exact"/>
        <w:rPr>
          <w:rFonts w:hint="eastAsia" w:ascii="宋体" w:hAnsi="宋体" w:eastAsia="宋体" w:cs="宋体"/>
          <w:color w:val="auto"/>
          <w:sz w:val="24"/>
          <w:szCs w:val="24"/>
          <w:highlight w:val="none"/>
          <w:u w:val="none"/>
          <w:lang w:val="en-US" w:eastAsia="zh-CN"/>
        </w:rPr>
      </w:pPr>
    </w:p>
    <w:p w14:paraId="72D948A5">
      <w:pPr>
        <w:keepNext w:val="0"/>
        <w:keepLines w:val="0"/>
        <w:pageBreakBefore w:val="0"/>
        <w:widowControl/>
        <w:kinsoku w:val="0"/>
        <w:wordWrap/>
        <w:overflowPunct/>
        <w:topLinePunct w:val="0"/>
        <w:autoSpaceDE w:val="0"/>
        <w:autoSpaceDN w:val="0"/>
        <w:bidi w:val="0"/>
        <w:adjustRightInd w:val="0"/>
        <w:snapToGrid w:val="0"/>
        <w:spacing w:before="0" w:line="240" w:lineRule="auto"/>
        <w:ind w:left="3549"/>
        <w:textAlignment w:val="baseline"/>
        <w:rPr>
          <w:rFonts w:hint="eastAsia" w:ascii="宋体" w:hAnsi="宋体" w:eastAsia="宋体" w:cs="宋体"/>
          <w:b/>
          <w:bCs/>
          <w:color w:val="auto"/>
          <w:spacing w:val="-37"/>
          <w:sz w:val="28"/>
          <w:szCs w:val="28"/>
          <w:highlight w:val="none"/>
        </w:rPr>
      </w:pPr>
      <w:r>
        <w:rPr>
          <w:rFonts w:hint="eastAsia" w:ascii="宋体" w:hAnsi="宋体" w:eastAsia="宋体" w:cs="宋体"/>
          <w:b/>
          <w:bCs/>
          <w:color w:val="auto"/>
          <w:spacing w:val="-37"/>
          <w:sz w:val="28"/>
          <w:szCs w:val="28"/>
          <w:highlight w:val="none"/>
        </w:rPr>
        <w:t>目</w:t>
      </w:r>
      <w:r>
        <w:rPr>
          <w:rFonts w:hint="eastAsia" w:ascii="宋体" w:hAnsi="宋体" w:eastAsia="宋体" w:cs="宋体"/>
          <w:color w:val="auto"/>
          <w:spacing w:val="17"/>
          <w:sz w:val="28"/>
          <w:szCs w:val="28"/>
          <w:highlight w:val="none"/>
        </w:rPr>
        <w:t xml:space="preserve">   </w:t>
      </w:r>
      <w:r>
        <w:rPr>
          <w:rFonts w:hint="eastAsia" w:ascii="宋体" w:hAnsi="宋体" w:eastAsia="宋体" w:cs="宋体"/>
          <w:b/>
          <w:bCs/>
          <w:color w:val="auto"/>
          <w:spacing w:val="-37"/>
          <w:sz w:val="28"/>
          <w:szCs w:val="28"/>
          <w:highlight w:val="none"/>
        </w:rPr>
        <w:t>录</w:t>
      </w:r>
    </w:p>
    <w:p w14:paraId="4F04825A">
      <w:pPr>
        <w:keepNext w:val="0"/>
        <w:keepLines w:val="0"/>
        <w:pageBreakBefore w:val="0"/>
        <w:widowControl/>
        <w:tabs>
          <w:tab w:val="right" w:leader="dot" w:pos="7950"/>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"bookmark2"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5"/>
          <w:sz w:val="21"/>
          <w:szCs w:val="21"/>
          <w:highlight w:val="none"/>
          <w:lang w:val="en-US" w:eastAsia="zh-CN"/>
        </w:rPr>
        <w:t>一、运维服务范围、内容</w:t>
      </w:r>
      <w:r>
        <w:rPr>
          <w:rFonts w:hint="eastAsia" w:ascii="宋体" w:hAnsi="宋体" w:eastAsia="宋体" w:cs="宋体"/>
          <w:b w:val="0"/>
          <w:bCs w:val="0"/>
          <w:color w:val="auto"/>
          <w:spacing w:val="-97"/>
          <w:sz w:val="21"/>
          <w:szCs w:val="21"/>
          <w:highlight w:val="none"/>
        </w:rPr>
        <w:t xml:space="preserve"> </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fldChar w:fldCharType="end"/>
      </w:r>
    </w:p>
    <w:p w14:paraId="4DB2EFE8">
      <w:pPr>
        <w:keepNext w:val="0"/>
        <w:keepLines w:val="0"/>
        <w:pageBreakBefore w:val="0"/>
        <w:widowControl/>
        <w:tabs>
          <w:tab w:val="right" w:leader="dot" w:pos="7950"/>
        </w:tabs>
        <w:kinsoku w:val="0"/>
        <w:wordWrap/>
        <w:overflowPunct/>
        <w:topLinePunct w:val="0"/>
        <w:autoSpaceDE/>
        <w:autoSpaceDN/>
        <w:bidi w:val="0"/>
        <w:adjustRightInd w:val="0"/>
        <w:snapToGrid w:val="0"/>
        <w:spacing w:before="0" w:line="440" w:lineRule="exact"/>
        <w:ind w:left="634" w:firstLine="420" w:firstLineChars="2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"bookmark3"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9"/>
          <w:sz w:val="21"/>
          <w:szCs w:val="21"/>
          <w:highlight w:val="none"/>
        </w:rPr>
        <w:t>1.1 运维服务范围</w:t>
      </w:r>
      <w:r>
        <w:rPr>
          <w:rFonts w:hint="eastAsia" w:ascii="宋体" w:hAnsi="宋体" w:eastAsia="宋体" w:cs="宋体"/>
          <w:b w:val="0"/>
          <w:bCs w:val="0"/>
          <w:color w:val="auto"/>
          <w:spacing w:val="-95"/>
          <w:sz w:val="21"/>
          <w:szCs w:val="21"/>
          <w:highlight w:val="none"/>
        </w:rPr>
        <w:t xml:space="preserve"> </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fldChar w:fldCharType="end"/>
      </w:r>
    </w:p>
    <w:p w14:paraId="1245EFA1">
      <w:pPr>
        <w:keepNext w:val="0"/>
        <w:keepLines w:val="0"/>
        <w:pageBreakBefore w:val="0"/>
        <w:widowControl/>
        <w:tabs>
          <w:tab w:val="right" w:leader="dot" w:pos="7945"/>
        </w:tabs>
        <w:kinsoku w:val="0"/>
        <w:wordWrap/>
        <w:overflowPunct/>
        <w:topLinePunct w:val="0"/>
        <w:autoSpaceDE/>
        <w:autoSpaceDN/>
        <w:bidi w:val="0"/>
        <w:adjustRightInd w:val="0"/>
        <w:snapToGrid w:val="0"/>
        <w:spacing w:before="0" w:line="440" w:lineRule="exact"/>
        <w:ind w:left="634" w:firstLine="420" w:firstLineChars="2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"bookmark4"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9"/>
          <w:sz w:val="21"/>
          <w:szCs w:val="21"/>
          <w:highlight w:val="none"/>
        </w:rPr>
        <w:t>1.2 运维服务内容</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10"/>
          <w:sz w:val="21"/>
          <w:szCs w:val="21"/>
          <w:highlight w:val="none"/>
        </w:rPr>
        <w:t xml:space="preserve"> </w:t>
      </w:r>
      <w:r>
        <w:rPr>
          <w:rFonts w:hint="eastAsia" w:ascii="宋体" w:hAnsi="宋体" w:eastAsia="宋体" w:cs="宋体"/>
          <w:b w:val="0"/>
          <w:bCs w:val="0"/>
          <w:color w:val="auto"/>
          <w:sz w:val="21"/>
          <w:szCs w:val="21"/>
          <w:highlight w:val="none"/>
        </w:rPr>
        <w:fldChar w:fldCharType="end"/>
      </w:r>
    </w:p>
    <w:p w14:paraId="7FC99E8C">
      <w:pPr>
        <w:keepNext w:val="0"/>
        <w:keepLines w:val="0"/>
        <w:pageBreakBefore w:val="0"/>
        <w:widowControl/>
        <w:tabs>
          <w:tab w:val="right" w:leader="dot" w:pos="7969"/>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"bookmark5"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5"/>
          <w:sz w:val="21"/>
          <w:szCs w:val="21"/>
          <w:highlight w:val="none"/>
          <w:lang w:val="en-US" w:eastAsia="zh-CN"/>
        </w:rPr>
        <w:t>二、</w:t>
      </w:r>
      <w:r>
        <w:rPr>
          <w:rFonts w:hint="eastAsia" w:ascii="宋体" w:hAnsi="宋体" w:eastAsia="宋体" w:cs="宋体"/>
          <w:b w:val="0"/>
          <w:bCs w:val="0"/>
          <w:color w:val="auto"/>
          <w:spacing w:val="5"/>
          <w:sz w:val="21"/>
          <w:szCs w:val="21"/>
          <w:highlight w:val="none"/>
        </w:rPr>
        <w:t>运维服务标准依据及要求</w:t>
      </w:r>
      <w:r>
        <w:rPr>
          <w:rFonts w:hint="eastAsia" w:ascii="宋体" w:hAnsi="宋体" w:eastAsia="宋体" w:cs="宋体"/>
          <w:b w:val="0"/>
          <w:bCs w:val="0"/>
          <w:color w:val="auto"/>
          <w:spacing w:val="-102"/>
          <w:sz w:val="21"/>
          <w:szCs w:val="21"/>
          <w:highlight w:val="none"/>
        </w:rPr>
        <w:t xml:space="preserve"> </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fldChar w:fldCharType="end"/>
      </w:r>
    </w:p>
    <w:p w14:paraId="455E7E5F">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left="84"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"bookmark6"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1"/>
          <w:sz w:val="21"/>
          <w:szCs w:val="21"/>
          <w:highlight w:val="none"/>
        </w:rPr>
        <w:t>2.1运维服务标准依据</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fldChar w:fldCharType="end"/>
      </w:r>
    </w:p>
    <w:p w14:paraId="7D661C7A">
      <w:pPr>
        <w:keepNext w:val="0"/>
        <w:keepLines w:val="0"/>
        <w:pageBreakBefore w:val="0"/>
        <w:widowControl/>
        <w:tabs>
          <w:tab w:val="right" w:leader="dot" w:pos="7937"/>
        </w:tabs>
        <w:kinsoku w:val="0"/>
        <w:wordWrap/>
        <w:overflowPunct/>
        <w:topLinePunct w:val="0"/>
        <w:autoSpaceDE/>
        <w:autoSpaceDN/>
        <w:bidi w:val="0"/>
        <w:adjustRightInd w:val="0"/>
        <w:snapToGrid w:val="0"/>
        <w:spacing w:before="0" w:line="440" w:lineRule="exact"/>
        <w:ind w:left="84"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"bookmark7"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6"/>
          <w:sz w:val="21"/>
          <w:szCs w:val="21"/>
          <w:highlight w:val="none"/>
        </w:rPr>
        <w:t>2.2运维服务要求</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lang w:val="en-US" w:eastAsia="zh-CN"/>
        </w:rPr>
        <w:t xml:space="preserve"> </w:t>
      </w:r>
      <w:r>
        <w:rPr>
          <w:rFonts w:hint="eastAsia" w:ascii="宋体" w:hAnsi="宋体" w:eastAsia="宋体" w:cs="宋体"/>
          <w:b w:val="0"/>
          <w:bCs w:val="0"/>
          <w:color w:val="auto"/>
          <w:spacing w:val="-6"/>
          <w:sz w:val="21"/>
          <w:szCs w:val="21"/>
          <w:highlight w:val="none"/>
        </w:rPr>
        <w:fldChar w:fldCharType="end"/>
      </w:r>
    </w:p>
    <w:p w14:paraId="5A6BD68D">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"bookmark8"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8"/>
          <w:sz w:val="21"/>
          <w:szCs w:val="21"/>
          <w:highlight w:val="none"/>
          <w:lang w:val="en-US" w:eastAsia="zh-CN"/>
        </w:rPr>
        <w:t>三、</w:t>
      </w:r>
      <w:r>
        <w:rPr>
          <w:rFonts w:hint="eastAsia" w:ascii="宋体" w:hAnsi="宋体" w:eastAsia="宋体" w:cs="宋体"/>
          <w:b w:val="0"/>
          <w:bCs w:val="0"/>
          <w:color w:val="auto"/>
          <w:spacing w:val="-8"/>
          <w:sz w:val="21"/>
          <w:szCs w:val="21"/>
          <w:highlight w:val="none"/>
        </w:rPr>
        <w:t>服务期限</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11"/>
          <w:sz w:val="21"/>
          <w:szCs w:val="21"/>
          <w:highlight w:val="none"/>
        </w:rPr>
        <w:fldChar w:fldCharType="end"/>
      </w:r>
    </w:p>
    <w:p w14:paraId="775C0AB5">
      <w:pPr>
        <w:keepNext w:val="0"/>
        <w:keepLines w:val="0"/>
        <w:pageBreakBefore w:val="0"/>
        <w:widowControl/>
        <w:tabs>
          <w:tab w:val="right" w:leader="dot" w:pos="793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"bookmark10"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1"/>
          <w:sz w:val="21"/>
          <w:szCs w:val="21"/>
          <w:highlight w:val="none"/>
          <w:lang w:val="en-US" w:eastAsia="zh-CN"/>
        </w:rPr>
        <w:t>四</w:t>
      </w:r>
      <w:r>
        <w:rPr>
          <w:rFonts w:hint="eastAsia" w:ascii="宋体" w:hAnsi="宋体" w:eastAsia="宋体" w:cs="宋体"/>
          <w:b w:val="0"/>
          <w:bCs w:val="0"/>
          <w:color w:val="auto"/>
          <w:spacing w:val="-1"/>
          <w:sz w:val="21"/>
          <w:szCs w:val="21"/>
          <w:highlight w:val="none"/>
        </w:rPr>
        <w:t>、</w:t>
      </w:r>
      <w:r>
        <w:rPr>
          <w:rFonts w:hint="eastAsia" w:ascii="宋体" w:hAnsi="宋体" w:eastAsia="宋体" w:cs="宋体"/>
          <w:b w:val="0"/>
          <w:bCs w:val="0"/>
          <w:color w:val="auto"/>
          <w:spacing w:val="-25"/>
          <w:sz w:val="21"/>
          <w:szCs w:val="21"/>
          <w:highlight w:val="none"/>
        </w:rPr>
        <w:t>服务费用及支付方式</w:t>
      </w:r>
      <w:r>
        <w:rPr>
          <w:rFonts w:hint="eastAsia" w:ascii="宋体" w:hAnsi="宋体" w:eastAsia="宋体" w:cs="宋体"/>
          <w:b w:val="0"/>
          <w:bCs w:val="0"/>
          <w:color w:val="auto"/>
          <w:spacing w:val="-85"/>
          <w:sz w:val="21"/>
          <w:szCs w:val="21"/>
          <w:highlight w:val="none"/>
        </w:rPr>
        <w:t xml:space="preserve"> </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6"/>
          <w:sz w:val="21"/>
          <w:szCs w:val="21"/>
          <w:highlight w:val="none"/>
        </w:rPr>
        <w:fldChar w:fldCharType="end"/>
      </w:r>
    </w:p>
    <w:p w14:paraId="08845505">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"bookmark11"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5"/>
          <w:sz w:val="21"/>
          <w:szCs w:val="21"/>
          <w:highlight w:val="none"/>
        </w:rPr>
        <w:t>4.1 服务费用核定</w:t>
      </w:r>
      <w:r>
        <w:rPr>
          <w:rFonts w:hint="eastAsia" w:ascii="宋体" w:hAnsi="宋体" w:eastAsia="宋体" w:cs="宋体"/>
          <w:b w:val="0"/>
          <w:bCs w:val="0"/>
          <w:color w:val="auto"/>
          <w:spacing w:val="-96"/>
          <w:sz w:val="21"/>
          <w:szCs w:val="21"/>
          <w:highlight w:val="none"/>
        </w:rPr>
        <w:t xml:space="preserve"> </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6"/>
          <w:sz w:val="21"/>
          <w:szCs w:val="21"/>
          <w:highlight w:val="none"/>
        </w:rPr>
        <w:fldChar w:fldCharType="end"/>
      </w:r>
    </w:p>
    <w:p w14:paraId="4CCF091A">
      <w:pPr>
        <w:keepNext w:val="0"/>
        <w:keepLines w:val="0"/>
        <w:pageBreakBefore w:val="0"/>
        <w:widowControl/>
        <w:tabs>
          <w:tab w:val="right" w:leader="dot" w:pos="795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pacing w:val="-7"/>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"bookmark12"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3"/>
          <w:sz w:val="21"/>
          <w:szCs w:val="21"/>
          <w:highlight w:val="none"/>
        </w:rPr>
        <w:t>4.2 费用结算</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50"/>
          <w:sz w:val="21"/>
          <w:szCs w:val="21"/>
          <w:highlight w:val="none"/>
        </w:rPr>
        <w:t xml:space="preserve"> </w:t>
      </w:r>
      <w:r>
        <w:rPr>
          <w:rFonts w:hint="eastAsia" w:ascii="宋体" w:hAnsi="宋体" w:eastAsia="宋体" w:cs="宋体"/>
          <w:b w:val="0"/>
          <w:bCs w:val="0"/>
          <w:color w:val="auto"/>
          <w:spacing w:val="-7"/>
          <w:sz w:val="21"/>
          <w:szCs w:val="21"/>
          <w:highlight w:val="none"/>
        </w:rPr>
        <w:fldChar w:fldCharType="end"/>
      </w:r>
    </w:p>
    <w:p w14:paraId="01416DD6">
      <w:pPr>
        <w:keepNext w:val="0"/>
        <w:keepLines w:val="0"/>
        <w:pageBreakBefore w:val="0"/>
        <w:widowControl/>
        <w:tabs>
          <w:tab w:val="right" w:leader="dot" w:pos="7957"/>
        </w:tabs>
        <w:kinsoku w:val="0"/>
        <w:wordWrap/>
        <w:overflowPunct/>
        <w:topLinePunct w:val="0"/>
        <w:autoSpaceDE/>
        <w:autoSpaceDN/>
        <w:bidi w:val="0"/>
        <w:adjustRightInd w:val="0"/>
        <w:snapToGrid w:val="0"/>
        <w:spacing w:before="0" w:line="440" w:lineRule="exact"/>
        <w:ind w:firstLine="784" w:firstLineChars="400"/>
        <w:jc w:val="both"/>
        <w:textAlignment w:val="baseline"/>
        <w:rPr>
          <w:rFonts w:hint="eastAsia" w:ascii="宋体" w:hAnsi="宋体" w:eastAsia="宋体" w:cs="宋体"/>
          <w:b w:val="0"/>
          <w:bCs w:val="0"/>
          <w:color w:val="auto"/>
          <w:spacing w:val="-50"/>
          <w:sz w:val="21"/>
          <w:szCs w:val="21"/>
          <w:highlight w:val="none"/>
        </w:rPr>
      </w:pPr>
      <w:r>
        <w:rPr>
          <w:rFonts w:hint="eastAsia" w:ascii="宋体" w:hAnsi="宋体" w:eastAsia="宋体" w:cs="宋体"/>
          <w:b w:val="0"/>
          <w:bCs w:val="0"/>
          <w:color w:val="auto"/>
          <w:spacing w:val="-7"/>
          <w:sz w:val="21"/>
          <w:szCs w:val="21"/>
          <w:highlight w:val="none"/>
          <w:lang w:val="en-US" w:eastAsia="zh-CN"/>
        </w:rPr>
        <w:t>4.3 支付方式</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50"/>
          <w:sz w:val="21"/>
          <w:szCs w:val="21"/>
          <w:highlight w:val="none"/>
        </w:rPr>
        <w:t xml:space="preserve"> </w:t>
      </w:r>
    </w:p>
    <w:p w14:paraId="3687174A">
      <w:pPr>
        <w:keepNext w:val="0"/>
        <w:keepLines w:val="0"/>
        <w:pageBreakBefore w:val="0"/>
        <w:widowControl/>
        <w:tabs>
          <w:tab w:val="right" w:leader="dot" w:pos="795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eastAsia="宋体" w:cs="宋体"/>
          <w:b w:val="0"/>
          <w:bCs w:val="0"/>
          <w:color w:val="auto"/>
          <w:sz w:val="21"/>
          <w:szCs w:val="21"/>
          <w:highlight w:val="none"/>
          <w:lang w:val="en-US" w:eastAsia="zh-CN"/>
        </w:rPr>
        <w:t>五、</w:t>
      </w: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"bookmark13"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2"/>
          <w:sz w:val="21"/>
          <w:szCs w:val="21"/>
          <w:highlight w:val="none"/>
        </w:rPr>
        <w:t>服务人员及管理要求</w:t>
      </w:r>
      <w:r>
        <w:rPr>
          <w:rFonts w:hint="eastAsia" w:ascii="宋体" w:hAnsi="宋体" w:eastAsia="宋体" w:cs="宋体"/>
          <w:b w:val="0"/>
          <w:bCs w:val="0"/>
          <w:color w:val="auto"/>
          <w:spacing w:val="-83"/>
          <w:sz w:val="21"/>
          <w:szCs w:val="21"/>
          <w:highlight w:val="none"/>
        </w:rPr>
        <w:t xml:space="preserve"> </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z w:val="21"/>
          <w:szCs w:val="21"/>
          <w:highlight w:val="none"/>
        </w:rPr>
        <w:fldChar w:fldCharType="end"/>
      </w:r>
    </w:p>
    <w:p w14:paraId="7CE4DEB1">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"bookmark14"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8"/>
          <w:sz w:val="21"/>
          <w:szCs w:val="21"/>
          <w:highlight w:val="none"/>
        </w:rPr>
        <w:t>5.1 服务人员配备</w:t>
      </w:r>
      <w:r>
        <w:rPr>
          <w:rFonts w:hint="eastAsia" w:ascii="宋体" w:hAnsi="宋体" w:eastAsia="宋体" w:cs="宋体"/>
          <w:b w:val="0"/>
          <w:bCs w:val="0"/>
          <w:color w:val="auto"/>
          <w:spacing w:val="-94"/>
          <w:sz w:val="21"/>
          <w:szCs w:val="21"/>
          <w:highlight w:val="none"/>
        </w:rPr>
        <w:t xml:space="preserve"> </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6"/>
          <w:sz w:val="21"/>
          <w:szCs w:val="21"/>
          <w:highlight w:val="none"/>
        </w:rPr>
        <w:fldChar w:fldCharType="end"/>
      </w:r>
    </w:p>
    <w:p w14:paraId="04A1F3BF">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"bookmark15"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4"/>
          <w:sz w:val="21"/>
          <w:szCs w:val="21"/>
          <w:highlight w:val="none"/>
        </w:rPr>
        <w:t>5.2 管理要求</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10"/>
          <w:sz w:val="21"/>
          <w:szCs w:val="21"/>
          <w:highlight w:val="none"/>
        </w:rPr>
        <w:t xml:space="preserve"> </w:t>
      </w:r>
      <w:r>
        <w:rPr>
          <w:rFonts w:hint="eastAsia" w:ascii="宋体" w:hAnsi="宋体" w:eastAsia="宋体" w:cs="宋体"/>
          <w:b w:val="0"/>
          <w:bCs w:val="0"/>
          <w:color w:val="auto"/>
          <w:spacing w:val="-7"/>
          <w:sz w:val="21"/>
          <w:szCs w:val="21"/>
          <w:highlight w:val="none"/>
        </w:rPr>
        <w:fldChar w:fldCharType="end"/>
      </w:r>
    </w:p>
    <w:p w14:paraId="2BB3A74C">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"bookmark17"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7"/>
          <w:sz w:val="21"/>
          <w:szCs w:val="21"/>
          <w:highlight w:val="none"/>
        </w:rPr>
        <w:t>六</w:t>
      </w:r>
      <w:r>
        <w:rPr>
          <w:rFonts w:hint="eastAsia" w:ascii="宋体" w:hAnsi="宋体" w:eastAsia="宋体" w:cs="宋体"/>
          <w:b w:val="0"/>
          <w:bCs w:val="0"/>
          <w:color w:val="auto"/>
          <w:spacing w:val="-24"/>
          <w:sz w:val="21"/>
          <w:szCs w:val="21"/>
          <w:highlight w:val="none"/>
        </w:rPr>
        <w:t xml:space="preserve"> </w:t>
      </w:r>
      <w:r>
        <w:rPr>
          <w:rFonts w:hint="eastAsia" w:ascii="宋体" w:hAnsi="宋体" w:eastAsia="宋体" w:cs="宋体"/>
          <w:b w:val="0"/>
          <w:bCs w:val="0"/>
          <w:color w:val="auto"/>
          <w:spacing w:val="-7"/>
          <w:sz w:val="21"/>
          <w:szCs w:val="21"/>
          <w:highlight w:val="none"/>
        </w:rPr>
        <w:t>、</w:t>
      </w:r>
      <w:r>
        <w:rPr>
          <w:rFonts w:hint="eastAsia" w:ascii="宋体" w:hAnsi="宋体" w:eastAsia="宋体" w:cs="宋体"/>
          <w:b w:val="0"/>
          <w:bCs w:val="0"/>
          <w:color w:val="auto"/>
          <w:spacing w:val="-53"/>
          <w:sz w:val="21"/>
          <w:szCs w:val="21"/>
          <w:highlight w:val="none"/>
        </w:rPr>
        <w:t xml:space="preserve"> </w:t>
      </w:r>
      <w:r>
        <w:rPr>
          <w:rFonts w:hint="eastAsia" w:ascii="宋体" w:hAnsi="宋体" w:eastAsia="宋体" w:cs="宋体"/>
          <w:b w:val="0"/>
          <w:bCs w:val="0"/>
          <w:color w:val="auto"/>
          <w:spacing w:val="-7"/>
          <w:sz w:val="21"/>
          <w:szCs w:val="21"/>
          <w:highlight w:val="none"/>
        </w:rPr>
        <w:t>考核依据与方式</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8"/>
          <w:sz w:val="21"/>
          <w:szCs w:val="21"/>
          <w:highlight w:val="none"/>
        </w:rPr>
        <w:fldChar w:fldCharType="end"/>
      </w:r>
    </w:p>
    <w:p w14:paraId="14FE254B">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"bookmark18"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13"/>
          <w:sz w:val="21"/>
          <w:szCs w:val="21"/>
          <w:highlight w:val="none"/>
        </w:rPr>
        <w:t>6.1 考核依据</w:t>
      </w:r>
      <w:r>
        <w:rPr>
          <w:rFonts w:hint="eastAsia" w:ascii="宋体" w:hAnsi="宋体" w:eastAsia="宋体" w:cs="宋体"/>
          <w:b w:val="0"/>
          <w:bCs w:val="0"/>
          <w:color w:val="auto"/>
          <w:spacing w:val="-76"/>
          <w:sz w:val="21"/>
          <w:szCs w:val="21"/>
          <w:highlight w:val="none"/>
        </w:rPr>
        <w:t xml:space="preserve"> </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8"/>
          <w:sz w:val="21"/>
          <w:szCs w:val="21"/>
          <w:highlight w:val="none"/>
        </w:rPr>
        <w:fldChar w:fldCharType="end"/>
      </w:r>
    </w:p>
    <w:p w14:paraId="56CBDD37">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ascii="宋体" w:hAnsi="宋体" w:eastAsia="宋体"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"bookmark19" </w:instrText>
      </w:r>
      <w:r>
        <w:rPr>
          <w:rFonts w:hint="eastAsia" w:cs="宋体"/>
          <w:b w:val="0"/>
          <w:bCs w:val="0"/>
          <w:color w:val="auto"/>
          <w:sz w:val="21"/>
          <w:szCs w:val="21"/>
          <w:highlight w:val="none"/>
        </w:rPr>
        <w:fldChar w:fldCharType="separate"/>
      </w:r>
      <w:r>
        <w:rPr>
          <w:rFonts w:hint="eastAsia" w:ascii="宋体" w:hAnsi="宋体" w:eastAsia="宋体" w:cs="宋体"/>
          <w:b w:val="0"/>
          <w:bCs w:val="0"/>
          <w:color w:val="auto"/>
          <w:spacing w:val="-2"/>
          <w:sz w:val="21"/>
          <w:szCs w:val="21"/>
          <w:highlight w:val="none"/>
        </w:rPr>
        <w:t>6.2考核方式</w:t>
      </w:r>
      <w:r>
        <w:rPr>
          <w:rFonts w:hint="eastAsia" w:ascii="宋体" w:hAnsi="宋体" w:eastAsia="宋体" w:cs="宋体"/>
          <w:b w:val="0"/>
          <w:bCs w:val="0"/>
          <w:color w:val="auto"/>
          <w:sz w:val="21"/>
          <w:szCs w:val="21"/>
          <w:highlight w:val="none"/>
        </w:rPr>
        <w:tab/>
      </w:r>
      <w:r>
        <w:rPr>
          <w:rFonts w:hint="eastAsia" w:ascii="宋体" w:hAnsi="宋体" w:eastAsia="宋体" w:cs="宋体"/>
          <w:b w:val="0"/>
          <w:bCs w:val="0"/>
          <w:color w:val="auto"/>
          <w:spacing w:val="-7"/>
          <w:sz w:val="21"/>
          <w:szCs w:val="21"/>
          <w:highlight w:val="none"/>
        </w:rPr>
        <w:fldChar w:fldCharType="end"/>
      </w:r>
    </w:p>
    <w:p w14:paraId="13263450">
      <w:pPr>
        <w:keepNext w:val="0"/>
        <w:keepLines w:val="0"/>
        <w:pageBreakBefore w:val="0"/>
        <w:widowControl/>
        <w:tabs>
          <w:tab w:val="right" w:leader="dot" w:pos="7950"/>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"bookmark20" </w:instrText>
      </w:r>
      <w:r>
        <w:rPr>
          <w:rFonts w:hint="eastAsia" w:cs="宋体"/>
          <w:b w:val="0"/>
          <w:bCs w:val="0"/>
          <w:color w:val="auto"/>
          <w:sz w:val="21"/>
          <w:szCs w:val="21"/>
          <w:highlight w:val="none"/>
        </w:rPr>
        <w:fldChar w:fldCharType="separate"/>
      </w:r>
      <w:r>
        <w:rPr>
          <w:rFonts w:hint="eastAsia" w:cs="宋体"/>
          <w:b w:val="0"/>
          <w:bCs w:val="0"/>
          <w:color w:val="auto"/>
          <w:sz w:val="21"/>
          <w:szCs w:val="21"/>
          <w:highlight w:val="none"/>
          <w:lang w:val="en-US" w:eastAsia="zh-CN"/>
        </w:rPr>
        <w:t>七、</w:t>
      </w:r>
      <w:r>
        <w:rPr>
          <w:rFonts w:hint="eastAsia" w:cs="宋体"/>
          <w:b w:val="0"/>
          <w:bCs w:val="0"/>
          <w:color w:val="auto"/>
          <w:sz w:val="21"/>
          <w:szCs w:val="21"/>
          <w:highlight w:val="none"/>
        </w:rPr>
        <w:t>考核主体与规则</w:t>
      </w:r>
      <w:r>
        <w:rPr>
          <w:rFonts w:hint="eastAsia" w:cs="宋体"/>
          <w:b w:val="0"/>
          <w:bCs w:val="0"/>
          <w:color w:val="auto"/>
          <w:sz w:val="21"/>
          <w:szCs w:val="21"/>
          <w:highlight w:val="none"/>
        </w:rPr>
        <w:tab/>
      </w:r>
      <w:r>
        <w:rPr>
          <w:rFonts w:hint="eastAsia" w:cs="宋体"/>
          <w:b w:val="0"/>
          <w:bCs w:val="0"/>
          <w:color w:val="auto"/>
          <w:sz w:val="21"/>
          <w:szCs w:val="21"/>
          <w:highlight w:val="none"/>
        </w:rPr>
        <w:fldChar w:fldCharType="end"/>
      </w:r>
    </w:p>
    <w:p w14:paraId="4539FADD">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"bookmark21" </w:instrText>
      </w:r>
      <w:r>
        <w:rPr>
          <w:rFonts w:hint="eastAsia" w:cs="宋体"/>
          <w:b w:val="0"/>
          <w:bCs w:val="0"/>
          <w:color w:val="auto"/>
          <w:sz w:val="21"/>
          <w:szCs w:val="21"/>
          <w:highlight w:val="none"/>
        </w:rPr>
        <w:fldChar w:fldCharType="separate"/>
      </w:r>
      <w:r>
        <w:rPr>
          <w:rFonts w:hint="eastAsia" w:cs="宋体"/>
          <w:b w:val="0"/>
          <w:bCs w:val="0"/>
          <w:color w:val="auto"/>
          <w:sz w:val="21"/>
          <w:szCs w:val="21"/>
          <w:highlight w:val="none"/>
        </w:rPr>
        <w:t xml:space="preserve">7.1考核主体 </w:t>
      </w:r>
      <w:r>
        <w:rPr>
          <w:rFonts w:hint="eastAsia" w:cs="宋体"/>
          <w:b w:val="0"/>
          <w:bCs w:val="0"/>
          <w:color w:val="auto"/>
          <w:sz w:val="21"/>
          <w:szCs w:val="21"/>
          <w:highlight w:val="none"/>
        </w:rPr>
        <w:tab/>
      </w:r>
      <w:r>
        <w:rPr>
          <w:rFonts w:hint="eastAsia" w:cs="宋体"/>
          <w:b w:val="0"/>
          <w:bCs w:val="0"/>
          <w:color w:val="auto"/>
          <w:sz w:val="21"/>
          <w:szCs w:val="21"/>
          <w:highlight w:val="none"/>
        </w:rPr>
        <w:fldChar w:fldCharType="end"/>
      </w:r>
    </w:p>
    <w:p w14:paraId="078431FB">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"bookmark22" </w:instrText>
      </w:r>
      <w:r>
        <w:rPr>
          <w:rFonts w:hint="eastAsia" w:cs="宋体"/>
          <w:b w:val="0"/>
          <w:bCs w:val="0"/>
          <w:color w:val="auto"/>
          <w:sz w:val="21"/>
          <w:szCs w:val="21"/>
          <w:highlight w:val="none"/>
        </w:rPr>
        <w:fldChar w:fldCharType="separate"/>
      </w:r>
      <w:r>
        <w:rPr>
          <w:rFonts w:hint="eastAsia" w:cs="宋体"/>
          <w:b w:val="0"/>
          <w:bCs w:val="0"/>
          <w:color w:val="auto"/>
          <w:sz w:val="21"/>
          <w:szCs w:val="21"/>
          <w:highlight w:val="none"/>
        </w:rPr>
        <w:t xml:space="preserve">7.2 考核规则 </w:t>
      </w:r>
      <w:r>
        <w:rPr>
          <w:rFonts w:hint="eastAsia" w:cs="宋体"/>
          <w:b w:val="0"/>
          <w:bCs w:val="0"/>
          <w:color w:val="auto"/>
          <w:sz w:val="21"/>
          <w:szCs w:val="21"/>
          <w:highlight w:val="none"/>
        </w:rPr>
        <w:tab/>
      </w:r>
      <w:r>
        <w:rPr>
          <w:rFonts w:hint="eastAsia" w:cs="宋体"/>
          <w:b w:val="0"/>
          <w:bCs w:val="0"/>
          <w:color w:val="auto"/>
          <w:sz w:val="21"/>
          <w:szCs w:val="21"/>
          <w:highlight w:val="none"/>
        </w:rPr>
        <w:fldChar w:fldCharType="end"/>
      </w:r>
    </w:p>
    <w:p w14:paraId="2145DDA2">
      <w:pPr>
        <w:keepNext w:val="0"/>
        <w:keepLines w:val="0"/>
        <w:pageBreakBefore w:val="0"/>
        <w:widowControl/>
        <w:tabs>
          <w:tab w:val="right" w:leader="dot" w:pos="794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eastAsia="宋体" w:cs="宋体"/>
          <w:b w:val="0"/>
          <w:bCs w:val="0"/>
          <w:color w:val="auto"/>
          <w:sz w:val="21"/>
          <w:szCs w:val="21"/>
          <w:highlight w:val="none"/>
          <w:lang w:val="en-US" w:eastAsia="zh-CN"/>
        </w:rPr>
      </w:pPr>
      <w:r>
        <w:rPr>
          <w:rFonts w:hint="eastAsia" w:eastAsia="宋体" w:cs="宋体"/>
          <w:b w:val="0"/>
          <w:bCs w:val="0"/>
          <w:color w:val="auto"/>
          <w:sz w:val="21"/>
          <w:szCs w:val="21"/>
          <w:highlight w:val="none"/>
          <w:lang w:val="en-US" w:eastAsia="zh-CN"/>
        </w:rPr>
        <w:t>7.3考核异议处理</w:t>
      </w:r>
      <w:r>
        <w:rPr>
          <w:rFonts w:hint="eastAsia" w:cs="宋体"/>
          <w:b w:val="0"/>
          <w:bCs w:val="0"/>
          <w:color w:val="auto"/>
          <w:sz w:val="21"/>
          <w:szCs w:val="21"/>
          <w:highlight w:val="none"/>
        </w:rPr>
        <w:tab/>
      </w:r>
    </w:p>
    <w:p w14:paraId="36CB07EC">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rPr>
      </w:pPr>
      <w:r>
        <w:rPr>
          <w:rFonts w:hint="eastAsia" w:cs="宋体"/>
          <w:b w:val="0"/>
          <w:bCs w:val="0"/>
          <w:color w:val="auto"/>
          <w:sz w:val="21"/>
          <w:szCs w:val="21"/>
          <w:highlight w:val="none"/>
          <w:lang w:val="en-US" w:eastAsia="zh-CN"/>
        </w:rPr>
        <w:t>八</w:t>
      </w: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"bookmark23" </w:instrText>
      </w:r>
      <w:r>
        <w:rPr>
          <w:rFonts w:hint="eastAsia" w:cs="宋体"/>
          <w:b w:val="0"/>
          <w:bCs w:val="0"/>
          <w:color w:val="auto"/>
          <w:sz w:val="21"/>
          <w:szCs w:val="21"/>
          <w:highlight w:val="none"/>
        </w:rPr>
        <w:fldChar w:fldCharType="separate"/>
      </w:r>
      <w:r>
        <w:rPr>
          <w:rFonts w:hint="eastAsia" w:cs="宋体"/>
          <w:b w:val="0"/>
          <w:bCs w:val="0"/>
          <w:color w:val="auto"/>
          <w:sz w:val="21"/>
          <w:szCs w:val="21"/>
          <w:highlight w:val="none"/>
          <w:lang w:val="en-US" w:eastAsia="zh-CN"/>
        </w:rPr>
        <w:t>、</w:t>
      </w:r>
      <w:r>
        <w:rPr>
          <w:rFonts w:hint="eastAsia" w:cs="宋体"/>
          <w:b w:val="0"/>
          <w:bCs w:val="0"/>
          <w:color w:val="auto"/>
          <w:sz w:val="21"/>
          <w:szCs w:val="21"/>
          <w:highlight w:val="none"/>
        </w:rPr>
        <w:t xml:space="preserve">保险及风险防控 </w:t>
      </w:r>
      <w:r>
        <w:rPr>
          <w:rFonts w:hint="eastAsia" w:cs="宋体"/>
          <w:b w:val="0"/>
          <w:bCs w:val="0"/>
          <w:color w:val="auto"/>
          <w:sz w:val="21"/>
          <w:szCs w:val="21"/>
          <w:highlight w:val="none"/>
        </w:rPr>
        <w:tab/>
      </w:r>
      <w:r>
        <w:rPr>
          <w:rFonts w:hint="eastAsia" w:cs="宋体"/>
          <w:b w:val="0"/>
          <w:bCs w:val="0"/>
          <w:color w:val="auto"/>
          <w:sz w:val="21"/>
          <w:szCs w:val="21"/>
          <w:highlight w:val="none"/>
        </w:rPr>
        <w:fldChar w:fldCharType="end"/>
      </w:r>
    </w:p>
    <w:p w14:paraId="7D22D2A8">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"bookmark24" </w:instrText>
      </w:r>
      <w:r>
        <w:rPr>
          <w:rFonts w:hint="eastAsia" w:cs="宋体"/>
          <w:b w:val="0"/>
          <w:bCs w:val="0"/>
          <w:color w:val="auto"/>
          <w:sz w:val="21"/>
          <w:szCs w:val="21"/>
          <w:highlight w:val="none"/>
        </w:rPr>
        <w:fldChar w:fldCharType="separate"/>
      </w:r>
      <w:r>
        <w:rPr>
          <w:rFonts w:hint="eastAsia" w:cs="宋体"/>
          <w:b w:val="0"/>
          <w:bCs w:val="0"/>
          <w:color w:val="auto"/>
          <w:sz w:val="21"/>
          <w:szCs w:val="21"/>
          <w:highlight w:val="none"/>
        </w:rPr>
        <w:t>8.1 保险责任</w:t>
      </w:r>
      <w:r>
        <w:rPr>
          <w:rFonts w:hint="eastAsia" w:cs="宋体"/>
          <w:b w:val="0"/>
          <w:bCs w:val="0"/>
          <w:color w:val="auto"/>
          <w:sz w:val="21"/>
          <w:szCs w:val="21"/>
          <w:highlight w:val="none"/>
        </w:rPr>
        <w:tab/>
      </w:r>
      <w:r>
        <w:rPr>
          <w:rFonts w:hint="eastAsia" w:cs="宋体"/>
          <w:b w:val="0"/>
          <w:bCs w:val="0"/>
          <w:color w:val="auto"/>
          <w:sz w:val="21"/>
          <w:szCs w:val="21"/>
          <w:highlight w:val="none"/>
        </w:rPr>
        <w:fldChar w:fldCharType="end"/>
      </w:r>
    </w:p>
    <w:p w14:paraId="02ECD61B">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rPr>
      </w:pPr>
      <w:r>
        <w:rPr>
          <w:rFonts w:hint="eastAsia" w:cs="宋体"/>
          <w:b w:val="0"/>
          <w:bCs w:val="0"/>
          <w:color w:val="auto"/>
          <w:sz w:val="21"/>
          <w:szCs w:val="21"/>
          <w:highlight w:val="none"/>
        </w:rPr>
        <w:fldChar w:fldCharType="begin"/>
      </w:r>
      <w:r>
        <w:rPr>
          <w:rFonts w:hint="eastAsia" w:cs="宋体"/>
          <w:b w:val="0"/>
          <w:bCs w:val="0"/>
          <w:color w:val="auto"/>
          <w:sz w:val="21"/>
          <w:szCs w:val="21"/>
          <w:highlight w:val="none"/>
        </w:rPr>
        <w:instrText xml:space="preserve"> HYPERLINK \l "bookmark25" </w:instrText>
      </w:r>
      <w:r>
        <w:rPr>
          <w:rFonts w:hint="eastAsia" w:cs="宋体"/>
          <w:b w:val="0"/>
          <w:bCs w:val="0"/>
          <w:color w:val="auto"/>
          <w:sz w:val="21"/>
          <w:szCs w:val="21"/>
          <w:highlight w:val="none"/>
        </w:rPr>
        <w:fldChar w:fldCharType="separate"/>
      </w:r>
      <w:r>
        <w:rPr>
          <w:rFonts w:hint="eastAsia" w:cs="宋体"/>
          <w:b w:val="0"/>
          <w:bCs w:val="0"/>
          <w:color w:val="auto"/>
          <w:sz w:val="21"/>
          <w:szCs w:val="21"/>
          <w:highlight w:val="none"/>
        </w:rPr>
        <w:t>8.2 风险防控措施</w:t>
      </w:r>
      <w:r>
        <w:rPr>
          <w:rFonts w:hint="eastAsia" w:cs="宋体"/>
          <w:b w:val="0"/>
          <w:bCs w:val="0"/>
          <w:color w:val="auto"/>
          <w:sz w:val="21"/>
          <w:szCs w:val="21"/>
          <w:highlight w:val="none"/>
        </w:rPr>
        <w:tab/>
      </w:r>
      <w:r>
        <w:rPr>
          <w:rFonts w:hint="eastAsia" w:cs="宋体"/>
          <w:b w:val="0"/>
          <w:bCs w:val="0"/>
          <w:color w:val="auto"/>
          <w:sz w:val="21"/>
          <w:szCs w:val="21"/>
          <w:highlight w:val="none"/>
        </w:rPr>
        <w:fldChar w:fldCharType="end"/>
      </w:r>
    </w:p>
    <w:p w14:paraId="4A5BAAA0">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00" w:firstLineChars="400"/>
        <w:jc w:val="both"/>
        <w:textAlignment w:val="baseline"/>
        <w:rPr>
          <w:rFonts w:hint="eastAsia" w:cs="宋体"/>
          <w:b w:val="0"/>
          <w:bCs w:val="0"/>
          <w:color w:val="auto"/>
          <w:sz w:val="21"/>
          <w:szCs w:val="21"/>
          <w:highlight w:val="none"/>
          <w:lang w:val="en-US" w:eastAsia="zh-CN"/>
        </w:rPr>
      </w:pPr>
      <w:r>
        <w:rPr>
          <w:rFonts w:hint="eastAsia" w:ascii="宋体" w:hAnsi="宋体" w:eastAsia="宋体" w:cs="宋体"/>
          <w:color w:val="auto"/>
          <w:sz w:val="20"/>
          <w:szCs w:val="20"/>
          <w:highlight w:val="none"/>
          <w:lang w:val="en-US" w:eastAsia="zh-CN"/>
        </w:rPr>
        <w:t xml:space="preserve"> </w:t>
      </w:r>
      <w:r>
        <w:rPr>
          <w:rFonts w:hint="eastAsia" w:cs="宋体"/>
          <w:b w:val="0"/>
          <w:bCs w:val="0"/>
          <w:color w:val="auto"/>
          <w:sz w:val="21"/>
          <w:szCs w:val="21"/>
          <w:highlight w:val="none"/>
          <w:lang w:val="en-US" w:eastAsia="zh-CN"/>
        </w:rPr>
        <w:fldChar w:fldCharType="begin"/>
      </w:r>
      <w:r>
        <w:rPr>
          <w:rFonts w:hint="eastAsia" w:cs="宋体"/>
          <w:b w:val="0"/>
          <w:bCs w:val="0"/>
          <w:color w:val="auto"/>
          <w:sz w:val="21"/>
          <w:szCs w:val="21"/>
          <w:highlight w:val="none"/>
          <w:lang w:val="en-US" w:eastAsia="zh-CN"/>
        </w:rPr>
        <w:instrText xml:space="preserve"> HYPERLINK \l "bookmark26" </w:instrText>
      </w:r>
      <w:r>
        <w:rPr>
          <w:rFonts w:hint="eastAsia" w:cs="宋体"/>
          <w:b w:val="0"/>
          <w:bCs w:val="0"/>
          <w:color w:val="auto"/>
          <w:sz w:val="21"/>
          <w:szCs w:val="21"/>
          <w:highlight w:val="none"/>
          <w:lang w:val="en-US" w:eastAsia="zh-CN"/>
        </w:rPr>
        <w:fldChar w:fldCharType="separate"/>
      </w:r>
      <w:r>
        <w:rPr>
          <w:rFonts w:hint="eastAsia" w:cs="宋体"/>
          <w:b w:val="0"/>
          <w:bCs w:val="0"/>
          <w:color w:val="auto"/>
          <w:sz w:val="21"/>
          <w:szCs w:val="21"/>
          <w:highlight w:val="none"/>
          <w:lang w:val="en-US" w:eastAsia="zh-CN"/>
        </w:rPr>
        <w:t xml:space="preserve">九 、违约责任 </w:t>
      </w:r>
      <w:r>
        <w:rPr>
          <w:rFonts w:hint="eastAsia" w:cs="宋体"/>
          <w:b w:val="0"/>
          <w:bCs w:val="0"/>
          <w:color w:val="auto"/>
          <w:sz w:val="21"/>
          <w:szCs w:val="21"/>
          <w:highlight w:val="none"/>
          <w:lang w:val="en-US" w:eastAsia="zh-CN"/>
        </w:rPr>
        <w:tab/>
      </w:r>
      <w:r>
        <w:rPr>
          <w:rFonts w:hint="eastAsia" w:cs="宋体"/>
          <w:b w:val="0"/>
          <w:bCs w:val="0"/>
          <w:color w:val="auto"/>
          <w:sz w:val="21"/>
          <w:szCs w:val="21"/>
          <w:highlight w:val="none"/>
          <w:lang w:val="en-US" w:eastAsia="zh-CN"/>
        </w:rPr>
        <w:fldChar w:fldCharType="end"/>
      </w:r>
    </w:p>
    <w:p w14:paraId="1483299C">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fldChar w:fldCharType="begin"/>
      </w:r>
      <w:r>
        <w:rPr>
          <w:rFonts w:hint="eastAsia" w:cs="宋体"/>
          <w:b w:val="0"/>
          <w:bCs w:val="0"/>
          <w:color w:val="auto"/>
          <w:sz w:val="21"/>
          <w:szCs w:val="21"/>
          <w:highlight w:val="none"/>
          <w:lang w:val="en-US" w:eastAsia="zh-CN"/>
        </w:rPr>
        <w:instrText xml:space="preserve"> HYPERLINK \l "bookmark27" </w:instrText>
      </w:r>
      <w:r>
        <w:rPr>
          <w:rFonts w:hint="eastAsia" w:cs="宋体"/>
          <w:b w:val="0"/>
          <w:bCs w:val="0"/>
          <w:color w:val="auto"/>
          <w:sz w:val="21"/>
          <w:szCs w:val="21"/>
          <w:highlight w:val="none"/>
          <w:lang w:val="en-US" w:eastAsia="zh-CN"/>
        </w:rPr>
        <w:fldChar w:fldCharType="separate"/>
      </w:r>
      <w:r>
        <w:rPr>
          <w:rFonts w:hint="eastAsia" w:cs="宋体"/>
          <w:b w:val="0"/>
          <w:bCs w:val="0"/>
          <w:color w:val="auto"/>
          <w:sz w:val="21"/>
          <w:szCs w:val="21"/>
          <w:highlight w:val="none"/>
          <w:lang w:val="en-US" w:eastAsia="zh-CN"/>
        </w:rPr>
        <w:t>十 、 合同解除</w:t>
      </w:r>
      <w:r>
        <w:rPr>
          <w:rFonts w:hint="eastAsia" w:cs="宋体"/>
          <w:b w:val="0"/>
          <w:bCs w:val="0"/>
          <w:color w:val="auto"/>
          <w:sz w:val="21"/>
          <w:szCs w:val="21"/>
          <w:highlight w:val="none"/>
          <w:lang w:val="en-US" w:eastAsia="zh-CN"/>
        </w:rPr>
        <w:tab/>
      </w:r>
      <w:r>
        <w:rPr>
          <w:rFonts w:hint="eastAsia" w:cs="宋体"/>
          <w:b w:val="0"/>
          <w:bCs w:val="0"/>
          <w:color w:val="auto"/>
          <w:sz w:val="21"/>
          <w:szCs w:val="21"/>
          <w:highlight w:val="none"/>
          <w:lang w:val="en-US" w:eastAsia="zh-CN"/>
        </w:rPr>
        <w:fldChar w:fldCharType="end"/>
      </w:r>
    </w:p>
    <w:p w14:paraId="40EC7743">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fldChar w:fldCharType="begin"/>
      </w:r>
      <w:r>
        <w:rPr>
          <w:rFonts w:hint="eastAsia" w:cs="宋体"/>
          <w:b w:val="0"/>
          <w:bCs w:val="0"/>
          <w:color w:val="auto"/>
          <w:sz w:val="21"/>
          <w:szCs w:val="21"/>
          <w:highlight w:val="none"/>
          <w:lang w:val="en-US" w:eastAsia="zh-CN"/>
        </w:rPr>
        <w:instrText xml:space="preserve"> HYPERLINK \l "bookmark28" </w:instrText>
      </w:r>
      <w:r>
        <w:rPr>
          <w:rFonts w:hint="eastAsia" w:cs="宋体"/>
          <w:b w:val="0"/>
          <w:bCs w:val="0"/>
          <w:color w:val="auto"/>
          <w:sz w:val="21"/>
          <w:szCs w:val="21"/>
          <w:highlight w:val="none"/>
          <w:lang w:val="en-US" w:eastAsia="zh-CN"/>
        </w:rPr>
        <w:fldChar w:fldCharType="separate"/>
      </w:r>
      <w:r>
        <w:rPr>
          <w:rFonts w:hint="eastAsia" w:cs="宋体"/>
          <w:b w:val="0"/>
          <w:bCs w:val="0"/>
          <w:color w:val="auto"/>
          <w:sz w:val="21"/>
          <w:szCs w:val="21"/>
          <w:highlight w:val="none"/>
          <w:lang w:val="en-US" w:eastAsia="zh-CN"/>
        </w:rPr>
        <w:t xml:space="preserve">十 一 、不可抗力  </w:t>
      </w:r>
      <w:r>
        <w:rPr>
          <w:rFonts w:hint="eastAsia" w:cs="宋体"/>
          <w:b w:val="0"/>
          <w:bCs w:val="0"/>
          <w:color w:val="auto"/>
          <w:sz w:val="21"/>
          <w:szCs w:val="21"/>
          <w:highlight w:val="none"/>
          <w:lang w:val="en-US" w:eastAsia="zh-CN"/>
        </w:rPr>
        <w:tab/>
      </w:r>
      <w:r>
        <w:rPr>
          <w:rFonts w:hint="eastAsia" w:cs="宋体"/>
          <w:b w:val="0"/>
          <w:bCs w:val="0"/>
          <w:color w:val="auto"/>
          <w:sz w:val="21"/>
          <w:szCs w:val="21"/>
          <w:highlight w:val="none"/>
          <w:lang w:val="en-US" w:eastAsia="zh-CN"/>
        </w:rPr>
        <w:fldChar w:fldCharType="end"/>
      </w:r>
    </w:p>
    <w:p w14:paraId="23826D98">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fldChar w:fldCharType="begin"/>
      </w:r>
      <w:r>
        <w:rPr>
          <w:rFonts w:hint="eastAsia" w:cs="宋体"/>
          <w:b w:val="0"/>
          <w:bCs w:val="0"/>
          <w:color w:val="auto"/>
          <w:sz w:val="21"/>
          <w:szCs w:val="21"/>
          <w:highlight w:val="none"/>
          <w:lang w:val="en-US" w:eastAsia="zh-CN"/>
        </w:rPr>
        <w:instrText xml:space="preserve"> HYPERLINK \l "bookmark29" </w:instrText>
      </w:r>
      <w:r>
        <w:rPr>
          <w:rFonts w:hint="eastAsia" w:cs="宋体"/>
          <w:b w:val="0"/>
          <w:bCs w:val="0"/>
          <w:color w:val="auto"/>
          <w:sz w:val="21"/>
          <w:szCs w:val="21"/>
          <w:highlight w:val="none"/>
          <w:lang w:val="en-US" w:eastAsia="zh-CN"/>
        </w:rPr>
        <w:fldChar w:fldCharType="separate"/>
      </w:r>
      <w:r>
        <w:rPr>
          <w:rFonts w:hint="eastAsia" w:cs="宋体"/>
          <w:b w:val="0"/>
          <w:bCs w:val="0"/>
          <w:color w:val="auto"/>
          <w:sz w:val="21"/>
          <w:szCs w:val="21"/>
          <w:highlight w:val="none"/>
          <w:lang w:val="en-US" w:eastAsia="zh-CN"/>
        </w:rPr>
        <w:t>十二、争议解决</w:t>
      </w:r>
      <w:r>
        <w:rPr>
          <w:rFonts w:hint="eastAsia" w:cs="宋体"/>
          <w:b w:val="0"/>
          <w:bCs w:val="0"/>
          <w:color w:val="auto"/>
          <w:sz w:val="21"/>
          <w:szCs w:val="21"/>
          <w:highlight w:val="none"/>
          <w:lang w:val="en-US" w:eastAsia="zh-CN"/>
        </w:rPr>
        <w:tab/>
      </w:r>
      <w:r>
        <w:rPr>
          <w:rFonts w:hint="eastAsia" w:cs="宋体"/>
          <w:b w:val="0"/>
          <w:bCs w:val="0"/>
          <w:color w:val="auto"/>
          <w:sz w:val="21"/>
          <w:szCs w:val="21"/>
          <w:highlight w:val="none"/>
          <w:lang w:val="en-US" w:eastAsia="zh-CN"/>
        </w:rPr>
        <w:fldChar w:fldCharType="end"/>
      </w:r>
    </w:p>
    <w:p w14:paraId="0A04271C">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fldChar w:fldCharType="begin"/>
      </w:r>
      <w:r>
        <w:rPr>
          <w:rFonts w:hint="eastAsia" w:cs="宋体"/>
          <w:b w:val="0"/>
          <w:bCs w:val="0"/>
          <w:color w:val="auto"/>
          <w:sz w:val="21"/>
          <w:szCs w:val="21"/>
          <w:highlight w:val="none"/>
          <w:lang w:val="en-US" w:eastAsia="zh-CN"/>
        </w:rPr>
        <w:instrText xml:space="preserve"> HYPERLINK \l "bookmark30" </w:instrText>
      </w:r>
      <w:r>
        <w:rPr>
          <w:rFonts w:hint="eastAsia" w:cs="宋体"/>
          <w:b w:val="0"/>
          <w:bCs w:val="0"/>
          <w:color w:val="auto"/>
          <w:sz w:val="21"/>
          <w:szCs w:val="21"/>
          <w:highlight w:val="none"/>
          <w:lang w:val="en-US" w:eastAsia="zh-CN"/>
        </w:rPr>
        <w:fldChar w:fldCharType="separate"/>
      </w:r>
      <w:r>
        <w:rPr>
          <w:rFonts w:hint="eastAsia" w:cs="宋体"/>
          <w:b w:val="0"/>
          <w:bCs w:val="0"/>
          <w:color w:val="auto"/>
          <w:sz w:val="21"/>
          <w:szCs w:val="21"/>
          <w:highlight w:val="none"/>
          <w:lang w:val="en-US" w:eastAsia="zh-CN"/>
        </w:rPr>
        <w:t>十三、通知与送达</w:t>
      </w:r>
      <w:r>
        <w:rPr>
          <w:rFonts w:hint="eastAsia" w:cs="宋体"/>
          <w:b w:val="0"/>
          <w:bCs w:val="0"/>
          <w:color w:val="auto"/>
          <w:sz w:val="21"/>
          <w:szCs w:val="21"/>
          <w:highlight w:val="none"/>
          <w:lang w:val="en-US" w:eastAsia="zh-CN"/>
        </w:rPr>
        <w:tab/>
      </w:r>
      <w:r>
        <w:rPr>
          <w:rFonts w:hint="eastAsia" w:cs="宋体"/>
          <w:b w:val="0"/>
          <w:bCs w:val="0"/>
          <w:color w:val="auto"/>
          <w:sz w:val="21"/>
          <w:szCs w:val="21"/>
          <w:highlight w:val="none"/>
          <w:lang w:val="en-US" w:eastAsia="zh-CN"/>
        </w:rPr>
        <w:fldChar w:fldCharType="end"/>
      </w:r>
    </w:p>
    <w:p w14:paraId="104A8C10">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fldChar w:fldCharType="begin"/>
      </w:r>
      <w:r>
        <w:rPr>
          <w:rFonts w:hint="eastAsia" w:cs="宋体"/>
          <w:b w:val="0"/>
          <w:bCs w:val="0"/>
          <w:color w:val="auto"/>
          <w:sz w:val="21"/>
          <w:szCs w:val="21"/>
          <w:highlight w:val="none"/>
          <w:lang w:val="en-US" w:eastAsia="zh-CN"/>
        </w:rPr>
        <w:instrText xml:space="preserve"> HYPERLINK \l "bookmark31" </w:instrText>
      </w:r>
      <w:r>
        <w:rPr>
          <w:rFonts w:hint="eastAsia" w:cs="宋体"/>
          <w:b w:val="0"/>
          <w:bCs w:val="0"/>
          <w:color w:val="auto"/>
          <w:sz w:val="21"/>
          <w:szCs w:val="21"/>
          <w:highlight w:val="none"/>
          <w:lang w:val="en-US" w:eastAsia="zh-CN"/>
        </w:rPr>
        <w:fldChar w:fldCharType="separate"/>
      </w:r>
      <w:r>
        <w:rPr>
          <w:rFonts w:hint="eastAsia" w:cs="宋体"/>
          <w:b w:val="0"/>
          <w:bCs w:val="0"/>
          <w:color w:val="auto"/>
          <w:sz w:val="21"/>
          <w:szCs w:val="21"/>
          <w:highlight w:val="none"/>
          <w:lang w:val="en-US" w:eastAsia="zh-CN"/>
        </w:rPr>
        <w:t xml:space="preserve">十四、协议生效及文件构成 </w:t>
      </w:r>
      <w:r>
        <w:rPr>
          <w:rFonts w:hint="eastAsia" w:cs="宋体"/>
          <w:b w:val="0"/>
          <w:bCs w:val="0"/>
          <w:color w:val="auto"/>
          <w:sz w:val="21"/>
          <w:szCs w:val="21"/>
          <w:highlight w:val="none"/>
          <w:lang w:val="en-US" w:eastAsia="zh-CN"/>
        </w:rPr>
        <w:tab/>
      </w:r>
      <w:r>
        <w:rPr>
          <w:rFonts w:hint="eastAsia" w:cs="宋体"/>
          <w:b w:val="0"/>
          <w:bCs w:val="0"/>
          <w:color w:val="auto"/>
          <w:sz w:val="21"/>
          <w:szCs w:val="21"/>
          <w:highlight w:val="none"/>
          <w:lang w:val="en-US" w:eastAsia="zh-CN"/>
        </w:rPr>
        <w:fldChar w:fldCharType="end"/>
      </w:r>
    </w:p>
    <w:p w14:paraId="6E72F1DD">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fldChar w:fldCharType="begin"/>
      </w:r>
      <w:r>
        <w:rPr>
          <w:rFonts w:hint="eastAsia" w:cs="宋体"/>
          <w:b w:val="0"/>
          <w:bCs w:val="0"/>
          <w:color w:val="auto"/>
          <w:sz w:val="21"/>
          <w:szCs w:val="21"/>
          <w:highlight w:val="none"/>
          <w:lang w:val="en-US" w:eastAsia="zh-CN"/>
        </w:rPr>
        <w:instrText xml:space="preserve"> HYPERLINK \l "bookmark32" </w:instrText>
      </w:r>
      <w:r>
        <w:rPr>
          <w:rFonts w:hint="eastAsia" w:cs="宋体"/>
          <w:b w:val="0"/>
          <w:bCs w:val="0"/>
          <w:color w:val="auto"/>
          <w:sz w:val="21"/>
          <w:szCs w:val="21"/>
          <w:highlight w:val="none"/>
          <w:lang w:val="en-US" w:eastAsia="zh-CN"/>
        </w:rPr>
        <w:fldChar w:fldCharType="separate"/>
      </w:r>
      <w:r>
        <w:rPr>
          <w:rFonts w:hint="eastAsia" w:cs="宋体"/>
          <w:b w:val="0"/>
          <w:bCs w:val="0"/>
          <w:color w:val="auto"/>
          <w:sz w:val="21"/>
          <w:szCs w:val="21"/>
          <w:highlight w:val="none"/>
          <w:lang w:val="en-US" w:eastAsia="zh-CN"/>
        </w:rPr>
        <w:t>十五、 保密</w:t>
      </w:r>
      <w:r>
        <w:rPr>
          <w:rFonts w:hint="eastAsia" w:cs="宋体"/>
          <w:b w:val="0"/>
          <w:bCs w:val="0"/>
          <w:color w:val="auto"/>
          <w:sz w:val="21"/>
          <w:szCs w:val="21"/>
          <w:highlight w:val="none"/>
          <w:lang w:val="en-US" w:eastAsia="zh-CN"/>
        </w:rPr>
        <w:tab/>
      </w:r>
      <w:r>
        <w:rPr>
          <w:rFonts w:hint="eastAsia" w:cs="宋体"/>
          <w:b w:val="0"/>
          <w:bCs w:val="0"/>
          <w:color w:val="auto"/>
          <w:sz w:val="21"/>
          <w:szCs w:val="21"/>
          <w:highlight w:val="none"/>
          <w:lang w:val="en-US" w:eastAsia="zh-CN"/>
        </w:rPr>
        <w:fldChar w:fldCharType="end"/>
      </w:r>
    </w:p>
    <w:p w14:paraId="703499C5">
      <w:pPr>
        <w:keepNext w:val="0"/>
        <w:keepLines w:val="0"/>
        <w:pageBreakBefore w:val="0"/>
        <w:widowControl/>
        <w:tabs>
          <w:tab w:val="right" w:leader="dot" w:pos="7967"/>
        </w:tabs>
        <w:kinsoku w:val="0"/>
        <w:wordWrap/>
        <w:overflowPunct/>
        <w:topLinePunct w:val="0"/>
        <w:autoSpaceDE/>
        <w:autoSpaceDN/>
        <w:bidi w:val="0"/>
        <w:adjustRightInd w:val="0"/>
        <w:snapToGrid w:val="0"/>
        <w:spacing w:before="0" w:line="440" w:lineRule="exact"/>
        <w:ind w:firstLine="840" w:firstLineChars="400"/>
        <w:jc w:val="both"/>
        <w:textAlignment w:val="baseline"/>
        <w:rPr>
          <w:rFonts w:hint="eastAsia" w:cs="宋体"/>
          <w:b w:val="0"/>
          <w:bCs w:val="0"/>
          <w:color w:val="auto"/>
          <w:sz w:val="21"/>
          <w:szCs w:val="21"/>
          <w:highlight w:val="none"/>
          <w:lang w:val="en-US" w:eastAsia="zh-CN"/>
        </w:rPr>
      </w:pPr>
      <w:r>
        <w:rPr>
          <w:rFonts w:hint="eastAsia" w:cs="宋体"/>
          <w:b w:val="0"/>
          <w:bCs w:val="0"/>
          <w:color w:val="auto"/>
          <w:sz w:val="21"/>
          <w:szCs w:val="21"/>
          <w:highlight w:val="none"/>
          <w:lang w:val="en-US" w:eastAsia="zh-CN"/>
        </w:rPr>
        <w:fldChar w:fldCharType="begin"/>
      </w:r>
      <w:r>
        <w:rPr>
          <w:rFonts w:hint="eastAsia" w:cs="宋体"/>
          <w:b w:val="0"/>
          <w:bCs w:val="0"/>
          <w:color w:val="auto"/>
          <w:sz w:val="21"/>
          <w:szCs w:val="21"/>
          <w:highlight w:val="none"/>
          <w:lang w:val="en-US" w:eastAsia="zh-CN"/>
        </w:rPr>
        <w:instrText xml:space="preserve"> HYPERLINK \l "bookmark33" </w:instrText>
      </w:r>
      <w:r>
        <w:rPr>
          <w:rFonts w:hint="eastAsia" w:cs="宋体"/>
          <w:b w:val="0"/>
          <w:bCs w:val="0"/>
          <w:color w:val="auto"/>
          <w:sz w:val="21"/>
          <w:szCs w:val="21"/>
          <w:highlight w:val="none"/>
          <w:lang w:val="en-US" w:eastAsia="zh-CN"/>
        </w:rPr>
        <w:fldChar w:fldCharType="separate"/>
      </w:r>
      <w:r>
        <w:rPr>
          <w:rFonts w:hint="eastAsia" w:cs="宋体"/>
          <w:b w:val="0"/>
          <w:bCs w:val="0"/>
          <w:color w:val="auto"/>
          <w:sz w:val="21"/>
          <w:szCs w:val="21"/>
          <w:highlight w:val="none"/>
          <w:lang w:val="en-US" w:eastAsia="zh-CN"/>
        </w:rPr>
        <w:t xml:space="preserve">十六、未尽事宜与补充约定 </w:t>
      </w:r>
      <w:r>
        <w:rPr>
          <w:rFonts w:hint="eastAsia" w:cs="宋体"/>
          <w:b w:val="0"/>
          <w:bCs w:val="0"/>
          <w:color w:val="auto"/>
          <w:sz w:val="21"/>
          <w:szCs w:val="21"/>
          <w:highlight w:val="none"/>
          <w:lang w:val="en-US" w:eastAsia="zh-CN"/>
        </w:rPr>
        <w:tab/>
      </w:r>
      <w:r>
        <w:rPr>
          <w:rFonts w:hint="eastAsia" w:cs="宋体"/>
          <w:b w:val="0"/>
          <w:bCs w:val="0"/>
          <w:color w:val="auto"/>
          <w:sz w:val="21"/>
          <w:szCs w:val="21"/>
          <w:highlight w:val="none"/>
          <w:lang w:val="en-US" w:eastAsia="zh-CN"/>
        </w:rPr>
        <w:fldChar w:fldCharType="end"/>
      </w:r>
    </w:p>
    <w:p w14:paraId="184FFAA2">
      <w:pPr>
        <w:keepNext w:val="0"/>
        <w:keepLines w:val="0"/>
        <w:pageBreakBefore w:val="0"/>
        <w:widowControl/>
        <w:tabs>
          <w:tab w:val="right" w:leader="dot" w:pos="7967"/>
        </w:tabs>
        <w:kinsoku w:val="0"/>
        <w:wordWrap/>
        <w:overflowPunct/>
        <w:topLinePunct w:val="0"/>
        <w:autoSpaceDE w:val="0"/>
        <w:autoSpaceDN w:val="0"/>
        <w:bidi w:val="0"/>
        <w:adjustRightInd w:val="0"/>
        <w:snapToGrid w:val="0"/>
        <w:spacing w:before="288" w:line="540" w:lineRule="exact"/>
        <w:ind w:firstLine="840" w:firstLineChars="400"/>
        <w:jc w:val="both"/>
        <w:textAlignment w:val="baseline"/>
        <w:rPr>
          <w:rFonts w:hint="eastAsia" w:cs="宋体"/>
          <w:b w:val="0"/>
          <w:bCs w:val="0"/>
          <w:color w:val="auto"/>
          <w:sz w:val="21"/>
          <w:szCs w:val="21"/>
          <w:highlight w:val="none"/>
          <w:lang w:val="en-US" w:eastAsia="zh-CN"/>
        </w:rPr>
      </w:pPr>
    </w:p>
    <w:p w14:paraId="3E9DAF73">
      <w:pPr>
        <w:keepNext w:val="0"/>
        <w:keepLines w:val="0"/>
        <w:pageBreakBefore w:val="0"/>
        <w:widowControl/>
        <w:kinsoku w:val="0"/>
        <w:wordWrap/>
        <w:overflowPunct/>
        <w:topLinePunct w:val="0"/>
        <w:autoSpaceDE w:val="0"/>
        <w:autoSpaceDN w:val="0"/>
        <w:bidi w:val="0"/>
        <w:adjustRightInd w:val="0"/>
        <w:snapToGrid w:val="0"/>
        <w:spacing w:line="560" w:lineRule="exact"/>
        <w:jc w:val="both"/>
        <w:textAlignment w:val="baseline"/>
        <w:rPr>
          <w:rFonts w:hint="eastAsia" w:ascii="宋体" w:hAnsi="宋体" w:eastAsia="宋体" w:cs="宋体"/>
          <w:b/>
          <w:bCs/>
          <w:color w:val="auto"/>
          <w:sz w:val="36"/>
          <w:szCs w:val="36"/>
          <w:highlight w:val="none"/>
          <w:u w:val="none"/>
          <w:lang w:val="en-US" w:eastAsia="zh-CN"/>
        </w:rPr>
      </w:pPr>
    </w:p>
    <w:p w14:paraId="611EEDC6">
      <w:pPr>
        <w:keepNext w:val="0"/>
        <w:keepLines w:val="0"/>
        <w:pageBreakBefore w:val="0"/>
        <w:widowControl/>
        <w:kinsoku/>
        <w:wordWrap/>
        <w:overflowPunct/>
        <w:topLinePunct w:val="0"/>
        <w:autoSpaceDE/>
        <w:autoSpaceDN/>
        <w:bidi w:val="0"/>
        <w:adjustRightInd/>
        <w:snapToGrid/>
        <w:spacing w:line="240" w:lineRule="auto"/>
        <w:jc w:val="left"/>
        <w:textAlignment w:val="auto"/>
        <w:rPr>
          <w:rFonts w:hint="eastAsia" w:ascii="宋体" w:hAnsi="宋体" w:eastAsia="宋体" w:cs="宋体"/>
          <w:b/>
          <w:bCs/>
          <w:color w:val="auto"/>
          <w:sz w:val="36"/>
          <w:szCs w:val="36"/>
          <w:highlight w:val="none"/>
          <w:u w:val="none"/>
          <w:lang w:val="en-US" w:eastAsia="zh-CN"/>
        </w:rPr>
      </w:pPr>
      <w:r>
        <w:rPr>
          <w:rFonts w:hint="eastAsia" w:ascii="宋体" w:hAnsi="宋体" w:eastAsia="宋体" w:cs="宋体"/>
          <w:b/>
          <w:bCs/>
          <w:color w:val="auto"/>
          <w:sz w:val="36"/>
          <w:szCs w:val="36"/>
          <w:highlight w:val="none"/>
          <w:u w:val="none"/>
          <w:lang w:val="en-US" w:eastAsia="zh-CN"/>
        </w:rPr>
        <w:br w:type="page"/>
      </w:r>
    </w:p>
    <w:p w14:paraId="4A2F7943">
      <w:pPr>
        <w:keepNext w:val="0"/>
        <w:keepLines w:val="0"/>
        <w:pageBreakBefore w:val="0"/>
        <w:widowControl/>
        <w:kinsoku w:val="0"/>
        <w:wordWrap/>
        <w:overflowPunct/>
        <w:topLinePunct w:val="0"/>
        <w:autoSpaceDE w:val="0"/>
        <w:autoSpaceDN w:val="0"/>
        <w:bidi w:val="0"/>
        <w:adjustRightInd w:val="0"/>
        <w:snapToGrid w:val="0"/>
        <w:spacing w:line="560" w:lineRule="exact"/>
        <w:jc w:val="center"/>
        <w:textAlignment w:val="baseline"/>
        <w:rPr>
          <w:rFonts w:hint="eastAsia" w:ascii="宋体" w:hAnsi="宋体" w:eastAsia="宋体" w:cs="宋体"/>
          <w:b/>
          <w:bCs/>
          <w:color w:val="auto"/>
          <w:sz w:val="36"/>
          <w:szCs w:val="36"/>
          <w:highlight w:val="none"/>
          <w:u w:val="none"/>
          <w:lang w:val="en-US" w:eastAsia="zh-CN"/>
        </w:rPr>
      </w:pPr>
      <w:r>
        <w:rPr>
          <w:rFonts w:hint="eastAsia" w:ascii="宋体" w:hAnsi="宋体" w:eastAsia="宋体" w:cs="宋体"/>
          <w:b/>
          <w:bCs/>
          <w:color w:val="auto"/>
          <w:sz w:val="36"/>
          <w:szCs w:val="36"/>
          <w:highlight w:val="none"/>
          <w:u w:val="none"/>
          <w:lang w:val="en-US" w:eastAsia="zh-CN"/>
        </w:rPr>
        <w:t>协 议 书</w:t>
      </w:r>
    </w:p>
    <w:p w14:paraId="302BFB26">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p>
    <w:p w14:paraId="596B2C29">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委托方（以下简称甲方）</w:t>
      </w:r>
      <w:r>
        <w:rPr>
          <w:rFonts w:hint="eastAsia" w:ascii="宋体" w:hAnsi="宋体" w:eastAsia="宋体" w:cs="宋体"/>
          <w:color w:val="auto"/>
          <w:sz w:val="24"/>
          <w:szCs w:val="24"/>
          <w:highlight w:val="none"/>
        </w:rPr>
        <w:t>：</w:t>
      </w:r>
      <w:r>
        <w:rPr>
          <w:rFonts w:hint="eastAsia" w:ascii="宋体" w:hAnsi="宋体" w:eastAsia="宋体" w:cs="宋体"/>
          <w:color w:val="auto"/>
          <w:sz w:val="24"/>
          <w:szCs w:val="24"/>
          <w:highlight w:val="none"/>
          <w:lang w:eastAsia="zh-CN"/>
        </w:rPr>
        <w:t>哈密市住房和城乡建设局</w:t>
      </w:r>
    </w:p>
    <w:p w14:paraId="3C8FCC52">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p w14:paraId="51CAFDC1">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住所地</w:t>
      </w:r>
      <w:r>
        <w:rPr>
          <w:rFonts w:hint="eastAsia" w:ascii="宋体" w:hAnsi="宋体" w:eastAsia="宋体" w:cs="宋体"/>
          <w:color w:val="auto"/>
          <w:sz w:val="24"/>
          <w:szCs w:val="24"/>
          <w:highlight w:val="none"/>
        </w:rPr>
        <w:t>：新疆哈密市伊州区</w:t>
      </w:r>
      <w:r>
        <w:rPr>
          <w:rFonts w:hint="eastAsia" w:ascii="宋体" w:hAnsi="宋体" w:eastAsia="宋体" w:cs="宋体"/>
          <w:color w:val="auto"/>
          <w:sz w:val="24"/>
          <w:szCs w:val="24"/>
          <w:highlight w:val="none"/>
          <w:lang w:val="en-US" w:eastAsia="zh-CN"/>
        </w:rPr>
        <w:t xml:space="preserve">    路</w:t>
      </w:r>
    </w:p>
    <w:p w14:paraId="6FC9E24E">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p w14:paraId="08DA0D04">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p w14:paraId="6F286385">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p>
    <w:p w14:paraId="79998031">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服务方（以下简称乙方）</w:t>
      </w:r>
      <w:r>
        <w:rPr>
          <w:rFonts w:hint="eastAsia" w:ascii="宋体" w:hAnsi="宋体" w:eastAsia="宋体" w:cs="宋体"/>
          <w:color w:val="auto"/>
          <w:sz w:val="24"/>
          <w:szCs w:val="24"/>
          <w:highlight w:val="none"/>
        </w:rPr>
        <w:t>：</w:t>
      </w:r>
    </w:p>
    <w:p w14:paraId="18F11C1A">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统一社会信用代码：</w:t>
      </w:r>
    </w:p>
    <w:p w14:paraId="71DDC8A7">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eastAsia="zh-CN"/>
        </w:rPr>
        <w:t>住所地</w:t>
      </w:r>
      <w:r>
        <w:rPr>
          <w:rFonts w:hint="eastAsia" w:ascii="宋体" w:hAnsi="宋体" w:eastAsia="宋体" w:cs="宋体"/>
          <w:color w:val="auto"/>
          <w:sz w:val="24"/>
          <w:szCs w:val="24"/>
          <w:highlight w:val="none"/>
        </w:rPr>
        <w:t>：</w:t>
      </w:r>
    </w:p>
    <w:p w14:paraId="52A765EE">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w:t>
      </w:r>
    </w:p>
    <w:p w14:paraId="39FA4239">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联系方式：</w:t>
      </w:r>
    </w:p>
    <w:p w14:paraId="36D363C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p>
    <w:p w14:paraId="64816362">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鉴于：</w:t>
      </w:r>
    </w:p>
    <w:p w14:paraId="751DCF95">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strike w:val="0"/>
          <w:dstrike w:val="0"/>
          <w:color w:val="auto"/>
          <w:sz w:val="24"/>
          <w:szCs w:val="24"/>
          <w:highlight w:val="none"/>
          <w:lang w:val="en-US" w:eastAsia="zh-CN"/>
        </w:rPr>
      </w:pPr>
      <w:r>
        <w:rPr>
          <w:rFonts w:hint="eastAsia" w:ascii="宋体" w:hAnsi="宋体" w:eastAsia="宋体" w:cs="宋体"/>
          <w:strike w:val="0"/>
          <w:dstrike w:val="0"/>
          <w:color w:val="auto"/>
          <w:sz w:val="24"/>
          <w:szCs w:val="24"/>
          <w:highlight w:val="none"/>
          <w:lang w:val="en-US" w:eastAsia="zh-CN"/>
        </w:rPr>
        <w:t>1、依据2025年印发的《哈密市市区两级城市建设管理事权关系改革优化方案》，原由哈密市伊州区国有资产监督管理委员会代管的石油基地市政设施管理职能，目前已全部移交至哈密市住房和城乡建设局，由该局统一负责并集中行使中心城区</w:t>
      </w:r>
      <w:r>
        <w:rPr>
          <w:rFonts w:hint="eastAsia" w:ascii="宋体" w:hAnsi="宋体" w:eastAsia="宋体" w:cs="宋体"/>
          <w:b w:val="0"/>
          <w:bCs/>
          <w:color w:val="auto"/>
          <w:sz w:val="24"/>
          <w:szCs w:val="24"/>
          <w:highlight w:val="none"/>
          <w:lang w:val="en-US" w:eastAsia="zh-CN"/>
        </w:rPr>
        <w:t>“市政、园林 、环卫一体化”</w:t>
      </w:r>
      <w:r>
        <w:rPr>
          <w:rFonts w:hint="eastAsia" w:ascii="宋体" w:hAnsi="宋体" w:eastAsia="宋体" w:cs="宋体"/>
          <w:strike w:val="0"/>
          <w:dstrike w:val="0"/>
          <w:color w:val="auto"/>
          <w:sz w:val="24"/>
          <w:szCs w:val="24"/>
          <w:highlight w:val="none"/>
          <w:lang w:val="en-US" w:eastAsia="zh-CN"/>
        </w:rPr>
        <w:t>管理职责。</w:t>
      </w:r>
    </w:p>
    <w:p w14:paraId="653A779D">
      <w:pPr>
        <w:pStyle w:val="81"/>
        <w:keepNext w:val="0"/>
        <w:keepLines w:val="0"/>
        <w:pageBreakBefore w:val="0"/>
        <w:widowControl/>
        <w:kinsoku/>
        <w:wordWrap/>
        <w:overflowPunct/>
        <w:topLinePunct w:val="0"/>
        <w:autoSpaceDE/>
        <w:autoSpaceDN/>
        <w:bidi w:val="0"/>
        <w:adjustRightInd/>
        <w:snapToGrid/>
        <w:spacing w:line="560" w:lineRule="exact"/>
        <w:ind w:firstLine="524" w:firstLineChars="200"/>
        <w:jc w:val="both"/>
        <w:textAlignment w:val="auto"/>
        <w:outlineLvl w:val="9"/>
        <w:rPr>
          <w:rFonts w:hint="eastAsia" w:ascii="宋体" w:hAnsi="宋体" w:eastAsia="宋体" w:cs="宋体"/>
          <w:strike w:val="0"/>
          <w:dstrike w:val="0"/>
          <w:color w:val="auto"/>
          <w:sz w:val="24"/>
          <w:szCs w:val="24"/>
          <w:highlight w:val="none"/>
          <w:lang w:val="en-US" w:eastAsia="zh-CN"/>
        </w:rPr>
      </w:pPr>
      <w:r>
        <w:rPr>
          <w:rFonts w:hint="eastAsia" w:ascii="宋体" w:hAnsi="宋体" w:eastAsia="宋体" w:cs="宋体"/>
          <w:i w:val="0"/>
          <w:iCs w:val="0"/>
          <w:caps w:val="0"/>
          <w:color w:val="auto"/>
          <w:spacing w:val="11"/>
          <w:sz w:val="24"/>
          <w:szCs w:val="24"/>
          <w:highlight w:val="none"/>
          <w:shd w:val="clear" w:fill="FFFFFF"/>
          <w:lang w:val="en-US" w:eastAsia="zh-CN"/>
        </w:rPr>
        <w:t>2</w:t>
      </w:r>
      <w:r>
        <w:rPr>
          <w:rFonts w:hint="eastAsia" w:ascii="宋体" w:hAnsi="宋体" w:eastAsia="宋体" w:cs="宋体"/>
          <w:i w:val="0"/>
          <w:iCs w:val="0"/>
          <w:caps w:val="0"/>
          <w:color w:val="auto"/>
          <w:spacing w:val="11"/>
          <w:sz w:val="24"/>
          <w:szCs w:val="24"/>
          <w:highlight w:val="none"/>
          <w:shd w:val="clear" w:fill="FFFFFF"/>
        </w:rPr>
        <w:t>.为保障</w:t>
      </w:r>
      <w:r>
        <w:rPr>
          <w:rFonts w:hint="eastAsia" w:ascii="宋体" w:hAnsi="宋体" w:eastAsia="宋体" w:cs="宋体"/>
          <w:strike w:val="0"/>
          <w:dstrike w:val="0"/>
          <w:color w:val="auto"/>
          <w:sz w:val="24"/>
          <w:szCs w:val="24"/>
          <w:highlight w:val="none"/>
          <w:lang w:val="en-US" w:eastAsia="zh-CN"/>
        </w:rPr>
        <w:t>石油基地</w:t>
      </w:r>
      <w:r>
        <w:rPr>
          <w:rFonts w:hint="eastAsia" w:ascii="宋体" w:hAnsi="宋体" w:eastAsia="宋体" w:cs="宋体"/>
          <w:i w:val="0"/>
          <w:iCs w:val="0"/>
          <w:caps w:val="0"/>
          <w:color w:val="auto"/>
          <w:spacing w:val="11"/>
          <w:sz w:val="24"/>
          <w:szCs w:val="24"/>
          <w:highlight w:val="none"/>
          <w:shd w:val="clear" w:fill="FFFFFF"/>
        </w:rPr>
        <w:t>市政、园林、环卫等公共服务的稳定，</w:t>
      </w:r>
      <w:r>
        <w:rPr>
          <w:rFonts w:hint="eastAsia" w:ascii="宋体" w:hAnsi="宋体" w:eastAsia="宋体" w:cs="宋体"/>
          <w:b w:val="0"/>
          <w:bCs/>
          <w:color w:val="auto"/>
          <w:sz w:val="24"/>
          <w:szCs w:val="24"/>
          <w:highlight w:val="none"/>
          <w:lang w:val="en-US" w:eastAsia="zh-CN"/>
        </w:rPr>
        <w:t>保障一体化运维服务</w:t>
      </w:r>
      <w:r>
        <w:rPr>
          <w:rFonts w:hint="eastAsia" w:ascii="宋体" w:hAnsi="宋体" w:eastAsia="宋体" w:cs="宋体"/>
          <w:color w:val="auto"/>
          <w:sz w:val="24"/>
          <w:szCs w:val="24"/>
          <w:highlight w:val="none"/>
          <w:lang w:val="en-US" w:eastAsia="zh-CN"/>
        </w:rPr>
        <w:t>平稳有序开展</w:t>
      </w:r>
      <w:r>
        <w:rPr>
          <w:rFonts w:hint="eastAsia" w:ascii="宋体" w:hAnsi="宋体" w:eastAsia="宋体" w:cs="宋体"/>
          <w:i w:val="0"/>
          <w:iCs w:val="0"/>
          <w:caps w:val="0"/>
          <w:color w:val="auto"/>
          <w:spacing w:val="11"/>
          <w:sz w:val="24"/>
          <w:szCs w:val="24"/>
          <w:highlight w:val="none"/>
          <w:shd w:val="clear" w:fill="FFFFFF"/>
        </w:rPr>
        <w:t>，由市住建局作为</w:t>
      </w:r>
      <w:r>
        <w:rPr>
          <w:rFonts w:hint="eastAsia" w:ascii="宋体" w:hAnsi="宋体" w:eastAsia="宋体" w:cs="宋体"/>
          <w:i w:val="0"/>
          <w:iCs w:val="0"/>
          <w:caps w:val="0"/>
          <w:color w:val="auto"/>
          <w:spacing w:val="11"/>
          <w:sz w:val="24"/>
          <w:szCs w:val="24"/>
          <w:highlight w:val="none"/>
          <w:shd w:val="clear" w:fill="FFFFFF"/>
          <w:lang w:val="en-US" w:eastAsia="zh-CN"/>
        </w:rPr>
        <w:t>招标</w:t>
      </w:r>
      <w:r>
        <w:rPr>
          <w:rFonts w:hint="eastAsia" w:ascii="宋体" w:hAnsi="宋体" w:eastAsia="宋体" w:cs="宋体"/>
          <w:i w:val="0"/>
          <w:iCs w:val="0"/>
          <w:caps w:val="0"/>
          <w:color w:val="auto"/>
          <w:spacing w:val="11"/>
          <w:sz w:val="24"/>
          <w:szCs w:val="24"/>
          <w:highlight w:val="none"/>
          <w:shd w:val="clear" w:fill="FFFFFF"/>
        </w:rPr>
        <w:t>人，</w:t>
      </w:r>
      <w:r>
        <w:rPr>
          <w:rFonts w:hint="eastAsia" w:ascii="宋体" w:hAnsi="宋体" w:eastAsia="宋体" w:cs="宋体"/>
          <w:i w:val="0"/>
          <w:iCs w:val="0"/>
          <w:caps w:val="0"/>
          <w:color w:val="auto"/>
          <w:spacing w:val="11"/>
          <w:sz w:val="24"/>
          <w:szCs w:val="24"/>
          <w:highlight w:val="none"/>
          <w:shd w:val="clear" w:fill="FFFFFF"/>
          <w:lang w:val="en-US" w:eastAsia="zh-CN"/>
        </w:rPr>
        <w:t>对本项目进行公开招标</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strike w:val="0"/>
          <w:dstrike w:val="0"/>
          <w:color w:val="auto"/>
          <w:sz w:val="24"/>
          <w:szCs w:val="24"/>
          <w:highlight w:val="none"/>
          <w:lang w:val="en-US" w:eastAsia="zh-CN"/>
        </w:rPr>
        <w:t xml:space="preserve"> </w:t>
      </w:r>
    </w:p>
    <w:p w14:paraId="18BB2826">
      <w:pPr>
        <w:pStyle w:val="81"/>
        <w:keepNext w:val="0"/>
        <w:keepLines w:val="0"/>
        <w:pageBreakBefore w:val="0"/>
        <w:widowControl/>
        <w:numPr>
          <w:ilvl w:val="0"/>
          <w:numId w:val="0"/>
        </w:numPr>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基于此，依据《中华人民共和国民法典》《中华人民共和国标准化法》</w:t>
      </w:r>
      <w:r>
        <w:rPr>
          <w:rFonts w:hint="eastAsia" w:ascii="宋体" w:hAnsi="宋体" w:eastAsia="宋体" w:cs="宋体"/>
          <w:i w:val="0"/>
          <w:iCs w:val="0"/>
          <w:caps w:val="0"/>
          <w:color w:val="auto"/>
          <w:spacing w:val="0"/>
          <w:sz w:val="24"/>
          <w:szCs w:val="24"/>
          <w:highlight w:val="none"/>
          <w:shd w:val="clear" w:color="auto" w:fill="F8F9FA"/>
        </w:rPr>
        <w:t>《城市市容和环境卫生管理条例》</w:t>
      </w:r>
      <w:r>
        <w:rPr>
          <w:rFonts w:hint="eastAsia" w:ascii="宋体" w:hAnsi="宋体" w:eastAsia="宋体" w:cs="宋体"/>
          <w:strike w:val="0"/>
          <w:dstrike w:val="0"/>
          <w:color w:val="auto"/>
          <w:sz w:val="24"/>
          <w:szCs w:val="24"/>
          <w:highlight w:val="none"/>
          <w:lang w:val="en-US" w:eastAsia="zh-CN"/>
        </w:rPr>
        <w:t>等法律法规的规定以及市级政府关于</w:t>
      </w:r>
      <w:r>
        <w:rPr>
          <w:rFonts w:hint="eastAsia" w:ascii="宋体" w:hAnsi="宋体" w:eastAsia="宋体" w:cs="宋体"/>
          <w:b w:val="0"/>
          <w:bCs/>
          <w:color w:val="auto"/>
          <w:sz w:val="24"/>
          <w:szCs w:val="24"/>
          <w:highlight w:val="none"/>
          <w:lang w:val="en-US" w:eastAsia="zh-CN"/>
        </w:rPr>
        <w:t>“市政、园林 、环卫一体化”运维服务</w:t>
      </w:r>
      <w:r>
        <w:rPr>
          <w:rFonts w:hint="eastAsia" w:ascii="宋体" w:hAnsi="宋体" w:eastAsia="宋体" w:cs="宋体"/>
          <w:strike w:val="0"/>
          <w:dstrike w:val="0"/>
          <w:color w:val="auto"/>
          <w:sz w:val="24"/>
          <w:szCs w:val="24"/>
          <w:highlight w:val="none"/>
          <w:lang w:val="en-US" w:eastAsia="zh-CN"/>
        </w:rPr>
        <w:t>相关要求，甲、乙双方秉持平等、自愿、诚信的原则，</w:t>
      </w:r>
      <w:r>
        <w:rPr>
          <w:rFonts w:hint="eastAsia" w:ascii="宋体" w:hAnsi="宋体" w:eastAsia="宋体" w:cs="宋体"/>
          <w:color w:val="auto"/>
          <w:sz w:val="24"/>
          <w:szCs w:val="24"/>
          <w:highlight w:val="none"/>
          <w:lang w:val="en-US" w:eastAsia="zh-CN"/>
        </w:rPr>
        <w:t xml:space="preserve">经协商达成一致，特订立本协议，以供双方遵照执行。 </w:t>
      </w:r>
    </w:p>
    <w:p w14:paraId="16909906">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rPr>
        <w:t>第一条 运维服务范围</w:t>
      </w:r>
      <w:r>
        <w:rPr>
          <w:rFonts w:hint="eastAsia" w:ascii="宋体" w:hAnsi="宋体" w:eastAsia="宋体" w:cs="宋体"/>
          <w:b/>
          <w:bCs/>
          <w:color w:val="auto"/>
          <w:sz w:val="24"/>
          <w:szCs w:val="24"/>
          <w:highlight w:val="none"/>
          <w:lang w:eastAsia="zh-CN"/>
        </w:rPr>
        <w:t>、内容</w:t>
      </w:r>
    </w:p>
    <w:p w14:paraId="640995C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运维服务范围</w:t>
      </w:r>
    </w:p>
    <w:p w14:paraId="3CCA54A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本协议所指的运维服务范围为哈密石油基地由甲方管理并面向社会开放、提供公共服务的全部市政</w:t>
      </w:r>
      <w:r>
        <w:rPr>
          <w:rFonts w:hint="eastAsia" w:ascii="宋体" w:hAnsi="宋体" w:eastAsia="宋体" w:cs="宋体"/>
          <w:color w:val="auto"/>
          <w:sz w:val="24"/>
          <w:szCs w:val="24"/>
          <w:highlight w:val="none"/>
          <w:lang w:val="en-US" w:eastAsia="zh-CN"/>
        </w:rPr>
        <w:t>公用设施维护</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环卫保洁、园林绿化及公园管理</w:t>
      </w:r>
      <w:r>
        <w:rPr>
          <w:rFonts w:hint="eastAsia" w:ascii="宋体" w:hAnsi="宋体" w:eastAsia="宋体" w:cs="宋体"/>
          <w:color w:val="auto"/>
          <w:sz w:val="24"/>
          <w:szCs w:val="24"/>
          <w:highlight w:val="none"/>
        </w:rPr>
        <w:t>。具体包括</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市政</w:t>
      </w:r>
      <w:r>
        <w:rPr>
          <w:rFonts w:hint="eastAsia" w:ascii="宋体" w:hAnsi="宋体" w:eastAsia="宋体" w:cs="宋体"/>
          <w:color w:val="auto"/>
          <w:sz w:val="24"/>
          <w:szCs w:val="24"/>
          <w:highlight w:val="none"/>
          <w:lang w:val="en-US" w:eastAsia="zh-CN"/>
        </w:rPr>
        <w:t>公用设施维护：路灯更新维护、路面维护、道路隔离护栏维护等；2.环卫保洁：机动车道路清扫、非机动车道路清扫、人行道道路清扫、垃圾清运、公厕保洁维护、绿化清扫保洁、防风林带清扫保洁、冬季冰雪清除、垃圾中转站运维等；3.园林绿化及公园管理：道路绿化、防风林带及公园的养护管理等。</w:t>
      </w:r>
    </w:p>
    <w:p w14:paraId="19CE56B8">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1.2 运维服务</w:t>
      </w:r>
      <w:r>
        <w:rPr>
          <w:rFonts w:hint="eastAsia" w:ascii="宋体" w:hAnsi="宋体" w:eastAsia="宋体" w:cs="宋体"/>
          <w:color w:val="auto"/>
          <w:sz w:val="24"/>
          <w:szCs w:val="24"/>
          <w:highlight w:val="none"/>
          <w:lang w:eastAsia="zh-CN"/>
        </w:rPr>
        <w:t>内容</w:t>
      </w:r>
    </w:p>
    <w:p w14:paraId="7B10DE02">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1.2.1运维服务的具体内容，根据《石油基地“市政、园林 、环卫一体化”项目工程量清单》（附件二）所明确的工程量予以确定。</w:t>
      </w:r>
    </w:p>
    <w:p w14:paraId="43D6F87B">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val="0"/>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1.2.2在本协议履行期间，若</w:t>
      </w:r>
      <w:r>
        <w:rPr>
          <w:rFonts w:hint="eastAsia" w:ascii="宋体" w:hAnsi="宋体" w:eastAsia="宋体" w:cs="宋体"/>
          <w:b w:val="0"/>
          <w:bCs/>
          <w:color w:val="auto"/>
          <w:sz w:val="24"/>
          <w:szCs w:val="24"/>
          <w:highlight w:val="none"/>
          <w:lang w:val="en-US" w:eastAsia="zh-CN"/>
        </w:rPr>
        <w:t>“市政、园林 、环卫一体化”运维服务相关内容如因政府或甲方实际需求出现增加或减少的调整情况，应以</w:t>
      </w:r>
      <w:r>
        <w:rPr>
          <w:rFonts w:hint="eastAsia" w:ascii="宋体" w:hAnsi="宋体" w:eastAsia="宋体" w:cs="宋体"/>
          <w:color w:val="auto"/>
          <w:sz w:val="24"/>
          <w:szCs w:val="24"/>
          <w:highlight w:val="none"/>
          <w:lang w:val="en-US" w:eastAsia="zh-CN"/>
        </w:rPr>
        <w:t>甲乙双方共同确认的工作量作为依据。若双方无法达成确认，则共同委托第三方对实际工作量予以确认，</w:t>
      </w:r>
      <w:r>
        <w:rPr>
          <w:rFonts w:hint="eastAsia" w:ascii="宋体" w:hAnsi="宋体" w:eastAsia="宋体" w:cs="宋体"/>
          <w:b w:val="0"/>
          <w:bCs/>
          <w:color w:val="auto"/>
          <w:sz w:val="24"/>
          <w:szCs w:val="24"/>
          <w:highlight w:val="none"/>
          <w:lang w:val="en-US" w:eastAsia="zh-CN"/>
        </w:rPr>
        <w:t>且甲乙双方需依据调整内容签订补充协议进行处理，并据实调整服务费用。</w:t>
      </w:r>
    </w:p>
    <w:p w14:paraId="74345D1A">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第二条 运维服务标准依据及要求</w:t>
      </w:r>
    </w:p>
    <w:p w14:paraId="0E19D537">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2.1运维服务标准依据</w:t>
      </w:r>
    </w:p>
    <w:p w14:paraId="5DEB25D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《生活垃圾转运站技术规范》(CJJ/T47-2016)《城市市容标准 》(GB 50449-2008)《城市道路清扫保洁与质量评价标准》(CJJ/T 126-2022)《城市垃圾卫生填埋处理技术标准》(GB/T 50869-2025)《园林绿化养护标准》(CJJ/T 287-2018)《城市光环境景观照明设施运行维护服务规范》(GB/T 43637-2024)以及合同履行过程中涉及的其他相关法律法规及技术标准。</w:t>
      </w:r>
    </w:p>
    <w:p w14:paraId="33D02ABF">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both"/>
        <w:textAlignment w:val="auto"/>
        <w:rPr>
          <w:rFonts w:hint="eastAsia"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如国家、自治区或地方相关标准发生调整，双方应协商更新本协议所适用的标准。</w:t>
      </w:r>
    </w:p>
    <w:p w14:paraId="6448A33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2.2</w:t>
      </w:r>
      <w:r>
        <w:rPr>
          <w:rFonts w:hint="eastAsia" w:ascii="宋体" w:hAnsi="宋体" w:eastAsia="宋体" w:cs="宋体"/>
          <w:color w:val="auto"/>
          <w:sz w:val="24"/>
          <w:szCs w:val="24"/>
          <w:highlight w:val="none"/>
        </w:rPr>
        <w:t>运维服务</w:t>
      </w:r>
      <w:r>
        <w:rPr>
          <w:rFonts w:hint="eastAsia" w:ascii="宋体" w:hAnsi="宋体" w:eastAsia="宋体" w:cs="宋体"/>
          <w:color w:val="auto"/>
          <w:sz w:val="24"/>
          <w:szCs w:val="24"/>
          <w:highlight w:val="none"/>
          <w:lang w:eastAsia="zh-CN"/>
        </w:rPr>
        <w:t>要求</w:t>
      </w:r>
    </w:p>
    <w:p w14:paraId="4BBDDF06">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乙方应严格遵循国家及</w:t>
      </w:r>
      <w:r>
        <w:rPr>
          <w:rFonts w:hint="eastAsia" w:ascii="宋体" w:hAnsi="宋体" w:eastAsia="宋体" w:cs="宋体"/>
          <w:color w:val="auto"/>
          <w:sz w:val="24"/>
          <w:szCs w:val="24"/>
          <w:highlight w:val="none"/>
          <w:lang w:val="en-US" w:eastAsia="zh-CN"/>
        </w:rPr>
        <w:t>自治区现行与</w:t>
      </w:r>
      <w:r>
        <w:rPr>
          <w:rFonts w:hint="eastAsia" w:ascii="宋体" w:hAnsi="宋体" w:eastAsia="宋体" w:cs="宋体"/>
          <w:b w:val="0"/>
          <w:bCs/>
          <w:color w:val="auto"/>
          <w:sz w:val="24"/>
          <w:szCs w:val="24"/>
          <w:highlight w:val="none"/>
          <w:lang w:val="en-US" w:eastAsia="zh-CN"/>
        </w:rPr>
        <w:t>“市政－环卫－园林”管理有关的</w:t>
      </w:r>
      <w:r>
        <w:rPr>
          <w:rFonts w:hint="eastAsia" w:ascii="宋体" w:hAnsi="宋体" w:eastAsia="宋体" w:cs="宋体"/>
          <w:color w:val="auto"/>
          <w:sz w:val="24"/>
          <w:szCs w:val="24"/>
          <w:highlight w:val="none"/>
          <w:lang w:val="en-US" w:eastAsia="zh-CN"/>
        </w:rPr>
        <w:t xml:space="preserve">法律法规，并依照国家、行业标准以及技术规范所规定的准则，全面落实甲方所制定的各项运维服务管理规定及考核细则（附件三），从而确保运维服务质量能够持续符合以下要求： </w:t>
      </w:r>
    </w:p>
    <w:p w14:paraId="69EF9547">
      <w:pPr>
        <w:pStyle w:val="81"/>
        <w:keepNext w:val="0"/>
        <w:keepLines w:val="0"/>
        <w:pageBreakBefore w:val="0"/>
        <w:numPr>
          <w:ilvl w:val="0"/>
          <w:numId w:val="0"/>
        </w:numPr>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bidi="ar-SA"/>
        </w:rPr>
        <w:t>1.</w:t>
      </w:r>
      <w:r>
        <w:rPr>
          <w:rFonts w:hint="eastAsia" w:ascii="宋体" w:hAnsi="宋体" w:eastAsia="宋体" w:cs="宋体"/>
          <w:b/>
          <w:bCs/>
          <w:color w:val="auto"/>
          <w:sz w:val="24"/>
          <w:szCs w:val="24"/>
          <w:highlight w:val="none"/>
        </w:rPr>
        <w:t>市政设施设备：</w:t>
      </w:r>
    </w:p>
    <w:p w14:paraId="60EE896D">
      <w:pPr>
        <w:pStyle w:val="81"/>
        <w:keepNext w:val="0"/>
        <w:keepLines w:val="0"/>
        <w:pageBreakBefore w:val="0"/>
        <w:numPr>
          <w:ilvl w:val="0"/>
          <w:numId w:val="0"/>
        </w:numPr>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应确保各类设施设备均维持正常运行状态，其完好率不得低于</w:t>
      </w:r>
      <w:r>
        <w:rPr>
          <w:rFonts w:hint="eastAsia" w:ascii="宋体" w:hAnsi="宋体" w:eastAsia="宋体" w:cs="宋体"/>
          <w:color w:val="auto"/>
          <w:sz w:val="24"/>
          <w:szCs w:val="24"/>
          <w:highlight w:val="none"/>
          <w:lang w:val="en-US" w:eastAsia="zh-CN"/>
        </w:rPr>
        <w:t>95%，重点区域不低于98%。若完好率低于规定比例，则依据考核细则给予相应扣分处理。</w:t>
      </w:r>
    </w:p>
    <w:p w14:paraId="3E3DC95D">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eastAsia="宋体" w:cs="宋体"/>
          <w:color w:val="auto"/>
          <w:sz w:val="21"/>
          <w:szCs w:val="21"/>
          <w:highlight w:val="none"/>
        </w:rPr>
      </w:pPr>
      <w:r>
        <w:rPr>
          <w:rFonts w:hint="eastAsia" w:ascii="宋体" w:hAnsi="宋体" w:eastAsia="宋体" w:cs="宋体"/>
          <w:color w:val="auto"/>
          <w:sz w:val="24"/>
          <w:szCs w:val="24"/>
          <w:highlight w:val="none"/>
          <w:lang w:val="en-US" w:eastAsia="zh-CN"/>
        </w:rPr>
        <w:t>除上述日常运行要求之外，设施设备出现故障后，</w:t>
      </w:r>
      <w:r>
        <w:rPr>
          <w:rFonts w:hint="eastAsia" w:ascii="宋体" w:hAnsi="宋体" w:eastAsia="宋体" w:cs="宋体"/>
          <w:color w:val="auto"/>
          <w:kern w:val="0"/>
          <w:sz w:val="24"/>
          <w:szCs w:val="24"/>
          <w:highlight w:val="none"/>
          <w:lang w:val="en-US" w:eastAsia="zh-CN" w:bidi="ar"/>
        </w:rPr>
        <w:t xml:space="preserve">按照以下流程进行处置：1. 对于一般故障，应在4小时内排除，使其恢复至正常使用状态；对于复杂故障，需在发现故障后8小时内向甲方提交书面报告及详细维修方案，明确修复期限，及时修复至正常使用状态。若未按照上述流程进行处置，则按照未达到完好率的考核标准予以处理。 </w:t>
      </w:r>
    </w:p>
    <w:p w14:paraId="188A1D1B">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 xml:space="preserve">2. </w:t>
      </w:r>
      <w:r>
        <w:rPr>
          <w:rFonts w:hint="eastAsia" w:ascii="宋体" w:hAnsi="宋体" w:eastAsia="宋体" w:cs="宋体"/>
          <w:b/>
          <w:bCs/>
          <w:color w:val="auto"/>
          <w:sz w:val="24"/>
          <w:szCs w:val="24"/>
          <w:highlight w:val="none"/>
          <w:lang w:eastAsia="zh-CN"/>
        </w:rPr>
        <w:t>卫生</w:t>
      </w:r>
      <w:r>
        <w:rPr>
          <w:rFonts w:hint="eastAsia" w:ascii="宋体" w:hAnsi="宋体" w:eastAsia="宋体" w:cs="宋体"/>
          <w:b/>
          <w:bCs/>
          <w:color w:val="auto"/>
          <w:sz w:val="24"/>
          <w:szCs w:val="24"/>
          <w:highlight w:val="none"/>
        </w:rPr>
        <w:t>保洁：</w:t>
      </w:r>
    </w:p>
    <w:p w14:paraId="4A49F50E">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机动车道清扫：每日凌晨（</w:t>
      </w:r>
      <w:r>
        <w:rPr>
          <w:rFonts w:hint="eastAsia" w:ascii="宋体" w:hAnsi="宋体" w:eastAsia="宋体" w:cs="宋体"/>
          <w:color w:val="auto"/>
          <w:sz w:val="24"/>
          <w:szCs w:val="24"/>
          <w:highlight w:val="none"/>
          <w:lang w:val="en-US" w:eastAsia="zh-CN"/>
        </w:rPr>
        <w:t>夏季凌晨4点前，冬季凌晨5点前</w:t>
      </w:r>
      <w:r>
        <w:rPr>
          <w:rFonts w:hint="eastAsia" w:ascii="宋体" w:hAnsi="宋体" w:eastAsia="宋体" w:cs="宋体"/>
          <w:color w:val="auto"/>
          <w:sz w:val="24"/>
          <w:szCs w:val="24"/>
          <w:highlight w:val="none"/>
          <w:lang w:eastAsia="zh-CN"/>
        </w:rPr>
        <w:t>）全面清扫一次，日间进行动态巡回保洁，确保路面无积尘、无飘浮物、无废弃物，路面见本色。</w:t>
      </w:r>
      <w:r>
        <w:rPr>
          <w:rFonts w:hint="eastAsia" w:ascii="宋体" w:hAnsi="宋体" w:eastAsia="宋体" w:cs="宋体"/>
          <w:color w:val="auto"/>
          <w:sz w:val="24"/>
          <w:szCs w:val="24"/>
          <w:highlight w:val="none"/>
          <w:lang w:val="en-US" w:eastAsia="zh-CN"/>
        </w:rPr>
        <w:t>清扫等级达到二级要求</w:t>
      </w:r>
      <w:r>
        <w:rPr>
          <w:rFonts w:hint="eastAsia" w:ascii="宋体" w:hAnsi="宋体" w:eastAsia="宋体" w:cs="宋体"/>
          <w:color w:val="auto"/>
          <w:sz w:val="24"/>
          <w:szCs w:val="24"/>
          <w:highlight w:val="none"/>
          <w:lang w:eastAsia="zh-CN"/>
        </w:rPr>
        <w:t>。</w:t>
      </w:r>
    </w:p>
    <w:p w14:paraId="1B1D7934">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非机动车道及人行道清扫：每日进行人工全面</w:t>
      </w:r>
      <w:r>
        <w:rPr>
          <w:rFonts w:hint="eastAsia" w:ascii="宋体" w:hAnsi="宋体" w:eastAsia="宋体" w:cs="宋体"/>
          <w:color w:val="auto"/>
          <w:sz w:val="24"/>
          <w:szCs w:val="24"/>
          <w:highlight w:val="none"/>
          <w:lang w:val="en-US" w:eastAsia="zh-CN"/>
        </w:rPr>
        <w:t>清</w:t>
      </w:r>
      <w:r>
        <w:rPr>
          <w:rFonts w:hint="eastAsia" w:ascii="宋体" w:hAnsi="宋体" w:eastAsia="宋体" w:cs="宋体"/>
          <w:color w:val="auto"/>
          <w:sz w:val="24"/>
          <w:szCs w:val="24"/>
          <w:highlight w:val="none"/>
          <w:lang w:eastAsia="zh-CN"/>
        </w:rPr>
        <w:t>扫至少一次，并实施动态巡回保洁，确保无垃圾、无杂物、无污渍、无积水。对重点商业街区、人流密集区域增加保洁频次。</w:t>
      </w:r>
      <w:r>
        <w:rPr>
          <w:rFonts w:hint="eastAsia" w:ascii="宋体" w:hAnsi="宋体" w:eastAsia="宋体" w:cs="宋体"/>
          <w:color w:val="auto"/>
          <w:sz w:val="24"/>
          <w:szCs w:val="24"/>
          <w:highlight w:val="none"/>
          <w:lang w:val="en-US" w:eastAsia="zh-CN"/>
        </w:rPr>
        <w:t>清扫等级达到二级要求</w:t>
      </w:r>
      <w:r>
        <w:rPr>
          <w:rFonts w:hint="eastAsia" w:ascii="宋体" w:hAnsi="宋体" w:eastAsia="宋体" w:cs="宋体"/>
          <w:color w:val="auto"/>
          <w:sz w:val="24"/>
          <w:szCs w:val="24"/>
          <w:highlight w:val="none"/>
          <w:lang w:eastAsia="zh-CN"/>
        </w:rPr>
        <w:t>。</w:t>
      </w:r>
    </w:p>
    <w:p w14:paraId="3C08849A">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lang w:eastAsia="zh-CN"/>
        </w:rPr>
      </w:pPr>
      <w:r>
        <w:rPr>
          <w:rFonts w:hint="eastAsia" w:ascii="宋体" w:hAnsi="宋体" w:eastAsia="宋体" w:cs="宋体"/>
          <w:b/>
          <w:bCs/>
          <w:color w:val="auto"/>
          <w:sz w:val="24"/>
          <w:szCs w:val="24"/>
          <w:highlight w:val="none"/>
          <w:lang w:val="en-US" w:eastAsia="zh-CN"/>
        </w:rPr>
        <w:t>注：清扫保洁责任区域涵盖上述所有道路，以及自道路边界线起算、向外辐射 500 米范围内的全部公共空间区域，</w:t>
      </w:r>
      <w:r>
        <w:rPr>
          <w:rFonts w:hint="eastAsia" w:ascii="宋体" w:hAnsi="宋体" w:eastAsia="宋体" w:cs="宋体"/>
          <w:b w:val="0"/>
          <w:bCs w:val="0"/>
          <w:color w:val="auto"/>
          <w:sz w:val="24"/>
          <w:szCs w:val="24"/>
          <w:highlight w:val="none"/>
          <w:lang w:val="en-US" w:eastAsia="zh-CN"/>
        </w:rPr>
        <w:t>具体清扫保洁标准及要求以招标文件要求为准。</w:t>
      </w:r>
      <w:r>
        <w:rPr>
          <w:rFonts w:hint="eastAsia" w:ascii="宋体" w:hAnsi="宋体" w:eastAsia="宋体" w:cs="宋体"/>
          <w:b/>
          <w:bCs/>
          <w:color w:val="auto"/>
          <w:sz w:val="24"/>
          <w:szCs w:val="24"/>
          <w:highlight w:val="none"/>
          <w:lang w:val="en-US" w:eastAsia="zh-CN"/>
        </w:rPr>
        <w:t xml:space="preserve"> </w:t>
      </w:r>
    </w:p>
    <w:p w14:paraId="1CB84305">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lang w:eastAsia="zh-CN"/>
        </w:rPr>
        <w:t>垃圾清运工作：严格落实生活垃圾“日产日清、密闭运输”的作业要求。垃圾桶及果皮箱需每日进行清掏，</w:t>
      </w:r>
      <w:r>
        <w:rPr>
          <w:rFonts w:hint="eastAsia" w:ascii="宋体" w:hAnsi="宋体" w:eastAsia="宋体" w:cs="宋体"/>
          <w:color w:val="auto"/>
          <w:sz w:val="24"/>
          <w:szCs w:val="24"/>
          <w:highlight w:val="none"/>
          <w:lang w:val="en-US" w:eastAsia="zh-CN"/>
        </w:rPr>
        <w:t>不定期进行</w:t>
      </w:r>
      <w:r>
        <w:rPr>
          <w:rFonts w:hint="eastAsia" w:ascii="宋体" w:hAnsi="宋体" w:eastAsia="宋体" w:cs="宋体"/>
          <w:color w:val="auto"/>
          <w:sz w:val="24"/>
          <w:szCs w:val="24"/>
          <w:highlight w:val="none"/>
          <w:lang w:eastAsia="zh-CN"/>
        </w:rPr>
        <w:t xml:space="preserve">擦拭，确保垃圾桶及果皮箱的内部与外部均保持洁净，周边无垃圾散落、无污渍残留。垃圾清运车辆应保持外观整洁，在运输过程中杜绝出现洒漏、遗弃垃圾等情况。 </w:t>
      </w:r>
    </w:p>
    <w:p w14:paraId="6ABB4737">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eastAsia="zh-CN"/>
        </w:rPr>
        <w:t>公厕保洁维护工作：采取</w:t>
      </w:r>
      <w:r>
        <w:rPr>
          <w:rFonts w:hint="eastAsia" w:ascii="宋体" w:hAnsi="宋体" w:eastAsia="宋体" w:cs="宋体"/>
          <w:color w:val="auto"/>
          <w:sz w:val="24"/>
          <w:szCs w:val="24"/>
          <w:highlight w:val="none"/>
          <w:u w:val="single"/>
          <w:lang w:val="en-US" w:eastAsia="zh-CN"/>
        </w:rPr>
        <w:t xml:space="preserve"> 24 </w:t>
      </w:r>
      <w:r>
        <w:rPr>
          <w:rFonts w:hint="eastAsia" w:ascii="宋体" w:hAnsi="宋体" w:eastAsia="宋体" w:cs="宋体"/>
          <w:color w:val="auto"/>
          <w:sz w:val="24"/>
          <w:szCs w:val="24"/>
          <w:highlight w:val="none"/>
          <w:lang w:val="en-US" w:eastAsia="zh-CN"/>
        </w:rPr>
        <w:t xml:space="preserve">小时免费开放模式，并由专人负责管理。每日需对公厕进行不少于两次的全面冲洗与消毒，做到随脏随清洁。应确保公厕设施完好无损，水电供应畅通，无异味散发，无蚊蝇滋生，地面保持干燥且洁净。 </w:t>
      </w:r>
    </w:p>
    <w:p w14:paraId="69F3C24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lang w:eastAsia="zh-CN"/>
        </w:rPr>
        <w:t xml:space="preserve">绿化带/防风林带清扫保洁工作：需每日对绿地、林带开展巡回清理作业，清除其中的白色垃圾、枯枝败叶以及各类杂物，确保在可见范围内无暴露垃圾。严禁将道路垃圾扫入绿化带。 </w:t>
      </w:r>
    </w:p>
    <w:p w14:paraId="42C6E2B3">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eastAsia="宋体" w:cs="宋体"/>
          <w:color w:val="auto"/>
          <w:sz w:val="21"/>
          <w:szCs w:val="21"/>
          <w:highlight w:val="none"/>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冬季冰雪清理工作：</w:t>
      </w:r>
      <w:r>
        <w:rPr>
          <w:rFonts w:hint="eastAsia" w:ascii="宋体" w:hAnsi="宋体" w:eastAsia="宋体" w:cs="宋体"/>
          <w:color w:val="auto"/>
          <w:kern w:val="0"/>
          <w:sz w:val="24"/>
          <w:szCs w:val="24"/>
          <w:highlight w:val="none"/>
          <w:lang w:val="en-US" w:eastAsia="zh-CN" w:bidi="ar"/>
        </w:rPr>
        <w:t>制定应急预案，及时组织开展清雪除冰作业。主干道及坡道需在雪停后</w:t>
      </w:r>
      <w:r>
        <w:rPr>
          <w:rFonts w:hint="eastAsia" w:ascii="宋体" w:hAnsi="宋体" w:eastAsia="宋体" w:cs="宋体"/>
          <w:color w:val="auto"/>
          <w:kern w:val="0"/>
          <w:sz w:val="24"/>
          <w:szCs w:val="24"/>
          <w:highlight w:val="none"/>
          <w:u w:val="single"/>
          <w:lang w:val="en-US" w:eastAsia="zh-CN" w:bidi="ar"/>
        </w:rPr>
        <w:t xml:space="preserve"> 6</w:t>
      </w:r>
      <w:r>
        <w:rPr>
          <w:rFonts w:hint="eastAsia" w:ascii="宋体" w:hAnsi="宋体" w:eastAsia="宋体" w:cs="宋体"/>
          <w:color w:val="auto"/>
          <w:kern w:val="0"/>
          <w:sz w:val="24"/>
          <w:szCs w:val="24"/>
          <w:highlight w:val="none"/>
          <w:lang w:val="en-US" w:eastAsia="zh-CN" w:bidi="ar"/>
        </w:rPr>
        <w:t>小时内完成清理并保障通行通畅；次干道及支路应在雪停后</w:t>
      </w:r>
      <w:r>
        <w:rPr>
          <w:rFonts w:hint="eastAsia" w:ascii="宋体" w:hAnsi="宋体" w:eastAsia="宋体" w:cs="宋体"/>
          <w:color w:val="auto"/>
          <w:kern w:val="0"/>
          <w:sz w:val="24"/>
          <w:szCs w:val="24"/>
          <w:highlight w:val="none"/>
          <w:u w:val="single"/>
          <w:lang w:val="en-US" w:eastAsia="zh-CN" w:bidi="ar"/>
        </w:rPr>
        <w:t xml:space="preserve">  12  </w:t>
      </w:r>
      <w:r>
        <w:rPr>
          <w:rFonts w:hint="eastAsia" w:ascii="宋体" w:hAnsi="宋体" w:eastAsia="宋体" w:cs="宋体"/>
          <w:color w:val="auto"/>
          <w:kern w:val="0"/>
          <w:sz w:val="24"/>
          <w:szCs w:val="24"/>
          <w:highlight w:val="none"/>
          <w:lang w:val="en-US" w:eastAsia="zh-CN" w:bidi="ar"/>
        </w:rPr>
        <w:t>小时内完成清理并保障通行通畅；人行道及背街小巷应在雪停后</w:t>
      </w:r>
      <w:r>
        <w:rPr>
          <w:rFonts w:hint="eastAsia" w:ascii="宋体" w:hAnsi="宋体" w:eastAsia="宋体" w:cs="宋体"/>
          <w:color w:val="auto"/>
          <w:kern w:val="0"/>
          <w:sz w:val="24"/>
          <w:szCs w:val="24"/>
          <w:highlight w:val="none"/>
          <w:u w:val="single"/>
          <w:lang w:val="en-US" w:eastAsia="zh-CN" w:bidi="ar"/>
        </w:rPr>
        <w:t xml:space="preserve">    48</w:t>
      </w:r>
      <w:r>
        <w:rPr>
          <w:rFonts w:hint="eastAsia" w:ascii="宋体" w:hAnsi="宋体" w:eastAsia="宋体" w:cs="宋体"/>
          <w:color w:val="auto"/>
          <w:kern w:val="0"/>
          <w:sz w:val="24"/>
          <w:szCs w:val="24"/>
          <w:highlight w:val="none"/>
          <w:lang w:val="en-US" w:eastAsia="zh-CN" w:bidi="ar"/>
        </w:rPr>
        <w:t xml:space="preserve">小时内完成清理并保障通行通畅，以保障道路通行的安全与顺畅。所使用的融雪剂必须符合环保标准。 </w:t>
      </w:r>
    </w:p>
    <w:p w14:paraId="3EBE03B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7）</w:t>
      </w:r>
      <w:r>
        <w:rPr>
          <w:rFonts w:hint="eastAsia" w:ascii="宋体" w:hAnsi="宋体" w:eastAsia="宋体" w:cs="宋体"/>
          <w:color w:val="auto"/>
          <w:sz w:val="24"/>
          <w:szCs w:val="24"/>
          <w:highlight w:val="none"/>
          <w:lang w:eastAsia="zh-CN"/>
        </w:rPr>
        <w:t>垃圾中转站运维工作要求如下：对站内及周边方圆</w:t>
      </w:r>
      <w:r>
        <w:rPr>
          <w:rFonts w:hint="eastAsia" w:ascii="宋体" w:hAnsi="宋体" w:eastAsia="宋体" w:cs="宋体"/>
          <w:color w:val="auto"/>
          <w:sz w:val="24"/>
          <w:szCs w:val="24"/>
          <w:highlight w:val="none"/>
          <w:u w:val="single"/>
          <w:lang w:val="en-US" w:eastAsia="zh-CN"/>
        </w:rPr>
        <w:t>50</w:t>
      </w:r>
      <w:r>
        <w:rPr>
          <w:rFonts w:hint="eastAsia" w:ascii="宋体" w:hAnsi="宋体" w:eastAsia="宋体" w:cs="宋体"/>
          <w:color w:val="auto"/>
          <w:sz w:val="24"/>
          <w:szCs w:val="24"/>
          <w:highlight w:val="none"/>
          <w:lang w:eastAsia="zh-CN"/>
        </w:rPr>
        <w:t xml:space="preserve">米范围内的区域进行每日冲洗与消杀作业，以确保站体保持整洁，无异味散发，且无蚊蝇滋生。需严格按照规范操作压缩设备，并及时开展垃圾转运工作，保证站内垃圾不出现积压情况。同时，要对渗滤液进行规范收集与处理，并确保相关台账记录完整。 </w:t>
      </w:r>
    </w:p>
    <w:p w14:paraId="70C37E3E">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3. 园林绿化及公园管理：</w:t>
      </w:r>
    </w:p>
    <w:p w14:paraId="424C9BDD">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乙方须对责任区域内所有园林绿化及公园实施科学、规范的养护管理，具体如下：</w:t>
      </w:r>
    </w:p>
    <w:p w14:paraId="5F29579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lang w:eastAsia="zh-CN"/>
        </w:rPr>
        <w:t>道路绿化及防风林带养护：</w:t>
      </w:r>
    </w:p>
    <w:p w14:paraId="1FFF11EA">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·灌溉：依据季节、气候以及植物的需水特性，开展科学灌溉工作，以保证植物不缺水。</w:t>
      </w:r>
    </w:p>
    <w:p w14:paraId="5AC1F4A2">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·修剪：对乔木、灌木和绿篱进行定期的整形修剪，维持景观的优美，确保通风透光，且不影响交通视线和公共安全。</w:t>
      </w:r>
    </w:p>
    <w:p w14:paraId="0FDE23E6">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·施肥：每年至少开展春秋两季的全面施肥工作，并根据植物的生长状况追施专项肥料。</w:t>
      </w:r>
    </w:p>
    <w:p w14:paraId="6C3BDA56">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·病虫害防治：秉持“预防为主，综合防治”的方针，进行定期巡查，一旦发现病虫害，及时采用环保且有效的方法加以治理，无病虫害的发生。</w:t>
      </w:r>
    </w:p>
    <w:p w14:paraId="03B8DF08">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补植更新：针对缺株、死株以及黄土裸露区域，需在发现后3个工作日内制定补植方案并报甲方确认，在下一个适宜种植的季节（春秋季）内完成补植工作，以确保绿地的完整性，行道树无缺株情况，同时保证新栽植及现有绿植的成活率不低于98 %。绿化（林带）灌溉管网等设施需进行定期巡检和维护，保证设施随时处于正常使用状态。确有故障发生，按市政设施故障处置的流程处理。</w:t>
      </w:r>
    </w:p>
    <w:p w14:paraId="3B5D1B5B">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2）</w:t>
      </w:r>
      <w:r>
        <w:rPr>
          <w:rFonts w:hint="eastAsia" w:ascii="宋体" w:hAnsi="宋体" w:eastAsia="宋体" w:cs="宋体"/>
          <w:color w:val="auto"/>
          <w:sz w:val="24"/>
          <w:szCs w:val="24"/>
          <w:highlight w:val="none"/>
          <w:lang w:eastAsia="zh-CN"/>
        </w:rPr>
        <w:t>公园管理：</w:t>
      </w:r>
    </w:p>
    <w:p w14:paraId="2C412A8A">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·园容保洁：按照道路清扫的高标准严格执行，着重强化对广场、园路、水面、座椅以及健身设施的清洁工作。</w:t>
      </w:r>
    </w:p>
    <w:p w14:paraId="61B174B7">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设施维护：每日对园内建（构）筑物、园灯、水电系统、标识系统等进行巡查，并定期开展保养工作，以确保其安全、完好且可正常使用。一旦发现设施损坏，须立即设置警示标识，并根据轻重缓急在规定期限内进行修复。</w:t>
      </w:r>
    </w:p>
    <w:p w14:paraId="74DC543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·秩序与安全：设置文明、安全游园提示标识，定时开展巡查工作，及时对不文明及危险行为进行劝阻。制定防火、防汛、人员疏散等安全应急预案，并组织开展演练活动。</w:t>
      </w:r>
    </w:p>
    <w:p w14:paraId="0DA8105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·绿化专项养护：在通用养护标准的基础上，对公园内的重点景观植物、花坛、草坪实施更为精细化的养护措施。 </w:t>
      </w:r>
    </w:p>
    <w:p w14:paraId="6FCEF2E1">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条 服务期限</w:t>
      </w:r>
    </w:p>
    <w:p w14:paraId="29B0FCFE">
      <w:pPr>
        <w:pStyle w:val="81"/>
        <w:keepNext w:val="0"/>
        <w:keepLines w:val="0"/>
        <w:pageBreakBefore w:val="0"/>
        <w:kinsoku/>
        <w:overflowPunct/>
        <w:topLinePunct w:val="0"/>
        <w:autoSpaceDE/>
        <w:autoSpaceDN/>
        <w:bidi w:val="0"/>
        <w:adjustRightInd/>
        <w:snapToGrid/>
        <w:spacing w:line="560" w:lineRule="exact"/>
        <w:ind w:firstLine="556"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pacing w:val="19"/>
          <w:sz w:val="24"/>
          <w:szCs w:val="24"/>
          <w:highlight w:val="none"/>
        </w:rPr>
        <w:t>本协</w:t>
      </w:r>
      <w:r>
        <w:rPr>
          <w:rFonts w:hint="eastAsia" w:ascii="宋体" w:hAnsi="宋体" w:eastAsia="宋体" w:cs="宋体"/>
          <w:color w:val="auto"/>
          <w:spacing w:val="19"/>
          <w:sz w:val="24"/>
          <w:szCs w:val="24"/>
          <w:highlight w:val="none"/>
          <w:lang w:val="en-US" w:eastAsia="zh-CN"/>
        </w:rPr>
        <w:t>服务期限为</w:t>
      </w:r>
      <w:r>
        <w:rPr>
          <w:rFonts w:hint="eastAsia" w:ascii="宋体" w:hAnsi="宋体" w:eastAsia="宋体" w:cs="宋体"/>
          <w:color w:val="auto"/>
          <w:spacing w:val="19"/>
          <w:sz w:val="24"/>
          <w:szCs w:val="24"/>
          <w:highlight w:val="none"/>
          <w:u w:val="single"/>
          <w:lang w:val="en-US" w:eastAsia="zh-CN"/>
        </w:rPr>
        <w:t xml:space="preserve">   </w:t>
      </w:r>
      <w:r>
        <w:rPr>
          <w:rFonts w:hint="eastAsia" w:ascii="宋体" w:hAnsi="宋体" w:eastAsia="宋体" w:cs="宋体"/>
          <w:color w:val="auto"/>
          <w:spacing w:val="19"/>
          <w:sz w:val="24"/>
          <w:szCs w:val="24"/>
          <w:highlight w:val="none"/>
          <w:lang w:val="en-US" w:eastAsia="zh-CN"/>
        </w:rPr>
        <w:t>年，</w:t>
      </w:r>
      <w:r>
        <w:rPr>
          <w:rFonts w:hint="eastAsia" w:ascii="宋体" w:hAnsi="宋体" w:eastAsia="宋体" w:cs="宋体"/>
          <w:color w:val="auto"/>
          <w:spacing w:val="19"/>
          <w:sz w:val="24"/>
          <w:szCs w:val="24"/>
          <w:highlight w:val="none"/>
        </w:rPr>
        <w:t>自</w:t>
      </w:r>
      <w:r>
        <w:rPr>
          <w:rFonts w:hint="eastAsia" w:ascii="宋体" w:hAnsi="宋体" w:eastAsia="宋体" w:cs="宋体"/>
          <w:color w:val="auto"/>
          <w:spacing w:val="19"/>
          <w:sz w:val="24"/>
          <w:szCs w:val="24"/>
          <w:highlight w:val="none"/>
          <w:u w:val="single"/>
          <w:lang w:val="en-US" w:eastAsia="zh-CN"/>
        </w:rPr>
        <w:t xml:space="preserve">   </w:t>
      </w:r>
      <w:r>
        <w:rPr>
          <w:rFonts w:hint="eastAsia" w:ascii="宋体" w:hAnsi="宋体" w:eastAsia="宋体" w:cs="宋体"/>
          <w:color w:val="auto"/>
          <w:spacing w:val="18"/>
          <w:sz w:val="24"/>
          <w:szCs w:val="24"/>
          <w:highlight w:val="none"/>
        </w:rPr>
        <w:t>年</w:t>
      </w:r>
      <w:r>
        <w:rPr>
          <w:rFonts w:hint="eastAsia" w:ascii="宋体" w:hAnsi="宋体" w:eastAsia="宋体" w:cs="宋体"/>
          <w:color w:val="auto"/>
          <w:spacing w:val="18"/>
          <w:sz w:val="24"/>
          <w:szCs w:val="24"/>
          <w:highlight w:val="none"/>
          <w:u w:val="single"/>
          <w:lang w:val="en-US" w:eastAsia="zh-CN"/>
        </w:rPr>
        <w:t xml:space="preserve">   </w:t>
      </w:r>
      <w:r>
        <w:rPr>
          <w:rFonts w:hint="eastAsia" w:ascii="宋体" w:hAnsi="宋体" w:eastAsia="宋体" w:cs="宋体"/>
          <w:color w:val="auto"/>
          <w:spacing w:val="18"/>
          <w:sz w:val="24"/>
          <w:szCs w:val="24"/>
          <w:highlight w:val="none"/>
        </w:rPr>
        <w:t>月</w:t>
      </w:r>
      <w:r>
        <w:rPr>
          <w:rFonts w:hint="eastAsia" w:ascii="宋体" w:hAnsi="宋体" w:eastAsia="宋体" w:cs="宋体"/>
          <w:color w:val="auto"/>
          <w:spacing w:val="18"/>
          <w:sz w:val="24"/>
          <w:szCs w:val="24"/>
          <w:highlight w:val="none"/>
          <w:u w:val="single"/>
          <w:lang w:val="en-US" w:eastAsia="zh-CN"/>
        </w:rPr>
        <w:t xml:space="preserve">   </w:t>
      </w:r>
      <w:r>
        <w:rPr>
          <w:rFonts w:hint="eastAsia" w:ascii="宋体" w:hAnsi="宋体" w:eastAsia="宋体" w:cs="宋体"/>
          <w:color w:val="auto"/>
          <w:spacing w:val="18"/>
          <w:sz w:val="24"/>
          <w:szCs w:val="24"/>
          <w:highlight w:val="none"/>
        </w:rPr>
        <w:t>日</w:t>
      </w:r>
      <w:r>
        <w:rPr>
          <w:rFonts w:hint="eastAsia" w:ascii="宋体" w:hAnsi="宋体" w:eastAsia="宋体" w:cs="宋体"/>
          <w:color w:val="auto"/>
          <w:spacing w:val="18"/>
          <w:sz w:val="24"/>
          <w:szCs w:val="24"/>
          <w:highlight w:val="none"/>
          <w:lang w:val="en-US" w:eastAsia="zh-CN"/>
        </w:rPr>
        <w:t>至</w:t>
      </w:r>
      <w:r>
        <w:rPr>
          <w:rFonts w:hint="eastAsia" w:ascii="宋体" w:hAnsi="宋体" w:eastAsia="宋体" w:cs="宋体"/>
          <w:color w:val="auto"/>
          <w:spacing w:val="19"/>
          <w:sz w:val="24"/>
          <w:szCs w:val="24"/>
          <w:highlight w:val="none"/>
          <w:u w:val="single"/>
          <w:lang w:val="en-US" w:eastAsia="zh-CN"/>
        </w:rPr>
        <w:t xml:space="preserve">   </w:t>
      </w:r>
      <w:r>
        <w:rPr>
          <w:rFonts w:hint="eastAsia" w:ascii="宋体" w:hAnsi="宋体" w:eastAsia="宋体" w:cs="宋体"/>
          <w:color w:val="auto"/>
          <w:spacing w:val="18"/>
          <w:sz w:val="24"/>
          <w:szCs w:val="24"/>
          <w:highlight w:val="none"/>
        </w:rPr>
        <w:t>年</w:t>
      </w:r>
      <w:r>
        <w:rPr>
          <w:rFonts w:hint="eastAsia" w:ascii="宋体" w:hAnsi="宋体" w:eastAsia="宋体" w:cs="宋体"/>
          <w:color w:val="auto"/>
          <w:spacing w:val="18"/>
          <w:sz w:val="24"/>
          <w:szCs w:val="24"/>
          <w:highlight w:val="none"/>
          <w:u w:val="single"/>
          <w:lang w:val="en-US" w:eastAsia="zh-CN"/>
        </w:rPr>
        <w:t xml:space="preserve">   </w:t>
      </w:r>
      <w:r>
        <w:rPr>
          <w:rFonts w:hint="eastAsia" w:ascii="宋体" w:hAnsi="宋体" w:eastAsia="宋体" w:cs="宋体"/>
          <w:color w:val="auto"/>
          <w:spacing w:val="18"/>
          <w:sz w:val="24"/>
          <w:szCs w:val="24"/>
          <w:highlight w:val="none"/>
        </w:rPr>
        <w:t>月</w:t>
      </w:r>
      <w:r>
        <w:rPr>
          <w:rFonts w:hint="eastAsia" w:ascii="宋体" w:hAnsi="宋体" w:eastAsia="宋体" w:cs="宋体"/>
          <w:color w:val="auto"/>
          <w:spacing w:val="18"/>
          <w:sz w:val="24"/>
          <w:szCs w:val="24"/>
          <w:highlight w:val="none"/>
          <w:lang w:val="en-US" w:eastAsia="zh-CN"/>
        </w:rPr>
        <w:t xml:space="preserve">   </w:t>
      </w:r>
      <w:r>
        <w:rPr>
          <w:rFonts w:hint="eastAsia" w:ascii="宋体" w:hAnsi="宋体" w:eastAsia="宋体" w:cs="宋体"/>
          <w:color w:val="auto"/>
          <w:spacing w:val="18"/>
          <w:sz w:val="24"/>
          <w:szCs w:val="24"/>
          <w:highlight w:val="none"/>
        </w:rPr>
        <w:t>日</w:t>
      </w:r>
      <w:r>
        <w:rPr>
          <w:rFonts w:hint="eastAsia" w:ascii="宋体" w:hAnsi="宋体" w:eastAsia="宋体" w:cs="宋体"/>
          <w:color w:val="auto"/>
          <w:spacing w:val="18"/>
          <w:sz w:val="24"/>
          <w:szCs w:val="24"/>
          <w:highlight w:val="none"/>
          <w:lang w:val="en-US" w:eastAsia="zh-CN"/>
        </w:rPr>
        <w:t>止</w:t>
      </w:r>
      <w:r>
        <w:rPr>
          <w:rFonts w:hint="eastAsia" w:ascii="宋体" w:hAnsi="宋体" w:eastAsia="宋体" w:cs="宋体"/>
          <w:color w:val="auto"/>
          <w:spacing w:val="3"/>
          <w:sz w:val="24"/>
          <w:szCs w:val="24"/>
          <w:highlight w:val="none"/>
        </w:rPr>
        <w:t>。</w:t>
      </w:r>
      <w:r>
        <w:rPr>
          <w:rFonts w:hint="eastAsia" w:ascii="宋体" w:hAnsi="宋体" w:eastAsia="宋体" w:cs="宋体"/>
          <w:color w:val="auto"/>
          <w:sz w:val="24"/>
          <w:szCs w:val="24"/>
          <w:highlight w:val="none"/>
          <w:lang w:val="en-US" w:eastAsia="zh-CN"/>
        </w:rPr>
        <w:t xml:space="preserve"> </w:t>
      </w:r>
    </w:p>
    <w:p w14:paraId="25400940">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eastAsia="zh-CN"/>
        </w:rPr>
        <w:t>四</w:t>
      </w:r>
      <w:r>
        <w:rPr>
          <w:rFonts w:hint="eastAsia" w:ascii="宋体" w:hAnsi="宋体" w:eastAsia="宋体" w:cs="宋体"/>
          <w:b/>
          <w:bCs/>
          <w:color w:val="auto"/>
          <w:sz w:val="24"/>
          <w:szCs w:val="24"/>
          <w:highlight w:val="none"/>
        </w:rPr>
        <w:t>条 服务费用及支付方式</w:t>
      </w:r>
    </w:p>
    <w:p w14:paraId="48DFD5A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服务费用</w:t>
      </w:r>
      <w:r>
        <w:rPr>
          <w:rFonts w:hint="eastAsia" w:ascii="宋体" w:hAnsi="宋体" w:eastAsia="宋体" w:cs="宋体"/>
          <w:color w:val="auto"/>
          <w:sz w:val="24"/>
          <w:szCs w:val="24"/>
          <w:highlight w:val="none"/>
          <w:lang w:eastAsia="zh-CN"/>
        </w:rPr>
        <w:t>核定</w:t>
      </w:r>
    </w:p>
    <w:p w14:paraId="2EF84DBB">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本协议所涉及的月度运维服务费用，甲方依据</w:t>
      </w:r>
      <w:r>
        <w:rPr>
          <w:rFonts w:hint="eastAsia"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的年度服务总额，平均分摊至全年十二个月作为月度服务费，月度服务费由80%的基础服务费和20%的内控（绩效）服务费组成，甲方将按照考核细则（附件三）按月开展考核计量核定，并根据考核结果核定运维服务费的最终支付金额。</w:t>
      </w:r>
    </w:p>
    <w:p w14:paraId="2F42459B">
      <w:pPr>
        <w:pStyle w:val="8"/>
        <w:keepNext w:val="0"/>
        <w:keepLines w:val="0"/>
        <w:widowControl w:val="0"/>
        <w:suppressLineNumbers w:val="0"/>
        <w:autoSpaceDE w:val="0"/>
        <w:autoSpaceDN/>
        <w:spacing w:before="0" w:beforeAutospacing="0" w:after="0" w:afterAutospacing="0" w:line="560" w:lineRule="exact"/>
        <w:ind w:right="0" w:firstLine="480" w:firstLineChars="200"/>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若因政策调整致使服务范围或内容发生变动，服务费用应根据实际情况进行调整，具体的调整办法由甲乙双方另行协商确定。</w:t>
      </w:r>
    </w:p>
    <w:p w14:paraId="408BCFD7">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运维服务费用涵盖但不限于乙方人员工资（扣除社会保险后的月基本工资不得低于人民币 2100 元，不含绩效）、社会保险、公积金、加班费、绩效、福利、项目运维所需的水、电、气、网络、材料费、设施设备的日常维护保养、维修、检测及办公费用、固定资产折旧费、管理费分摊、设施设备及公众责任保险、税金等各项费用。</w:t>
      </w:r>
    </w:p>
    <w:p w14:paraId="2287179D">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费用结算</w:t>
      </w:r>
    </w:p>
    <w:p w14:paraId="71384C22">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乙方应在甲方完成月度考核并确认当月结算金额后的三个工作日内，向甲方提交结算报告以及符合甲方财务规定的合法有效增值税普通发票。</w:t>
      </w:r>
      <w:r>
        <w:rPr>
          <w:rFonts w:hint="eastAsia" w:ascii="宋体" w:hAnsi="宋体" w:eastAsia="宋体" w:cs="宋体"/>
          <w:color w:val="auto"/>
          <w:sz w:val="24"/>
          <w:szCs w:val="24"/>
          <w:highlight w:val="none"/>
          <w:lang w:eastAsia="zh-CN"/>
        </w:rPr>
        <w:t xml:space="preserve">甲方在收到乙方提交的上述资料后的七个工作日内，经审核确认无误且考核结果符合付费条件后，支付月度运维服务费。 </w:t>
      </w:r>
    </w:p>
    <w:p w14:paraId="1704D521">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4.3支付方式</w:t>
      </w:r>
    </w:p>
    <w:p w14:paraId="3D514E4D">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eastAsia="zh-CN"/>
        </w:rPr>
        <w:t>转帐支付至乙方提供的收款帐户，收款帐户信息如下：</w:t>
      </w:r>
    </w:p>
    <w:p w14:paraId="493E5E81">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lang w:eastAsia="zh-CN"/>
        </w:rPr>
        <w:t>开户名：</w:t>
      </w:r>
      <w:r>
        <w:rPr>
          <w:rFonts w:hint="eastAsia" w:ascii="宋体" w:hAnsi="宋体" w:eastAsia="宋体" w:cs="宋体"/>
          <w:b w:val="0"/>
          <w:bCs w:val="0"/>
          <w:color w:val="auto"/>
          <w:sz w:val="24"/>
          <w:szCs w:val="24"/>
          <w:highlight w:val="none"/>
          <w:u w:val="single"/>
          <w:lang w:val="en-US" w:eastAsia="zh-CN"/>
        </w:rPr>
        <w:t xml:space="preserve">                                    </w:t>
      </w:r>
    </w:p>
    <w:p w14:paraId="4B109066">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lang w:eastAsia="zh-CN"/>
        </w:rPr>
        <w:t>开户行：</w:t>
      </w:r>
      <w:r>
        <w:rPr>
          <w:rFonts w:hint="eastAsia" w:ascii="宋体" w:hAnsi="宋体" w:eastAsia="宋体" w:cs="宋体"/>
          <w:b w:val="0"/>
          <w:bCs w:val="0"/>
          <w:color w:val="auto"/>
          <w:sz w:val="24"/>
          <w:szCs w:val="24"/>
          <w:highlight w:val="none"/>
          <w:u w:val="single"/>
          <w:lang w:val="en-US" w:eastAsia="zh-CN"/>
        </w:rPr>
        <w:t xml:space="preserve">                                   </w:t>
      </w:r>
    </w:p>
    <w:p w14:paraId="728892FD">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val="0"/>
          <w:bCs w:val="0"/>
          <w:color w:val="auto"/>
          <w:sz w:val="24"/>
          <w:szCs w:val="24"/>
          <w:highlight w:val="none"/>
          <w:u w:val="single"/>
          <w:lang w:val="en-US" w:eastAsia="zh-CN"/>
        </w:rPr>
      </w:pPr>
      <w:r>
        <w:rPr>
          <w:rFonts w:hint="eastAsia" w:ascii="宋体" w:hAnsi="宋体" w:eastAsia="宋体" w:cs="宋体"/>
          <w:b w:val="0"/>
          <w:bCs w:val="0"/>
          <w:color w:val="auto"/>
          <w:sz w:val="24"/>
          <w:szCs w:val="24"/>
          <w:highlight w:val="none"/>
          <w:lang w:eastAsia="zh-CN"/>
        </w:rPr>
        <w:t>帐户号：</w:t>
      </w:r>
      <w:r>
        <w:rPr>
          <w:rFonts w:hint="eastAsia" w:ascii="宋体" w:hAnsi="宋体" w:eastAsia="宋体" w:cs="宋体"/>
          <w:b w:val="0"/>
          <w:bCs w:val="0"/>
          <w:color w:val="auto"/>
          <w:sz w:val="24"/>
          <w:szCs w:val="24"/>
          <w:highlight w:val="none"/>
          <w:u w:val="single"/>
          <w:lang w:val="en-US" w:eastAsia="zh-CN"/>
        </w:rPr>
        <w:t xml:space="preserve">                                       </w:t>
      </w:r>
    </w:p>
    <w:p w14:paraId="683A0B82">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eastAsia="zh-CN"/>
        </w:rPr>
        <w:t>五</w:t>
      </w:r>
      <w:r>
        <w:rPr>
          <w:rFonts w:hint="eastAsia" w:ascii="宋体" w:hAnsi="宋体" w:eastAsia="宋体" w:cs="宋体"/>
          <w:b/>
          <w:bCs/>
          <w:color w:val="auto"/>
          <w:sz w:val="24"/>
          <w:szCs w:val="24"/>
          <w:highlight w:val="none"/>
        </w:rPr>
        <w:t>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服务人员及管理要求</w:t>
      </w:r>
    </w:p>
    <w:p w14:paraId="061ED995">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 服务人员配备</w:t>
      </w:r>
    </w:p>
    <w:p w14:paraId="1773ED4E">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5.1.1 乙方需依据运维服务的实际需求及甲方的要求，配置具备相应资质与经验的管理及技术人员（具体详见招标文件人员配置要求），人员名单及资质证明需提前报甲方审核确认，未经甲方书面同意不得擅自更换。</w:t>
      </w:r>
    </w:p>
    <w:p w14:paraId="1BF5304E">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5.1.2 除管理、技术人员外，其他服务人员须经乙方或职业技能培训机构培训合格后，方可上岗。</w:t>
      </w:r>
    </w:p>
    <w:p w14:paraId="56D25F3A">
      <w:pPr>
        <w:keepNext w:val="0"/>
        <w:keepLines w:val="0"/>
        <w:pageBreakBefore w:val="0"/>
        <w:widowControl/>
        <w:suppressLineNumbers w:val="0"/>
        <w:kinsoku/>
        <w:wordWrap/>
        <w:overflowPunct/>
        <w:topLinePunct w:val="0"/>
        <w:autoSpaceDE/>
        <w:autoSpaceDN/>
        <w:bidi w:val="0"/>
        <w:adjustRightInd/>
        <w:snapToGrid/>
        <w:spacing w:line="560" w:lineRule="exact"/>
        <w:ind w:firstLine="480" w:firstLineChars="200"/>
        <w:jc w:val="left"/>
        <w:textAlignment w:val="auto"/>
        <w:rPr>
          <w:rFonts w:hint="eastAsia" w:cs="宋体"/>
          <w:color w:val="auto"/>
          <w:sz w:val="21"/>
          <w:szCs w:val="20"/>
          <w:highlight w:val="none"/>
        </w:rPr>
      </w:pPr>
      <w:r>
        <w:rPr>
          <w:rFonts w:hint="eastAsia" w:ascii="宋体" w:hAnsi="宋体" w:eastAsia="宋体" w:cs="宋体"/>
          <w:color w:val="auto"/>
          <w:sz w:val="24"/>
          <w:szCs w:val="24"/>
          <w:highlight w:val="none"/>
          <w:lang w:val="en-US" w:eastAsia="zh-CN"/>
        </w:rPr>
        <w:t xml:space="preserve">5.1.3 </w:t>
      </w:r>
      <w:r>
        <w:rPr>
          <w:rFonts w:hint="eastAsia" w:ascii="宋体" w:hAnsi="宋体" w:eastAsia="宋体" w:cs="宋体"/>
          <w:color w:val="auto"/>
          <w:kern w:val="0"/>
          <w:sz w:val="24"/>
          <w:szCs w:val="24"/>
          <w:highlight w:val="none"/>
          <w:lang w:val="en-US" w:eastAsia="zh-CN" w:bidi="ar"/>
        </w:rPr>
        <w:t>甲方有权对乙方配备的所有服务人员进行监督检查，对不符合岗位要求、服务规范或甲方管理规定的人员，甲方有权要求乙方在3日内更换合格人员，乙方必须无条件执行。</w:t>
      </w:r>
    </w:p>
    <w:p w14:paraId="678E60B7">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5.1.4乙方应确保服务人员数量充足、技能达标，能够胜任各项运维任务。 </w:t>
      </w:r>
    </w:p>
    <w:p w14:paraId="228B539E">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 管理要求</w:t>
      </w:r>
    </w:p>
    <w:p w14:paraId="709DBBB7">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5.2.1 乙方应当构建健全完善的岗位责任制，明确各个岗位的职责，以确保各项运维任务能够落实至具体人员。</w:t>
      </w:r>
    </w:p>
    <w:p w14:paraId="0614AE55">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5.2.2 乙方应构建完备的服务质量管理体系，定期开展自查工作，并持续优化服务质量。 </w:t>
      </w:r>
    </w:p>
    <w:p w14:paraId="1B5029C3">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5.2.3乙方应当建立健全完善的考勤、奖惩、培训、应急管理等制度，并于每月28日前向甲方报送当月人员名单、工作记录、自查报告等相关材料，甲方有权随时抽查核实材料的真实性与完整性。</w:t>
      </w:r>
    </w:p>
    <w:p w14:paraId="5F0F285A">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5.2.4乙方为本协议中约定的参与运维服务的所有人员应统一着装，服装上应有明显的字样及标识，且需持证上岗，且严格遵守甲方及相关部门关于安全、保密、文明服务等方面的管理规定。</w:t>
      </w:r>
    </w:p>
    <w:p w14:paraId="49E55A4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5.2.5乙方人员在服务期间若发生工伤、意外等事故，由乙方自行承担全部责任以及相关费用。</w:t>
      </w:r>
    </w:p>
    <w:p w14:paraId="1FBD6798">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5.2.6 乙方应加强对服务人员的职业道德教育和业务培训工作，确保服务行为规范，树立起良好的社会形象。 </w:t>
      </w:r>
    </w:p>
    <w:p w14:paraId="4DDF6661">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eastAsia="zh-CN"/>
        </w:rPr>
        <w:t>六</w:t>
      </w:r>
      <w:r>
        <w:rPr>
          <w:rFonts w:hint="eastAsia" w:ascii="宋体" w:hAnsi="宋体" w:eastAsia="宋体" w:cs="宋体"/>
          <w:b/>
          <w:bCs/>
          <w:color w:val="auto"/>
          <w:sz w:val="24"/>
          <w:szCs w:val="24"/>
          <w:highlight w:val="none"/>
        </w:rPr>
        <w:t>条 考核</w:t>
      </w:r>
      <w:r>
        <w:rPr>
          <w:rFonts w:hint="eastAsia" w:ascii="宋体" w:hAnsi="宋体" w:eastAsia="宋体" w:cs="宋体"/>
          <w:b/>
          <w:bCs/>
          <w:color w:val="auto"/>
          <w:sz w:val="24"/>
          <w:szCs w:val="24"/>
          <w:highlight w:val="none"/>
          <w:lang w:eastAsia="zh-CN"/>
        </w:rPr>
        <w:t>依据</w:t>
      </w:r>
      <w:r>
        <w:rPr>
          <w:rFonts w:hint="eastAsia" w:ascii="宋体" w:hAnsi="宋体" w:eastAsia="宋体" w:cs="宋体"/>
          <w:b/>
          <w:bCs/>
          <w:color w:val="auto"/>
          <w:sz w:val="24"/>
          <w:szCs w:val="24"/>
          <w:highlight w:val="none"/>
        </w:rPr>
        <w:t>与</w:t>
      </w:r>
      <w:r>
        <w:rPr>
          <w:rFonts w:hint="eastAsia" w:ascii="宋体" w:hAnsi="宋体" w:eastAsia="宋体" w:cs="宋体"/>
          <w:b/>
          <w:bCs/>
          <w:color w:val="auto"/>
          <w:sz w:val="24"/>
          <w:szCs w:val="24"/>
          <w:highlight w:val="none"/>
          <w:lang w:eastAsia="zh-CN"/>
        </w:rPr>
        <w:t>方式</w:t>
      </w:r>
    </w:p>
    <w:p w14:paraId="60439DC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6</w:t>
      </w:r>
      <w:r>
        <w:rPr>
          <w:rFonts w:hint="eastAsia" w:ascii="宋体" w:hAnsi="宋体" w:eastAsia="宋体" w:cs="宋体"/>
          <w:b w:val="0"/>
          <w:bCs w:val="0"/>
          <w:color w:val="auto"/>
          <w:sz w:val="24"/>
          <w:szCs w:val="24"/>
          <w:highlight w:val="none"/>
        </w:rPr>
        <w:t xml:space="preserve">.1 </w:t>
      </w:r>
      <w:r>
        <w:rPr>
          <w:rFonts w:hint="eastAsia" w:ascii="宋体" w:hAnsi="宋体" w:eastAsia="宋体" w:cs="宋体"/>
          <w:b w:val="0"/>
          <w:bCs w:val="0"/>
          <w:color w:val="auto"/>
          <w:sz w:val="24"/>
          <w:szCs w:val="24"/>
          <w:highlight w:val="none"/>
          <w:lang w:val="en-US" w:eastAsia="zh-CN"/>
        </w:rPr>
        <w:t>考核依据</w:t>
      </w:r>
    </w:p>
    <w:p w14:paraId="5C316338">
      <w:pPr>
        <w:keepNext w:val="0"/>
        <w:keepLines w:val="0"/>
        <w:pageBreakBefore w:val="0"/>
        <w:widowControl/>
        <w:suppressLineNumbers w:val="0"/>
        <w:kinsoku/>
        <w:wordWrap/>
        <w:overflowPunct/>
        <w:topLinePunct w:val="0"/>
        <w:autoSpaceDE/>
        <w:autoSpaceDN/>
        <w:bidi w:val="0"/>
        <w:adjustRightInd/>
        <w:snapToGrid/>
        <w:spacing w:beforeAutospacing="0" w:line="560" w:lineRule="exact"/>
        <w:ind w:firstLine="480" w:firstLineChars="200"/>
        <w:jc w:val="both"/>
        <w:textAlignment w:val="auto"/>
        <w:outlineLvl w:val="9"/>
        <w:rPr>
          <w:rFonts w:hint="eastAsia" w:cs="宋体"/>
          <w:color w:val="auto"/>
          <w:sz w:val="24"/>
          <w:szCs w:val="24"/>
          <w:highlight w:val="none"/>
        </w:rPr>
      </w:pPr>
      <w:r>
        <w:rPr>
          <w:rFonts w:hint="eastAsia" w:ascii="宋体" w:hAnsi="宋体" w:eastAsia="宋体" w:cs="宋体"/>
          <w:color w:val="auto"/>
          <w:kern w:val="0"/>
          <w:sz w:val="24"/>
          <w:szCs w:val="24"/>
          <w:highlight w:val="none"/>
          <w:lang w:val="en-US" w:eastAsia="zh-CN" w:bidi="ar"/>
        </w:rPr>
        <w:t>考核依据应为现行有效的法律法规、标准及合同附件所列文件，若有变动应及时协商调整。</w:t>
      </w:r>
    </w:p>
    <w:p w14:paraId="51A6ABB4">
      <w:pPr>
        <w:pStyle w:val="81"/>
        <w:keepNext w:val="0"/>
        <w:keepLines w:val="0"/>
        <w:pageBreakBefore w:val="0"/>
        <w:kinsoku/>
        <w:wordWrap/>
        <w:overflowPunct/>
        <w:topLinePunct w:val="0"/>
        <w:autoSpaceDE/>
        <w:autoSpaceDN/>
        <w:bidi w:val="0"/>
        <w:adjustRightInd/>
        <w:snapToGrid/>
        <w:spacing w:beforeAutospacing="0"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考核细则（附件三）应清晰明确具体考核方式、扣减标准及费用核定流程，以此作为费用结算的依据。 </w:t>
      </w:r>
    </w:p>
    <w:p w14:paraId="3D7C88CB">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考核细则</w:t>
      </w:r>
      <w:r>
        <w:rPr>
          <w:rFonts w:hint="eastAsia" w:ascii="宋体" w:hAnsi="宋体" w:eastAsia="宋体" w:cs="宋体"/>
          <w:color w:val="auto"/>
          <w:kern w:val="0"/>
          <w:sz w:val="24"/>
          <w:szCs w:val="24"/>
          <w:highlight w:val="none"/>
          <w:lang w:val="en-US" w:eastAsia="zh-CN" w:bidi="ar"/>
        </w:rPr>
        <w:t>规定的考核标准应公开、透明、可量化。同时</w:t>
      </w:r>
      <w:r>
        <w:rPr>
          <w:rFonts w:hint="eastAsia" w:ascii="宋体" w:hAnsi="宋体" w:eastAsia="宋体" w:cs="宋体"/>
          <w:color w:val="auto"/>
          <w:sz w:val="24"/>
          <w:szCs w:val="24"/>
          <w:highlight w:val="none"/>
          <w:lang w:eastAsia="zh-CN"/>
        </w:rPr>
        <w:t xml:space="preserve">应明确考核内容、考核流程及异议处理机制。 </w:t>
      </w:r>
    </w:p>
    <w:p w14:paraId="69BF8E2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6.2考核方式</w:t>
      </w:r>
    </w:p>
    <w:p w14:paraId="357EEDE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针对乙方的运维服务，实施月度定期全面考核、不定期抽查结合社情民意调查问卷的考核方式，不定期抽查结果可直接纳入月度考核成绩。</w:t>
      </w:r>
    </w:p>
    <w:p w14:paraId="1408EBC7">
      <w:pPr>
        <w:pStyle w:val="81"/>
        <w:keepNext w:val="0"/>
        <w:keepLines w:val="0"/>
        <w:pageBreakBefore w:val="0"/>
        <w:numPr>
          <w:ilvl w:val="0"/>
          <w:numId w:val="0"/>
        </w:numPr>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第七条 考核主体与规则</w:t>
      </w:r>
    </w:p>
    <w:p w14:paraId="0DB2B912">
      <w:pPr>
        <w:pStyle w:val="81"/>
        <w:keepNext w:val="0"/>
        <w:keepLines w:val="0"/>
        <w:pageBreakBefore w:val="0"/>
        <w:numPr>
          <w:ilvl w:val="0"/>
          <w:numId w:val="0"/>
        </w:numPr>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7.1考核主体</w:t>
      </w:r>
    </w:p>
    <w:p w14:paraId="1A808EB9">
      <w:pPr>
        <w:pStyle w:val="81"/>
        <w:keepNext w:val="0"/>
        <w:keepLines w:val="0"/>
        <w:pageBreakBefore w:val="0"/>
        <w:numPr>
          <w:ilvl w:val="0"/>
          <w:numId w:val="0"/>
        </w:numPr>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甲方有权选择自行开展考核或委托第三方进行考核。</w:t>
      </w:r>
      <w:r>
        <w:rPr>
          <w:rFonts w:hint="eastAsia" w:ascii="宋体" w:hAnsi="宋体" w:eastAsia="宋体" w:cs="宋体"/>
          <w:color w:val="auto"/>
          <w:kern w:val="0"/>
          <w:sz w:val="24"/>
          <w:szCs w:val="24"/>
          <w:highlight w:val="none"/>
          <w:lang w:val="en-US" w:eastAsia="zh-CN" w:bidi="ar"/>
        </w:rPr>
        <w:t>考核过程应有乙方参与并签字确认</w:t>
      </w:r>
      <w:r>
        <w:rPr>
          <w:rFonts w:hint="eastAsia" w:ascii="宋体" w:hAnsi="宋体" w:eastAsia="宋体" w:cs="宋体"/>
          <w:color w:val="auto"/>
          <w:sz w:val="24"/>
          <w:szCs w:val="24"/>
          <w:highlight w:val="none"/>
          <w:lang w:eastAsia="zh-CN"/>
        </w:rPr>
        <w:t>。</w:t>
      </w:r>
    </w:p>
    <w:p w14:paraId="6568E692">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7</w:t>
      </w:r>
      <w:r>
        <w:rPr>
          <w:rFonts w:hint="eastAsia" w:ascii="宋体" w:hAnsi="宋体" w:eastAsia="宋体" w:cs="宋体"/>
          <w:b w:val="0"/>
          <w:bCs w:val="0"/>
          <w:color w:val="auto"/>
          <w:sz w:val="24"/>
          <w:szCs w:val="24"/>
          <w:highlight w:val="none"/>
        </w:rPr>
        <w:t xml:space="preserve">.2 </w:t>
      </w:r>
      <w:r>
        <w:rPr>
          <w:rFonts w:hint="eastAsia" w:ascii="宋体" w:hAnsi="宋体" w:eastAsia="宋体" w:cs="宋体"/>
          <w:b w:val="0"/>
          <w:bCs w:val="0"/>
          <w:color w:val="auto"/>
          <w:sz w:val="24"/>
          <w:szCs w:val="24"/>
          <w:highlight w:val="none"/>
          <w:lang w:val="en-US" w:eastAsia="zh-CN"/>
        </w:rPr>
        <w:t>考核规则</w:t>
      </w:r>
    </w:p>
    <w:p w14:paraId="341A239C">
      <w:pPr>
        <w:pStyle w:val="14"/>
        <w:keepNext w:val="0"/>
        <w:keepLines w:val="0"/>
        <w:pageBreakBefore w:val="0"/>
        <w:widowControl w:val="0"/>
        <w:kinsoku/>
        <w:wordWrap/>
        <w:overflowPunct/>
        <w:topLinePunct w:val="0"/>
        <w:autoSpaceDE/>
        <w:autoSpaceDN/>
        <w:bidi w:val="0"/>
        <w:adjustRightInd/>
        <w:snapToGrid/>
        <w:spacing w:after="0" w:line="560" w:lineRule="exact"/>
        <w:ind w:left="0" w:leftChars="0" w:firstLine="480" w:firstLineChars="200"/>
        <w:jc w:val="both"/>
        <w:textAlignment w:val="auto"/>
        <w:outlineLvl w:val="9"/>
        <w:rPr>
          <w:rFonts w:hint="eastAsia" w:ascii="宋体" w:hAnsi="宋体" w:eastAsia="宋体" w:cs="宋体"/>
          <w:b w:val="0"/>
          <w:bCs/>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按照千分制计算。</w:t>
      </w:r>
      <w:r>
        <w:rPr>
          <w:rFonts w:hint="eastAsia" w:ascii="宋体" w:hAnsi="宋体" w:eastAsia="宋体" w:cs="宋体"/>
          <w:b w:val="0"/>
          <w:bCs/>
          <w:color w:val="auto"/>
          <w:kern w:val="2"/>
          <w:sz w:val="24"/>
          <w:szCs w:val="24"/>
          <w:highlight w:val="none"/>
          <w:lang w:val="en-US" w:eastAsia="zh-CN" w:bidi="ar-SA"/>
        </w:rPr>
        <w:t>实行 “基础考核 + 内控（绩效）考核” 的组合评价规则，两项考核权重占比分别为 80%、20%，综合得分即为月度考核最终成绩。</w:t>
      </w:r>
      <w:r>
        <w:rPr>
          <w:rFonts w:hint="eastAsia" w:ascii="宋体" w:hAnsi="宋体" w:eastAsia="宋体" w:cs="宋体"/>
          <w:color w:val="auto"/>
          <w:sz w:val="24"/>
          <w:szCs w:val="24"/>
          <w:highlight w:val="none"/>
          <w:lang w:eastAsia="zh-CN"/>
        </w:rPr>
        <w:t xml:space="preserve">考核结果将作为服务费用支付重要依据。 </w:t>
      </w:r>
    </w:p>
    <w:p w14:paraId="440798C9">
      <w:pPr>
        <w:pStyle w:val="30"/>
        <w:keepNext w:val="0"/>
        <w:keepLines w:val="0"/>
        <w:pageBreakBefore w:val="0"/>
        <w:widowControl w:val="0"/>
        <w:numPr>
          <w:ilvl w:val="0"/>
          <w:numId w:val="0"/>
        </w:numPr>
        <w:kinsoku/>
        <w:wordWrap w:val="0"/>
        <w:overflowPunct/>
        <w:topLinePunct w:val="0"/>
        <w:autoSpaceDE/>
        <w:autoSpaceDN/>
        <w:bidi w:val="0"/>
        <w:adjustRightInd/>
        <w:snapToGrid/>
        <w:spacing w:after="0" w:line="560" w:lineRule="exact"/>
        <w:ind w:firstLine="482" w:firstLineChars="200"/>
        <w:jc w:val="both"/>
        <w:textAlignment w:val="auto"/>
        <w:outlineLvl w:val="9"/>
        <w:rPr>
          <w:rFonts w:hint="eastAsia" w:ascii="宋体" w:hAnsi="宋体" w:eastAsia="宋体" w:cs="宋体"/>
          <w:b/>
          <w:bCs w:val="0"/>
          <w:color w:val="auto"/>
          <w:kern w:val="0"/>
          <w:sz w:val="24"/>
          <w:szCs w:val="24"/>
          <w:highlight w:val="none"/>
          <w:lang w:val="en-US" w:eastAsia="zh-CN"/>
        </w:rPr>
      </w:pPr>
      <w:r>
        <w:rPr>
          <w:rFonts w:hint="eastAsia" w:ascii="宋体" w:hAnsi="宋体" w:eastAsia="宋体" w:cs="宋体"/>
          <w:b/>
          <w:bCs w:val="0"/>
          <w:color w:val="auto"/>
          <w:kern w:val="2"/>
          <w:sz w:val="24"/>
          <w:szCs w:val="24"/>
          <w:highlight w:val="none"/>
          <w:lang w:val="en-US" w:eastAsia="zh-CN" w:bidi="ar-SA"/>
        </w:rPr>
        <w:t>7.2.1</w:t>
      </w:r>
      <w:r>
        <w:rPr>
          <w:rFonts w:hint="eastAsia" w:ascii="宋体" w:hAnsi="宋体" w:eastAsia="宋体" w:cs="宋体"/>
          <w:b/>
          <w:bCs w:val="0"/>
          <w:color w:val="auto"/>
          <w:kern w:val="0"/>
          <w:sz w:val="24"/>
          <w:szCs w:val="24"/>
          <w:highlight w:val="none"/>
          <w:lang w:val="en-US" w:eastAsia="zh-CN"/>
        </w:rPr>
        <w:t>.考核占比</w:t>
      </w:r>
    </w:p>
    <w:p w14:paraId="5364E3BF">
      <w:pPr>
        <w:pStyle w:val="30"/>
        <w:keepNext w:val="0"/>
        <w:keepLines w:val="0"/>
        <w:pageBreakBefore w:val="0"/>
        <w:widowControl w:val="0"/>
        <w:numPr>
          <w:ilvl w:val="0"/>
          <w:numId w:val="0"/>
        </w:numPr>
        <w:kinsoku/>
        <w:wordWrap w:val="0"/>
        <w:overflowPunct/>
        <w:topLinePunct w:val="0"/>
        <w:autoSpaceDE/>
        <w:autoSpaceDN/>
        <w:bidi w:val="0"/>
        <w:adjustRightInd/>
        <w:snapToGrid/>
        <w:spacing w:after="0" w:line="560" w:lineRule="exact"/>
        <w:ind w:firstLine="480" w:firstLineChars="200"/>
        <w:jc w:val="both"/>
        <w:textAlignment w:val="auto"/>
        <w:outlineLvl w:val="9"/>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kern w:val="0"/>
          <w:sz w:val="24"/>
          <w:szCs w:val="24"/>
          <w:highlight w:val="none"/>
          <w:lang w:val="en-US" w:eastAsia="zh-CN"/>
        </w:rPr>
        <w:t>基础考核占比80%，总分为800分，包括40%社情民意满意度调查及40%工作质效督导检查，分值各为400分；</w:t>
      </w:r>
      <w:r>
        <w:rPr>
          <w:rFonts w:hint="eastAsia" w:ascii="宋体" w:hAnsi="宋体" w:eastAsia="宋体" w:cs="宋体"/>
          <w:b w:val="0"/>
          <w:bCs/>
          <w:color w:val="auto"/>
          <w:sz w:val="24"/>
          <w:szCs w:val="24"/>
          <w:highlight w:val="none"/>
          <w:lang w:val="en-US" w:eastAsia="zh-CN"/>
        </w:rPr>
        <w:t>内控</w:t>
      </w:r>
      <w:r>
        <w:rPr>
          <w:rFonts w:hint="eastAsia" w:ascii="宋体" w:hAnsi="宋体" w:eastAsia="宋体" w:cs="宋体"/>
          <w:b w:val="0"/>
          <w:bCs/>
          <w:color w:val="auto"/>
          <w:kern w:val="2"/>
          <w:sz w:val="24"/>
          <w:szCs w:val="24"/>
          <w:highlight w:val="none"/>
          <w:lang w:val="en-US" w:eastAsia="zh-CN" w:bidi="ar-SA"/>
        </w:rPr>
        <w:t>（绩效）</w:t>
      </w:r>
      <w:r>
        <w:rPr>
          <w:rFonts w:hint="eastAsia" w:ascii="宋体" w:hAnsi="宋体" w:eastAsia="宋体" w:cs="宋体"/>
          <w:b w:val="0"/>
          <w:bCs/>
          <w:color w:val="auto"/>
          <w:sz w:val="24"/>
          <w:szCs w:val="24"/>
          <w:highlight w:val="none"/>
        </w:rPr>
        <w:t>考核占比20%</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lang w:val="en-US" w:eastAsia="zh-CN"/>
        </w:rPr>
        <w:t>总分为200分</w:t>
      </w:r>
      <w:r>
        <w:rPr>
          <w:rFonts w:hint="eastAsia" w:ascii="宋体" w:hAnsi="宋体" w:eastAsia="宋体" w:cs="宋体"/>
          <w:b w:val="0"/>
          <w:bCs/>
          <w:color w:val="auto"/>
          <w:sz w:val="24"/>
          <w:szCs w:val="24"/>
          <w:highlight w:val="none"/>
          <w:lang w:eastAsia="zh-CN"/>
        </w:rPr>
        <w:t>。</w:t>
      </w:r>
    </w:p>
    <w:p w14:paraId="4BA4AA31">
      <w:pPr>
        <w:pStyle w:val="78"/>
        <w:keepNext w:val="0"/>
        <w:keepLines w:val="0"/>
        <w:pageBreakBefore w:val="0"/>
        <w:widowControl/>
        <w:kinsoku/>
        <w:wordWrap/>
        <w:overflowPunct/>
        <w:topLinePunct w:val="0"/>
        <w:autoSpaceDE/>
        <w:autoSpaceDN/>
        <w:bidi w:val="0"/>
        <w:adjustRightInd/>
        <w:snapToGrid/>
        <w:spacing w:before="0" w:after="0" w:line="560" w:lineRule="exact"/>
        <w:ind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7.2.2考核结果运用</w:t>
      </w:r>
    </w:p>
    <w:p w14:paraId="65F7A1C2">
      <w:pPr>
        <w:pStyle w:val="78"/>
        <w:keepNext w:val="0"/>
        <w:keepLines w:val="0"/>
        <w:pageBreakBefore w:val="0"/>
        <w:widowControl/>
        <w:kinsoku/>
        <w:wordWrap/>
        <w:overflowPunct/>
        <w:topLinePunct w:val="0"/>
        <w:autoSpaceDE/>
        <w:autoSpaceDN/>
        <w:bidi w:val="0"/>
        <w:adjustRightInd/>
        <w:snapToGrid/>
        <w:spacing w:before="0" w:after="0" w:line="560" w:lineRule="exact"/>
        <w:ind w:firstLine="480"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考核结果分为合格、基本合格、不合格</w:t>
      </w:r>
      <w:r>
        <w:rPr>
          <w:rFonts w:hint="eastAsia" w:ascii="宋体" w:hAnsi="宋体" w:eastAsia="宋体" w:cs="宋体"/>
          <w:b w:val="0"/>
          <w:bCs w:val="0"/>
          <w:color w:val="auto"/>
          <w:sz w:val="24"/>
          <w:szCs w:val="24"/>
          <w:highlight w:val="none"/>
          <w:lang w:eastAsia="zh-CN"/>
        </w:rPr>
        <w:t>三类</w:t>
      </w:r>
      <w:r>
        <w:rPr>
          <w:rFonts w:hint="eastAsia" w:ascii="宋体" w:hAnsi="宋体" w:eastAsia="宋体" w:cs="宋体"/>
          <w:b w:val="0"/>
          <w:bCs w:val="0"/>
          <w:color w:val="auto"/>
          <w:sz w:val="24"/>
          <w:szCs w:val="24"/>
          <w:highlight w:val="none"/>
          <w:lang w:val="en-US" w:eastAsia="zh-CN"/>
        </w:rPr>
        <w:t>，具体标准如下：</w:t>
      </w:r>
    </w:p>
    <w:p w14:paraId="0631DF50">
      <w:pPr>
        <w:pStyle w:val="78"/>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482" w:firstLineChars="200"/>
        <w:jc w:val="both"/>
        <w:textAlignment w:val="auto"/>
        <w:outlineLvl w:val="9"/>
        <w:rPr>
          <w:rFonts w:hint="eastAsia" w:ascii="宋体" w:hAnsi="宋体" w:eastAsia="宋体" w:cs="宋体"/>
          <w:b w:val="0"/>
          <w:bCs w:val="0"/>
          <w:color w:val="auto"/>
          <w:sz w:val="24"/>
          <w:szCs w:val="24"/>
          <w:highlight w:val="none"/>
        </w:rPr>
      </w:pPr>
      <w:r>
        <w:rPr>
          <w:rFonts w:hint="eastAsia" w:ascii="宋体" w:hAnsi="宋体" w:eastAsia="宋体" w:cs="宋体"/>
          <w:b/>
          <w:bCs/>
          <w:color w:val="auto"/>
          <w:sz w:val="24"/>
          <w:szCs w:val="24"/>
          <w:highlight w:val="none"/>
        </w:rPr>
        <w:t>（一）</w:t>
      </w:r>
      <w:r>
        <w:rPr>
          <w:rFonts w:hint="eastAsia" w:ascii="宋体" w:hAnsi="宋体" w:eastAsia="宋体" w:cs="宋体"/>
          <w:b/>
          <w:bCs/>
          <w:color w:val="auto"/>
          <w:sz w:val="24"/>
          <w:szCs w:val="24"/>
          <w:highlight w:val="none"/>
          <w:lang w:val="en-US" w:eastAsia="zh-CN"/>
        </w:rPr>
        <w:t>合格</w:t>
      </w:r>
      <w:r>
        <w:rPr>
          <w:rFonts w:hint="eastAsia" w:ascii="宋体" w:hAnsi="宋体" w:eastAsia="宋体" w:cs="宋体"/>
          <w:b w:val="0"/>
          <w:bCs w:val="0"/>
          <w:color w:val="auto"/>
          <w:sz w:val="24"/>
          <w:szCs w:val="24"/>
          <w:highlight w:val="none"/>
          <w:lang w:val="en-US" w:eastAsia="zh-CN"/>
        </w:rPr>
        <w:t>：当</w:t>
      </w:r>
      <w:r>
        <w:rPr>
          <w:rFonts w:hint="eastAsia" w:ascii="宋体" w:hAnsi="宋体" w:eastAsia="宋体" w:cs="宋体"/>
          <w:b w:val="0"/>
          <w:bCs w:val="0"/>
          <w:color w:val="auto"/>
          <w:kern w:val="2"/>
          <w:sz w:val="24"/>
          <w:szCs w:val="24"/>
          <w:highlight w:val="none"/>
          <w:lang w:val="en-US" w:eastAsia="zh-CN" w:bidi="ar-SA"/>
        </w:rPr>
        <w:t>考核评价得分≥900分时，项目</w:t>
      </w:r>
      <w:r>
        <w:rPr>
          <w:rFonts w:hint="eastAsia" w:ascii="宋体" w:hAnsi="宋体" w:eastAsia="宋体" w:cs="宋体"/>
          <w:b w:val="0"/>
          <w:bCs w:val="0"/>
          <w:color w:val="auto"/>
          <w:sz w:val="24"/>
          <w:szCs w:val="24"/>
          <w:highlight w:val="none"/>
        </w:rPr>
        <w:t>综合</w:t>
      </w:r>
      <w:r>
        <w:rPr>
          <w:rFonts w:hint="eastAsia" w:ascii="宋体" w:hAnsi="宋体" w:eastAsia="宋体" w:cs="宋体"/>
          <w:b w:val="0"/>
          <w:bCs w:val="0"/>
          <w:color w:val="auto"/>
          <w:sz w:val="24"/>
          <w:szCs w:val="24"/>
          <w:highlight w:val="none"/>
          <w:lang w:val="en-US" w:eastAsia="zh-CN"/>
        </w:rPr>
        <w:t>评价</w:t>
      </w:r>
      <w:r>
        <w:rPr>
          <w:rFonts w:hint="eastAsia" w:ascii="宋体" w:hAnsi="宋体" w:eastAsia="宋体" w:cs="宋体"/>
          <w:b w:val="0"/>
          <w:bCs w:val="0"/>
          <w:color w:val="auto"/>
          <w:kern w:val="2"/>
          <w:sz w:val="24"/>
          <w:szCs w:val="24"/>
          <w:highlight w:val="none"/>
          <w:lang w:val="en-US" w:eastAsia="zh-CN" w:bidi="ar-SA"/>
        </w:rPr>
        <w:t>为合格，全额结算当月运维服务费。</w:t>
      </w:r>
    </w:p>
    <w:p w14:paraId="70122E62">
      <w:pPr>
        <w:pStyle w:val="78"/>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482" w:firstLineChars="200"/>
        <w:jc w:val="both"/>
        <w:textAlignment w:val="auto"/>
        <w:outlineLvl w:val="9"/>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（二）基本合格：</w:t>
      </w:r>
      <w:r>
        <w:rPr>
          <w:rFonts w:hint="eastAsia" w:ascii="宋体" w:hAnsi="宋体" w:eastAsia="宋体" w:cs="宋体"/>
          <w:b w:val="0"/>
          <w:bCs w:val="0"/>
          <w:color w:val="auto"/>
          <w:sz w:val="24"/>
          <w:szCs w:val="24"/>
          <w:highlight w:val="none"/>
          <w:lang w:val="en-US" w:eastAsia="zh-CN"/>
        </w:rPr>
        <w:t>若考核评价得分在800分至899分之间时，项目综合评价判定为基本合格。在此情形下，甲方有权要求乙方在规定期限内开展整改工作，以达到合格标准。如乙方拒不整改或经整改未达到合格标准的，按照分值扣除对应绩效服务费。</w:t>
      </w:r>
    </w:p>
    <w:p w14:paraId="245877E8">
      <w:pPr>
        <w:pStyle w:val="78"/>
        <w:keepNext w:val="0"/>
        <w:keepLines w:val="0"/>
        <w:pageBreakBefore w:val="0"/>
        <w:widowControl/>
        <w:numPr>
          <w:ilvl w:val="0"/>
          <w:numId w:val="0"/>
        </w:numPr>
        <w:kinsoku/>
        <w:wordWrap/>
        <w:overflowPunct/>
        <w:topLinePunct w:val="0"/>
        <w:autoSpaceDE/>
        <w:autoSpaceDN/>
        <w:bidi w:val="0"/>
        <w:adjustRightInd/>
        <w:snapToGrid/>
        <w:spacing w:before="0" w:after="0" w:line="560" w:lineRule="exact"/>
        <w:ind w:firstLine="482"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（三）不合格：</w:t>
      </w:r>
      <w:r>
        <w:rPr>
          <w:rFonts w:hint="eastAsia" w:ascii="宋体" w:hAnsi="宋体" w:eastAsia="宋体" w:cs="宋体"/>
          <w:color w:val="auto"/>
          <w:sz w:val="24"/>
          <w:szCs w:val="24"/>
          <w:highlight w:val="none"/>
          <w:lang w:val="en-US" w:eastAsia="zh-CN"/>
        </w:rPr>
        <w:t>当考核评价得分&lt;800分，项目综合评价为不合格，全额扣除绩效服务费，且甲方有权扣除当月对应基础服务费；连续2个月考核不合格的，甲方有权单方解除本协议。</w:t>
      </w:r>
    </w:p>
    <w:p w14:paraId="28BEDE8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7.3考核异议处理</w:t>
      </w:r>
    </w:p>
    <w:p w14:paraId="1DA5AE1B">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考核结果应形成书面记录，并由甲乙双方签字予以确认。</w:t>
      </w:r>
      <w:r>
        <w:rPr>
          <w:rFonts w:hint="eastAsia" w:ascii="宋体" w:hAnsi="宋体" w:eastAsia="宋体" w:cs="宋体"/>
          <w:color w:val="auto"/>
          <w:sz w:val="24"/>
          <w:szCs w:val="24"/>
          <w:highlight w:val="none"/>
          <w:lang w:eastAsia="zh-CN"/>
        </w:rPr>
        <w:t>若乙方对考核结果持有异议，应于收到考核结果之日起三个工作日内以书面形式提出并提交充分的佐证材料，甲方应在五个工作日内完成复核并出具书面复核结果。如甲方未在上述期限内完成复核，视为乙方异议成立，甲方应及时支付相关费用。经复核无误的，乙方应在收到复核结果之日起两个工作日内配合甲方完成签字确认。在整改期间，甲方可暂停支付相关费用。</w:t>
      </w:r>
    </w:p>
    <w:p w14:paraId="6B71702A">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eastAsia="zh-CN"/>
        </w:rPr>
        <w:t>八</w:t>
      </w:r>
      <w:r>
        <w:rPr>
          <w:rFonts w:hint="eastAsia" w:ascii="宋体" w:hAnsi="宋体" w:eastAsia="宋体" w:cs="宋体"/>
          <w:b/>
          <w:bCs/>
          <w:color w:val="auto"/>
          <w:sz w:val="24"/>
          <w:szCs w:val="24"/>
          <w:highlight w:val="none"/>
        </w:rPr>
        <w:t>条 保险及风险防控</w:t>
      </w:r>
    </w:p>
    <w:p w14:paraId="6F3B8C8B">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.1 保险责任</w:t>
      </w:r>
    </w:p>
    <w:p w14:paraId="4E3C333A">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乙方须为本项目所涉及的设施设备、公众责任、服务人员等依法投保，保险类别包括但不限于</w:t>
      </w:r>
      <w:r>
        <w:rPr>
          <w:rFonts w:hint="eastAsia" w:ascii="宋体" w:hAnsi="宋体" w:eastAsia="宋体" w:cs="宋体"/>
          <w:color w:val="auto"/>
          <w:sz w:val="24"/>
          <w:szCs w:val="24"/>
          <w:highlight w:val="none"/>
          <w:lang w:val="en-US" w:eastAsia="zh-CN"/>
        </w:rPr>
        <w:t>社会保险、意外险、设施设备险、公众责任险、雇主责任险等。乙方应在投保后三个工作日内将保险单复印件提交甲方留存。</w:t>
      </w:r>
    </w:p>
    <w:p w14:paraId="44F7CF45">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乙方投保的保险方案及保险金额需经甲方书面审核确认，确保足以覆盖可能出现的全部风险，保险费用应计入服务费用。</w:t>
      </w:r>
    </w:p>
    <w:p w14:paraId="2D4E6FE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.2 风险防控措施</w:t>
      </w:r>
    </w:p>
    <w:p w14:paraId="6C2C6F57">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乙方应建立并完善安全生产和应急预案，定期组织演练，及时排查安全隐患，以防范事故的发生。当发生突发事件、自然灾害、重大安全事故等情况时，乙方应立即启动应急预案，在第一时间通知甲方及相关部门，并采取有效措施控制损失。若因乙方未履行安全管理义务而导致事故发生，乙方需承担全部责任及损失。</w:t>
      </w:r>
    </w:p>
    <w:p w14:paraId="6866EFDD">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eastAsia="宋体" w:cs="宋体"/>
          <w:color w:val="auto"/>
          <w:sz w:val="21"/>
          <w:szCs w:val="21"/>
          <w:highlight w:val="none"/>
        </w:rPr>
      </w:pPr>
      <w:r>
        <w:rPr>
          <w:rFonts w:hint="eastAsia" w:ascii="宋体" w:hAnsi="宋体" w:eastAsia="宋体" w:cs="宋体"/>
          <w:color w:val="auto"/>
          <w:sz w:val="24"/>
          <w:szCs w:val="24"/>
          <w:highlight w:val="none"/>
          <w:lang w:eastAsia="zh-CN"/>
        </w:rPr>
        <w:t>乙方应加强安全培训，提高应急处置能力，以保障公众和设施的安全。</w:t>
      </w:r>
      <w:r>
        <w:rPr>
          <w:rFonts w:hint="eastAsia" w:ascii="宋体" w:hAnsi="宋体" w:eastAsia="宋体" w:cs="宋体"/>
          <w:color w:val="auto"/>
          <w:kern w:val="0"/>
          <w:sz w:val="24"/>
          <w:szCs w:val="24"/>
          <w:highlight w:val="none"/>
          <w:lang w:val="en-US" w:eastAsia="zh-CN" w:bidi="ar"/>
        </w:rPr>
        <w:t xml:space="preserve">在每次应急预案演练后【2】日内将演练报告提交甲方备案。 </w:t>
      </w:r>
    </w:p>
    <w:p w14:paraId="02DC306B">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第</w:t>
      </w:r>
      <w:r>
        <w:rPr>
          <w:rFonts w:hint="eastAsia" w:ascii="宋体" w:hAnsi="宋体" w:eastAsia="宋体" w:cs="宋体"/>
          <w:b/>
          <w:bCs/>
          <w:color w:val="auto"/>
          <w:sz w:val="24"/>
          <w:szCs w:val="24"/>
          <w:highlight w:val="none"/>
          <w:lang w:eastAsia="zh-CN"/>
        </w:rPr>
        <w:t>九</w:t>
      </w:r>
      <w:r>
        <w:rPr>
          <w:rFonts w:hint="eastAsia" w:ascii="宋体" w:hAnsi="宋体" w:eastAsia="宋体" w:cs="宋体"/>
          <w:b/>
          <w:bCs/>
          <w:color w:val="auto"/>
          <w:sz w:val="24"/>
          <w:szCs w:val="24"/>
          <w:highlight w:val="none"/>
        </w:rPr>
        <w:t>条 违约责任</w:t>
      </w:r>
    </w:p>
    <w:p w14:paraId="56852D9B">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9.1乙方承诺将严格按照本合同的所有约定（包括但不限于服务标准、质量要求、安全规范及时间节点）全面、适当地履行其义务。任何不履行或履行不符合约定的行为，均构成违约。</w:t>
      </w:r>
    </w:p>
    <w:p w14:paraId="3D2F71D2">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 xml:space="preserve">9.2甲方按照合同附件《考核细则》（附件三）对乙方的服务质量开展月度考核。若考核结果未达到合格标准，甲方有权要求乙方在规定期限内进行全面整改。同时，若因乙方的违约行为致使甲方扣除乙方当月的运维服务费，导致乙方不足以支付当月人员工资及其他费用的，乙方需自行筹集资金予以支付，不得因此拖欠人员薪资待遇，引发信访或舆情等不稳定因素。 </w:t>
      </w:r>
    </w:p>
    <w:p w14:paraId="033FA0B1">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4"/>
          <w:szCs w:val="24"/>
          <w:highlight w:val="none"/>
          <w:lang w:val="en-US" w:eastAsia="zh-CN"/>
        </w:rPr>
        <w:t xml:space="preserve">9.3若因乙方提供的服务未达到标准，直接致使甲方被上级政府约谈或收到书面通报批评，在此情况下，甲方有权直接判定乙方的运维服务为不合格，按照不合格标准进行考核，甲方有权扣除乙方当月的运维服务费。 </w:t>
      </w:r>
    </w:p>
    <w:p w14:paraId="499E9C84">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9.3因乙方的服务不到位，被公共媒体（包括但不限于当地新闻媒体、报刊、新闻网站，用户主流网络社交平台等）曝光，在此情况下，甲方有权直接判定乙方的运维服务为不合格，按照不合格标准进行考核，甲方有权扣除乙方当月的运维服务费。 </w:t>
      </w:r>
    </w:p>
    <w:p w14:paraId="396E628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9.4本协议履行期间，乙方人员发生与运维服务有关的安全事故，造成人员伤亡或财产损失的，由乙方自行承担相应的法律责任及全部赔偿责任。甲方因此遭受的全部损失，有权向乙方追偿。</w:t>
      </w:r>
    </w:p>
    <w:p w14:paraId="5DAC8C95">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4"/>
          <w:szCs w:val="24"/>
          <w:highlight w:val="none"/>
          <w:lang w:val="en-US" w:eastAsia="zh-CN"/>
        </w:rPr>
        <w:t xml:space="preserve">9.5在未获得甲方事先书面同意的情况下，乙方不得采用任何形式将本协议所规定的义务全部或部分转包或分包。若乙方违反此规定，甲方无需支付运维服务费。同时，乙方需按照本协议期间完成全部履约义务时应支付的运维服务总额的20%向甲方支付违约金。 </w:t>
      </w:r>
    </w:p>
    <w:p w14:paraId="4B121003">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9.6乙方指派的项目负责人及关键技术人员未经甲方同意不得擅自更换。若其失职或乙方团队无法稳定履约，经甲方书面通知7日内仍未改正，甲方有权按每人次人民币5000元的标准扣除运维服务费，并要求乙方更换合格人员。</w:t>
      </w:r>
    </w:p>
    <w:p w14:paraId="39A6D59E">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9.7若甲方依据本协议第10.2条单方解除协议，乙方应在甲方通知的期限内（如无特别约定则为甲方发出解除通知之日起7日内）无条件配合甲方及后续服务单位办理全部资产、资料、设施设备、工具等交接手续，确保运维服务无缝衔接。乙方不配合或迟延交接的，每逾期一日，乙方应向甲方支付当月应付服务费的1%作为违约金；因逾期交接造成运维空窗或甲方损失的，乙方应承担全部赔偿责任。甲方有权采取必要措施接管项目，相关额外费用及甲方遭受的损失由乙方承担，甲方有权从未支付的服务费中直接扣除。 </w:t>
      </w:r>
    </w:p>
    <w:p w14:paraId="2AB0A38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1"/>
          <w:szCs w:val="21"/>
          <w:highlight w:val="none"/>
          <w:lang w:eastAsia="zh-CN"/>
        </w:rPr>
      </w:pPr>
      <w:r>
        <w:rPr>
          <w:rFonts w:hint="eastAsia" w:ascii="宋体" w:hAnsi="宋体" w:eastAsia="宋体" w:cs="宋体"/>
          <w:color w:val="auto"/>
          <w:sz w:val="24"/>
          <w:szCs w:val="24"/>
          <w:highlight w:val="none"/>
          <w:lang w:val="en-US" w:eastAsia="zh-CN"/>
        </w:rPr>
        <w:t xml:space="preserve">9.8若前述条款中约定的违约金的支付及运维服务费的扣除仍无法填补乙方因违约行为给甲方造成的经济损失，对于该损失与违约金之间的差额部分，甲方有权继续向乙方追究赔偿责任。 </w:t>
      </w:r>
    </w:p>
    <w:p w14:paraId="22AFCA10">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第十条  合同解除</w:t>
      </w:r>
    </w:p>
    <w:p w14:paraId="306B5055">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10.1 双方协商一致可以解除本协议；</w:t>
      </w:r>
    </w:p>
    <w:p w14:paraId="289CEBB4">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  发生以下情形之一的，甲方有权单方解除本合同，以甲方合同解除的书面通知发出时间为合同解除时间：</w:t>
      </w:r>
    </w:p>
    <w:p w14:paraId="21C71E2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10.2.1、乙方严重违反服务质量要求的；</w:t>
      </w:r>
    </w:p>
    <w:p w14:paraId="5824C15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10.2.2 乙方连续2个月月度考核&lt;800分的；</w:t>
      </w:r>
    </w:p>
    <w:p w14:paraId="20DFB3BD">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10.2.3  乙方月度考核评分在800-899分之间，经甲方要求整改，</w:t>
      </w:r>
      <w:r>
        <w:rPr>
          <w:rFonts w:hint="eastAsia" w:ascii="宋体" w:hAnsi="宋体" w:eastAsia="宋体" w:cs="宋体"/>
          <w:b w:val="0"/>
          <w:bCs w:val="0"/>
          <w:color w:val="auto"/>
          <w:sz w:val="24"/>
          <w:szCs w:val="24"/>
          <w:highlight w:val="none"/>
          <w:lang w:val="en-US" w:eastAsia="zh-CN"/>
        </w:rPr>
        <w:t>乙方拒不整改或经2次整改未达到合格标准</w:t>
      </w:r>
      <w:r>
        <w:rPr>
          <w:rFonts w:hint="eastAsia" w:ascii="宋体" w:hAnsi="宋体" w:eastAsia="宋体" w:cs="宋体"/>
          <w:color w:val="auto"/>
          <w:sz w:val="24"/>
          <w:szCs w:val="24"/>
          <w:highlight w:val="none"/>
          <w:lang w:val="en-US" w:eastAsia="zh-CN"/>
        </w:rPr>
        <w:t>的；</w:t>
      </w:r>
    </w:p>
    <w:p w14:paraId="1D37837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10.2.4  乙方将服务整体转包或违法分包的；</w:t>
      </w:r>
    </w:p>
    <w:p w14:paraId="14091938">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10.2.5 被行政机关处罚或列入失信名单影响甲方声誉；</w:t>
      </w:r>
    </w:p>
    <w:p w14:paraId="5B969AA9">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10.2.6 发生重大安全责任事故或环境污染事件；</w:t>
      </w:r>
    </w:p>
    <w:p w14:paraId="48423F39">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10.2.7 因服务不到位引发群体性事件或重大舆情；</w:t>
      </w:r>
    </w:p>
    <w:p w14:paraId="5E6F22D6">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10.2.8 乙方破产、停业整顿或丧失实际履约能力的；</w:t>
      </w:r>
    </w:p>
    <w:p w14:paraId="6364AD7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10.2.9  其他法定解除条件。</w:t>
      </w:r>
    </w:p>
    <w:p w14:paraId="798CA8FA">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解除协议时，双方应妥善办理资产、资料等交接手续。</w:t>
      </w:r>
    </w:p>
    <w:p w14:paraId="3E1FCD2B">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第十一条 不可抗力</w:t>
      </w:r>
    </w:p>
    <w:p w14:paraId="033E26F0">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11.1</w:t>
      </w:r>
      <w:r>
        <w:rPr>
          <w:rFonts w:hint="eastAsia" w:ascii="宋体" w:hAnsi="宋体" w:eastAsia="宋体" w:cs="宋体"/>
          <w:color w:val="auto"/>
          <w:sz w:val="24"/>
          <w:szCs w:val="24"/>
          <w:highlight w:val="none"/>
          <w:lang w:eastAsia="zh-CN"/>
        </w:rPr>
        <w:t xml:space="preserve">如因不可抗力（包括但不限于自然灾害、政府行为、突发公共卫生事件等）导致乙方无法履行或部分无法履行合同义务的，乙方可部分或全部免除责任，但应及时通知甲方并采取合理措施减少损失。 </w:t>
      </w:r>
    </w:p>
    <w:p w14:paraId="33A92A72">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eastAsia="zh-CN"/>
        </w:rPr>
        <w:t>第十二条</w:t>
      </w:r>
      <w:r>
        <w:rPr>
          <w:rFonts w:hint="eastAsia" w:ascii="宋体" w:hAnsi="宋体" w:eastAsia="宋体" w:cs="宋体"/>
          <w:b/>
          <w:bCs/>
          <w:color w:val="auto"/>
          <w:sz w:val="24"/>
          <w:szCs w:val="24"/>
          <w:highlight w:val="none"/>
          <w:lang w:val="en-US" w:eastAsia="zh-CN"/>
        </w:rPr>
        <w:t xml:space="preserve"> </w:t>
      </w:r>
      <w:r>
        <w:rPr>
          <w:rFonts w:hint="eastAsia" w:ascii="宋体" w:hAnsi="宋体" w:eastAsia="宋体" w:cs="宋体"/>
          <w:b/>
          <w:bCs/>
          <w:color w:val="auto"/>
          <w:sz w:val="24"/>
          <w:szCs w:val="24"/>
          <w:highlight w:val="none"/>
        </w:rPr>
        <w:t>争议解决</w:t>
      </w:r>
    </w:p>
    <w:p w14:paraId="16A40FB6">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12.1 协议履行过程中发生争议，双方应本着友好协商原则解决。协商不成的，任一方可向哈密市伊州区人民法院提起诉讼。</w:t>
      </w:r>
    </w:p>
    <w:p w14:paraId="7E35100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12.2 因本协议履行或争议解决所产生的诉讼费用、律师费、保全费、保全责任保险费、送达费等，均由败诉方应承担。</w:t>
      </w:r>
    </w:p>
    <w:p w14:paraId="085BE4B3">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eastAsia="zh-CN"/>
        </w:rPr>
        <w:t>三</w:t>
      </w:r>
      <w:r>
        <w:rPr>
          <w:rFonts w:hint="eastAsia" w:ascii="宋体" w:hAnsi="宋体" w:eastAsia="宋体" w:cs="宋体"/>
          <w:b/>
          <w:bCs/>
          <w:color w:val="auto"/>
          <w:sz w:val="24"/>
          <w:szCs w:val="24"/>
          <w:highlight w:val="none"/>
        </w:rPr>
        <w:t>条 通知与送达</w:t>
      </w:r>
    </w:p>
    <w:p w14:paraId="103A7755">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eastAsia="zh-CN"/>
        </w:rPr>
        <w:t xml:space="preserve"> </w:t>
      </w:r>
      <w:r>
        <w:rPr>
          <w:rFonts w:hint="eastAsia" w:ascii="宋体" w:hAnsi="宋体" w:eastAsia="宋体" w:cs="宋体"/>
          <w:color w:val="auto"/>
          <w:sz w:val="24"/>
          <w:szCs w:val="24"/>
          <w:highlight w:val="none"/>
        </w:rPr>
        <w:t>与本协议有关的通知、要求、指令、同意、确认、资料等，均应以书面形式</w:t>
      </w:r>
      <w:r>
        <w:rPr>
          <w:rFonts w:hint="eastAsia" w:ascii="宋体" w:hAnsi="宋体" w:eastAsia="宋体" w:cs="宋体"/>
          <w:color w:val="auto"/>
          <w:sz w:val="24"/>
          <w:szCs w:val="24"/>
          <w:highlight w:val="none"/>
          <w:lang w:eastAsia="zh-CN"/>
        </w:rPr>
        <w:t>直接或邮寄</w:t>
      </w:r>
      <w:r>
        <w:rPr>
          <w:rFonts w:hint="eastAsia" w:ascii="宋体" w:hAnsi="宋体" w:eastAsia="宋体" w:cs="宋体"/>
          <w:color w:val="auto"/>
          <w:sz w:val="24"/>
          <w:szCs w:val="24"/>
          <w:highlight w:val="none"/>
        </w:rPr>
        <w:t>送达。双方确认各自的合法有效送达地址及联系方式为本协议首页所列。合同履行及争议解决过程中均可按照该方式送达。</w:t>
      </w:r>
    </w:p>
    <w:p w14:paraId="473FC915">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.2</w:t>
      </w:r>
      <w:r>
        <w:rPr>
          <w:rFonts w:hint="eastAsia" w:ascii="宋体" w:hAnsi="宋体" w:eastAsia="宋体" w:cs="宋体"/>
          <w:color w:val="auto"/>
          <w:sz w:val="24"/>
          <w:szCs w:val="24"/>
          <w:highlight w:val="none"/>
          <w:lang w:eastAsia="zh-CN"/>
        </w:rPr>
        <w:t>一方变更名称、地址、联系人或联系方式的，应于变更后的3个工作日内书面通知对方，否则对方按原信息送达的，视为有效送达。通过</w:t>
      </w:r>
      <w:r>
        <w:rPr>
          <w:rFonts w:hint="eastAsia" w:ascii="宋体" w:hAnsi="宋体" w:eastAsia="宋体" w:cs="宋体"/>
          <w:color w:val="auto"/>
          <w:sz w:val="24"/>
          <w:szCs w:val="24"/>
          <w:highlight w:val="none"/>
          <w:lang w:val="en-US" w:eastAsia="zh-CN"/>
        </w:rPr>
        <w:t>EMS</w:t>
      </w:r>
      <w:r>
        <w:rPr>
          <w:rFonts w:hint="eastAsia" w:ascii="宋体" w:hAnsi="宋体" w:eastAsia="宋体" w:cs="宋体"/>
          <w:color w:val="auto"/>
          <w:sz w:val="24"/>
          <w:szCs w:val="24"/>
          <w:highlight w:val="none"/>
          <w:lang w:eastAsia="zh-CN"/>
        </w:rPr>
        <w:t>方式送达的，以签收日期为准；被拒收签收或无法送达的，自交邮后的第7日视为已送达。</w:t>
      </w:r>
    </w:p>
    <w:p w14:paraId="1F223799">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eastAsia="zh-CN"/>
        </w:rPr>
        <w:t>四</w:t>
      </w:r>
      <w:r>
        <w:rPr>
          <w:rFonts w:hint="eastAsia" w:ascii="宋体" w:hAnsi="宋体" w:eastAsia="宋体" w:cs="宋体"/>
          <w:b/>
          <w:bCs/>
          <w:color w:val="auto"/>
          <w:sz w:val="24"/>
          <w:szCs w:val="24"/>
          <w:highlight w:val="none"/>
        </w:rPr>
        <w:t>条 协议生效及文件构成</w:t>
      </w:r>
    </w:p>
    <w:p w14:paraId="684C98E6">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 xml:space="preserve">.1 </w:t>
      </w:r>
      <w:r>
        <w:rPr>
          <w:rFonts w:hint="eastAsia" w:ascii="宋体" w:hAnsi="宋体" w:eastAsia="宋体" w:cs="宋体"/>
          <w:color w:val="auto"/>
          <w:sz w:val="24"/>
          <w:szCs w:val="24"/>
          <w:highlight w:val="none"/>
          <w:lang w:val="en-US" w:eastAsia="zh-CN"/>
        </w:rPr>
        <w:t>本协议自甲乙双方的法定代表人或授权代理人签字且加盖法人公章或合同专用章之日起生效。</w:t>
      </w:r>
    </w:p>
    <w:p w14:paraId="0461E5C2">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14.2  附件为本协议不可分割的组成部分，与协议正文具有同等法律效力。</w:t>
      </w:r>
    </w:p>
    <w:p w14:paraId="22C2E76D">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14.3本协议一式八份，甲乙双方各执四份，具有同等法律效力。</w:t>
      </w:r>
    </w:p>
    <w:p w14:paraId="694131E9">
      <w:pPr>
        <w:pStyle w:val="8"/>
        <w:keepNext w:val="0"/>
        <w:keepLines w:val="0"/>
        <w:widowControl w:val="0"/>
        <w:suppressLineNumbers w:val="0"/>
        <w:autoSpaceDE w:val="0"/>
        <w:autoSpaceDN/>
        <w:spacing w:before="0" w:beforeAutospacing="0" w:after="0" w:afterAutospacing="0" w:line="560" w:lineRule="exact"/>
        <w:ind w:left="0" w:right="0" w:firstLine="482" w:firstLineChars="200"/>
        <w:jc w:val="both"/>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第十五条 保密</w:t>
      </w:r>
    </w:p>
    <w:p w14:paraId="13F3AD71">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4"/>
          <w:szCs w:val="24"/>
          <w:highlight w:val="none"/>
          <w:lang w:val="en-US" w:eastAsia="zh-CN" w:bidi="ar"/>
        </w:rPr>
        <w:t>双方应对因履行本协议而知悉的对方的未公开信息（包括但不限于技术资料、经营信息、管理数据、考核细节等）予以保密，未经对方书面同意，不得向任何第三方泄露，亦不得用于本协议目的之外的任何用途。此保密义务在本协议终止后持续有效。</w:t>
      </w:r>
    </w:p>
    <w:p w14:paraId="3058BB65">
      <w:pPr>
        <w:pStyle w:val="81"/>
        <w:keepNext w:val="0"/>
        <w:keepLines w:val="0"/>
        <w:pageBreakBefore w:val="0"/>
        <w:kinsoku/>
        <w:overflowPunct/>
        <w:topLinePunct w:val="0"/>
        <w:autoSpaceDE/>
        <w:autoSpaceDN/>
        <w:bidi w:val="0"/>
        <w:adjustRightInd/>
        <w:snapToGrid/>
        <w:spacing w:line="560" w:lineRule="exact"/>
        <w:ind w:firstLine="482" w:firstLineChars="200"/>
        <w:jc w:val="both"/>
        <w:textAlignment w:val="auto"/>
        <w:outlineLvl w:val="9"/>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第十</w:t>
      </w:r>
      <w:r>
        <w:rPr>
          <w:rFonts w:hint="eastAsia" w:ascii="宋体" w:hAnsi="宋体" w:eastAsia="宋体" w:cs="宋体"/>
          <w:b/>
          <w:bCs/>
          <w:color w:val="auto"/>
          <w:sz w:val="24"/>
          <w:szCs w:val="24"/>
          <w:highlight w:val="none"/>
          <w:lang w:eastAsia="zh-CN"/>
        </w:rPr>
        <w:t>六</w:t>
      </w:r>
      <w:r>
        <w:rPr>
          <w:rFonts w:hint="eastAsia" w:ascii="宋体" w:hAnsi="宋体" w:eastAsia="宋体" w:cs="宋体"/>
          <w:b/>
          <w:bCs/>
          <w:color w:val="auto"/>
          <w:sz w:val="24"/>
          <w:szCs w:val="24"/>
          <w:highlight w:val="none"/>
        </w:rPr>
        <w:t>条 未尽事宜与补充约定</w:t>
      </w:r>
    </w:p>
    <w:p w14:paraId="12EE3B5B">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16.1</w:t>
      </w:r>
      <w:r>
        <w:rPr>
          <w:rFonts w:hint="eastAsia" w:ascii="宋体" w:hAnsi="宋体" w:eastAsia="宋体" w:cs="宋体"/>
          <w:color w:val="auto"/>
          <w:kern w:val="0"/>
          <w:sz w:val="24"/>
          <w:szCs w:val="24"/>
          <w:highlight w:val="none"/>
          <w:lang w:val="en-US" w:eastAsia="zh-CN" w:bidi="ar"/>
        </w:rPr>
        <w:t xml:space="preserve"> 协议未尽事宜或需变更本协议任何条款的，应由一方提出书面建议，经双方协商一致并签署书面补充协议后方可生效。未经双方签署书面文件，任何口头或单方意思表示均不构成对协议的变更。</w:t>
      </w:r>
    </w:p>
    <w:p w14:paraId="73260048">
      <w:pPr>
        <w:pStyle w:val="8"/>
        <w:keepNext w:val="0"/>
        <w:keepLines w:val="0"/>
        <w:widowControl w:val="0"/>
        <w:suppressLineNumbers w:val="0"/>
        <w:autoSpaceDE w:val="0"/>
        <w:autoSpaceDN/>
        <w:spacing w:before="0" w:beforeAutospacing="0" w:after="0" w:afterAutospacing="0" w:line="560" w:lineRule="exact"/>
        <w:ind w:left="0" w:right="0" w:firstLine="480" w:firstLineChars="200"/>
        <w:jc w:val="both"/>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16.2 </w:t>
      </w:r>
      <w:r>
        <w:rPr>
          <w:rFonts w:hint="eastAsia" w:ascii="宋体" w:hAnsi="宋体" w:eastAsia="宋体" w:cs="宋体"/>
          <w:color w:val="auto"/>
          <w:kern w:val="0"/>
          <w:sz w:val="24"/>
          <w:szCs w:val="24"/>
          <w:highlight w:val="none"/>
          <w:lang w:val="en-US" w:eastAsia="zh-CN" w:bidi="ar"/>
        </w:rPr>
        <w:t>如后续发现服务标准依据、范围、内容存在遗漏或不明确之处，双方应协商补充完善，补充内容与本协议具有同等法律效力。</w:t>
      </w:r>
    </w:p>
    <w:p w14:paraId="67FEA0CE">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16.3最终合同的内容，以招标方与中标方实际签订的书面合同为准。</w:t>
      </w:r>
    </w:p>
    <w:p w14:paraId="578A6F83">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（以下无正文，为协议签署页）</w:t>
      </w:r>
    </w:p>
    <w:p w14:paraId="4E3DC900">
      <w:pPr>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val="en-US" w:eastAsia="zh-CN"/>
        </w:rPr>
      </w:pPr>
    </w:p>
    <w:p w14:paraId="5F7E416E">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0C1324AA">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72B288F5">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7235E206">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2A57EDAB">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0043281C">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079CBE2E">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261E9E62">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10D26C70">
      <w:pPr>
        <w:keepNext w:val="0"/>
        <w:keepLines w:val="0"/>
        <w:pageBreakBefore w:val="0"/>
        <w:kinsoku/>
        <w:overflowPunct/>
        <w:topLinePunct w:val="0"/>
        <w:autoSpaceDE/>
        <w:autoSpaceDN/>
        <w:bidi w:val="0"/>
        <w:adjustRightInd/>
        <w:snapToGrid/>
        <w:spacing w:line="560" w:lineRule="exact"/>
        <w:ind w:firstLine="440" w:firstLineChars="200"/>
        <w:jc w:val="both"/>
        <w:textAlignment w:val="auto"/>
        <w:outlineLvl w:val="9"/>
        <w:rPr>
          <w:rFonts w:hint="eastAsia" w:ascii="宋体" w:hAnsi="宋体" w:eastAsia="宋体" w:cs="宋体"/>
          <w:color w:val="auto"/>
          <w:sz w:val="22"/>
          <w:szCs w:val="22"/>
          <w:highlight w:val="none"/>
          <w:lang w:val="en-US" w:eastAsia="zh-CN"/>
        </w:rPr>
      </w:pPr>
    </w:p>
    <w:p w14:paraId="21C7B24D">
      <w:pPr>
        <w:keepNext w:val="0"/>
        <w:keepLines w:val="0"/>
        <w:pageBreakBefore w:val="0"/>
        <w:kinsoku/>
        <w:overflowPunct/>
        <w:topLinePunct w:val="0"/>
        <w:autoSpaceDE/>
        <w:autoSpaceDN/>
        <w:bidi w:val="0"/>
        <w:adjustRightInd/>
        <w:snapToGrid/>
        <w:spacing w:line="240" w:lineRule="auto"/>
        <w:ind w:firstLine="0" w:firstLineChars="0"/>
        <w:jc w:val="left"/>
        <w:textAlignment w:val="auto"/>
        <w:outlineLvl w:val="9"/>
        <w:rPr>
          <w:rFonts w:hint="eastAsia" w:ascii="宋体" w:hAnsi="宋体" w:eastAsia="宋体" w:cs="宋体"/>
          <w:color w:val="auto"/>
          <w:sz w:val="22"/>
          <w:szCs w:val="22"/>
          <w:highlight w:val="none"/>
          <w:lang w:val="en-US" w:eastAsia="zh-CN"/>
        </w:rPr>
      </w:pPr>
      <w:r>
        <w:rPr>
          <w:rFonts w:hint="eastAsia" w:ascii="宋体" w:hAnsi="宋体" w:eastAsia="宋体" w:cs="宋体"/>
          <w:color w:val="auto"/>
          <w:sz w:val="22"/>
          <w:szCs w:val="22"/>
          <w:highlight w:val="none"/>
          <w:lang w:val="en-US" w:eastAsia="zh-CN"/>
        </w:rPr>
        <w:br w:type="page"/>
      </w:r>
    </w:p>
    <w:p w14:paraId="1918E39A">
      <w:pPr>
        <w:keepNext w:val="0"/>
        <w:keepLines w:val="0"/>
        <w:pageBreakBefore w:val="0"/>
        <w:kinsoku/>
        <w:overflowPunct/>
        <w:topLinePunct w:val="0"/>
        <w:autoSpaceDE/>
        <w:autoSpaceDN/>
        <w:bidi w:val="0"/>
        <w:adjustRightInd/>
        <w:snapToGrid/>
        <w:spacing w:line="44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附件一：《石油基地“市政、园林、环卫一体化”项目考核评价办法》（略）；</w:t>
      </w:r>
    </w:p>
    <w:p w14:paraId="32C4ECB9">
      <w:pPr>
        <w:keepNext w:val="0"/>
        <w:keepLines w:val="0"/>
        <w:pageBreakBefore w:val="0"/>
        <w:kinsoku/>
        <w:overflowPunct/>
        <w:topLinePunct w:val="0"/>
        <w:autoSpaceDE/>
        <w:autoSpaceDN/>
        <w:bidi w:val="0"/>
        <w:adjustRightInd/>
        <w:snapToGrid/>
        <w:spacing w:line="44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附件二：《石油基地“市政、园林 、环卫一体化”项目工程量清单》（略）；</w:t>
      </w:r>
    </w:p>
    <w:p w14:paraId="5C076447">
      <w:pPr>
        <w:keepNext w:val="0"/>
        <w:keepLines w:val="0"/>
        <w:pageBreakBefore w:val="0"/>
        <w:kinsoku/>
        <w:overflowPunct/>
        <w:topLinePunct w:val="0"/>
        <w:autoSpaceDE/>
        <w:autoSpaceDN/>
        <w:bidi w:val="0"/>
        <w:adjustRightInd/>
        <w:snapToGrid/>
        <w:spacing w:line="44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附件三：考核细则</w:t>
      </w:r>
    </w:p>
    <w:p w14:paraId="3B9F3523">
      <w:pPr>
        <w:keepNext w:val="0"/>
        <w:keepLines w:val="0"/>
        <w:pageBreakBefore w:val="0"/>
        <w:numPr>
          <w:ilvl w:val="0"/>
          <w:numId w:val="4"/>
        </w:numPr>
        <w:kinsoku/>
        <w:overflowPunct/>
        <w:topLinePunct w:val="0"/>
        <w:autoSpaceDE/>
        <w:autoSpaceDN/>
        <w:bidi w:val="0"/>
        <w:adjustRightInd/>
        <w:snapToGrid/>
        <w:spacing w:line="44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《内控考核细则》（略）</w:t>
      </w:r>
    </w:p>
    <w:p w14:paraId="0993AC16">
      <w:pPr>
        <w:keepNext w:val="0"/>
        <w:keepLines w:val="0"/>
        <w:pageBreakBefore w:val="0"/>
        <w:numPr>
          <w:ilvl w:val="0"/>
          <w:numId w:val="4"/>
        </w:numPr>
        <w:kinsoku/>
        <w:overflowPunct/>
        <w:topLinePunct w:val="0"/>
        <w:autoSpaceDE/>
        <w:autoSpaceDN/>
        <w:bidi w:val="0"/>
        <w:adjustRightInd/>
        <w:snapToGrid/>
        <w:spacing w:line="44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《园林绿化养护及公园管理考核细则》（略）</w:t>
      </w:r>
    </w:p>
    <w:p w14:paraId="7CF42373">
      <w:pPr>
        <w:keepNext w:val="0"/>
        <w:keepLines w:val="0"/>
        <w:pageBreakBefore w:val="0"/>
        <w:numPr>
          <w:ilvl w:val="0"/>
          <w:numId w:val="4"/>
        </w:numPr>
        <w:kinsoku/>
        <w:overflowPunct/>
        <w:topLinePunct w:val="0"/>
        <w:autoSpaceDE/>
        <w:autoSpaceDN/>
        <w:bidi w:val="0"/>
        <w:adjustRightInd/>
        <w:snapToGrid/>
        <w:spacing w:line="440" w:lineRule="exact"/>
        <w:ind w:firstLine="0"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《环卫保洁考核细则》（略）</w:t>
      </w:r>
    </w:p>
    <w:p w14:paraId="0DAFA533">
      <w:pPr>
        <w:keepNext w:val="0"/>
        <w:keepLines w:val="0"/>
        <w:pageBreakBefore w:val="0"/>
        <w:numPr>
          <w:ilvl w:val="0"/>
          <w:numId w:val="4"/>
        </w:numPr>
        <w:kinsoku/>
        <w:overflowPunct/>
        <w:topLinePunct w:val="0"/>
        <w:autoSpaceDE/>
        <w:autoSpaceDN/>
        <w:bidi w:val="0"/>
        <w:adjustRightInd/>
        <w:snapToGrid/>
        <w:spacing w:line="440" w:lineRule="exact"/>
        <w:ind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《市政养护考核细则》（略）</w:t>
      </w:r>
    </w:p>
    <w:p w14:paraId="387C5F2A">
      <w:pPr>
        <w:keepNext w:val="0"/>
        <w:keepLines w:val="0"/>
        <w:pageBreakBefore w:val="0"/>
        <w:numPr>
          <w:ilvl w:val="0"/>
          <w:numId w:val="0"/>
        </w:numPr>
        <w:kinsoku/>
        <w:overflowPunct/>
        <w:topLinePunct w:val="0"/>
        <w:autoSpaceDE/>
        <w:autoSpaceDN/>
        <w:bidi w:val="0"/>
        <w:adjustRightInd/>
        <w:snapToGrid/>
        <w:spacing w:line="440" w:lineRule="exact"/>
        <w:ind w:firstLine="0"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附件四：《石油基地“市政、园林、环卫一体化”项目满意度调查问卷》（试行）（略）</w:t>
      </w:r>
    </w:p>
    <w:p w14:paraId="56313CE5">
      <w:pPr>
        <w:pStyle w:val="30"/>
        <w:spacing w:after="0" w:line="440" w:lineRule="exact"/>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附件五：限期整改通知单（略）</w:t>
      </w:r>
    </w:p>
    <w:p w14:paraId="009B7F0B">
      <w:pPr>
        <w:pStyle w:val="30"/>
        <w:spacing w:after="0" w:line="440" w:lineRule="exact"/>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附件六：考核扣分通知单（略）</w:t>
      </w:r>
    </w:p>
    <w:p w14:paraId="229853F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p>
    <w:p w14:paraId="3720A52C">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p>
    <w:p w14:paraId="786A9AD7">
      <w:pPr>
        <w:keepNext w:val="0"/>
        <w:keepLines w:val="0"/>
        <w:pageBreakBefore w:val="0"/>
        <w:kinsoku/>
        <w:overflowPunct/>
        <w:topLinePunct w:val="0"/>
        <w:autoSpaceDE/>
        <w:autoSpaceDN/>
        <w:bidi w:val="0"/>
        <w:adjustRightInd/>
        <w:snapToGrid/>
        <w:ind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br w:type="page"/>
      </w:r>
    </w:p>
    <w:p w14:paraId="252EF313">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eastAsia="zh-CN"/>
        </w:rPr>
        <w:t>署名页：</w:t>
      </w:r>
    </w:p>
    <w:p w14:paraId="551B1F4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p>
    <w:p w14:paraId="1BB7732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lang w:eastAsia="zh-CN"/>
        </w:rPr>
      </w:pPr>
    </w:p>
    <w:p w14:paraId="02C5341A">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甲方（盖章）：</w:t>
      </w:r>
    </w:p>
    <w:p w14:paraId="125EAFE6">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法定代表人（或授权代理人）签字：</w:t>
      </w:r>
    </w:p>
    <w:p w14:paraId="1189CE9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签署日期</w:t>
      </w:r>
      <w:r>
        <w:rPr>
          <w:rFonts w:hint="eastAsia" w:ascii="宋体" w:hAnsi="宋体" w:eastAsia="宋体" w:cs="宋体"/>
          <w:color w:val="auto"/>
          <w:sz w:val="24"/>
          <w:szCs w:val="24"/>
          <w:highlight w:val="none"/>
          <w:lang w:eastAsia="zh-CN"/>
        </w:rPr>
        <w:t>：</w:t>
      </w:r>
    </w:p>
    <w:p w14:paraId="37B16666">
      <w:pPr>
        <w:pStyle w:val="81"/>
        <w:keepNext w:val="0"/>
        <w:keepLines w:val="0"/>
        <w:pageBreakBefore w:val="0"/>
        <w:kinsoku/>
        <w:overflowPunct/>
        <w:topLinePunct w:val="0"/>
        <w:autoSpaceDE/>
        <w:autoSpaceDN/>
        <w:bidi w:val="0"/>
        <w:adjustRightInd/>
        <w:snapToGrid/>
        <w:spacing w:line="560" w:lineRule="exact"/>
        <w:jc w:val="both"/>
        <w:textAlignment w:val="auto"/>
        <w:outlineLvl w:val="9"/>
        <w:rPr>
          <w:rFonts w:hint="eastAsia" w:ascii="宋体" w:hAnsi="宋体" w:eastAsia="宋体" w:cs="宋体"/>
          <w:color w:val="auto"/>
          <w:sz w:val="24"/>
          <w:szCs w:val="24"/>
          <w:highlight w:val="none"/>
        </w:rPr>
      </w:pPr>
    </w:p>
    <w:p w14:paraId="3BBA3F5B">
      <w:pPr>
        <w:pStyle w:val="81"/>
        <w:keepNext w:val="0"/>
        <w:keepLines w:val="0"/>
        <w:pageBreakBefore w:val="0"/>
        <w:kinsoku/>
        <w:overflowPunct/>
        <w:topLinePunct w:val="0"/>
        <w:autoSpaceDE/>
        <w:autoSpaceDN/>
        <w:bidi w:val="0"/>
        <w:adjustRightInd/>
        <w:snapToGrid/>
        <w:spacing w:line="560" w:lineRule="exact"/>
        <w:jc w:val="both"/>
        <w:textAlignment w:val="auto"/>
        <w:outlineLvl w:val="9"/>
        <w:rPr>
          <w:rFonts w:hint="eastAsia" w:ascii="宋体" w:hAnsi="宋体" w:eastAsia="宋体" w:cs="宋体"/>
          <w:color w:val="auto"/>
          <w:sz w:val="24"/>
          <w:szCs w:val="24"/>
          <w:highlight w:val="none"/>
        </w:rPr>
      </w:pPr>
    </w:p>
    <w:p w14:paraId="267F269F">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乙方（盖章）：</w:t>
      </w:r>
    </w:p>
    <w:p w14:paraId="406C9536">
      <w:pPr>
        <w:pStyle w:val="81"/>
        <w:keepNext w:val="0"/>
        <w:keepLines w:val="0"/>
        <w:pageBreakBefore w:val="0"/>
        <w:kinsoku/>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法定代表人（或授权代理人）签字：</w:t>
      </w:r>
    </w:p>
    <w:p w14:paraId="615C1E8C">
      <w:pPr>
        <w:pStyle w:val="81"/>
        <w:keepNext w:val="0"/>
        <w:keepLines w:val="0"/>
        <w:pageBreakBefore w:val="0"/>
        <w:widowControl/>
        <w:kinsoku/>
        <w:wordWrap/>
        <w:overflowPunct/>
        <w:topLinePunct w:val="0"/>
        <w:autoSpaceDE/>
        <w:autoSpaceDN/>
        <w:bidi w:val="0"/>
        <w:adjustRightInd/>
        <w:snapToGrid/>
        <w:spacing w:line="560" w:lineRule="exact"/>
        <w:ind w:firstLine="480" w:firstLineChars="20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签署日期：</w:t>
      </w:r>
    </w:p>
    <w:p w14:paraId="2E3B0D8E">
      <w:pPr>
        <w:keepNext w:val="0"/>
        <w:keepLines w:val="0"/>
        <w:pageBreakBefore w:val="0"/>
        <w:widowControl/>
        <w:kinsoku w:val="0"/>
        <w:wordWrap/>
        <w:overflowPunct/>
        <w:topLinePunct w:val="0"/>
        <w:autoSpaceDE w:val="0"/>
        <w:autoSpaceDN w:val="0"/>
        <w:bidi w:val="0"/>
        <w:adjustRightInd w:val="0"/>
        <w:snapToGrid w:val="0"/>
        <w:spacing w:line="520" w:lineRule="exac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br w:type="page"/>
      </w:r>
    </w:p>
    <w:p w14:paraId="59F9599D">
      <w:pPr>
        <w:pStyle w:val="81"/>
        <w:keepNext w:val="0"/>
        <w:keepLines w:val="0"/>
        <w:pageBreakBefore w:val="0"/>
        <w:widowControl/>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方正仿宋_GB2312" w:hAnsi="方正仿宋_GB2312" w:eastAsia="方正仿宋_GB2312" w:cs="方正仿宋_GB2312"/>
          <w:color w:val="auto"/>
          <w:sz w:val="32"/>
          <w:szCs w:val="32"/>
          <w:highlight w:val="none"/>
          <w:lang w:val="en-US" w:eastAsia="zh-CN"/>
        </w:rPr>
      </w:pPr>
    </w:p>
    <w:bookmarkEnd w:id="633"/>
    <w:bookmarkEnd w:id="634"/>
    <w:bookmarkEnd w:id="635"/>
    <w:bookmarkEnd w:id="636"/>
    <w:bookmarkEnd w:id="637"/>
    <w:bookmarkEnd w:id="638"/>
    <w:bookmarkEnd w:id="639"/>
    <w:bookmarkEnd w:id="640"/>
    <w:p w14:paraId="02ABD43E">
      <w:pPr>
        <w:widowControl/>
        <w:jc w:val="left"/>
        <w:rPr>
          <w:rFonts w:asciiTheme="minorEastAsia" w:hAnsiTheme="minorEastAsia" w:eastAsiaTheme="minorEastAsia"/>
          <w:color w:val="auto"/>
          <w:sz w:val="24"/>
          <w:highlight w:val="none"/>
        </w:rPr>
      </w:pPr>
    </w:p>
    <w:bookmarkEnd w:id="632"/>
    <w:p w14:paraId="557A8F2F">
      <w:pPr>
        <w:pStyle w:val="2"/>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黑体" w:cstheme="minorBidi"/>
          <w:b/>
          <w:bCs/>
          <w:color w:val="auto"/>
          <w:kern w:val="44"/>
          <w:sz w:val="44"/>
          <w:szCs w:val="44"/>
          <w:highlight w:val="none"/>
          <w:lang w:val="en-US" w:eastAsia="zh-CN" w:bidi="ar-SA"/>
        </w:rPr>
      </w:pPr>
      <w:bookmarkStart w:id="641" w:name="_Toc155185919"/>
    </w:p>
    <w:p w14:paraId="72D513E7">
      <w:pPr>
        <w:pStyle w:val="2"/>
        <w:keepNext/>
        <w:keepLines/>
        <w:pageBreakBefore w:val="0"/>
        <w:widowControl w:val="0"/>
        <w:numPr>
          <w:ilvl w:val="0"/>
          <w:numId w:val="0"/>
        </w:numPr>
        <w:kinsoku/>
        <w:wordWrap/>
        <w:overflowPunct/>
        <w:topLinePunct w:val="0"/>
        <w:autoSpaceDE/>
        <w:autoSpaceDN/>
        <w:bidi w:val="0"/>
        <w:adjustRightInd/>
        <w:snapToGrid/>
        <w:spacing w:before="100" w:after="90" w:line="360" w:lineRule="auto"/>
        <w:ind w:left="420" w:leftChars="0" w:hanging="420" w:firstLineChars="0"/>
        <w:textAlignment w:val="auto"/>
        <w:rPr>
          <w:rFonts w:hint="eastAsia" w:ascii="宋体" w:hAnsi="宋体" w:eastAsia="黑体" w:cstheme="minorBidi"/>
          <w:b/>
          <w:bCs/>
          <w:color w:val="auto"/>
          <w:kern w:val="44"/>
          <w:sz w:val="44"/>
          <w:szCs w:val="44"/>
          <w:highlight w:val="none"/>
          <w:lang w:val="en-US" w:eastAsia="zh-CN" w:bidi="ar-SA"/>
        </w:rPr>
      </w:pPr>
    </w:p>
    <w:p w14:paraId="5CAF3138">
      <w:pPr>
        <w:pStyle w:val="2"/>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color w:val="auto"/>
          <w:kern w:val="44"/>
          <w:sz w:val="36"/>
          <w:szCs w:val="36"/>
          <w:highlight w:val="none"/>
          <w:lang w:val="en-US" w:eastAsia="zh-CN" w:bidi="ar-SA"/>
        </w:rPr>
      </w:pPr>
      <w:bookmarkStart w:id="642" w:name="_Toc28792"/>
      <w:r>
        <w:rPr>
          <w:rFonts w:hint="eastAsia" w:ascii="宋体" w:hAnsi="宋体" w:eastAsia="宋体" w:cs="宋体"/>
          <w:b/>
          <w:bCs/>
          <w:color w:val="auto"/>
          <w:kern w:val="44"/>
          <w:sz w:val="36"/>
          <w:szCs w:val="36"/>
          <w:highlight w:val="none"/>
          <w:lang w:val="en-US" w:eastAsia="zh-CN" w:bidi="ar-SA"/>
        </w:rPr>
        <w:t>第七章 投标文件格式</w:t>
      </w:r>
      <w:bookmarkEnd w:id="641"/>
      <w:bookmarkEnd w:id="642"/>
    </w:p>
    <w:p w14:paraId="20B1063D">
      <w:pPr>
        <w:ind w:left="240" w:leftChars="100" w:firstLine="480" w:firstLineChars="200"/>
        <w:rPr>
          <w:rFonts w:cs="仿宋_GB2312"/>
          <w:color w:val="auto"/>
          <w:szCs w:val="24"/>
          <w:highlight w:val="none"/>
        </w:rPr>
      </w:pPr>
    </w:p>
    <w:p w14:paraId="29D44C55">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44DD0F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9EDECB5">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5F9B00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2E1D158">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E6822E5">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2CA045B">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893E9FD">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95452EF">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AA66CC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69FA17D">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72E3CAE">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565C3EB">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07DA079A">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E15166A">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3A9983C">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48F8DEC">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6F52A8AF">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FC05CF">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761F2B5A">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99474F0">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5390F1A2">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A93A46C">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C290983">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55D68F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1025489F">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308F138C">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2CDCE37B">
      <w:pPr>
        <w:ind w:firstLine="480" w:firstLineChars="200"/>
        <w:rPr>
          <w:rFonts w:hint="eastAsia" w:cs="仿宋_GB2312"/>
          <w:color w:val="auto"/>
          <w:szCs w:val="24"/>
          <w:highlight w:val="none"/>
          <w:lang w:val="zh-CN"/>
        </w:rPr>
      </w:pPr>
    </w:p>
    <w:p w14:paraId="3D40132F">
      <w:pPr>
        <w:ind w:firstLine="480" w:firstLineChars="200"/>
        <w:rPr>
          <w:rFonts w:hint="eastAsia" w:cs="仿宋_GB2312"/>
          <w:color w:val="auto"/>
          <w:szCs w:val="24"/>
          <w:highlight w:val="none"/>
          <w:lang w:val="zh-CN"/>
        </w:rPr>
      </w:pPr>
    </w:p>
    <w:p w14:paraId="375DA883">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6466A4DC">
      <w:pPr>
        <w:autoSpaceDE w:val="0"/>
        <w:autoSpaceDN w:val="0"/>
        <w:adjustRightInd w:val="0"/>
        <w:rPr>
          <w:color w:val="auto"/>
          <w:sz w:val="21"/>
          <w:szCs w:val="24"/>
          <w:highlight w:val="none"/>
        </w:rPr>
      </w:pPr>
    </w:p>
    <w:p w14:paraId="445E5BF7">
      <w:pPr>
        <w:autoSpaceDE w:val="0"/>
        <w:autoSpaceDN w:val="0"/>
        <w:adjustRightInd w:val="0"/>
        <w:rPr>
          <w:color w:val="auto"/>
          <w:sz w:val="21"/>
          <w:szCs w:val="24"/>
          <w:highlight w:val="none"/>
        </w:rPr>
      </w:pPr>
    </w:p>
    <w:p w14:paraId="4BD0E164">
      <w:pPr>
        <w:autoSpaceDE w:val="0"/>
        <w:autoSpaceDN w:val="0"/>
        <w:adjustRightInd w:val="0"/>
        <w:jc w:val="center"/>
        <w:rPr>
          <w:color w:val="auto"/>
          <w:sz w:val="21"/>
          <w:szCs w:val="24"/>
          <w:highlight w:val="none"/>
        </w:rPr>
      </w:pPr>
    </w:p>
    <w:p w14:paraId="2280C3BA">
      <w:pPr>
        <w:pStyle w:val="3"/>
        <w:bidi w:val="0"/>
        <w:jc w:val="center"/>
        <w:rPr>
          <w:color w:val="auto"/>
          <w:sz w:val="84"/>
          <w:szCs w:val="84"/>
          <w:highlight w:val="none"/>
        </w:rPr>
      </w:pPr>
      <w:bookmarkStart w:id="643" w:name="_Toc13212"/>
      <w:bookmarkStart w:id="644" w:name="_Toc10530"/>
      <w:bookmarkStart w:id="645" w:name="_Toc6039"/>
      <w:bookmarkStart w:id="646" w:name="_Toc5428"/>
      <w:r>
        <w:rPr>
          <w:rFonts w:hint="eastAsia"/>
          <w:color w:val="auto"/>
          <w:sz w:val="84"/>
          <w:szCs w:val="84"/>
          <w:highlight w:val="none"/>
        </w:rPr>
        <w:t>投 标 文 件</w:t>
      </w:r>
      <w:bookmarkEnd w:id="643"/>
      <w:bookmarkEnd w:id="644"/>
      <w:bookmarkEnd w:id="645"/>
      <w:bookmarkEnd w:id="646"/>
    </w:p>
    <w:p w14:paraId="0FA5F802">
      <w:pPr>
        <w:pStyle w:val="3"/>
        <w:bidi w:val="0"/>
        <w:spacing w:before="0" w:after="0" w:line="240" w:lineRule="auto"/>
        <w:jc w:val="center"/>
        <w:rPr>
          <w:color w:val="auto"/>
          <w:sz w:val="56"/>
          <w:szCs w:val="56"/>
          <w:highlight w:val="none"/>
        </w:rPr>
      </w:pPr>
      <w:bookmarkStart w:id="647" w:name="_Toc26159"/>
      <w:r>
        <w:rPr>
          <w:rFonts w:hint="eastAsia"/>
          <w:color w:val="auto"/>
          <w:sz w:val="56"/>
          <w:szCs w:val="56"/>
          <w:highlight w:val="none"/>
        </w:rPr>
        <w:t>资格证明文件</w:t>
      </w:r>
      <w:bookmarkEnd w:id="647"/>
    </w:p>
    <w:p w14:paraId="66E88D4F">
      <w:pPr>
        <w:autoSpaceDE w:val="0"/>
        <w:autoSpaceDN w:val="0"/>
        <w:adjustRightInd w:val="0"/>
        <w:rPr>
          <w:b/>
          <w:bCs/>
          <w:color w:val="auto"/>
          <w:sz w:val="22"/>
          <w:highlight w:val="none"/>
        </w:rPr>
      </w:pPr>
    </w:p>
    <w:p w14:paraId="537F8D86">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26E8C70">
      <w:pPr>
        <w:autoSpaceDE w:val="0"/>
        <w:autoSpaceDN w:val="0"/>
        <w:adjustRightInd w:val="0"/>
        <w:rPr>
          <w:color w:val="auto"/>
          <w:sz w:val="21"/>
          <w:szCs w:val="21"/>
          <w:highlight w:val="none"/>
        </w:rPr>
      </w:pPr>
    </w:p>
    <w:p w14:paraId="2874C375">
      <w:pPr>
        <w:pStyle w:val="3"/>
        <w:rPr>
          <w:color w:val="auto"/>
          <w:highlight w:val="none"/>
        </w:rPr>
      </w:pPr>
    </w:p>
    <w:p w14:paraId="2085130F">
      <w:pPr>
        <w:autoSpaceDE w:val="0"/>
        <w:autoSpaceDN w:val="0"/>
        <w:adjustRightInd w:val="0"/>
        <w:rPr>
          <w:color w:val="auto"/>
          <w:sz w:val="21"/>
          <w:szCs w:val="21"/>
          <w:highlight w:val="none"/>
        </w:rPr>
      </w:pPr>
    </w:p>
    <w:p w14:paraId="39700BDA">
      <w:pPr>
        <w:autoSpaceDE w:val="0"/>
        <w:autoSpaceDN w:val="0"/>
        <w:adjustRightInd w:val="0"/>
        <w:rPr>
          <w:color w:val="auto"/>
          <w:sz w:val="21"/>
          <w:szCs w:val="21"/>
          <w:highlight w:val="none"/>
        </w:rPr>
      </w:pPr>
    </w:p>
    <w:p w14:paraId="6334E3E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5A643116">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2710CA78">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7A39596D">
      <w:pPr>
        <w:ind w:left="840" w:firstLine="420"/>
        <w:rPr>
          <w:b/>
          <w:bCs/>
          <w:color w:val="auto"/>
          <w:sz w:val="28"/>
          <w:szCs w:val="28"/>
          <w:highlight w:val="none"/>
        </w:rPr>
      </w:pPr>
    </w:p>
    <w:p w14:paraId="0613F091">
      <w:pPr>
        <w:ind w:left="840" w:firstLine="420"/>
        <w:rPr>
          <w:b/>
          <w:bCs/>
          <w:color w:val="auto"/>
          <w:sz w:val="28"/>
          <w:szCs w:val="28"/>
          <w:highlight w:val="none"/>
        </w:rPr>
      </w:pPr>
    </w:p>
    <w:p w14:paraId="2330D405">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6447D651">
      <w:pPr>
        <w:rPr>
          <w:color w:val="auto"/>
          <w:highlight w:val="none"/>
          <w:lang w:val="zh-CN"/>
        </w:rPr>
      </w:pPr>
      <w:r>
        <w:rPr>
          <w:color w:val="auto"/>
          <w:highlight w:val="none"/>
          <w:lang w:val="zh-CN"/>
        </w:rPr>
        <w:br w:type="page"/>
      </w:r>
    </w:p>
    <w:p w14:paraId="215FC2E3">
      <w:pPr>
        <w:pStyle w:val="3"/>
        <w:bidi w:val="0"/>
        <w:rPr>
          <w:rFonts w:hint="eastAsia"/>
          <w:color w:val="auto"/>
          <w:sz w:val="28"/>
          <w:szCs w:val="28"/>
          <w:highlight w:val="none"/>
          <w:lang w:val="en-US" w:eastAsia="zh-CN"/>
        </w:rPr>
      </w:pPr>
      <w:bookmarkStart w:id="648" w:name="_Toc23388"/>
      <w:bookmarkStart w:id="649" w:name="_Toc155185927"/>
      <w:r>
        <w:rPr>
          <w:rFonts w:hint="eastAsia"/>
          <w:color w:val="auto"/>
          <w:sz w:val="28"/>
          <w:szCs w:val="28"/>
          <w:highlight w:val="none"/>
          <w:lang w:val="en-US" w:eastAsia="zh-CN"/>
        </w:rPr>
        <w:t>一、满足《中华人民共和国政府采购法》第二十二条规定</w:t>
      </w:r>
      <w:bookmarkEnd w:id="648"/>
    </w:p>
    <w:bookmarkEnd w:id="649"/>
    <w:p w14:paraId="4C032460">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（一）法人、其他组织或者自然人的证明文件</w:t>
      </w:r>
    </w:p>
    <w:p w14:paraId="2881C92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1、投标人</w:t>
      </w:r>
      <w:r>
        <w:rPr>
          <w:rFonts w:hint="eastAsia" w:ascii="宋体" w:hAnsi="宋体" w:eastAsia="宋体" w:cs="宋体"/>
          <w:b w:val="0"/>
          <w:bCs w:val="0"/>
          <w:color w:val="auto"/>
          <w:kern w:val="0"/>
          <w:sz w:val="24"/>
          <w:szCs w:val="24"/>
          <w:highlight w:val="none"/>
          <w:lang w:val="en-US" w:eastAsia="zh-CN"/>
        </w:rPr>
        <w:t>为企业（包括合伙企业）的，应提供有效的“营业执照”；</w:t>
      </w:r>
    </w:p>
    <w:p w14:paraId="1CA280B7">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2、投标人</w:t>
      </w:r>
      <w:r>
        <w:rPr>
          <w:rFonts w:hint="eastAsia" w:ascii="宋体" w:hAnsi="宋体" w:eastAsia="宋体" w:cs="宋体"/>
          <w:b w:val="0"/>
          <w:bCs w:val="0"/>
          <w:color w:val="auto"/>
          <w:kern w:val="0"/>
          <w:sz w:val="24"/>
          <w:szCs w:val="24"/>
          <w:highlight w:val="none"/>
          <w:lang w:val="en-US" w:eastAsia="zh-CN"/>
        </w:rPr>
        <w:t>为事业单位的，应提供有效的“事业单位法人证书”；</w:t>
      </w:r>
    </w:p>
    <w:p w14:paraId="4C09FDB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3、投标人</w:t>
      </w:r>
      <w:r>
        <w:rPr>
          <w:rFonts w:hint="eastAsia" w:ascii="宋体" w:hAnsi="宋体" w:eastAsia="宋体" w:cs="宋体"/>
          <w:b w:val="0"/>
          <w:bCs w:val="0"/>
          <w:color w:val="auto"/>
          <w:kern w:val="0"/>
          <w:sz w:val="24"/>
          <w:szCs w:val="24"/>
          <w:highlight w:val="none"/>
          <w:lang w:val="en-US" w:eastAsia="zh-CN"/>
        </w:rPr>
        <w:t>为非企业机构的，应提供有效的“执业许可证”、“登记证书”等证明文件；</w:t>
      </w:r>
    </w:p>
    <w:p w14:paraId="3239349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4、投标人</w:t>
      </w:r>
      <w:r>
        <w:rPr>
          <w:rFonts w:hint="eastAsia" w:ascii="宋体" w:hAnsi="宋体" w:eastAsia="宋体" w:cs="宋体"/>
          <w:b w:val="0"/>
          <w:bCs w:val="0"/>
          <w:color w:val="auto"/>
          <w:kern w:val="0"/>
          <w:sz w:val="24"/>
          <w:szCs w:val="24"/>
          <w:highlight w:val="none"/>
          <w:lang w:val="en-US" w:eastAsia="zh-CN"/>
        </w:rPr>
        <w:t>是个体工商户的，应提供有效的“个体工商户营业执照”；</w:t>
      </w:r>
    </w:p>
    <w:p w14:paraId="47F836A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cs="宋体"/>
          <w:b w:val="0"/>
          <w:bCs w:val="0"/>
          <w:color w:val="auto"/>
          <w:kern w:val="0"/>
          <w:sz w:val="24"/>
          <w:szCs w:val="24"/>
          <w:highlight w:val="none"/>
          <w:lang w:val="en-US" w:eastAsia="zh-CN"/>
        </w:rPr>
        <w:t>5、投标人</w:t>
      </w:r>
      <w:r>
        <w:rPr>
          <w:rFonts w:hint="eastAsia" w:ascii="宋体" w:hAnsi="宋体" w:eastAsia="宋体" w:cs="宋体"/>
          <w:b w:val="0"/>
          <w:bCs w:val="0"/>
          <w:color w:val="auto"/>
          <w:kern w:val="0"/>
          <w:sz w:val="24"/>
          <w:szCs w:val="24"/>
          <w:highlight w:val="none"/>
          <w:lang w:val="en-US" w:eastAsia="zh-CN"/>
        </w:rPr>
        <w:t>是自然人的，应提供有效的自然人身份证明</w:t>
      </w:r>
      <w:r>
        <w:rPr>
          <w:rFonts w:hint="eastAsia" w:cs="宋体"/>
          <w:b w:val="0"/>
          <w:bCs w:val="0"/>
          <w:color w:val="auto"/>
          <w:kern w:val="0"/>
          <w:sz w:val="24"/>
          <w:szCs w:val="24"/>
          <w:highlight w:val="none"/>
          <w:lang w:val="en-US" w:eastAsia="zh-CN"/>
        </w:rPr>
        <w:t>。</w:t>
      </w:r>
    </w:p>
    <w:p w14:paraId="77687BEB">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p>
    <w:p w14:paraId="2FE2A9CA">
      <w:pPr>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br w:type="page"/>
      </w:r>
    </w:p>
    <w:p w14:paraId="2E562C3B">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sectPr>
          <w:footerReference r:id="rId9" w:type="default"/>
          <w:pgSz w:w="11905" w:h="16840"/>
          <w:pgMar w:top="1440" w:right="1797" w:bottom="1440" w:left="1797" w:header="851" w:footer="850" w:gutter="0"/>
          <w:pgBorders>
            <w:top w:val="none" w:sz="0" w:space="0"/>
            <w:left w:val="none" w:sz="0" w:space="0"/>
            <w:bottom w:val="none" w:sz="0" w:space="0"/>
            <w:right w:val="none" w:sz="0" w:space="0"/>
          </w:pgBorders>
          <w:pgNumType w:fmt="numberInDash"/>
          <w:cols w:space="720" w:num="1"/>
        </w:sectPr>
      </w:pPr>
      <w:bookmarkStart w:id="650" w:name="_Toc23771"/>
      <w:bookmarkStart w:id="651" w:name="_Toc15114"/>
    </w:p>
    <w:p w14:paraId="3929CC5D">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w:t>
      </w:r>
      <w:r>
        <w:rPr>
          <w:rFonts w:hint="eastAsia" w:cs="宋体"/>
          <w:b/>
          <w:bCs/>
          <w:color w:val="auto"/>
          <w:kern w:val="2"/>
          <w:sz w:val="24"/>
          <w:szCs w:val="24"/>
          <w:highlight w:val="none"/>
          <w:lang w:val="en-US" w:eastAsia="zh-CN" w:bidi="ar-SA"/>
        </w:rPr>
        <w:t>二</w:t>
      </w:r>
      <w:r>
        <w:rPr>
          <w:rFonts w:hint="eastAsia" w:ascii="宋体" w:hAnsi="宋体" w:eastAsia="宋体" w:cs="宋体"/>
          <w:b/>
          <w:bCs/>
          <w:color w:val="auto"/>
          <w:kern w:val="2"/>
          <w:sz w:val="24"/>
          <w:szCs w:val="24"/>
          <w:highlight w:val="none"/>
          <w:lang w:val="en-US" w:eastAsia="zh-CN" w:bidi="ar-SA"/>
        </w:rPr>
        <w:t>）具有良好的商业信誉和健全的财务会计制度的证明材料</w:t>
      </w:r>
    </w:p>
    <w:p w14:paraId="74D4E770">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kern w:val="0"/>
          <w:sz w:val="24"/>
          <w:szCs w:val="24"/>
          <w:highlight w:val="none"/>
          <w:lang w:val="en-US" w:eastAsia="zh-CN"/>
        </w:rPr>
      </w:pPr>
      <w:r>
        <w:rPr>
          <w:rFonts w:hint="eastAsia" w:cs="宋体"/>
          <w:b/>
          <w:bCs/>
          <w:color w:val="auto"/>
          <w:kern w:val="0"/>
          <w:sz w:val="24"/>
          <w:szCs w:val="24"/>
          <w:highlight w:val="none"/>
          <w:lang w:val="en-US" w:eastAsia="zh-CN"/>
        </w:rPr>
        <w:t>证明文件</w:t>
      </w:r>
      <w:r>
        <w:rPr>
          <w:rFonts w:hint="eastAsia" w:ascii="宋体" w:hAnsi="宋体" w:eastAsia="宋体" w:cs="宋体"/>
          <w:b/>
          <w:bCs/>
          <w:color w:val="auto"/>
          <w:kern w:val="0"/>
          <w:sz w:val="24"/>
          <w:szCs w:val="24"/>
          <w:highlight w:val="none"/>
          <w:lang w:val="en-US" w:eastAsia="zh-CN"/>
        </w:rPr>
        <w:t xml:space="preserve">：满足下列一项即可： </w:t>
      </w:r>
    </w:p>
    <w:p w14:paraId="35F315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■提供上年度或上上年度财务审计报告，成立时间不足1年的，可提供成立时间至当前时间节点的财务状况报告。</w:t>
      </w:r>
    </w:p>
    <w:p w14:paraId="46F5E27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■提供距投标截止时间3个月内基本开户银行出具的资信证明。</w:t>
      </w:r>
    </w:p>
    <w:p w14:paraId="29D2F1F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color w:val="auto"/>
          <w:kern w:val="0"/>
          <w:sz w:val="24"/>
          <w:szCs w:val="24"/>
          <w:highlight w:val="none"/>
          <w:lang w:val="en-US" w:eastAsia="zh-CN"/>
        </w:rPr>
      </w:pPr>
      <w:r>
        <w:rPr>
          <w:rFonts w:hint="eastAsia" w:ascii="宋体" w:hAnsi="宋体" w:eastAsia="宋体" w:cs="宋体"/>
          <w:b w:val="0"/>
          <w:bCs w:val="0"/>
          <w:color w:val="auto"/>
          <w:kern w:val="0"/>
          <w:sz w:val="24"/>
          <w:szCs w:val="24"/>
          <w:highlight w:val="none"/>
          <w:lang w:val="en-US" w:eastAsia="zh-CN"/>
        </w:rPr>
        <w:t>注：参考《财政部关于注册会计师在审计报告上签名盖章有关问题的通知》（财会【2001】1035号）规定，审计报告应当由两名具备相关业务资格的注册会计师签名盖章并经会计师事务所盖章方为有效；供应商成立不满一年的，提供最近一月的财务报表。</w:t>
      </w:r>
    </w:p>
    <w:p w14:paraId="01105CC9">
      <w:pPr>
        <w:rPr>
          <w:rFonts w:hint="eastAsia" w:cstheme="majorBidi"/>
          <w:b/>
          <w:bCs/>
          <w:color w:val="auto"/>
          <w:kern w:val="2"/>
          <w:sz w:val="28"/>
          <w:szCs w:val="28"/>
          <w:highlight w:val="none"/>
          <w:lang w:val="en-US" w:eastAsia="zh-CN" w:bidi="ar-SA"/>
        </w:rPr>
      </w:pPr>
    </w:p>
    <w:p w14:paraId="5583876C">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w:t>
      </w:r>
      <w:r>
        <w:rPr>
          <w:rFonts w:hint="eastAsia" w:cs="宋体"/>
          <w:b/>
          <w:bCs/>
          <w:color w:val="auto"/>
          <w:kern w:val="2"/>
          <w:sz w:val="24"/>
          <w:szCs w:val="24"/>
          <w:highlight w:val="none"/>
          <w:lang w:val="en-US" w:eastAsia="zh-CN" w:bidi="ar-SA"/>
        </w:rPr>
        <w:t>三</w:t>
      </w:r>
      <w:r>
        <w:rPr>
          <w:rFonts w:hint="eastAsia" w:ascii="宋体" w:hAnsi="宋体" w:eastAsia="宋体" w:cs="宋体"/>
          <w:b/>
          <w:bCs/>
          <w:color w:val="auto"/>
          <w:kern w:val="2"/>
          <w:sz w:val="24"/>
          <w:szCs w:val="24"/>
          <w:highlight w:val="none"/>
          <w:lang w:val="en-US" w:eastAsia="zh-CN" w:bidi="ar-SA"/>
        </w:rPr>
        <w:t>）有依法缴纳税收和社会保障资金的良好记录</w:t>
      </w:r>
    </w:p>
    <w:p w14:paraId="38A1096E">
      <w:pPr>
        <w:keepNext w:val="0"/>
        <w:keepLines w:val="0"/>
        <w:pageBreakBefore w:val="0"/>
        <w:widowControl w:val="0"/>
        <w:kinsoku/>
        <w:wordWrap/>
        <w:overflowPunct/>
        <w:topLinePunct w:val="0"/>
        <w:autoSpaceDE/>
        <w:autoSpaceDN/>
        <w:bidi w:val="0"/>
        <w:adjustRightInd/>
        <w:snapToGrid/>
        <w:spacing w:line="360" w:lineRule="auto"/>
        <w:ind w:firstLine="482" w:firstLineChars="200"/>
        <w:jc w:val="left"/>
        <w:textAlignment w:val="auto"/>
        <w:rPr>
          <w:rFonts w:hint="eastAsia" w:ascii="宋体" w:hAnsi="宋体" w:eastAsia="宋体" w:cs="宋体"/>
          <w:b/>
          <w:bCs/>
          <w:color w:val="auto"/>
          <w:kern w:val="0"/>
          <w:sz w:val="24"/>
          <w:szCs w:val="24"/>
          <w:highlight w:val="none"/>
          <w:lang w:val="en-US" w:eastAsia="zh-CN"/>
        </w:rPr>
        <w:sectPr>
          <w:pgSz w:w="11905" w:h="16840"/>
          <w:pgMar w:top="1440" w:right="1797" w:bottom="1440" w:left="1797" w:header="851" w:footer="850" w:gutter="0"/>
          <w:pgBorders>
            <w:top w:val="none" w:sz="0" w:space="0"/>
            <w:left w:val="none" w:sz="0" w:space="0"/>
            <w:bottom w:val="none" w:sz="0" w:space="0"/>
            <w:right w:val="none" w:sz="0" w:space="0"/>
          </w:pgBorders>
          <w:pgNumType w:fmt="numberInDash"/>
          <w:cols w:space="720" w:num="1"/>
        </w:sectPr>
      </w:pPr>
      <w:r>
        <w:rPr>
          <w:rFonts w:hint="eastAsia" w:cs="宋体"/>
          <w:b/>
          <w:bCs/>
          <w:color w:val="auto"/>
          <w:kern w:val="0"/>
          <w:sz w:val="24"/>
          <w:szCs w:val="24"/>
          <w:highlight w:val="none"/>
          <w:lang w:val="en-US" w:eastAsia="zh-CN"/>
        </w:rPr>
        <w:t>证明文件</w:t>
      </w:r>
      <w:r>
        <w:rPr>
          <w:rFonts w:hint="eastAsia" w:ascii="宋体" w:hAnsi="宋体" w:eastAsia="宋体" w:cs="宋体"/>
          <w:b/>
          <w:bCs/>
          <w:color w:val="auto"/>
          <w:kern w:val="0"/>
          <w:sz w:val="24"/>
          <w:szCs w:val="24"/>
          <w:highlight w:val="none"/>
          <w:lang w:val="en-US" w:eastAsia="zh-CN"/>
        </w:rPr>
        <w:t>：提供近一年内任意3个月依法缴纳税收和社会保障资金的证明材料；依法免税企业，应提供相关证明文件；新成立的企业，可提供自成立以来相应证明材料。</w:t>
      </w:r>
    </w:p>
    <w:p w14:paraId="6FC7F68F">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0" w:leftChars="0" w:firstLine="0" w:firstLineChars="0"/>
        <w:textAlignment w:val="auto"/>
        <w:rPr>
          <w:rFonts w:hint="eastAsia" w:eastAsia="宋体" w:cstheme="majorBidi"/>
          <w:b/>
          <w:bCs/>
          <w:color w:val="auto"/>
          <w:kern w:val="2"/>
          <w:sz w:val="24"/>
          <w:szCs w:val="24"/>
          <w:highlight w:val="none"/>
          <w:lang w:val="en-US" w:eastAsia="zh-CN" w:bidi="ar-SA"/>
        </w:rPr>
      </w:pPr>
      <w:bookmarkStart w:id="652" w:name="_Toc4748"/>
      <w:bookmarkStart w:id="653" w:name="_Toc19095"/>
      <w:bookmarkStart w:id="654" w:name="_Toc9793"/>
      <w:bookmarkStart w:id="655" w:name="_Toc20110"/>
      <w:r>
        <w:rPr>
          <w:rFonts w:hint="eastAsia" w:eastAsia="宋体" w:cstheme="majorBidi"/>
          <w:b/>
          <w:bCs/>
          <w:color w:val="auto"/>
          <w:kern w:val="2"/>
          <w:sz w:val="24"/>
          <w:szCs w:val="24"/>
          <w:highlight w:val="none"/>
          <w:lang w:val="en-US" w:eastAsia="zh-CN" w:bidi="ar-SA"/>
        </w:rPr>
        <w:t>（</w:t>
      </w:r>
      <w:r>
        <w:rPr>
          <w:rFonts w:hint="eastAsia" w:cstheme="majorBidi"/>
          <w:b/>
          <w:bCs/>
          <w:color w:val="auto"/>
          <w:kern w:val="2"/>
          <w:sz w:val="24"/>
          <w:szCs w:val="24"/>
          <w:highlight w:val="none"/>
          <w:lang w:val="en-US" w:eastAsia="zh-CN" w:bidi="ar-SA"/>
        </w:rPr>
        <w:t>四</w:t>
      </w:r>
      <w:r>
        <w:rPr>
          <w:rFonts w:hint="eastAsia" w:eastAsia="宋体" w:cstheme="majorBidi"/>
          <w:b/>
          <w:bCs/>
          <w:color w:val="auto"/>
          <w:kern w:val="2"/>
          <w:sz w:val="24"/>
          <w:szCs w:val="24"/>
          <w:highlight w:val="none"/>
          <w:lang w:val="en-US" w:eastAsia="zh-CN" w:bidi="ar-SA"/>
        </w:rPr>
        <w:t>）</w:t>
      </w:r>
      <w:bookmarkEnd w:id="650"/>
      <w:bookmarkEnd w:id="651"/>
      <w:r>
        <w:rPr>
          <w:rFonts w:hint="eastAsia" w:eastAsia="宋体" w:cstheme="majorBidi"/>
          <w:b/>
          <w:bCs/>
          <w:color w:val="auto"/>
          <w:kern w:val="2"/>
          <w:sz w:val="24"/>
          <w:szCs w:val="24"/>
          <w:highlight w:val="none"/>
          <w:lang w:val="en-US" w:eastAsia="zh-CN" w:bidi="ar-SA"/>
        </w:rPr>
        <w:t>供应商信用承诺函</w:t>
      </w:r>
      <w:bookmarkEnd w:id="652"/>
      <w:bookmarkEnd w:id="653"/>
      <w:bookmarkEnd w:id="654"/>
      <w:bookmarkEnd w:id="655"/>
    </w:p>
    <w:p w14:paraId="695B752A">
      <w:pPr>
        <w:spacing w:line="560" w:lineRule="exact"/>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单位名称</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自然人姓名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1BF1CBCB">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统一社会信用代码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身份证号码</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314E343E">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负责人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2F4CE840">
      <w:pPr>
        <w:spacing w:line="560" w:lineRule="exact"/>
        <w:ind w:firstLine="480" w:firstLineChars="200"/>
        <w:rPr>
          <w:rFonts w:hint="eastAsia" w:ascii="宋体" w:hAnsi="宋体" w:eastAsia="宋体" w:cs="宋体"/>
          <w:color w:val="auto"/>
          <w:kern w:val="0"/>
          <w:sz w:val="24"/>
          <w:szCs w:val="24"/>
          <w:highlight w:val="none"/>
        </w:rPr>
      </w:pPr>
    </w:p>
    <w:p w14:paraId="776D8704">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本人</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 xml:space="preserve">自愿参加本次政府采购活动，严格遵守《中华人民共和国政府采购法》及相关法律法规，坚守公开、公平、公正和诚实信用等原则，依法诚信经营，并郑重承诺：    </w:t>
      </w:r>
    </w:p>
    <w:p w14:paraId="4FB17745">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一、我单位（本人）具有履行合同所必需的专业设备和专业技术能力。</w:t>
      </w:r>
    </w:p>
    <w:p w14:paraId="28735B58">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二、我单位（本人）参加政府采购活动前三年内,在经营活动中没有重大违法记录。(重大违法记录，是指供应商因违法经营受到刑事处罚或者责令停产停业、吊销许可证或者执照、较大数额罚款等行政处罚。)</w:t>
      </w:r>
    </w:p>
    <w:p w14:paraId="5885DA96">
      <w:pPr>
        <w:spacing w:line="560" w:lineRule="exact"/>
        <w:ind w:firstLine="480" w:firstLineChars="20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 xml:space="preserve">三、我单位（本人）未被列入严重违法失信名单、失信被执行人名单、重大税收违法案件当事人名单、政府采购严重违法失信行为记录名单。。 </w:t>
      </w:r>
    </w:p>
    <w:p w14:paraId="55C3ECCC">
      <w:pPr>
        <w:spacing w:line="560" w:lineRule="exact"/>
        <w:ind w:firstLine="480" w:firstLineChars="200"/>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四</w:t>
      </w:r>
      <w:r>
        <w:rPr>
          <w:rFonts w:hint="eastAsia" w:ascii="宋体" w:hAnsi="宋体" w:eastAsia="宋体" w:cs="宋体"/>
          <w:color w:val="auto"/>
          <w:kern w:val="0"/>
          <w:sz w:val="24"/>
          <w:szCs w:val="24"/>
          <w:highlight w:val="none"/>
        </w:rPr>
        <w:t>、我单位具备法律、行政法规规定的其他条件。</w:t>
      </w:r>
    </w:p>
    <w:p w14:paraId="5CC224D6">
      <w:pPr>
        <w:spacing w:line="560" w:lineRule="exact"/>
        <w:ind w:firstLine="480" w:firstLineChars="200"/>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五</w:t>
      </w:r>
      <w:r>
        <w:rPr>
          <w:rFonts w:hint="eastAsia" w:ascii="宋体" w:hAnsi="宋体" w:eastAsia="宋体" w:cs="宋体"/>
          <w:color w:val="auto"/>
          <w:kern w:val="0"/>
          <w:sz w:val="24"/>
          <w:szCs w:val="24"/>
          <w:highlight w:val="none"/>
        </w:rPr>
        <w:t>、如果本公司（本人）有幸中标（成交），在合同签订之前，采购单位有权要求本公司（本人）提供资格证明材料原件进行核验。</w:t>
      </w:r>
    </w:p>
    <w:p w14:paraId="663B7525">
      <w:pPr>
        <w:spacing w:line="560" w:lineRule="exact"/>
        <w:ind w:firstLine="480" w:firstLineChars="200"/>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六</w:t>
      </w:r>
      <w:r>
        <w:rPr>
          <w:rFonts w:hint="eastAsia" w:ascii="宋体" w:hAnsi="宋体" w:eastAsia="宋体" w:cs="宋体"/>
          <w:color w:val="auto"/>
          <w:kern w:val="0"/>
          <w:sz w:val="24"/>
          <w:szCs w:val="24"/>
          <w:highlight w:val="none"/>
        </w:rPr>
        <w:t>、我单位</w:t>
      </w:r>
      <w:r>
        <w:rPr>
          <w:rFonts w:hint="eastAsia" w:ascii="宋体" w:hAnsi="宋体" w:eastAsia="宋体" w:cs="宋体"/>
          <w:color w:val="auto"/>
          <w:kern w:val="0"/>
          <w:sz w:val="24"/>
          <w:szCs w:val="24"/>
          <w:highlight w:val="none"/>
          <w:lang w:eastAsia="zh-CN"/>
        </w:rPr>
        <w:t>（本人）</w:t>
      </w:r>
      <w:r>
        <w:rPr>
          <w:rFonts w:hint="eastAsia" w:ascii="宋体" w:hAnsi="宋体" w:eastAsia="宋体" w:cs="宋体"/>
          <w:color w:val="auto"/>
          <w:kern w:val="0"/>
          <w:sz w:val="24"/>
          <w:szCs w:val="24"/>
          <w:highlight w:val="none"/>
        </w:rPr>
        <w:t>保证上述承诺事项的真实性。如有弄虚作假或其他违法违规行为，自愿按照规定将违背承诺行为作为失信行为记录到社会信用信息平台，并视同为“提供虚假材料谋取中标、成交”按照</w:t>
      </w:r>
      <w:r>
        <w:rPr>
          <w:rFonts w:hint="eastAsia"/>
          <w:color w:val="auto"/>
          <w:highlight w:val="none"/>
        </w:rPr>
        <w:t>《中华人民共和国政府采购法》</w:t>
      </w:r>
      <w:r>
        <w:rPr>
          <w:rFonts w:hint="eastAsia" w:ascii="宋体" w:hAnsi="宋体" w:eastAsia="宋体" w:cs="宋体"/>
          <w:color w:val="auto"/>
          <w:kern w:val="0"/>
          <w:sz w:val="24"/>
          <w:szCs w:val="24"/>
          <w:highlight w:val="none"/>
        </w:rPr>
        <w:t>第七十七、七十九条规定，处以采购金额千分之五以上千分之十以下的罚款，列入不良行为记录名单，在一至三年内禁止参加政府采购活动，有违法所得的，并处没收违法所得，情节严重的，由市场监管部门吊销营业执照；构成犯罪的，依法追究刑事责任；给他人造成损失的，并应依照有关民事法律规定承担民事责任。</w:t>
      </w:r>
    </w:p>
    <w:p w14:paraId="2B6C39AD">
      <w:pPr>
        <w:spacing w:line="560" w:lineRule="exact"/>
        <w:rPr>
          <w:rFonts w:hint="eastAsia" w:ascii="宋体" w:hAnsi="宋体" w:eastAsia="宋体" w:cs="宋体"/>
          <w:color w:val="auto"/>
          <w:kern w:val="0"/>
          <w:sz w:val="24"/>
          <w:szCs w:val="24"/>
          <w:highlight w:val="none"/>
        </w:rPr>
      </w:pPr>
    </w:p>
    <w:p w14:paraId="49F57DB1">
      <w:pPr>
        <w:spacing w:line="560" w:lineRule="exact"/>
        <w:rPr>
          <w:rFonts w:hint="eastAsia" w:ascii="宋体" w:hAnsi="宋体" w:eastAsia="宋体" w:cs="宋体"/>
          <w:color w:val="auto"/>
          <w:kern w:val="0"/>
          <w:sz w:val="24"/>
          <w:szCs w:val="24"/>
          <w:highlight w:val="none"/>
        </w:rPr>
      </w:pPr>
    </w:p>
    <w:p w14:paraId="5AA48816">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供应商</w:t>
      </w:r>
      <w:r>
        <w:rPr>
          <w:rFonts w:hint="eastAsia" w:cs="宋体"/>
          <w:color w:val="auto"/>
          <w:kern w:val="0"/>
          <w:sz w:val="24"/>
          <w:szCs w:val="24"/>
          <w:highlight w:val="none"/>
          <w:lang w:val="en-US" w:eastAsia="zh-CN"/>
        </w:rPr>
        <w:t>名称</w:t>
      </w:r>
      <w:r>
        <w:rPr>
          <w:rFonts w:hint="eastAsia" w:ascii="宋体" w:hAnsi="宋体" w:eastAsia="宋体" w:cs="宋体"/>
          <w:color w:val="auto"/>
          <w:kern w:val="0"/>
          <w:sz w:val="24"/>
          <w:szCs w:val="24"/>
          <w:highlight w:val="none"/>
          <w:lang w:eastAsia="zh-CN"/>
        </w:rPr>
        <w:t>（</w:t>
      </w:r>
      <w:r>
        <w:rPr>
          <w:rFonts w:hint="eastAsia" w:cs="宋体"/>
          <w:color w:val="auto"/>
          <w:kern w:val="0"/>
          <w:sz w:val="24"/>
          <w:szCs w:val="24"/>
          <w:highlight w:val="none"/>
          <w:lang w:eastAsia="zh-CN"/>
        </w:rPr>
        <w:t>公章</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w:t>
      </w:r>
    </w:p>
    <w:p w14:paraId="45C65A8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法定代表人（负责人或本人）或授权代表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rPr>
        <w:t>：</w:t>
      </w:r>
    </w:p>
    <w:p w14:paraId="524E5ADC">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2CB41018">
      <w:pPr>
        <w:widowControl/>
        <w:spacing w:line="560" w:lineRule="exact"/>
        <w:ind w:firstLine="630"/>
        <w:jc w:val="left"/>
        <w:rPr>
          <w:rFonts w:hint="eastAsia" w:ascii="宋体" w:hAnsi="宋体" w:eastAsia="宋体" w:cs="宋体"/>
          <w:color w:val="auto"/>
          <w:kern w:val="0"/>
          <w:sz w:val="24"/>
          <w:szCs w:val="24"/>
          <w:highlight w:val="none"/>
        </w:rPr>
      </w:pPr>
    </w:p>
    <w:p w14:paraId="67DF1B87">
      <w:pPr>
        <w:rPr>
          <w:rFonts w:ascii="Arial" w:hAnsi="Arial" w:cs="Arial"/>
          <w:color w:val="auto"/>
          <w:szCs w:val="21"/>
          <w:highlight w:val="none"/>
        </w:rPr>
      </w:pPr>
      <w:r>
        <w:rPr>
          <w:rFonts w:ascii="Arial" w:hAnsi="Arial" w:cs="Arial"/>
          <w:color w:val="auto"/>
          <w:szCs w:val="21"/>
          <w:highlight w:val="none"/>
        </w:rPr>
        <w:br w:type="page"/>
      </w:r>
    </w:p>
    <w:p w14:paraId="6C745F3D">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eastAsia="宋体" w:asciiTheme="majorHAnsi" w:hAnsiTheme="majorHAnsi" w:cstheme="majorBidi"/>
          <w:b/>
          <w:bCs/>
          <w:color w:val="auto"/>
          <w:kern w:val="2"/>
          <w:sz w:val="28"/>
          <w:szCs w:val="28"/>
          <w:highlight w:val="none"/>
          <w:lang w:val="en-US" w:eastAsia="zh-CN" w:bidi="ar-SA"/>
        </w:rPr>
      </w:pPr>
      <w:bookmarkStart w:id="656" w:name="_Toc155185932"/>
      <w:bookmarkStart w:id="657" w:name="_Toc163492926"/>
      <w:bookmarkStart w:id="658" w:name="_Toc5577"/>
      <w:r>
        <w:rPr>
          <w:rFonts w:hint="eastAsia" w:cstheme="majorBidi"/>
          <w:b/>
          <w:bCs/>
          <w:color w:val="auto"/>
          <w:kern w:val="2"/>
          <w:sz w:val="28"/>
          <w:szCs w:val="28"/>
          <w:highlight w:val="none"/>
          <w:lang w:val="en-US" w:eastAsia="zh-CN" w:bidi="ar-SA"/>
        </w:rPr>
        <w:t>二</w:t>
      </w:r>
      <w:r>
        <w:rPr>
          <w:rFonts w:hint="eastAsia" w:eastAsia="宋体" w:asciiTheme="majorHAnsi" w:hAnsiTheme="majorHAnsi" w:cstheme="majorBidi"/>
          <w:b/>
          <w:bCs/>
          <w:color w:val="auto"/>
          <w:kern w:val="2"/>
          <w:sz w:val="28"/>
          <w:szCs w:val="28"/>
          <w:highlight w:val="none"/>
          <w:lang w:val="en-US" w:eastAsia="zh-CN" w:bidi="ar-SA"/>
        </w:rPr>
        <w:t>、</w:t>
      </w:r>
      <w:bookmarkEnd w:id="656"/>
      <w:bookmarkEnd w:id="657"/>
      <w:r>
        <w:rPr>
          <w:rFonts w:hint="eastAsia" w:eastAsia="宋体" w:asciiTheme="majorHAnsi" w:hAnsiTheme="majorHAnsi" w:cstheme="majorBidi"/>
          <w:b/>
          <w:bCs/>
          <w:color w:val="auto"/>
          <w:kern w:val="2"/>
          <w:sz w:val="28"/>
          <w:szCs w:val="28"/>
          <w:highlight w:val="none"/>
          <w:lang w:val="en-US" w:eastAsia="zh-CN" w:bidi="ar-SA"/>
        </w:rPr>
        <w:t>落实政府采购政策相关证明文件</w:t>
      </w:r>
      <w:bookmarkEnd w:id="658"/>
    </w:p>
    <w:p w14:paraId="16CFCD4A">
      <w:pPr>
        <w:pStyle w:val="41"/>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color w:val="auto"/>
          <w:sz w:val="32"/>
          <w:szCs w:val="32"/>
          <w:highlight w:val="none"/>
        </w:rPr>
      </w:pPr>
    </w:p>
    <w:p w14:paraId="7BDD1A80">
      <w:pPr>
        <w:jc w:val="center"/>
        <w:rPr>
          <w:color w:val="auto"/>
          <w:highlight w:val="none"/>
        </w:rPr>
      </w:pPr>
      <w:r>
        <w:rPr>
          <w:rFonts w:hint="eastAsia"/>
          <w:b/>
          <w:bCs/>
          <w:color w:val="auto"/>
          <w:highlight w:val="none"/>
          <w:lang w:val="en-US" w:eastAsia="zh-CN"/>
        </w:rPr>
        <w:t>无</w:t>
      </w:r>
      <w:r>
        <w:rPr>
          <w:color w:val="auto"/>
          <w:highlight w:val="none"/>
        </w:rPr>
        <w:br w:type="page"/>
      </w:r>
    </w:p>
    <w:p w14:paraId="0C0D502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theme="majorBidi"/>
          <w:b/>
          <w:bCs/>
          <w:color w:val="auto"/>
          <w:kern w:val="2"/>
          <w:sz w:val="28"/>
          <w:szCs w:val="28"/>
          <w:highlight w:val="none"/>
          <w:lang w:val="en-US" w:eastAsia="zh-CN" w:bidi="ar-SA"/>
        </w:rPr>
        <w:sectPr>
          <w:pgSz w:w="11905" w:h="16840"/>
          <w:pgMar w:top="1440" w:right="1797" w:bottom="1440" w:left="1797" w:header="851" w:footer="850" w:gutter="0"/>
          <w:pgBorders>
            <w:top w:val="none" w:sz="0" w:space="0"/>
            <w:left w:val="none" w:sz="0" w:space="0"/>
            <w:bottom w:val="none" w:sz="0" w:space="0"/>
            <w:right w:val="none" w:sz="0" w:space="0"/>
          </w:pgBorders>
          <w:pgNumType w:fmt="numberInDash"/>
          <w:cols w:space="720" w:num="1"/>
        </w:sectPr>
      </w:pPr>
    </w:p>
    <w:p w14:paraId="1B83439A">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default" w:cstheme="majorBidi"/>
          <w:b/>
          <w:bCs/>
          <w:color w:val="auto"/>
          <w:kern w:val="2"/>
          <w:sz w:val="28"/>
          <w:szCs w:val="28"/>
          <w:highlight w:val="none"/>
          <w:lang w:val="en-US" w:eastAsia="zh-CN" w:bidi="ar-SA"/>
        </w:rPr>
      </w:pPr>
      <w:bookmarkStart w:id="659" w:name="_Toc2780"/>
      <w:r>
        <w:rPr>
          <w:rFonts w:hint="eastAsia" w:cstheme="majorBidi"/>
          <w:b/>
          <w:bCs/>
          <w:color w:val="auto"/>
          <w:kern w:val="2"/>
          <w:sz w:val="28"/>
          <w:szCs w:val="28"/>
          <w:highlight w:val="none"/>
          <w:lang w:val="en-US" w:eastAsia="zh-CN" w:bidi="ar-SA"/>
        </w:rPr>
        <w:t>三、符合本项目特定资格要求相关证明文件</w:t>
      </w:r>
      <w:bookmarkEnd w:id="659"/>
    </w:p>
    <w:p w14:paraId="42741C68">
      <w:pPr>
        <w:keepNext w:val="0"/>
        <w:keepLines w:val="0"/>
        <w:widowControl/>
        <w:suppressLineNumbers w:val="0"/>
        <w:jc w:val="center"/>
        <w:rPr>
          <w:rFonts w:hint="eastAsia" w:ascii="宋体" w:hAnsi="宋体" w:eastAsia="宋体" w:cs="宋体"/>
          <w:b/>
          <w:bCs/>
          <w:color w:val="auto"/>
          <w:kern w:val="0"/>
          <w:sz w:val="28"/>
          <w:szCs w:val="28"/>
          <w:highlight w:val="none"/>
          <w:lang w:val="en-US" w:eastAsia="zh-CN" w:bidi="ar"/>
        </w:rPr>
      </w:pPr>
    </w:p>
    <w:p w14:paraId="6DF299AA">
      <w:pPr>
        <w:keepNext w:val="0"/>
        <w:keepLines w:val="0"/>
        <w:widowControl/>
        <w:suppressLineNumbers w:val="0"/>
        <w:jc w:val="center"/>
        <w:rPr>
          <w:color w:val="auto"/>
          <w:highlight w:val="none"/>
        </w:rPr>
      </w:pPr>
      <w:r>
        <w:rPr>
          <w:rFonts w:hint="eastAsia" w:ascii="宋体" w:hAnsi="宋体" w:eastAsia="宋体" w:cs="宋体"/>
          <w:b/>
          <w:bCs/>
          <w:color w:val="auto"/>
          <w:kern w:val="0"/>
          <w:sz w:val="28"/>
          <w:szCs w:val="28"/>
          <w:highlight w:val="none"/>
          <w:lang w:val="en-US" w:eastAsia="zh-CN" w:bidi="ar"/>
        </w:rPr>
        <w:t>供应商投标声明</w:t>
      </w:r>
    </w:p>
    <w:p w14:paraId="65C878D4">
      <w:pPr>
        <w:keepNext w:val="0"/>
        <w:keepLines w:val="0"/>
        <w:pageBreakBefore w:val="0"/>
        <w:widowControl/>
        <w:suppressLineNumbers w:val="0"/>
        <w:kinsoku/>
        <w:wordWrap/>
        <w:overflowPunct/>
        <w:topLinePunct w:val="0"/>
        <w:autoSpaceDE/>
        <w:autoSpaceDN/>
        <w:bidi w:val="0"/>
        <w:adjustRightInd/>
        <w:snapToGrid/>
        <w:spacing w:line="460" w:lineRule="exact"/>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致：</w:t>
      </w:r>
      <w:r>
        <w:rPr>
          <w:rFonts w:hint="eastAsia" w:ascii="宋体" w:hAnsi="宋体" w:eastAsia="宋体" w:cs="宋体"/>
          <w:color w:val="auto"/>
          <w:kern w:val="0"/>
          <w:sz w:val="24"/>
          <w:szCs w:val="24"/>
          <w:highlight w:val="none"/>
          <w:u w:val="single"/>
          <w:lang w:val="en-US" w:eastAsia="zh-CN" w:bidi="ar"/>
        </w:rPr>
        <w:t xml:space="preserve">（采购人） </w:t>
      </w:r>
    </w:p>
    <w:p w14:paraId="4D683A42">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w:t>
      </w:r>
      <w:r>
        <w:rPr>
          <w:rFonts w:hint="eastAsia" w:cs="宋体"/>
          <w:color w:val="auto"/>
          <w:kern w:val="0"/>
          <w:sz w:val="24"/>
          <w:szCs w:val="24"/>
          <w:highlight w:val="none"/>
          <w:lang w:val="en-US" w:eastAsia="zh-CN" w:bidi="ar"/>
        </w:rPr>
        <w:t>单位</w:t>
      </w:r>
      <w:r>
        <w:rPr>
          <w:rFonts w:hint="eastAsia" w:ascii="宋体" w:hAnsi="宋体" w:eastAsia="宋体" w:cs="宋体"/>
          <w:color w:val="auto"/>
          <w:kern w:val="0"/>
          <w:sz w:val="24"/>
          <w:szCs w:val="24"/>
          <w:highlight w:val="none"/>
          <w:lang w:val="en-US" w:eastAsia="zh-CN" w:bidi="ar"/>
        </w:rPr>
        <w:t xml:space="preserve">参与 </w:t>
      </w:r>
      <w:r>
        <w:rPr>
          <w:rFonts w:hint="eastAsia" w:ascii="宋体" w:hAnsi="宋体" w:eastAsia="宋体" w:cs="宋体"/>
          <w:color w:val="auto"/>
          <w:kern w:val="0"/>
          <w:sz w:val="24"/>
          <w:szCs w:val="24"/>
          <w:highlight w:val="none"/>
          <w:u w:val="single"/>
          <w:lang w:val="en-US" w:eastAsia="zh-CN" w:bidi="ar"/>
        </w:rPr>
        <w:t>（项目名称、编号）</w:t>
      </w:r>
      <w:r>
        <w:rPr>
          <w:rFonts w:hint="eastAsia" w:ascii="宋体" w:hAnsi="宋体" w:eastAsia="宋体" w:cs="宋体"/>
          <w:color w:val="auto"/>
          <w:kern w:val="0"/>
          <w:sz w:val="24"/>
          <w:szCs w:val="24"/>
          <w:highlight w:val="none"/>
          <w:lang w:val="en-US" w:eastAsia="zh-CN" w:bidi="ar"/>
        </w:rPr>
        <w:t>投标，本</w:t>
      </w:r>
      <w:r>
        <w:rPr>
          <w:rFonts w:hint="eastAsia" w:cs="宋体"/>
          <w:color w:val="auto"/>
          <w:kern w:val="0"/>
          <w:sz w:val="24"/>
          <w:szCs w:val="24"/>
          <w:highlight w:val="none"/>
          <w:lang w:val="en-US" w:eastAsia="zh-CN" w:bidi="ar"/>
        </w:rPr>
        <w:t>单位</w:t>
      </w:r>
      <w:r>
        <w:rPr>
          <w:rFonts w:hint="eastAsia" w:ascii="宋体" w:hAnsi="宋体" w:eastAsia="宋体" w:cs="宋体"/>
          <w:color w:val="auto"/>
          <w:kern w:val="0"/>
          <w:sz w:val="24"/>
          <w:szCs w:val="24"/>
          <w:highlight w:val="none"/>
          <w:lang w:val="en-US" w:eastAsia="zh-CN" w:bidi="ar"/>
        </w:rPr>
        <w:t>郑重声明</w:t>
      </w:r>
      <w:r>
        <w:rPr>
          <w:rFonts w:hint="eastAsia" w:cs="宋体"/>
          <w:color w:val="auto"/>
          <w:kern w:val="0"/>
          <w:sz w:val="24"/>
          <w:szCs w:val="24"/>
          <w:highlight w:val="none"/>
          <w:lang w:val="en-US" w:eastAsia="zh-CN" w:bidi="ar"/>
        </w:rPr>
        <w:t>：</w:t>
      </w:r>
    </w:p>
    <w:p w14:paraId="3A555E2B">
      <w:pPr>
        <w:keepNext w:val="0"/>
        <w:keepLines w:val="0"/>
        <w:pageBreakBefore w:val="0"/>
        <w:widowControl/>
        <w:numPr>
          <w:ilvl w:val="0"/>
          <w:numId w:val="5"/>
        </w:numPr>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我方不属于公益一类事业单位，也不属于使用事业编制且由财政拨款保障的群团组织；</w:t>
      </w:r>
    </w:p>
    <w:p w14:paraId="4C44130E">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2</w:t>
      </w:r>
      <w:r>
        <w:rPr>
          <w:rFonts w:hint="eastAsia" w:ascii="宋体" w:hAnsi="宋体" w:eastAsia="宋体" w:cs="宋体"/>
          <w:color w:val="auto"/>
          <w:kern w:val="0"/>
          <w:sz w:val="24"/>
          <w:szCs w:val="24"/>
          <w:highlight w:val="none"/>
          <w:lang w:val="en-US" w:eastAsia="zh-CN" w:bidi="ar"/>
        </w:rPr>
        <w:t>）与我方单位负责人为同一人的其他单位名称：</w:t>
      </w:r>
    </w:p>
    <w:p w14:paraId="5AE1CCC1">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□无；□有，具体单位名称为：（由投标人如实填写）。</w:t>
      </w:r>
    </w:p>
    <w:p w14:paraId="7421EF29">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3</w:t>
      </w:r>
      <w:r>
        <w:rPr>
          <w:rFonts w:hint="eastAsia" w:ascii="宋体" w:hAnsi="宋体" w:eastAsia="宋体" w:cs="宋体"/>
          <w:color w:val="auto"/>
          <w:kern w:val="0"/>
          <w:sz w:val="24"/>
          <w:szCs w:val="24"/>
          <w:highlight w:val="none"/>
          <w:lang w:val="en-US" w:eastAsia="zh-CN" w:bidi="ar"/>
        </w:rPr>
        <w:t>）与我方存在控股、管理关系的其他单位的名称：</w:t>
      </w:r>
    </w:p>
    <w:p w14:paraId="351364B2">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□无；□有，具体单位名称为： （由投标人如实填写）。</w:t>
      </w:r>
    </w:p>
    <w:p w14:paraId="360D8C81">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cs="宋体"/>
          <w:color w:val="auto"/>
          <w:kern w:val="0"/>
          <w:sz w:val="24"/>
          <w:szCs w:val="24"/>
          <w:highlight w:val="none"/>
          <w:lang w:val="en-US" w:eastAsia="zh-CN" w:bidi="ar"/>
        </w:rPr>
        <w:t>4</w:t>
      </w:r>
      <w:r>
        <w:rPr>
          <w:rFonts w:hint="eastAsia" w:ascii="宋体" w:hAnsi="宋体" w:eastAsia="宋体" w:cs="宋体"/>
          <w:color w:val="auto"/>
          <w:kern w:val="0"/>
          <w:sz w:val="24"/>
          <w:szCs w:val="24"/>
          <w:highlight w:val="none"/>
          <w:lang w:val="en-US" w:eastAsia="zh-CN" w:bidi="ar"/>
        </w:rPr>
        <w:t>）参与本项目采购活动前，是否为本项目前期准备提供过整体设计、规范编制或者项目管理、监理、检测等服务：</w:t>
      </w:r>
    </w:p>
    <w:p w14:paraId="7F9F2C34">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□无；□有，已提供的具体服务内容为：（由投标人如实填写）</w:t>
      </w:r>
    </w:p>
    <w:p w14:paraId="175848AB">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若贵方在本项目采购过程中发现</w:t>
      </w:r>
      <w:r>
        <w:rPr>
          <w:rFonts w:hint="eastAsia" w:cs="宋体"/>
          <w:color w:val="auto"/>
          <w:kern w:val="0"/>
          <w:sz w:val="24"/>
          <w:szCs w:val="24"/>
          <w:highlight w:val="none"/>
          <w:lang w:val="en-US" w:eastAsia="zh-CN" w:bidi="ar"/>
        </w:rPr>
        <w:t>我方以上声明不实</w:t>
      </w:r>
      <w:r>
        <w:rPr>
          <w:rFonts w:hint="eastAsia" w:ascii="宋体" w:hAnsi="宋体" w:eastAsia="宋体" w:cs="宋体"/>
          <w:color w:val="auto"/>
          <w:kern w:val="0"/>
          <w:sz w:val="24"/>
          <w:szCs w:val="24"/>
          <w:highlight w:val="none"/>
          <w:lang w:val="en-US" w:eastAsia="zh-CN" w:bidi="ar"/>
        </w:rPr>
        <w:t xml:space="preserve">，我公司将无条件承担因此引起的一切后果。 </w:t>
      </w:r>
    </w:p>
    <w:p w14:paraId="254A1C26">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color w:val="auto"/>
          <w:sz w:val="24"/>
          <w:szCs w:val="24"/>
          <w:highlight w:val="none"/>
        </w:rPr>
      </w:pPr>
      <w:r>
        <w:rPr>
          <w:rFonts w:hint="eastAsia" w:ascii="宋体" w:hAnsi="宋体" w:eastAsia="宋体" w:cs="宋体"/>
          <w:color w:val="auto"/>
          <w:kern w:val="0"/>
          <w:sz w:val="24"/>
          <w:szCs w:val="24"/>
          <w:highlight w:val="none"/>
          <w:lang w:val="en-US" w:eastAsia="zh-CN" w:bidi="ar"/>
        </w:rPr>
        <w:t xml:space="preserve">我方对此声明负全部法律责任。 </w:t>
      </w:r>
    </w:p>
    <w:p w14:paraId="644F3D48">
      <w:pPr>
        <w:keepNext w:val="0"/>
        <w:keepLines w:val="0"/>
        <w:pageBreakBefore w:val="0"/>
        <w:widowControl/>
        <w:suppressLineNumbers w:val="0"/>
        <w:kinsoku/>
        <w:wordWrap/>
        <w:overflowPunct/>
        <w:topLinePunct w:val="0"/>
        <w:autoSpaceDE/>
        <w:autoSpaceDN/>
        <w:bidi w:val="0"/>
        <w:adjustRightInd/>
        <w:snapToGrid/>
        <w:spacing w:line="460" w:lineRule="exact"/>
        <w:ind w:firstLine="480" w:firstLineChars="200"/>
        <w:jc w:val="left"/>
        <w:textAlignment w:val="auto"/>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特此声明。</w:t>
      </w:r>
    </w:p>
    <w:p w14:paraId="258ED365">
      <w:pPr>
        <w:keepNext w:val="0"/>
        <w:keepLines w:val="0"/>
        <w:pageBreakBefore w:val="0"/>
        <w:kinsoku/>
        <w:wordWrap w:val="0"/>
        <w:overflowPunct/>
        <w:topLinePunct w:val="0"/>
        <w:autoSpaceDE/>
        <w:autoSpaceDN/>
        <w:bidi w:val="0"/>
        <w:adjustRightInd/>
        <w:snapToGrid/>
        <w:spacing w:before="100" w:beforeAutospacing="1" w:after="100" w:afterAutospacing="1" w:line="460" w:lineRule="exact"/>
        <w:ind w:firstLine="3316" w:firstLineChars="1382"/>
        <w:textAlignment w:val="auto"/>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2909F857">
      <w:pPr>
        <w:keepNext w:val="0"/>
        <w:keepLines w:val="0"/>
        <w:pageBreakBefore w:val="0"/>
        <w:kinsoku/>
        <w:wordWrap w:val="0"/>
        <w:overflowPunct/>
        <w:topLinePunct w:val="0"/>
        <w:autoSpaceDE/>
        <w:autoSpaceDN/>
        <w:bidi w:val="0"/>
        <w:adjustRightInd/>
        <w:snapToGrid/>
        <w:spacing w:before="100" w:beforeAutospacing="1" w:after="100" w:afterAutospacing="1" w:line="460" w:lineRule="exact"/>
        <w:jc w:val="right"/>
        <w:textAlignment w:val="auto"/>
        <w:rPr>
          <w:bCs/>
          <w:color w:val="auto"/>
          <w:szCs w:val="24"/>
          <w:highlight w:val="none"/>
          <w:u w:val="singl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1CDBFF97">
      <w:pPr>
        <w:rPr>
          <w:rFonts w:hint="eastAsia"/>
          <w:color w:val="auto"/>
          <w:szCs w:val="24"/>
          <w:highlight w:val="none"/>
        </w:rPr>
      </w:pPr>
    </w:p>
    <w:p w14:paraId="4CEC05C8">
      <w:pPr>
        <w:rPr>
          <w:bCs/>
          <w:color w:val="auto"/>
          <w:szCs w:val="24"/>
          <w:highlight w:val="none"/>
          <w:u w:val="single"/>
        </w:rPr>
      </w:pPr>
      <w:r>
        <w:rPr>
          <w:rFonts w:hint="eastAsia"/>
          <w:color w:val="auto"/>
          <w:szCs w:val="24"/>
          <w:highlight w:val="none"/>
        </w:rPr>
        <w:t>注：选中项用☑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r>
        <w:rPr>
          <w:bCs/>
          <w:color w:val="auto"/>
          <w:szCs w:val="24"/>
          <w:highlight w:val="none"/>
          <w:u w:val="single"/>
        </w:rPr>
        <w:br w:type="page"/>
      </w:r>
    </w:p>
    <w:p w14:paraId="4F41423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default" w:cstheme="majorBidi"/>
          <w:b/>
          <w:bCs/>
          <w:color w:val="auto"/>
          <w:kern w:val="2"/>
          <w:sz w:val="28"/>
          <w:szCs w:val="28"/>
          <w:highlight w:val="none"/>
          <w:lang w:val="en-US" w:eastAsia="zh-CN" w:bidi="ar-SA"/>
        </w:rPr>
      </w:pPr>
      <w:bookmarkStart w:id="660" w:name="_Toc947"/>
      <w:r>
        <w:rPr>
          <w:rFonts w:hint="eastAsia" w:cstheme="majorBidi"/>
          <w:b/>
          <w:bCs/>
          <w:color w:val="auto"/>
          <w:kern w:val="2"/>
          <w:sz w:val="28"/>
          <w:szCs w:val="28"/>
          <w:highlight w:val="none"/>
          <w:lang w:val="en-US" w:eastAsia="zh-CN" w:bidi="ar-SA"/>
        </w:rPr>
        <w:t>四、其他资格证明文件</w:t>
      </w:r>
      <w:bookmarkEnd w:id="660"/>
    </w:p>
    <w:p w14:paraId="5D9C8BB7">
      <w:pPr>
        <w:keepNext w:val="0"/>
        <w:keepLines w:val="0"/>
        <w:pageBreakBefore w:val="0"/>
        <w:widowControl/>
        <w:suppressLineNumbers w:val="0"/>
        <w:kinsoku/>
        <w:wordWrap/>
        <w:overflowPunct/>
        <w:topLinePunct w:val="0"/>
        <w:autoSpaceDE/>
        <w:autoSpaceDN/>
        <w:bidi w:val="0"/>
        <w:adjustRightInd/>
        <w:snapToGrid/>
        <w:ind w:firstLine="482" w:firstLineChars="200"/>
        <w:jc w:val="left"/>
        <w:textAlignment w:val="auto"/>
        <w:rPr>
          <w:color w:val="auto"/>
          <w:highlight w:val="none"/>
        </w:rPr>
      </w:pPr>
      <w:r>
        <w:rPr>
          <w:rFonts w:hint="eastAsia" w:ascii="宋体" w:hAnsi="宋体" w:eastAsia="宋体" w:cstheme="minorBidi"/>
          <w:b/>
          <w:bCs/>
          <w:color w:val="auto"/>
          <w:kern w:val="2"/>
          <w:sz w:val="24"/>
          <w:szCs w:val="24"/>
          <w:highlight w:val="none"/>
          <w:lang w:val="en-US" w:eastAsia="zh-CN" w:bidi="ar-SA"/>
        </w:rPr>
        <w:t>（一）中小企业声明函</w:t>
      </w:r>
      <w:r>
        <w:rPr>
          <w:rFonts w:hint="eastAsia" w:ascii="宋体" w:hAnsi="宋体" w:eastAsia="宋体" w:cstheme="minorBidi"/>
          <w:b w:val="0"/>
          <w:bCs w:val="0"/>
          <w:color w:val="auto"/>
          <w:kern w:val="2"/>
          <w:sz w:val="24"/>
          <w:szCs w:val="24"/>
          <w:highlight w:val="none"/>
          <w:lang w:val="en-US" w:eastAsia="zh-CN" w:bidi="ar-SA"/>
        </w:rPr>
        <w:t>【如适用】</w:t>
      </w:r>
    </w:p>
    <w:p w14:paraId="7787CCD1">
      <w:pPr>
        <w:pStyle w:val="41"/>
        <w:numPr>
          <w:ilvl w:val="0"/>
          <w:numId w:val="0"/>
        </w:numPr>
        <w:ind w:left="420" w:leftChars="0" w:hanging="420" w:firstLineChars="0"/>
        <w:jc w:val="center"/>
        <w:rPr>
          <w:rFonts w:hint="eastAsia"/>
          <w:b/>
          <w:bCs/>
          <w:color w:val="auto"/>
          <w:sz w:val="32"/>
          <w:szCs w:val="32"/>
          <w:highlight w:val="none"/>
          <w:lang w:val="en-US" w:eastAsia="zh-CN"/>
        </w:rPr>
      </w:pPr>
      <w:r>
        <w:rPr>
          <w:rFonts w:hint="eastAsia"/>
          <w:b/>
          <w:bCs/>
          <w:color w:val="auto"/>
          <w:sz w:val="32"/>
          <w:szCs w:val="32"/>
          <w:highlight w:val="none"/>
          <w:lang w:val="en-US" w:eastAsia="zh-CN"/>
        </w:rPr>
        <w:t xml:space="preserve"> </w:t>
      </w:r>
    </w:p>
    <w:p w14:paraId="1EE90747">
      <w:pPr>
        <w:pStyle w:val="41"/>
        <w:numPr>
          <w:ilvl w:val="0"/>
          <w:numId w:val="0"/>
        </w:numPr>
        <w:ind w:left="420" w:leftChars="0" w:hanging="420" w:firstLineChars="0"/>
        <w:jc w:val="center"/>
        <w:rPr>
          <w:rFonts w:hint="eastAsia" w:eastAsia="宋体"/>
          <w:b/>
          <w:bCs/>
          <w:color w:val="auto"/>
          <w:sz w:val="32"/>
          <w:szCs w:val="32"/>
          <w:highlight w:val="none"/>
          <w:lang w:eastAsia="zh-CN"/>
        </w:rPr>
      </w:pPr>
      <w:r>
        <w:rPr>
          <w:rFonts w:hint="eastAsia"/>
          <w:b/>
          <w:bCs/>
          <w:color w:val="auto"/>
          <w:sz w:val="32"/>
          <w:szCs w:val="32"/>
          <w:highlight w:val="none"/>
        </w:rPr>
        <w:t>中小企业声明函</w:t>
      </w:r>
    </w:p>
    <w:p w14:paraId="15DB17DA">
      <w:pPr>
        <w:ind w:firstLine="504" w:firstLineChars="200"/>
        <w:rPr>
          <w:rFonts w:hint="eastAsia" w:cs="宋体"/>
          <w:color w:val="auto"/>
          <w:spacing w:val="6"/>
          <w:szCs w:val="24"/>
          <w:highlight w:val="none"/>
        </w:rPr>
      </w:pPr>
      <w:r>
        <w:rPr>
          <w:rFonts w:hint="eastAsia" w:cs="宋体"/>
          <w:color w:val="auto"/>
          <w:spacing w:val="6"/>
          <w:szCs w:val="24"/>
          <w:highlight w:val="none"/>
        </w:rPr>
        <w:t>本公司（联合体）郑重声明，根据《政府采购促进中小企业发展管理办法》（财库﹝2020﹞46 号）的规定，本公司（联合体）参加</w:t>
      </w:r>
      <w:r>
        <w:rPr>
          <w:rFonts w:hint="eastAsia" w:cs="宋体"/>
          <w:color w:val="auto"/>
          <w:spacing w:val="6"/>
          <w:szCs w:val="24"/>
          <w:highlight w:val="none"/>
          <w:u w:val="single"/>
        </w:rPr>
        <w:t xml:space="preserve"> （单位名称）</w:t>
      </w:r>
      <w:r>
        <w:rPr>
          <w:rFonts w:hint="eastAsia" w:cs="宋体"/>
          <w:color w:val="auto"/>
          <w:spacing w:val="6"/>
          <w:szCs w:val="24"/>
          <w:highlight w:val="none"/>
        </w:rPr>
        <w:t xml:space="preserve"> 的</w:t>
      </w:r>
      <w:r>
        <w:rPr>
          <w:rFonts w:hint="eastAsia" w:cs="宋体"/>
          <w:color w:val="auto"/>
          <w:spacing w:val="6"/>
          <w:szCs w:val="24"/>
          <w:highlight w:val="none"/>
          <w:u w:val="single"/>
        </w:rPr>
        <w:t xml:space="preserve"> （项目名称） </w:t>
      </w:r>
      <w:r>
        <w:rPr>
          <w:rFonts w:hint="eastAsia" w:cs="宋体"/>
          <w:color w:val="auto"/>
          <w:spacing w:val="6"/>
          <w:szCs w:val="24"/>
          <w:highlight w:val="none"/>
        </w:rPr>
        <w:t>采购活动，服务全部由符合政策要求的中小企业承接。相关企业（含联合体中的中小企业、签订分包意向协议的中小企业）的具体情况如下：</w:t>
      </w:r>
    </w:p>
    <w:p w14:paraId="61434561">
      <w:pPr>
        <w:ind w:firstLine="504" w:firstLineChars="200"/>
        <w:rPr>
          <w:rFonts w:hint="eastAsia" w:cs="宋体"/>
          <w:color w:val="auto"/>
          <w:spacing w:val="6"/>
          <w:szCs w:val="24"/>
          <w:highlight w:val="none"/>
        </w:rPr>
      </w:pPr>
      <w:r>
        <w:rPr>
          <w:rFonts w:hint="eastAsia" w:cs="宋体"/>
          <w:color w:val="auto"/>
          <w:spacing w:val="6"/>
          <w:szCs w:val="24"/>
          <w:highlight w:val="none"/>
        </w:rPr>
        <w:t xml:space="preserve">1. </w:t>
      </w:r>
      <w:r>
        <w:rPr>
          <w:rFonts w:hint="eastAsia" w:cs="宋体"/>
          <w:color w:val="auto"/>
          <w:spacing w:val="6"/>
          <w:szCs w:val="24"/>
          <w:highlight w:val="none"/>
          <w:u w:val="single"/>
        </w:rPr>
        <w:t xml:space="preserve">（标的名称） </w:t>
      </w:r>
      <w:r>
        <w:rPr>
          <w:rFonts w:hint="eastAsia" w:cs="宋体"/>
          <w:color w:val="auto"/>
          <w:spacing w:val="6"/>
          <w:szCs w:val="24"/>
          <w:highlight w:val="none"/>
        </w:rPr>
        <w:t>，属于</w:t>
      </w:r>
      <w:r>
        <w:rPr>
          <w:rFonts w:hint="eastAsia" w:cs="宋体"/>
          <w:color w:val="auto"/>
          <w:spacing w:val="6"/>
          <w:szCs w:val="24"/>
          <w:highlight w:val="none"/>
          <w:u w:val="single"/>
        </w:rPr>
        <w:t xml:space="preserve"> （采购文件中明确的所属行业） </w:t>
      </w:r>
      <w:r>
        <w:rPr>
          <w:rFonts w:hint="eastAsia" w:cs="宋体"/>
          <w:color w:val="auto"/>
          <w:spacing w:val="6"/>
          <w:szCs w:val="24"/>
          <w:highlight w:val="none"/>
        </w:rPr>
        <w:t>；承接企业为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（中型企业、小型企业、微型企业）</w:t>
      </w:r>
      <w:r>
        <w:rPr>
          <w:rFonts w:hint="eastAsia" w:cs="宋体"/>
          <w:color w:val="auto"/>
          <w:spacing w:val="6"/>
          <w:szCs w:val="24"/>
          <w:highlight w:val="none"/>
        </w:rPr>
        <w:t>；</w:t>
      </w:r>
    </w:p>
    <w:p w14:paraId="50748FA9">
      <w:pPr>
        <w:ind w:firstLine="504" w:firstLineChars="200"/>
        <w:rPr>
          <w:rFonts w:hint="eastAsia" w:cs="宋体"/>
          <w:color w:val="auto"/>
          <w:spacing w:val="6"/>
          <w:szCs w:val="24"/>
          <w:highlight w:val="none"/>
        </w:rPr>
      </w:pPr>
      <w:r>
        <w:rPr>
          <w:rFonts w:hint="eastAsia" w:cs="宋体"/>
          <w:color w:val="auto"/>
          <w:spacing w:val="6"/>
          <w:szCs w:val="24"/>
          <w:highlight w:val="none"/>
        </w:rPr>
        <w:t>2.</w:t>
      </w:r>
      <w:r>
        <w:rPr>
          <w:rFonts w:hint="eastAsia" w:cs="宋体"/>
          <w:color w:val="auto"/>
          <w:spacing w:val="6"/>
          <w:szCs w:val="24"/>
          <w:highlight w:val="none"/>
          <w:u w:val="single"/>
        </w:rPr>
        <w:t xml:space="preserve"> （标的名称）</w:t>
      </w:r>
      <w:r>
        <w:rPr>
          <w:rFonts w:hint="eastAsia" w:cs="宋体"/>
          <w:color w:val="auto"/>
          <w:spacing w:val="6"/>
          <w:szCs w:val="24"/>
          <w:highlight w:val="none"/>
        </w:rPr>
        <w:t xml:space="preserve"> ，属于</w:t>
      </w:r>
      <w:r>
        <w:rPr>
          <w:rFonts w:hint="eastAsia" w:cs="宋体"/>
          <w:color w:val="auto"/>
          <w:spacing w:val="6"/>
          <w:szCs w:val="24"/>
          <w:highlight w:val="none"/>
          <w:u w:val="single"/>
        </w:rPr>
        <w:t xml:space="preserve"> （采购文件中明确的所属行业） </w:t>
      </w:r>
      <w:r>
        <w:rPr>
          <w:rFonts w:hint="eastAsia" w:cs="宋体"/>
          <w:color w:val="auto"/>
          <w:spacing w:val="6"/>
          <w:szCs w:val="24"/>
          <w:highlight w:val="none"/>
        </w:rPr>
        <w:t>；承接企业为</w:t>
      </w:r>
      <w:r>
        <w:rPr>
          <w:rFonts w:hint="eastAsia" w:cs="宋体"/>
          <w:color w:val="auto"/>
          <w:spacing w:val="6"/>
          <w:szCs w:val="24"/>
          <w:highlight w:val="none"/>
          <w:u w:val="single"/>
        </w:rPr>
        <w:t xml:space="preserve"> （企业名称）  </w:t>
      </w:r>
      <w:r>
        <w:rPr>
          <w:rFonts w:hint="eastAsia" w:cs="宋体"/>
          <w:color w:val="auto"/>
          <w:spacing w:val="6"/>
          <w:szCs w:val="24"/>
          <w:highlight w:val="none"/>
        </w:rPr>
        <w:t>，从业人员</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人，营业收入为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万元，资产总额为</w:t>
      </w:r>
      <w:r>
        <w:rPr>
          <w:rFonts w:hint="eastAsia" w:cs="宋体"/>
          <w:color w:val="auto"/>
          <w:spacing w:val="6"/>
          <w:szCs w:val="24"/>
          <w:highlight w:val="none"/>
          <w:u w:val="single"/>
          <w:lang w:val="en-US" w:eastAsia="zh-CN"/>
        </w:rPr>
        <w:t xml:space="preserve">         </w:t>
      </w:r>
      <w:r>
        <w:rPr>
          <w:rFonts w:hint="eastAsia" w:cs="宋体"/>
          <w:color w:val="auto"/>
          <w:spacing w:val="6"/>
          <w:szCs w:val="24"/>
          <w:highlight w:val="none"/>
        </w:rPr>
        <w:t>万元，属于</w:t>
      </w:r>
      <w:r>
        <w:rPr>
          <w:rFonts w:hint="eastAsia" w:cs="宋体"/>
          <w:color w:val="auto"/>
          <w:spacing w:val="6"/>
          <w:szCs w:val="24"/>
          <w:highlight w:val="none"/>
          <w:u w:val="single"/>
        </w:rPr>
        <w:t>（中型企业、小型企业、微型企业）</w:t>
      </w:r>
      <w:r>
        <w:rPr>
          <w:rFonts w:hint="eastAsia" w:cs="宋体"/>
          <w:color w:val="auto"/>
          <w:spacing w:val="6"/>
          <w:szCs w:val="24"/>
          <w:highlight w:val="none"/>
        </w:rPr>
        <w:t>；</w:t>
      </w:r>
    </w:p>
    <w:p w14:paraId="3E0A4498">
      <w:pPr>
        <w:ind w:firstLine="504" w:firstLineChars="200"/>
        <w:rPr>
          <w:rFonts w:hint="eastAsia" w:cs="宋体"/>
          <w:color w:val="auto"/>
          <w:spacing w:val="6"/>
          <w:szCs w:val="24"/>
          <w:highlight w:val="none"/>
        </w:rPr>
      </w:pPr>
      <w:r>
        <w:rPr>
          <w:rFonts w:hint="eastAsia" w:cs="宋体"/>
          <w:color w:val="auto"/>
          <w:spacing w:val="6"/>
          <w:szCs w:val="24"/>
          <w:highlight w:val="none"/>
        </w:rPr>
        <w:t>……</w:t>
      </w:r>
    </w:p>
    <w:p w14:paraId="3AF46063">
      <w:pPr>
        <w:ind w:firstLine="504" w:firstLineChars="200"/>
        <w:rPr>
          <w:rFonts w:hint="eastAsia" w:cs="宋体"/>
          <w:color w:val="auto"/>
          <w:spacing w:val="6"/>
          <w:szCs w:val="24"/>
          <w:highlight w:val="none"/>
        </w:rPr>
      </w:pPr>
      <w:r>
        <w:rPr>
          <w:rFonts w:hint="eastAsia" w:cs="宋体"/>
          <w:color w:val="auto"/>
          <w:spacing w:val="6"/>
          <w:szCs w:val="24"/>
          <w:highlight w:val="none"/>
        </w:rPr>
        <w:t>以上企业，不属于大企业的分支机构，不存在控股股东为大企业的情形，也不存在与大企业的负责人为同一人的情形。</w:t>
      </w:r>
    </w:p>
    <w:p w14:paraId="5134A2D6">
      <w:pPr>
        <w:ind w:firstLine="504" w:firstLineChars="200"/>
        <w:rPr>
          <w:rFonts w:hint="eastAsia" w:cs="宋体"/>
          <w:color w:val="auto"/>
          <w:spacing w:val="6"/>
          <w:szCs w:val="24"/>
          <w:highlight w:val="none"/>
        </w:rPr>
      </w:pPr>
      <w:r>
        <w:rPr>
          <w:rFonts w:hint="eastAsia" w:cs="宋体"/>
          <w:color w:val="auto"/>
          <w:spacing w:val="6"/>
          <w:szCs w:val="24"/>
          <w:highlight w:val="none"/>
        </w:rPr>
        <w:t>本企业对上述声明内容的真实性负责。如有虚假，将依法承担相应责任。</w:t>
      </w:r>
    </w:p>
    <w:p w14:paraId="489B2DCD">
      <w:pPr>
        <w:ind w:firstLine="504" w:firstLineChars="200"/>
        <w:rPr>
          <w:rFonts w:cs="宋体"/>
          <w:color w:val="auto"/>
          <w:spacing w:val="6"/>
          <w:szCs w:val="24"/>
          <w:highlight w:val="none"/>
        </w:rPr>
      </w:pPr>
    </w:p>
    <w:p w14:paraId="25464B04">
      <w:pPr>
        <w:ind w:right="1008" w:firstLine="4788" w:firstLineChars="1900"/>
        <w:rPr>
          <w:rFonts w:cs="宋体"/>
          <w:color w:val="auto"/>
          <w:spacing w:val="6"/>
          <w:szCs w:val="24"/>
          <w:highlight w:val="none"/>
        </w:rPr>
      </w:pPr>
    </w:p>
    <w:p w14:paraId="7ACAE912">
      <w:pPr>
        <w:ind w:right="1008" w:firstLine="4284" w:firstLineChars="1700"/>
        <w:rPr>
          <w:rFonts w:cs="宋体"/>
          <w:color w:val="auto"/>
          <w:spacing w:val="6"/>
          <w:szCs w:val="24"/>
          <w:highlight w:val="none"/>
        </w:rPr>
      </w:pPr>
      <w:r>
        <w:rPr>
          <w:rFonts w:hint="eastAsia" w:cs="宋体"/>
          <w:color w:val="auto"/>
          <w:spacing w:val="6"/>
          <w:szCs w:val="24"/>
          <w:highlight w:val="none"/>
          <w:lang w:val="en-US" w:eastAsia="zh-CN"/>
        </w:rPr>
        <w:t>投标人</w:t>
      </w:r>
      <w:r>
        <w:rPr>
          <w:rFonts w:hint="eastAsia" w:cs="宋体"/>
          <w:color w:val="auto"/>
          <w:spacing w:val="6"/>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宋体"/>
          <w:color w:val="auto"/>
          <w:spacing w:val="6"/>
          <w:szCs w:val="24"/>
          <w:highlight w:val="none"/>
        </w:rPr>
        <w:t>：</w:t>
      </w:r>
    </w:p>
    <w:p w14:paraId="005AF343">
      <w:pPr>
        <w:ind w:right="1008" w:firstLine="4284" w:firstLineChars="1700"/>
        <w:rPr>
          <w:rFonts w:hint="default" w:eastAsia="宋体" w:cs="宋体"/>
          <w:color w:val="auto"/>
          <w:spacing w:val="6"/>
          <w:szCs w:val="24"/>
          <w:highlight w:val="none"/>
          <w:lang w:val="en-US" w:eastAsia="zh-CN"/>
        </w:rPr>
      </w:pPr>
      <w:r>
        <w:rPr>
          <w:rFonts w:hint="eastAsia" w:cs="宋体"/>
          <w:color w:val="auto"/>
          <w:spacing w:val="6"/>
          <w:szCs w:val="24"/>
          <w:highlight w:val="none"/>
        </w:rPr>
        <w:t>日期：</w:t>
      </w:r>
      <w:r>
        <w:rPr>
          <w:rFonts w:hint="eastAsia" w:cs="宋体"/>
          <w:color w:val="auto"/>
          <w:spacing w:val="6"/>
          <w:szCs w:val="24"/>
          <w:highlight w:val="none"/>
          <w:lang w:val="en-US" w:eastAsia="zh-CN"/>
        </w:rPr>
        <w:t xml:space="preserve">   年  月  日</w:t>
      </w:r>
    </w:p>
    <w:p w14:paraId="3FF1C0D7">
      <w:pPr>
        <w:ind w:firstLine="504" w:firstLineChars="200"/>
        <w:rPr>
          <w:rFonts w:cs="宋体"/>
          <w:color w:val="auto"/>
          <w:spacing w:val="6"/>
          <w:szCs w:val="24"/>
          <w:highlight w:val="none"/>
        </w:rPr>
      </w:pPr>
    </w:p>
    <w:p w14:paraId="41AFE752">
      <w:pPr>
        <w:rPr>
          <w:rFonts w:hint="default" w:cs="宋体"/>
          <w:b/>
          <w:bCs/>
          <w:color w:val="auto"/>
          <w:spacing w:val="6"/>
          <w:sz w:val="21"/>
          <w:szCs w:val="21"/>
          <w:highlight w:val="none"/>
          <w:lang w:val="en-US" w:eastAsia="zh-CN"/>
        </w:rPr>
      </w:pPr>
      <w:r>
        <w:rPr>
          <w:rFonts w:hint="eastAsia" w:cs="宋体"/>
          <w:b/>
          <w:bCs/>
          <w:color w:val="auto"/>
          <w:spacing w:val="6"/>
          <w:sz w:val="21"/>
          <w:szCs w:val="21"/>
          <w:highlight w:val="none"/>
        </w:rPr>
        <w:t>说明：</w:t>
      </w:r>
      <w:r>
        <w:rPr>
          <w:rFonts w:hint="eastAsia" w:cs="宋体"/>
          <w:b/>
          <w:bCs/>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6F6FCE33">
      <w:pPr>
        <w:ind w:firstLine="668" w:firstLineChars="300"/>
        <w:rPr>
          <w:rFonts w:cs="宋体"/>
          <w:color w:val="auto"/>
          <w:spacing w:val="6"/>
          <w:sz w:val="21"/>
          <w:szCs w:val="21"/>
          <w:highlight w:val="none"/>
        </w:rPr>
      </w:pPr>
      <w:r>
        <w:rPr>
          <w:rFonts w:hint="eastAsia" w:cs="宋体"/>
          <w:b/>
          <w:bCs/>
          <w:color w:val="auto"/>
          <w:spacing w:val="6"/>
          <w:sz w:val="21"/>
          <w:szCs w:val="21"/>
          <w:highlight w:val="none"/>
          <w:lang w:val="en-US" w:eastAsia="zh-CN"/>
        </w:rPr>
        <w:t>2.</w:t>
      </w:r>
      <w:r>
        <w:rPr>
          <w:rFonts w:hint="eastAsia" w:cs="宋体"/>
          <w:color w:val="auto"/>
          <w:spacing w:val="6"/>
          <w:sz w:val="21"/>
          <w:szCs w:val="21"/>
          <w:highlight w:val="none"/>
        </w:rPr>
        <w:t>从业人员、营业收入、资产总额填报上一年度数据，无上一年度数据的新成立企业可不填报。</w:t>
      </w:r>
    </w:p>
    <w:p w14:paraId="70815FB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color w:val="auto"/>
          <w:highlight w:val="none"/>
          <w:lang w:val="en-US" w:eastAsia="zh-CN"/>
        </w:rPr>
      </w:pPr>
    </w:p>
    <w:p w14:paraId="7367A084">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color w:val="auto"/>
          <w:highlight w:val="none"/>
          <w:lang w:val="en-US" w:eastAsia="zh-CN"/>
        </w:rPr>
      </w:pPr>
      <w:r>
        <w:rPr>
          <w:rFonts w:hint="eastAsia"/>
          <w:b/>
          <w:bCs/>
          <w:color w:val="auto"/>
          <w:highlight w:val="none"/>
          <w:lang w:val="en-US" w:eastAsia="zh-CN"/>
        </w:rPr>
        <w:t xml:space="preserve">附件1 </w:t>
      </w:r>
    </w:p>
    <w:p w14:paraId="558AB531">
      <w:pPr>
        <w:keepNext w:val="0"/>
        <w:keepLines w:val="0"/>
        <w:widowControl/>
        <w:suppressLineNumbers w:val="0"/>
        <w:ind w:firstLine="562" w:firstLineChars="200"/>
        <w:jc w:val="left"/>
        <w:rPr>
          <w:rStyle w:val="34"/>
          <w:rFonts w:hint="eastAsia" w:ascii="宋体" w:hAnsi="宋体" w:eastAsia="宋体" w:cs="宋体"/>
          <w:color w:val="auto"/>
          <w:kern w:val="0"/>
          <w:sz w:val="28"/>
          <w:szCs w:val="28"/>
          <w:highlight w:val="none"/>
          <w:lang w:val="en-US" w:eastAsia="zh-CN" w:bidi="ar"/>
        </w:rPr>
      </w:pPr>
    </w:p>
    <w:p w14:paraId="4143A234">
      <w:pPr>
        <w:keepNext w:val="0"/>
        <w:keepLines w:val="0"/>
        <w:widowControl/>
        <w:suppressLineNumbers w:val="0"/>
        <w:ind w:firstLine="482" w:firstLineChars="200"/>
        <w:jc w:val="left"/>
        <w:rPr>
          <w:rStyle w:val="34"/>
          <w:rFonts w:hint="eastAsia" w:ascii="宋体" w:hAnsi="宋体" w:eastAsia="宋体" w:cs="宋体"/>
          <w:color w:val="auto"/>
          <w:kern w:val="0"/>
          <w:sz w:val="28"/>
          <w:szCs w:val="28"/>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（一）关于</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中小企业声明函</w:t>
      </w:r>
      <w:r>
        <w:rPr>
          <w:rStyle w:val="34"/>
          <w:rFonts w:hint="eastAsia" w:cs="宋体"/>
          <w:color w:val="auto"/>
          <w:kern w:val="0"/>
          <w:sz w:val="24"/>
          <w:szCs w:val="24"/>
          <w:highlight w:val="none"/>
          <w:lang w:val="en-US" w:eastAsia="zh-CN" w:bidi="ar"/>
        </w:rPr>
        <w:t>”</w:t>
      </w:r>
      <w:r>
        <w:rPr>
          <w:rStyle w:val="34"/>
          <w:rFonts w:hint="eastAsia" w:ascii="宋体" w:hAnsi="宋体" w:eastAsia="宋体" w:cs="宋体"/>
          <w:color w:val="auto"/>
          <w:kern w:val="0"/>
          <w:sz w:val="24"/>
          <w:szCs w:val="24"/>
          <w:highlight w:val="none"/>
          <w:lang w:val="en-US" w:eastAsia="zh-CN" w:bidi="ar"/>
        </w:rPr>
        <w:t>的填写要求</w:t>
      </w:r>
    </w:p>
    <w:p w14:paraId="011702C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具体填写要求如下：</w:t>
      </w:r>
    </w:p>
    <w:p w14:paraId="16999D1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1.“单位名称”应填写采购人名称。</w:t>
      </w:r>
    </w:p>
    <w:p w14:paraId="770A544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4A8864D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431A108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4.“采购文件中明确的所属行业”应填写采购文件中明确的采购标的所属行业，并应确保与采购标的涉及的货物制造商/服务承接商/工程承建商（根据项目属性确定）本身的所属行业保持一致。</w:t>
      </w:r>
    </w:p>
    <w:p w14:paraId="112AF797">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CD69B4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A8045EA">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5.“企业名称”应填写投标（响应）的货物制造商/服务承接商/工程承建商（根据项目属性确定）。</w:t>
      </w:r>
    </w:p>
    <w:p w14:paraId="4B88E6C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对于分包方式面向中小企业采购的项目，“企业名称”应填写分包部分采购标的对应的货物制造商/服务承接商/工程承建商（根据项目属性确定）。</w:t>
      </w:r>
    </w:p>
    <w:p w14:paraId="3C87C33D">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对于以联合体方式面向中小企业采购的项目，“企业名称”应填写联合体中中小企业承担采购标的对应的货物制造商/服务承接商/工程承建商（根据项目属性确定）。</w:t>
      </w:r>
    </w:p>
    <w:p w14:paraId="647F307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6.从业人员、资产总额指标以上年度末数据为依据，营业收入指标以上年度累计数据为依据。无上年度数据的新成立企业可不填报。</w:t>
      </w:r>
    </w:p>
    <w:p w14:paraId="4A27119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载明的货物制造商/服务承接商/工程承建商（根据项目属性确定）是否属于采购文件所属行业的中型企业/小型企业/微型企业。</w:t>
      </w:r>
    </w:p>
    <w:p w14:paraId="2AD0ED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465230A5">
      <w:pPr>
        <w:keepNext w:val="0"/>
        <w:keepLines w:val="0"/>
        <w:widowControl/>
        <w:suppressLineNumbers w:val="0"/>
        <w:ind w:firstLine="482" w:firstLineChars="200"/>
        <w:jc w:val="left"/>
        <w:rPr>
          <w:rStyle w:val="34"/>
          <w:rFonts w:hint="eastAsia" w:ascii="宋体" w:hAnsi="宋体" w:eastAsia="宋体" w:cs="宋体"/>
          <w:color w:val="auto"/>
          <w:kern w:val="0"/>
          <w:sz w:val="24"/>
          <w:szCs w:val="24"/>
          <w:highlight w:val="none"/>
          <w:lang w:val="en-US" w:eastAsia="zh-CN" w:bidi="ar"/>
        </w:rPr>
      </w:pPr>
      <w:r>
        <w:rPr>
          <w:rStyle w:val="34"/>
          <w:rFonts w:hint="eastAsia" w:ascii="宋体" w:hAnsi="宋体" w:eastAsia="宋体" w:cs="宋体"/>
          <w:color w:val="auto"/>
          <w:kern w:val="0"/>
          <w:sz w:val="24"/>
          <w:szCs w:val="24"/>
          <w:highlight w:val="none"/>
          <w:lang w:val="en-US" w:eastAsia="zh-CN" w:bidi="ar"/>
        </w:rPr>
        <w:t>（二）关于“中小企业声明函”的提交要求</w:t>
      </w:r>
    </w:p>
    <w:p w14:paraId="39A86FF9">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1.投标（响应）供应商对</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w:t>
      </w:r>
    </w:p>
    <w:p w14:paraId="1514B6A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2.鼓励供应商在投标（响应）时一并提供对货物制造商、服务承接商、工程承建商相关信息的核实核验情况以及其他佐证材料。</w:t>
      </w:r>
    </w:p>
    <w:p w14:paraId="4E06E22F">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color w:val="auto"/>
          <w:kern w:val="0"/>
          <w:sz w:val="24"/>
          <w:szCs w:val="28"/>
          <w:highlight w:val="none"/>
          <w:lang w:val="en-US" w:eastAsia="zh-CN" w:bidi="ar"/>
        </w:rPr>
      </w:pPr>
      <w:r>
        <w:rPr>
          <w:rFonts w:hint="eastAsia" w:ascii="宋体" w:hAnsi="宋体" w:eastAsia="宋体" w:cs="宋体"/>
          <w:color w:val="auto"/>
          <w:kern w:val="0"/>
          <w:sz w:val="24"/>
          <w:szCs w:val="28"/>
          <w:highlight w:val="none"/>
          <w:lang w:val="en-US" w:eastAsia="zh-CN" w:bidi="ar"/>
        </w:rPr>
        <w:t>3.如供应商提供的</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中小企业声明函</w:t>
      </w:r>
      <w:r>
        <w:rPr>
          <w:rFonts w:hint="eastAsia" w:cs="宋体"/>
          <w:color w:val="auto"/>
          <w:kern w:val="0"/>
          <w:sz w:val="24"/>
          <w:szCs w:val="28"/>
          <w:highlight w:val="none"/>
          <w:lang w:val="en-US" w:eastAsia="zh-CN" w:bidi="ar"/>
        </w:rPr>
        <w:t>”</w:t>
      </w:r>
      <w:r>
        <w:rPr>
          <w:rFonts w:hint="eastAsia" w:ascii="宋体" w:hAnsi="宋体" w:eastAsia="宋体" w:cs="宋体"/>
          <w:color w:val="auto"/>
          <w:kern w:val="0"/>
          <w:sz w:val="24"/>
          <w:szCs w:val="28"/>
          <w:highlight w:val="none"/>
          <w:lang w:val="en-US" w:eastAsia="zh-CN" w:bidi="ar"/>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68E0C1AF">
      <w:pPr>
        <w:rPr>
          <w:rFonts w:cs="宋体"/>
          <w:color w:val="auto"/>
          <w:spacing w:val="6"/>
          <w:sz w:val="21"/>
          <w:szCs w:val="21"/>
          <w:highlight w:val="none"/>
        </w:rPr>
      </w:pPr>
    </w:p>
    <w:p w14:paraId="396E5086">
      <w:pPr>
        <w:rPr>
          <w:rFonts w:cs="宋体"/>
          <w:color w:val="auto"/>
          <w:spacing w:val="6"/>
          <w:sz w:val="21"/>
          <w:szCs w:val="21"/>
          <w:highlight w:val="none"/>
        </w:rPr>
      </w:pPr>
    </w:p>
    <w:p w14:paraId="47EECCCC">
      <w:pPr>
        <w:rPr>
          <w:rFonts w:hint="eastAsia"/>
          <w:b/>
          <w:bCs/>
          <w:color w:val="auto"/>
          <w:highlight w:val="none"/>
          <w:lang w:val="en-US" w:eastAsia="zh-CN"/>
        </w:rPr>
      </w:pPr>
      <w:r>
        <w:rPr>
          <w:rFonts w:hint="eastAsia"/>
          <w:b/>
          <w:bCs/>
          <w:color w:val="auto"/>
          <w:highlight w:val="none"/>
          <w:lang w:val="en-US" w:eastAsia="zh-CN"/>
        </w:rPr>
        <w:br w:type="page"/>
      </w:r>
    </w:p>
    <w:p w14:paraId="10782C8E">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color w:val="auto"/>
          <w:highlight w:val="none"/>
          <w:lang w:val="en-US" w:eastAsia="zh-CN"/>
        </w:rPr>
      </w:pPr>
      <w:r>
        <w:rPr>
          <w:rFonts w:hint="eastAsia"/>
          <w:b/>
          <w:bCs/>
          <w:color w:val="auto"/>
          <w:highlight w:val="none"/>
          <w:lang w:val="en-US" w:eastAsia="zh-CN"/>
        </w:rPr>
        <w:t>附件2：</w:t>
      </w:r>
    </w:p>
    <w:p w14:paraId="11429386">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关于印发中小企业划型标准规定的通知</w:t>
      </w:r>
    </w:p>
    <w:p w14:paraId="17C8AFF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工信部联企业〔2011〕300号</w:t>
      </w:r>
    </w:p>
    <w:p w14:paraId="2829AD9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4"/>
          <w:rFonts w:hint="eastAsia" w:ascii="宋体" w:hAnsi="宋体" w:eastAsia="宋体" w:cs="宋体"/>
          <w:b w:val="0"/>
          <w:color w:val="auto"/>
          <w:sz w:val="24"/>
          <w:szCs w:val="24"/>
          <w:highlight w:val="none"/>
        </w:rPr>
      </w:pPr>
    </w:p>
    <w:p w14:paraId="7C9F7F26">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color w:val="auto"/>
          <w:sz w:val="24"/>
          <w:szCs w:val="24"/>
          <w:highlight w:val="none"/>
        </w:rPr>
      </w:pPr>
      <w:r>
        <w:rPr>
          <w:rStyle w:val="34"/>
          <w:rFonts w:hint="eastAsia" w:ascii="宋体" w:hAnsi="宋体" w:eastAsia="宋体" w:cs="宋体"/>
          <w:b w:val="0"/>
          <w:color w:val="auto"/>
          <w:sz w:val="24"/>
          <w:szCs w:val="24"/>
          <w:highlight w:val="none"/>
        </w:rPr>
        <w:t>各省、自治区、直辖市人民政府，国务院各部委、各直属机构及有关单位：</w:t>
      </w:r>
    </w:p>
    <w:p w14:paraId="25C925C6">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40C7C044">
      <w:pPr>
        <w:keepNext w:val="0"/>
        <w:keepLines w:val="0"/>
        <w:pageBreakBefore w:val="0"/>
        <w:widowControl w:val="0"/>
        <w:kinsoku/>
        <w:wordWrap/>
        <w:overflowPunct/>
        <w:topLinePunct w:val="0"/>
        <w:autoSpaceDE/>
        <w:autoSpaceDN/>
        <w:bidi w:val="0"/>
        <w:adjustRightInd/>
        <w:snapToGrid/>
        <w:spacing w:line="360" w:lineRule="auto"/>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工业和信息化部　国家统计局</w:t>
      </w:r>
    </w:p>
    <w:p w14:paraId="5982ED85">
      <w:pPr>
        <w:keepNext w:val="0"/>
        <w:keepLines w:val="0"/>
        <w:pageBreakBefore w:val="0"/>
        <w:widowControl w:val="0"/>
        <w:kinsoku/>
        <w:wordWrap/>
        <w:overflowPunct/>
        <w:topLinePunct w:val="0"/>
        <w:autoSpaceDE/>
        <w:autoSpaceDN/>
        <w:bidi w:val="0"/>
        <w:adjustRightInd/>
        <w:snapToGrid/>
        <w:spacing w:line="360" w:lineRule="auto"/>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国家发展和改革委员会　财政部</w:t>
      </w:r>
    </w:p>
    <w:p w14:paraId="60B50E2F">
      <w:pPr>
        <w:keepNext w:val="0"/>
        <w:keepLines w:val="0"/>
        <w:pageBreakBefore w:val="0"/>
        <w:widowControl w:val="0"/>
        <w:kinsoku/>
        <w:wordWrap/>
        <w:overflowPunct/>
        <w:topLinePunct w:val="0"/>
        <w:autoSpaceDE/>
        <w:autoSpaceDN/>
        <w:bidi w:val="0"/>
        <w:adjustRightInd/>
        <w:snapToGrid/>
        <w:spacing w:line="360" w:lineRule="auto"/>
        <w:jc w:val="righ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二○一一年六月十八日</w:t>
      </w:r>
    </w:p>
    <w:p w14:paraId="319BBA7A">
      <w:pPr>
        <w:keepNext w:val="0"/>
        <w:keepLines w:val="0"/>
        <w:pageBreakBefore w:val="0"/>
        <w:widowControl w:val="0"/>
        <w:kinsoku/>
        <w:wordWrap/>
        <w:overflowPunct/>
        <w:topLinePunct w:val="0"/>
        <w:autoSpaceDE/>
        <w:autoSpaceDN/>
        <w:bidi w:val="0"/>
        <w:adjustRightInd/>
        <w:snapToGrid/>
        <w:spacing w:line="360" w:lineRule="exact"/>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xml:space="preserve"> </w:t>
      </w:r>
    </w:p>
    <w:p w14:paraId="14E3A169">
      <w:pPr>
        <w:keepNext w:val="0"/>
        <w:keepLines w:val="0"/>
        <w:pageBreakBefore w:val="0"/>
        <w:widowControl w:val="0"/>
        <w:kinsoku/>
        <w:wordWrap/>
        <w:overflowPunct/>
        <w:topLinePunct w:val="0"/>
        <w:autoSpaceDE/>
        <w:autoSpaceDN/>
        <w:bidi w:val="0"/>
        <w:adjustRightInd/>
        <w:snapToGrid/>
        <w:spacing w:afterLines="100" w:line="400" w:lineRule="exact"/>
        <w:jc w:val="center"/>
        <w:textAlignment w:val="auto"/>
        <w:rPr>
          <w:rStyle w:val="34"/>
          <w:rFonts w:hint="eastAsia" w:ascii="宋体" w:hAnsi="宋体" w:eastAsia="宋体" w:cs="宋体"/>
          <w:b/>
          <w:bCs w:val="0"/>
          <w:color w:val="auto"/>
          <w:sz w:val="28"/>
          <w:szCs w:val="28"/>
          <w:highlight w:val="none"/>
        </w:rPr>
      </w:pPr>
      <w:r>
        <w:rPr>
          <w:rStyle w:val="34"/>
          <w:rFonts w:hint="eastAsia" w:ascii="宋体" w:hAnsi="宋体" w:eastAsia="宋体" w:cs="宋体"/>
          <w:b/>
          <w:bCs w:val="0"/>
          <w:color w:val="auto"/>
          <w:sz w:val="28"/>
          <w:szCs w:val="28"/>
          <w:highlight w:val="none"/>
        </w:rPr>
        <w:t>中小企业划型标准规定</w:t>
      </w:r>
    </w:p>
    <w:p w14:paraId="5CE7F7E2">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一、根据《中华人民共和国中小企业促进法》和《国务院关于进一步促进中小企业发展的若干意见》(国发〔2009〕36号)，制定本规定。</w:t>
      </w:r>
    </w:p>
    <w:p w14:paraId="41D537B1">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二、中小企业划分为中型、小型、微型三种类型，具体标准根据企业从业人员、营业收入、资产总额等指标，结合行业特点制定。</w:t>
      </w:r>
    </w:p>
    <w:p w14:paraId="68923754">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657D8E80">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四、各行业划型标准为：</w:t>
      </w:r>
    </w:p>
    <w:p w14:paraId="09930FAE">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4E233008">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28A6DEA7">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0AEC1EF4">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46BAA58">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0136102F">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558E928">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7993B523">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BFC55E5">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7DE681B7">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4A929EB">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12A8B386">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2A900460">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5A1CA8B7">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0B6814EA">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F740DAA">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3FF7B35C">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五、企业类型的划分以统计部门的统计数据为依据。</w:t>
      </w:r>
    </w:p>
    <w:p w14:paraId="5066BA9E">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六、本规定适用于在中华人民共和国境内依法设立的各类所有制和各种组织形式的企业。个体工商户和本规定以外的行业，参照本规定进行划型。</w:t>
      </w:r>
    </w:p>
    <w:p w14:paraId="5541F495">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287225FC">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八、本规定由工业和信息化部、国家统计局会同有关部门根据《国民经济行业分类》修订情况和企业发展变化情况适时修订。</w:t>
      </w:r>
    </w:p>
    <w:p w14:paraId="6E867FC9">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　　九、本规定由工业和信息化部、国家统计局会同有关部门负责解释。</w:t>
      </w:r>
    </w:p>
    <w:p w14:paraId="1E2B5CC7">
      <w:pPr>
        <w:keepNext w:val="0"/>
        <w:keepLines w:val="0"/>
        <w:pageBreakBefore w:val="0"/>
        <w:widowControl w:val="0"/>
        <w:kinsoku/>
        <w:wordWrap/>
        <w:overflowPunct/>
        <w:topLinePunct w:val="0"/>
        <w:autoSpaceDE/>
        <w:autoSpaceDN/>
        <w:bidi w:val="0"/>
        <w:adjustRightInd/>
        <w:snapToGrid/>
        <w:spacing w:line="360" w:lineRule="auto"/>
        <w:textAlignment w:val="auto"/>
        <w:rPr>
          <w:rStyle w:val="34"/>
          <w:rFonts w:hint="eastAsia" w:ascii="宋体" w:hAnsi="宋体" w:eastAsia="宋体" w:cs="宋体"/>
          <w:b w:val="0"/>
          <w:bCs w:val="0"/>
          <w:color w:val="auto"/>
          <w:sz w:val="24"/>
          <w:szCs w:val="24"/>
          <w:highlight w:val="none"/>
        </w:rPr>
      </w:pPr>
      <w:r>
        <w:rPr>
          <w:rStyle w:val="34"/>
          <w:rFonts w:hint="eastAsia" w:ascii="宋体" w:hAnsi="宋体" w:eastAsia="宋体" w:cs="宋体"/>
          <w:b w:val="0"/>
          <w:bCs w:val="0"/>
          <w:color w:val="auto"/>
          <w:sz w:val="24"/>
          <w:szCs w:val="24"/>
          <w:highlight w:val="none"/>
        </w:rPr>
        <w:t>十、本规定自发布之日起执行，原国家经贸委、原国家计委、财政部和国家统计局2003年颁布的《中小企业标准暂行规定》同时废止。</w:t>
      </w:r>
    </w:p>
    <w:p w14:paraId="042BED53">
      <w:pPr>
        <w:rPr>
          <w:rFonts w:cs="宋体"/>
          <w:color w:val="auto"/>
          <w:spacing w:val="6"/>
          <w:sz w:val="21"/>
          <w:szCs w:val="21"/>
          <w:highlight w:val="none"/>
        </w:rPr>
      </w:pPr>
      <w:r>
        <w:rPr>
          <w:rFonts w:cs="宋体"/>
          <w:color w:val="auto"/>
          <w:spacing w:val="6"/>
          <w:sz w:val="21"/>
          <w:szCs w:val="21"/>
          <w:highlight w:val="none"/>
        </w:rPr>
        <w:br w:type="page"/>
      </w:r>
    </w:p>
    <w:p w14:paraId="195B4B49">
      <w:pPr>
        <w:pStyle w:val="17"/>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color w:val="auto"/>
          <w:sz w:val="36"/>
          <w:szCs w:val="36"/>
          <w:highlight w:val="none"/>
          <w:lang w:val="en-US" w:eastAsia="zh-CN"/>
        </w:rPr>
      </w:pPr>
      <w:bookmarkStart w:id="661" w:name="_Toc163492940"/>
    </w:p>
    <w:p w14:paraId="70E5E60B">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662" w:name="_Toc30764"/>
      <w:bookmarkStart w:id="663" w:name="_Toc25856"/>
      <w:bookmarkStart w:id="664" w:name="_Toc16227"/>
      <w:bookmarkStart w:id="665" w:name="_Toc6155"/>
      <w:bookmarkStart w:id="666" w:name="_Toc21418"/>
      <w:bookmarkStart w:id="667" w:name="_Toc19192"/>
      <w:r>
        <w:rPr>
          <w:rFonts w:hint="eastAsia" w:ascii="宋体" w:hAnsi="宋体" w:eastAsia="宋体" w:cstheme="minorBidi"/>
          <w:b/>
          <w:bCs/>
          <w:color w:val="auto"/>
          <w:kern w:val="2"/>
          <w:sz w:val="24"/>
          <w:szCs w:val="24"/>
          <w:highlight w:val="none"/>
          <w:lang w:val="en-US" w:eastAsia="zh-CN" w:bidi="ar-SA"/>
        </w:rPr>
        <w:t>（二）监狱企业证明文件</w:t>
      </w:r>
      <w:r>
        <w:rPr>
          <w:rFonts w:hint="eastAsia" w:ascii="宋体" w:hAnsi="宋体" w:eastAsia="宋体" w:cstheme="minorBidi"/>
          <w:b w:val="0"/>
          <w:bCs w:val="0"/>
          <w:color w:val="auto"/>
          <w:kern w:val="2"/>
          <w:sz w:val="24"/>
          <w:szCs w:val="24"/>
          <w:highlight w:val="none"/>
          <w:lang w:val="en-US" w:eastAsia="zh-CN" w:bidi="ar-SA"/>
        </w:rPr>
        <w:t>【如适用】</w:t>
      </w:r>
      <w:bookmarkEnd w:id="661"/>
      <w:bookmarkEnd w:id="662"/>
      <w:bookmarkEnd w:id="663"/>
      <w:bookmarkEnd w:id="664"/>
      <w:bookmarkEnd w:id="665"/>
      <w:bookmarkEnd w:id="666"/>
      <w:bookmarkEnd w:id="667"/>
    </w:p>
    <w:p w14:paraId="2C1E31C2">
      <w:pPr>
        <w:rPr>
          <w:rFonts w:cs="仿宋_GB2312"/>
          <w:b/>
          <w:color w:val="auto"/>
          <w:sz w:val="24"/>
          <w:szCs w:val="24"/>
          <w:highlight w:val="none"/>
        </w:rPr>
      </w:pPr>
    </w:p>
    <w:p w14:paraId="2BDF0F45">
      <w:pPr>
        <w:adjustRightInd w:val="0"/>
        <w:snapToGrid w:val="0"/>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color w:val="auto"/>
          <w:sz w:val="24"/>
          <w:szCs w:val="24"/>
          <w:highlight w:val="none"/>
          <w:lang w:val="en-US" w:eastAsia="zh-CN"/>
        </w:rPr>
        <w:t>如下</w:t>
      </w:r>
      <w:r>
        <w:rPr>
          <w:rFonts w:hint="eastAsia" w:ascii="宋体" w:hAnsi="宋体" w:eastAsia="宋体" w:cs="宋体"/>
          <w:color w:val="auto"/>
          <w:sz w:val="24"/>
          <w:szCs w:val="24"/>
          <w:highlight w:val="none"/>
        </w:rPr>
        <w:t>】。</w:t>
      </w:r>
    </w:p>
    <w:p w14:paraId="0355B03A">
      <w:pPr>
        <w:pStyle w:val="17"/>
        <w:spacing w:line="360" w:lineRule="auto"/>
        <w:jc w:val="center"/>
        <w:rPr>
          <w:rFonts w:hint="eastAsia" w:ascii="宋体" w:hAnsi="宋体" w:eastAsia="宋体" w:cs="宋体"/>
          <w:b/>
          <w:bCs w:val="0"/>
          <w:color w:val="auto"/>
          <w:sz w:val="32"/>
          <w:szCs w:val="32"/>
          <w:highlight w:val="none"/>
        </w:rPr>
      </w:pPr>
    </w:p>
    <w:p w14:paraId="2B7F6BBB">
      <w:pPr>
        <w:pStyle w:val="17"/>
        <w:spacing w:line="360" w:lineRule="auto"/>
        <w:jc w:val="center"/>
        <w:rPr>
          <w:rFonts w:hint="eastAsia" w:ascii="宋体" w:hAnsi="宋体" w:eastAsia="宋体" w:cs="宋体"/>
          <w:b/>
          <w:bCs w:val="0"/>
          <w:color w:val="auto"/>
          <w:sz w:val="32"/>
          <w:szCs w:val="32"/>
          <w:highlight w:val="none"/>
        </w:rPr>
      </w:pPr>
      <w:r>
        <w:rPr>
          <w:rFonts w:hint="eastAsia" w:ascii="宋体" w:hAnsi="宋体" w:eastAsia="宋体" w:cs="宋体"/>
          <w:b/>
          <w:bCs w:val="0"/>
          <w:color w:val="auto"/>
          <w:sz w:val="32"/>
          <w:szCs w:val="32"/>
          <w:highlight w:val="none"/>
        </w:rPr>
        <w:t>监狱企业证明函</w:t>
      </w:r>
    </w:p>
    <w:p w14:paraId="79EE6A9A">
      <w:pPr>
        <w:spacing w:line="360" w:lineRule="auto"/>
        <w:rPr>
          <w:rFonts w:hint="eastAsia" w:ascii="仿宋_GB2312" w:hAnsi="仿宋_GB2312" w:eastAsia="仿宋_GB2312" w:cs="仿宋_GB2312"/>
          <w:color w:val="auto"/>
          <w:sz w:val="32"/>
          <w:szCs w:val="32"/>
          <w:highlight w:val="none"/>
        </w:rPr>
      </w:pPr>
    </w:p>
    <w:p w14:paraId="5D621990">
      <w:pPr>
        <w:ind w:firstLine="504" w:firstLineChars="200"/>
        <w:rPr>
          <w:rFonts w:hint="eastAsia" w:cs="宋体"/>
          <w:color w:val="auto"/>
          <w:spacing w:val="6"/>
          <w:szCs w:val="24"/>
          <w:highlight w:val="none"/>
        </w:rPr>
      </w:pPr>
      <w:r>
        <w:rPr>
          <w:rFonts w:hint="eastAsia" w:cs="宋体"/>
          <w:color w:val="auto"/>
          <w:spacing w:val="6"/>
          <w:szCs w:val="24"/>
          <w:highlight w:val="none"/>
        </w:rPr>
        <w:t>本公司郑重声明，根据财政部、司法部《关于政府采购支持监狱企业发展有关问题的通知》（财库</w:t>
      </w:r>
      <w:r>
        <w:rPr>
          <w:rFonts w:hint="eastAsia" w:ascii="微软雅黑" w:hAnsi="微软雅黑" w:eastAsia="微软雅黑" w:cs="微软雅黑"/>
          <w:color w:val="auto"/>
          <w:spacing w:val="6"/>
          <w:szCs w:val="24"/>
          <w:highlight w:val="none"/>
          <w:lang w:eastAsia="zh-CN"/>
        </w:rPr>
        <w:t>〔</w:t>
      </w:r>
      <w:r>
        <w:rPr>
          <w:rFonts w:hint="eastAsia" w:cs="宋体"/>
          <w:color w:val="auto"/>
          <w:spacing w:val="6"/>
          <w:szCs w:val="24"/>
          <w:highlight w:val="none"/>
        </w:rPr>
        <w:t>2014</w:t>
      </w:r>
      <w:r>
        <w:rPr>
          <w:rFonts w:hint="eastAsia" w:ascii="微软雅黑" w:hAnsi="微软雅黑" w:eastAsia="微软雅黑" w:cs="微软雅黑"/>
          <w:color w:val="auto"/>
          <w:spacing w:val="6"/>
          <w:szCs w:val="24"/>
          <w:highlight w:val="none"/>
          <w:lang w:eastAsia="zh-CN"/>
        </w:rPr>
        <w:t>〕</w:t>
      </w:r>
      <w:r>
        <w:rPr>
          <w:rFonts w:hint="eastAsia" w:cs="宋体"/>
          <w:color w:val="auto"/>
          <w:spacing w:val="6"/>
          <w:szCs w:val="24"/>
          <w:highlight w:val="none"/>
        </w:rPr>
        <w:t>68号）的规定，本公司为监狱企业。</w:t>
      </w:r>
    </w:p>
    <w:p w14:paraId="1631EC3B">
      <w:pPr>
        <w:spacing w:line="360" w:lineRule="auto"/>
        <w:rPr>
          <w:rFonts w:hint="eastAsia" w:ascii="宋体" w:hAnsi="宋体" w:eastAsia="宋体" w:cs="宋体"/>
          <w:color w:val="auto"/>
          <w:sz w:val="24"/>
          <w:szCs w:val="24"/>
          <w:highlight w:val="none"/>
        </w:rPr>
      </w:pPr>
    </w:p>
    <w:p w14:paraId="034914D1">
      <w:pPr>
        <w:ind w:firstLine="4440" w:firstLineChars="1850"/>
        <w:rPr>
          <w:rFonts w:hint="eastAsia" w:ascii="宋体" w:hAnsi="宋体" w:eastAsia="宋体" w:cs="宋体"/>
          <w:color w:val="auto"/>
          <w:sz w:val="24"/>
          <w:szCs w:val="24"/>
          <w:highlight w:val="none"/>
        </w:rPr>
      </w:pPr>
    </w:p>
    <w:p w14:paraId="3C7E948B">
      <w:pPr>
        <w:ind w:firstLine="4440" w:firstLineChars="1850"/>
        <w:rPr>
          <w:rFonts w:hint="eastAsia" w:ascii="宋体" w:hAnsi="宋体" w:eastAsia="宋体" w:cs="宋体"/>
          <w:color w:val="auto"/>
          <w:sz w:val="24"/>
          <w:szCs w:val="24"/>
          <w:highlight w:val="none"/>
        </w:rPr>
      </w:pPr>
    </w:p>
    <w:p w14:paraId="0B447A8F">
      <w:pPr>
        <w:ind w:right="1008" w:firstLine="4284" w:firstLineChars="1700"/>
        <w:rPr>
          <w:rFonts w:hint="eastAsia" w:ascii="宋体" w:hAnsi="宋体" w:eastAsia="宋体" w:cs="宋体"/>
          <w:color w:val="auto"/>
          <w:spacing w:val="6"/>
          <w:sz w:val="24"/>
          <w:szCs w:val="24"/>
          <w:highlight w:val="none"/>
        </w:rPr>
      </w:pPr>
      <w:r>
        <w:rPr>
          <w:rFonts w:hint="eastAsia" w:ascii="宋体" w:hAnsi="宋体" w:eastAsia="宋体" w:cs="宋体"/>
          <w:color w:val="auto"/>
          <w:spacing w:val="6"/>
          <w:sz w:val="24"/>
          <w:szCs w:val="24"/>
          <w:highlight w:val="none"/>
          <w:lang w:val="en-US" w:eastAsia="zh-CN"/>
        </w:rPr>
        <w:t>投标人</w:t>
      </w:r>
      <w:r>
        <w:rPr>
          <w:rFonts w:hint="eastAsia" w:ascii="宋体" w:hAnsi="宋体" w:eastAsia="宋体" w:cs="宋体"/>
          <w:color w:val="auto"/>
          <w:spacing w:val="6"/>
          <w:sz w:val="24"/>
          <w:szCs w:val="24"/>
          <w:highlight w:val="none"/>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spacing w:val="6"/>
          <w:sz w:val="24"/>
          <w:szCs w:val="24"/>
          <w:highlight w:val="none"/>
        </w:rPr>
        <w:t>：</w:t>
      </w:r>
    </w:p>
    <w:p w14:paraId="3DDDC755">
      <w:pPr>
        <w:ind w:right="1008" w:firstLine="4284" w:firstLineChars="1700"/>
        <w:rPr>
          <w:rFonts w:hint="eastAsia" w:ascii="宋体" w:hAnsi="宋体" w:eastAsia="宋体" w:cs="宋体"/>
          <w:color w:val="auto"/>
          <w:spacing w:val="6"/>
          <w:sz w:val="24"/>
          <w:szCs w:val="24"/>
          <w:highlight w:val="none"/>
          <w:lang w:val="en-US" w:eastAsia="zh-CN"/>
        </w:rPr>
      </w:pPr>
      <w:r>
        <w:rPr>
          <w:rFonts w:hint="eastAsia" w:ascii="宋体" w:hAnsi="宋体" w:eastAsia="宋体" w:cs="宋体"/>
          <w:color w:val="auto"/>
          <w:spacing w:val="6"/>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13AC9DCD">
      <w:pPr>
        <w:spacing w:line="360" w:lineRule="auto"/>
        <w:ind w:firstLine="240" w:firstLineChars="100"/>
        <w:rPr>
          <w:rFonts w:hint="eastAsia" w:ascii="宋体" w:hAnsi="宋体" w:eastAsia="宋体" w:cs="宋体"/>
          <w:color w:val="auto"/>
          <w:sz w:val="24"/>
          <w:szCs w:val="24"/>
          <w:highlight w:val="none"/>
        </w:rPr>
      </w:pPr>
    </w:p>
    <w:p w14:paraId="30982379">
      <w:pPr>
        <w:spacing w:line="360" w:lineRule="auto"/>
        <w:ind w:firstLine="240" w:firstLineChars="100"/>
        <w:rPr>
          <w:rFonts w:hint="eastAsia" w:ascii="宋体" w:hAnsi="宋体" w:eastAsia="宋体" w:cs="宋体"/>
          <w:color w:val="auto"/>
          <w:sz w:val="24"/>
          <w:szCs w:val="24"/>
          <w:highlight w:val="none"/>
        </w:rPr>
      </w:pPr>
    </w:p>
    <w:p w14:paraId="3FCF42FB">
      <w:pPr>
        <w:spacing w:line="360" w:lineRule="auto"/>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省级以上监狱管理局、戒毒管理局</w:t>
      </w:r>
    </w:p>
    <w:p w14:paraId="0F51D6E8">
      <w:pPr>
        <w:ind w:firstLine="3360" w:firstLineChars="14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（含新疆生产建设兵团）（盖章）：  </w:t>
      </w:r>
    </w:p>
    <w:p w14:paraId="20660C9E">
      <w:pPr>
        <w:ind w:firstLine="4320" w:firstLineChars="18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日期：</w:t>
      </w:r>
      <w:r>
        <w:rPr>
          <w:rFonts w:hint="eastAsia" w:ascii="宋体" w:hAnsi="宋体" w:eastAsia="宋体" w:cs="宋体"/>
          <w:color w:val="auto"/>
          <w:spacing w:val="6"/>
          <w:sz w:val="24"/>
          <w:szCs w:val="24"/>
          <w:highlight w:val="none"/>
          <w:lang w:val="en-US" w:eastAsia="zh-CN"/>
        </w:rPr>
        <w:t xml:space="preserve">   年  月  日</w:t>
      </w:r>
    </w:p>
    <w:p w14:paraId="5A9E18E6">
      <w:pPr>
        <w:spacing w:line="360" w:lineRule="auto"/>
        <w:ind w:firstLine="240" w:firstLineChars="100"/>
        <w:rPr>
          <w:rFonts w:hint="eastAsia" w:ascii="宋体" w:hAnsi="宋体" w:eastAsia="宋体" w:cs="宋体"/>
          <w:color w:val="auto"/>
          <w:sz w:val="24"/>
          <w:szCs w:val="24"/>
          <w:highlight w:val="none"/>
        </w:rPr>
      </w:pPr>
    </w:p>
    <w:p w14:paraId="6EFD3673">
      <w:pPr>
        <w:spacing w:line="360" w:lineRule="auto"/>
        <w:ind w:firstLine="4000" w:firstLineChars="1250"/>
        <w:rPr>
          <w:rFonts w:hint="eastAsia" w:ascii="仿宋_GB2312" w:hAnsi="仿宋_GB2312" w:eastAsia="仿宋_GB2312" w:cs="仿宋_GB2312"/>
          <w:color w:val="auto"/>
          <w:sz w:val="32"/>
          <w:szCs w:val="32"/>
          <w:highlight w:val="none"/>
        </w:rPr>
      </w:pPr>
    </w:p>
    <w:p w14:paraId="1C90061E">
      <w:pPr>
        <w:spacing w:line="360" w:lineRule="auto"/>
        <w:rPr>
          <w:rFonts w:hint="eastAsia" w:ascii="仿宋_GB2312" w:hAnsi="仿宋_GB2312" w:eastAsia="仿宋_GB2312" w:cs="仿宋_GB2312"/>
          <w:color w:val="auto"/>
          <w:sz w:val="32"/>
          <w:szCs w:val="32"/>
          <w:highlight w:val="none"/>
        </w:rPr>
      </w:pPr>
    </w:p>
    <w:p w14:paraId="3E235ADD">
      <w:pPr>
        <w:widowControl/>
        <w:spacing w:before="100" w:beforeAutospacing="1" w:after="100" w:afterAutospacing="1"/>
        <w:rPr>
          <w:rFonts w:ascii="Arial" w:hAnsi="Arial" w:cs="Arial"/>
          <w:color w:val="auto"/>
          <w:sz w:val="21"/>
          <w:szCs w:val="21"/>
          <w:highlight w:val="none"/>
        </w:rPr>
      </w:pPr>
    </w:p>
    <w:p w14:paraId="7D79F64A">
      <w:pPr>
        <w:widowControl/>
        <w:spacing w:before="100" w:beforeAutospacing="1" w:after="100" w:afterAutospacing="1"/>
        <w:rPr>
          <w:rFonts w:ascii="Arial" w:hAnsi="Arial" w:cs="Arial"/>
          <w:color w:val="auto"/>
          <w:sz w:val="21"/>
          <w:szCs w:val="21"/>
          <w:highlight w:val="none"/>
        </w:rPr>
      </w:pPr>
    </w:p>
    <w:p w14:paraId="5D6A7FA0">
      <w:pPr>
        <w:widowControl/>
        <w:spacing w:before="100" w:beforeAutospacing="1" w:after="100" w:afterAutospacing="1"/>
        <w:rPr>
          <w:rFonts w:ascii="Arial" w:hAnsi="Arial" w:cs="Arial"/>
          <w:color w:val="auto"/>
          <w:sz w:val="21"/>
          <w:szCs w:val="21"/>
          <w:highlight w:val="none"/>
        </w:rPr>
      </w:pPr>
    </w:p>
    <w:p w14:paraId="4C420992">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668" w:name="_Toc163492941"/>
    </w:p>
    <w:p w14:paraId="6273C721">
      <w:pPr>
        <w:pStyle w:val="4"/>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theme="minorBidi"/>
          <w:b/>
          <w:bCs/>
          <w:color w:val="auto"/>
          <w:kern w:val="2"/>
          <w:sz w:val="24"/>
          <w:szCs w:val="24"/>
          <w:highlight w:val="none"/>
          <w:lang w:val="en-US" w:eastAsia="zh-CN" w:bidi="ar-SA"/>
        </w:rPr>
      </w:pPr>
      <w:bookmarkStart w:id="669" w:name="_Toc11327"/>
      <w:bookmarkStart w:id="670" w:name="_Toc12534"/>
      <w:bookmarkStart w:id="671" w:name="_Toc31652"/>
      <w:bookmarkStart w:id="672" w:name="_Toc13465"/>
      <w:bookmarkStart w:id="673" w:name="_Toc3248"/>
      <w:bookmarkStart w:id="674" w:name="_Toc23857"/>
      <w:r>
        <w:rPr>
          <w:rFonts w:hint="eastAsia" w:ascii="宋体" w:hAnsi="宋体" w:eastAsia="宋体" w:cstheme="minorBidi"/>
          <w:b/>
          <w:bCs/>
          <w:color w:val="auto"/>
          <w:kern w:val="2"/>
          <w:sz w:val="24"/>
          <w:szCs w:val="24"/>
          <w:highlight w:val="none"/>
          <w:lang w:val="en-US" w:eastAsia="zh-CN" w:bidi="ar-SA"/>
        </w:rPr>
        <w:t>（三）残疾人福利性单位声明函</w:t>
      </w:r>
      <w:r>
        <w:rPr>
          <w:rFonts w:hint="eastAsia" w:ascii="宋体" w:hAnsi="宋体" w:eastAsia="宋体" w:cstheme="minorBidi"/>
          <w:b w:val="0"/>
          <w:bCs w:val="0"/>
          <w:color w:val="auto"/>
          <w:kern w:val="2"/>
          <w:sz w:val="24"/>
          <w:szCs w:val="24"/>
          <w:highlight w:val="none"/>
          <w:lang w:val="en-US" w:eastAsia="zh-CN" w:bidi="ar-SA"/>
        </w:rPr>
        <w:t>【如适用】</w:t>
      </w:r>
      <w:bookmarkEnd w:id="668"/>
      <w:bookmarkEnd w:id="669"/>
      <w:bookmarkEnd w:id="670"/>
      <w:bookmarkEnd w:id="671"/>
      <w:bookmarkEnd w:id="672"/>
      <w:bookmarkEnd w:id="673"/>
      <w:bookmarkEnd w:id="674"/>
    </w:p>
    <w:p w14:paraId="37412ADA">
      <w:pPr>
        <w:pStyle w:val="41"/>
        <w:numPr>
          <w:ilvl w:val="0"/>
          <w:numId w:val="0"/>
        </w:numPr>
        <w:ind w:left="420" w:leftChars="0" w:hanging="420" w:firstLineChars="0"/>
        <w:jc w:val="center"/>
        <w:rPr>
          <w:rFonts w:hint="eastAsia"/>
          <w:b/>
          <w:bCs/>
          <w:color w:val="auto"/>
          <w:sz w:val="32"/>
          <w:szCs w:val="32"/>
          <w:highlight w:val="none"/>
        </w:rPr>
      </w:pPr>
    </w:p>
    <w:p w14:paraId="7F5C5EEB">
      <w:pPr>
        <w:pStyle w:val="41"/>
        <w:numPr>
          <w:ilvl w:val="0"/>
          <w:numId w:val="0"/>
        </w:numPr>
        <w:ind w:left="420" w:leftChars="0" w:hanging="420" w:firstLineChars="0"/>
        <w:jc w:val="center"/>
        <w:rPr>
          <w:b/>
          <w:bCs/>
          <w:color w:val="auto"/>
          <w:sz w:val="32"/>
          <w:szCs w:val="32"/>
          <w:highlight w:val="none"/>
        </w:rPr>
      </w:pPr>
      <w:r>
        <w:rPr>
          <w:rFonts w:hint="eastAsia"/>
          <w:b/>
          <w:bCs/>
          <w:color w:val="auto"/>
          <w:sz w:val="32"/>
          <w:szCs w:val="32"/>
          <w:highlight w:val="none"/>
        </w:rPr>
        <w:t>残疾人福利性单位声明函</w:t>
      </w:r>
    </w:p>
    <w:p w14:paraId="748EA3FC">
      <w:pPr>
        <w:wordWrap w:val="0"/>
        <w:ind w:firstLine="480" w:firstLineChars="200"/>
        <w:rPr>
          <w:rFonts w:hint="eastAsia"/>
          <w:color w:val="auto"/>
          <w:szCs w:val="24"/>
          <w:highlight w:val="none"/>
        </w:rPr>
      </w:pPr>
    </w:p>
    <w:p w14:paraId="3FC4CBB9">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服务及</w:t>
      </w:r>
      <w:r>
        <w:rPr>
          <w:rFonts w:hint="eastAsia"/>
          <w:i w:val="0"/>
          <w:iCs w:val="0"/>
          <w:color w:val="auto"/>
          <w:szCs w:val="24"/>
          <w:highlight w:val="none"/>
        </w:rPr>
        <w:t>货物</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提供和</w:t>
      </w:r>
      <w:r>
        <w:rPr>
          <w:rFonts w:hint="eastAsia"/>
          <w:b/>
          <w:i w:val="0"/>
          <w:iCs w:val="0"/>
          <w:color w:val="auto"/>
          <w:szCs w:val="24"/>
          <w:highlight w:val="none"/>
        </w:rPr>
        <w:t>制造</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0AD5AF08">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6D785B2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618A3935">
      <w:pPr>
        <w:wordWrap w:val="0"/>
        <w:ind w:firstLine="480" w:firstLineChars="200"/>
        <w:rPr>
          <w:i w:val="0"/>
          <w:iCs w:val="0"/>
          <w:color w:val="auto"/>
          <w:szCs w:val="24"/>
          <w:highlight w:val="none"/>
        </w:rPr>
      </w:pPr>
      <w:r>
        <w:rPr>
          <w:rFonts w:hint="eastAsia"/>
          <w:i w:val="0"/>
          <w:iCs w:val="0"/>
          <w:color w:val="auto"/>
          <w:szCs w:val="24"/>
          <w:highlight w:val="none"/>
        </w:rPr>
        <w:t>……</w:t>
      </w:r>
    </w:p>
    <w:p w14:paraId="60394775">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48FEF540">
      <w:pPr>
        <w:wordWrap w:val="0"/>
        <w:ind w:left="1087" w:leftChars="200" w:hanging="607" w:hangingChars="253"/>
        <w:rPr>
          <w:color w:val="auto"/>
          <w:szCs w:val="24"/>
          <w:highlight w:val="none"/>
        </w:rPr>
      </w:pPr>
      <w:r>
        <w:rPr>
          <w:rFonts w:hint="eastAsia"/>
          <w:color w:val="auto"/>
          <w:szCs w:val="24"/>
          <w:highlight w:val="none"/>
        </w:rPr>
        <w:t>本企业对上述声明内容的真实性负责。如有虚假，将依法承担相应责任。</w:t>
      </w:r>
    </w:p>
    <w:p w14:paraId="19199403">
      <w:pPr>
        <w:wordWrap w:val="0"/>
        <w:ind w:left="1091" w:hanging="1091" w:hangingChars="453"/>
        <w:rPr>
          <w:b/>
          <w:bCs/>
          <w:color w:val="auto"/>
          <w:szCs w:val="24"/>
          <w:highlight w:val="none"/>
        </w:rPr>
      </w:pPr>
    </w:p>
    <w:p w14:paraId="10AD5D3A">
      <w:pPr>
        <w:wordWrap w:val="0"/>
        <w:ind w:left="1091" w:hanging="1091" w:hangingChars="453"/>
        <w:rPr>
          <w:bCs/>
          <w:color w:val="auto"/>
          <w:szCs w:val="24"/>
          <w:highlight w:val="none"/>
        </w:rPr>
      </w:pPr>
      <w:r>
        <w:rPr>
          <w:rFonts w:hint="eastAsia"/>
          <w:b/>
          <w:bCs/>
          <w:color w:val="auto"/>
          <w:szCs w:val="24"/>
          <w:highlight w:val="none"/>
        </w:rPr>
        <w:t>说明：</w:t>
      </w:r>
      <w:r>
        <w:rPr>
          <w:rFonts w:hint="eastAsia"/>
          <w:bCs/>
          <w:color w:val="auto"/>
          <w:szCs w:val="24"/>
          <w:highlight w:val="none"/>
        </w:rPr>
        <w:t>1、</w:t>
      </w:r>
      <w:r>
        <w:rPr>
          <w:rFonts w:hint="eastAsia"/>
          <w:bCs/>
          <w:color w:val="auto"/>
          <w:szCs w:val="24"/>
          <w:highlight w:val="none"/>
          <w:lang w:val="en-US" w:eastAsia="zh-CN"/>
        </w:rPr>
        <w:t>服务及</w:t>
      </w:r>
      <w:r>
        <w:rPr>
          <w:rFonts w:hint="eastAsia"/>
          <w:bCs/>
          <w:color w:val="auto"/>
          <w:szCs w:val="21"/>
          <w:highlight w:val="none"/>
          <w:lang w:val="zh-CN"/>
        </w:rPr>
        <w:t>货物应当全部由符合政策要求的残疾人福利性单位</w:t>
      </w:r>
      <w:r>
        <w:rPr>
          <w:rFonts w:hint="eastAsia"/>
          <w:bCs/>
          <w:color w:val="auto"/>
          <w:szCs w:val="21"/>
          <w:highlight w:val="none"/>
          <w:lang w:val="en-US" w:eastAsia="zh-CN"/>
        </w:rPr>
        <w:t>提供及</w:t>
      </w:r>
      <w:r>
        <w:rPr>
          <w:rFonts w:hint="eastAsia"/>
          <w:bCs/>
          <w:color w:val="auto"/>
          <w:szCs w:val="21"/>
          <w:highlight w:val="none"/>
          <w:lang w:val="zh-CN"/>
        </w:rPr>
        <w:t>生产且使用该残疾人福利性单位商号或注册商标（与代理商或投标人无关）；应当严格按上述格式及内容进行填写（应当明确每个标的的生产企业类型及相关数据），否则导致的后果由投标人自行承担；</w:t>
      </w:r>
    </w:p>
    <w:p w14:paraId="6B77B427">
      <w:pPr>
        <w:wordWrap w:val="0"/>
        <w:ind w:left="1087" w:hanging="1087" w:hangingChars="453"/>
        <w:rPr>
          <w:rFonts w:cs="Courier New"/>
          <w:color w:val="auto"/>
          <w:szCs w:val="21"/>
          <w:highlight w:val="none"/>
        </w:rPr>
      </w:pPr>
      <w:r>
        <w:rPr>
          <w:rFonts w:hint="eastAsia"/>
          <w:bCs/>
          <w:color w:val="auto"/>
          <w:szCs w:val="21"/>
          <w:highlight w:val="none"/>
          <w:lang w:val="zh-CN"/>
        </w:rPr>
        <w:t xml:space="preserve">      2、</w:t>
      </w:r>
      <w:r>
        <w:rPr>
          <w:rFonts w:hint="eastAsia" w:cs="Courier New"/>
          <w:color w:val="auto"/>
          <w:szCs w:val="21"/>
          <w:highlight w:val="none"/>
        </w:rPr>
        <w:t>以联合体形式参加的，应</w:t>
      </w:r>
      <w:r>
        <w:rPr>
          <w:rFonts w:hint="eastAsia"/>
          <w:bCs/>
          <w:color w:val="auto"/>
          <w:szCs w:val="21"/>
          <w:highlight w:val="none"/>
          <w:lang w:val="zh-CN"/>
        </w:rPr>
        <w:t>当</w:t>
      </w:r>
      <w:r>
        <w:rPr>
          <w:rFonts w:hint="eastAsia" w:cs="Courier New"/>
          <w:color w:val="auto"/>
          <w:szCs w:val="21"/>
          <w:highlight w:val="none"/>
        </w:rPr>
        <w:t>由联合体各方盖章。</w:t>
      </w:r>
    </w:p>
    <w:p w14:paraId="57242AD1">
      <w:pPr>
        <w:wordWrap w:val="0"/>
        <w:spacing w:before="100" w:beforeAutospacing="1" w:after="100" w:afterAutospacing="1"/>
        <w:ind w:firstLine="3316" w:firstLineChars="1382"/>
        <w:rPr>
          <w:bCs/>
          <w:color w:val="auto"/>
          <w:szCs w:val="21"/>
          <w:highlight w:val="none"/>
          <w:lang w:val="zh-CN"/>
        </w:rPr>
      </w:pPr>
      <w:r>
        <w:rPr>
          <w:rFonts w:hint="eastAsia"/>
          <w:bCs/>
          <w:color w:val="auto"/>
          <w:szCs w:val="21"/>
          <w:highlight w:val="none"/>
          <w:lang w:val="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bCs/>
          <w:color w:val="auto"/>
          <w:szCs w:val="21"/>
          <w:highlight w:val="none"/>
          <w:lang w:val="zh-CN"/>
        </w:rPr>
        <w:t>：</w:t>
      </w:r>
      <w:r>
        <w:rPr>
          <w:rFonts w:hint="eastAsia"/>
          <w:bCs/>
          <w:color w:val="auto"/>
          <w:szCs w:val="21"/>
          <w:highlight w:val="none"/>
          <w:u w:val="single"/>
          <w:lang w:val="zh-CN"/>
        </w:rPr>
        <w:t xml:space="preserve">              </w:t>
      </w:r>
    </w:p>
    <w:p w14:paraId="3EF716F5">
      <w:pPr>
        <w:wordWrap w:val="0"/>
        <w:spacing w:before="100" w:beforeAutospacing="1" w:after="100" w:afterAutospacing="1"/>
        <w:ind w:firstLine="3316" w:firstLineChars="1382"/>
        <w:rPr>
          <w:color w:val="auto"/>
          <w:highlight w:val="none"/>
        </w:rPr>
      </w:pPr>
      <w:r>
        <w:rPr>
          <w:rFonts w:hint="eastAsia"/>
          <w:color w:val="auto"/>
          <w:szCs w:val="24"/>
          <w:highlight w:val="none"/>
        </w:rPr>
        <w:t>日</w:t>
      </w:r>
      <w:r>
        <w:rPr>
          <w:color w:val="auto"/>
          <w:szCs w:val="24"/>
          <w:highlight w:val="none"/>
        </w:rPr>
        <w:t xml:space="preserve">  </w:t>
      </w:r>
      <w:r>
        <w:rPr>
          <w:rFonts w:hint="eastAsia"/>
          <w:color w:val="auto"/>
          <w:szCs w:val="24"/>
          <w:highlight w:val="none"/>
        </w:rPr>
        <w:t>期：</w:t>
      </w:r>
      <w:r>
        <w:rPr>
          <w:bCs/>
          <w:color w:val="auto"/>
          <w:szCs w:val="24"/>
          <w:highlight w:val="none"/>
          <w:u w:val="single"/>
        </w:rPr>
        <w:t xml:space="preserve">                         </w:t>
      </w:r>
    </w:p>
    <w:p w14:paraId="5DADB0F0">
      <w:pPr>
        <w:ind w:left="4620" w:firstLine="281" w:firstLineChars="100"/>
        <w:rPr>
          <w:rFonts w:cs="仿宋_GB2312"/>
          <w:b/>
          <w:color w:val="auto"/>
          <w:sz w:val="28"/>
          <w:szCs w:val="28"/>
          <w:highlight w:val="none"/>
        </w:rPr>
      </w:pPr>
    </w:p>
    <w:p w14:paraId="4149EF39">
      <w:pPr>
        <w:numPr>
          <w:ilvl w:val="0"/>
          <w:numId w:val="6"/>
        </w:numPr>
        <w:wordWrap w:val="0"/>
        <w:ind w:left="0" w:leftChars="0" w:firstLine="562" w:firstLineChars="200"/>
        <w:rPr>
          <w:rFonts w:hint="eastAsia" w:cstheme="majorBidi"/>
          <w:b/>
          <w:bCs/>
          <w:color w:val="auto"/>
          <w:kern w:val="2"/>
          <w:sz w:val="28"/>
          <w:szCs w:val="28"/>
          <w:highlight w:val="none"/>
          <w:lang w:val="en-US" w:eastAsia="zh-CN" w:bidi="ar-SA"/>
        </w:rPr>
      </w:pPr>
      <w:r>
        <w:rPr>
          <w:rFonts w:hint="eastAsia" w:cstheme="majorBidi"/>
          <w:b/>
          <w:bCs/>
          <w:color w:val="auto"/>
          <w:kern w:val="2"/>
          <w:sz w:val="28"/>
          <w:szCs w:val="28"/>
          <w:highlight w:val="none"/>
          <w:lang w:val="en-US" w:eastAsia="zh-CN" w:bidi="ar-SA"/>
        </w:rPr>
        <w:br w:type="page"/>
      </w:r>
    </w:p>
    <w:p w14:paraId="202CB8C4">
      <w:pPr>
        <w:rPr>
          <w:rFonts w:cs="仿宋_GB2312"/>
          <w:color w:val="auto"/>
          <w:szCs w:val="24"/>
          <w:highlight w:val="none"/>
          <w:lang w:val="zh-CN"/>
        </w:rPr>
      </w:pPr>
      <w:r>
        <w:rPr>
          <w:rFonts w:hint="eastAsia" w:cs="仿宋_GB2312"/>
          <w:color w:val="auto"/>
          <w:szCs w:val="24"/>
          <w:highlight w:val="none"/>
          <w:lang w:val="zh-CN"/>
        </w:rPr>
        <w:t>封面：</w:t>
      </w:r>
    </w:p>
    <w:p w14:paraId="73A003D2">
      <w:pPr>
        <w:autoSpaceDE w:val="0"/>
        <w:autoSpaceDN w:val="0"/>
        <w:adjustRightInd w:val="0"/>
        <w:rPr>
          <w:color w:val="auto"/>
          <w:sz w:val="21"/>
          <w:szCs w:val="24"/>
          <w:highlight w:val="none"/>
        </w:rPr>
      </w:pPr>
    </w:p>
    <w:p w14:paraId="7773B439">
      <w:pPr>
        <w:autoSpaceDE w:val="0"/>
        <w:autoSpaceDN w:val="0"/>
        <w:adjustRightInd w:val="0"/>
        <w:rPr>
          <w:color w:val="auto"/>
          <w:sz w:val="21"/>
          <w:szCs w:val="24"/>
          <w:highlight w:val="none"/>
        </w:rPr>
      </w:pPr>
    </w:p>
    <w:p w14:paraId="2E04646F">
      <w:pPr>
        <w:autoSpaceDE w:val="0"/>
        <w:autoSpaceDN w:val="0"/>
        <w:adjustRightInd w:val="0"/>
        <w:jc w:val="center"/>
        <w:rPr>
          <w:color w:val="auto"/>
          <w:sz w:val="21"/>
          <w:szCs w:val="24"/>
          <w:highlight w:val="none"/>
        </w:rPr>
      </w:pPr>
    </w:p>
    <w:p w14:paraId="71180696">
      <w:pPr>
        <w:pStyle w:val="3"/>
        <w:bidi w:val="0"/>
        <w:jc w:val="center"/>
        <w:rPr>
          <w:color w:val="auto"/>
          <w:sz w:val="84"/>
          <w:szCs w:val="84"/>
          <w:highlight w:val="none"/>
        </w:rPr>
      </w:pPr>
      <w:bookmarkStart w:id="675" w:name="_Toc26717"/>
      <w:bookmarkStart w:id="676" w:name="_Toc22771"/>
      <w:bookmarkStart w:id="677" w:name="_Toc13591"/>
      <w:bookmarkStart w:id="678" w:name="_Toc8518"/>
      <w:r>
        <w:rPr>
          <w:rFonts w:hint="eastAsia"/>
          <w:color w:val="auto"/>
          <w:sz w:val="84"/>
          <w:szCs w:val="84"/>
          <w:highlight w:val="none"/>
        </w:rPr>
        <w:t>投 标 文 件</w:t>
      </w:r>
      <w:bookmarkEnd w:id="675"/>
      <w:bookmarkEnd w:id="676"/>
      <w:bookmarkEnd w:id="677"/>
      <w:bookmarkEnd w:id="678"/>
    </w:p>
    <w:p w14:paraId="31C74C30">
      <w:pPr>
        <w:pStyle w:val="3"/>
        <w:bidi w:val="0"/>
        <w:spacing w:before="0" w:after="0" w:line="240" w:lineRule="auto"/>
        <w:jc w:val="center"/>
        <w:rPr>
          <w:rFonts w:hint="eastAsia"/>
          <w:color w:val="auto"/>
          <w:sz w:val="56"/>
          <w:szCs w:val="56"/>
          <w:highlight w:val="none"/>
          <w:lang w:val="en-US" w:eastAsia="zh-CN"/>
        </w:rPr>
      </w:pPr>
      <w:bookmarkStart w:id="679" w:name="_Toc32076"/>
      <w:r>
        <w:rPr>
          <w:rFonts w:hint="eastAsia"/>
          <w:color w:val="auto"/>
          <w:sz w:val="56"/>
          <w:szCs w:val="56"/>
          <w:highlight w:val="none"/>
          <w:lang w:val="en-US" w:eastAsia="zh-CN"/>
        </w:rPr>
        <w:t>报价文件</w:t>
      </w:r>
      <w:bookmarkEnd w:id="679"/>
    </w:p>
    <w:p w14:paraId="2C10D330">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001ADA03">
      <w:pPr>
        <w:pStyle w:val="3"/>
        <w:rPr>
          <w:color w:val="auto"/>
          <w:sz w:val="21"/>
          <w:szCs w:val="21"/>
          <w:highlight w:val="none"/>
        </w:rPr>
      </w:pPr>
    </w:p>
    <w:p w14:paraId="4800F1E7">
      <w:pPr>
        <w:rPr>
          <w:color w:val="auto"/>
          <w:sz w:val="21"/>
          <w:szCs w:val="21"/>
          <w:highlight w:val="none"/>
        </w:rPr>
      </w:pPr>
    </w:p>
    <w:p w14:paraId="4053884F">
      <w:pPr>
        <w:rPr>
          <w:color w:val="auto"/>
          <w:highlight w:val="none"/>
        </w:rPr>
      </w:pPr>
    </w:p>
    <w:p w14:paraId="5EABB570">
      <w:pPr>
        <w:autoSpaceDE w:val="0"/>
        <w:autoSpaceDN w:val="0"/>
        <w:adjustRightInd w:val="0"/>
        <w:rPr>
          <w:color w:val="auto"/>
          <w:sz w:val="21"/>
          <w:szCs w:val="21"/>
          <w:highlight w:val="none"/>
        </w:rPr>
      </w:pPr>
    </w:p>
    <w:p w14:paraId="4C687ECE">
      <w:pPr>
        <w:autoSpaceDE w:val="0"/>
        <w:autoSpaceDN w:val="0"/>
        <w:adjustRightInd w:val="0"/>
        <w:rPr>
          <w:color w:val="auto"/>
          <w:sz w:val="21"/>
          <w:szCs w:val="21"/>
          <w:highlight w:val="none"/>
        </w:rPr>
      </w:pPr>
    </w:p>
    <w:p w14:paraId="6F475132">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173F70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01680F9">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13B6644C">
      <w:pPr>
        <w:ind w:left="840" w:firstLine="420"/>
        <w:rPr>
          <w:b/>
          <w:bCs/>
          <w:color w:val="auto"/>
          <w:sz w:val="28"/>
          <w:szCs w:val="28"/>
          <w:highlight w:val="none"/>
        </w:rPr>
      </w:pPr>
    </w:p>
    <w:p w14:paraId="01F64B59">
      <w:pPr>
        <w:ind w:left="840" w:firstLine="420"/>
        <w:rPr>
          <w:b/>
          <w:bCs/>
          <w:color w:val="auto"/>
          <w:sz w:val="28"/>
          <w:szCs w:val="28"/>
          <w:highlight w:val="none"/>
        </w:rPr>
      </w:pPr>
    </w:p>
    <w:p w14:paraId="1DC21250">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2B025C97">
      <w:pPr>
        <w:rPr>
          <w:color w:val="auto"/>
          <w:highlight w:val="none"/>
          <w:lang w:val="zh-CN"/>
        </w:rPr>
      </w:pPr>
      <w:r>
        <w:rPr>
          <w:color w:val="auto"/>
          <w:highlight w:val="none"/>
          <w:lang w:val="zh-CN"/>
        </w:rPr>
        <w:br w:type="page"/>
      </w:r>
    </w:p>
    <w:p w14:paraId="5A6B7717">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p>
    <w:p w14:paraId="730DA0B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680" w:name="_Toc20889"/>
      <w:r>
        <w:rPr>
          <w:rFonts w:hint="eastAsia" w:cstheme="majorBidi"/>
          <w:b/>
          <w:bCs/>
          <w:color w:val="auto"/>
          <w:kern w:val="2"/>
          <w:sz w:val="32"/>
          <w:szCs w:val="32"/>
          <w:highlight w:val="none"/>
          <w:lang w:val="en-US" w:eastAsia="zh-CN" w:bidi="ar-SA"/>
        </w:rPr>
        <w:t>一、开标一览表</w:t>
      </w:r>
      <w:bookmarkEnd w:id="680"/>
    </w:p>
    <w:p w14:paraId="2AB3D72A">
      <w:pPr>
        <w:spacing w:line="300" w:lineRule="auto"/>
        <w:rPr>
          <w:rFonts w:cs="仿宋_GB2312"/>
          <w:color w:val="auto"/>
          <w:szCs w:val="24"/>
          <w:highlight w:val="none"/>
        </w:rPr>
      </w:pPr>
    </w:p>
    <w:p w14:paraId="33486E36">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p>
    <w:p w14:paraId="5940ECBC">
      <w:pPr>
        <w:rPr>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jc w:val="center"/>
              <w:textAlignment w:val="bottom"/>
              <w:rPr>
                <w:color w:val="auto"/>
                <w:sz w:val="24"/>
                <w:szCs w:val="24"/>
                <w:highlight w:val="none"/>
              </w:rPr>
            </w:pPr>
            <w:r>
              <w:rPr>
                <w:rFonts w:hint="eastAsia"/>
                <w:color w:val="auto"/>
                <w:sz w:val="24"/>
                <w:szCs w:val="24"/>
                <w:highlight w:val="none"/>
              </w:rPr>
              <w:t>序号</w:t>
            </w:r>
          </w:p>
        </w:tc>
        <w:tc>
          <w:tcPr>
            <w:tcW w:w="2352" w:type="dxa"/>
            <w:vAlign w:val="center"/>
          </w:tcPr>
          <w:p w14:paraId="5D10FF2E">
            <w:pPr>
              <w:widowControl/>
              <w:autoSpaceDE w:val="0"/>
              <w:autoSpaceDN w:val="0"/>
              <w:ind w:left="851" w:hanging="851"/>
              <w:jc w:val="center"/>
              <w:textAlignment w:val="bottom"/>
              <w:rPr>
                <w:color w:val="auto"/>
                <w:sz w:val="24"/>
                <w:szCs w:val="24"/>
                <w:highlight w:val="none"/>
              </w:rPr>
            </w:pPr>
            <w:r>
              <w:rPr>
                <w:rFonts w:hint="eastAsia"/>
                <w:color w:val="auto"/>
                <w:sz w:val="24"/>
                <w:szCs w:val="24"/>
                <w:highlight w:val="none"/>
              </w:rPr>
              <w:t>投标报价</w:t>
            </w:r>
          </w:p>
        </w:tc>
        <w:tc>
          <w:tcPr>
            <w:tcW w:w="2161" w:type="dxa"/>
            <w:vAlign w:val="center"/>
          </w:tcPr>
          <w:p w14:paraId="48CC1886">
            <w:pPr>
              <w:widowControl/>
              <w:autoSpaceDE w:val="0"/>
              <w:autoSpaceDN w:val="0"/>
              <w:ind w:left="851" w:hanging="851"/>
              <w:jc w:val="center"/>
              <w:textAlignment w:val="bottom"/>
              <w:rPr>
                <w:color w:val="auto"/>
                <w:sz w:val="24"/>
                <w:szCs w:val="24"/>
                <w:highlight w:val="none"/>
              </w:rPr>
            </w:pPr>
            <w:r>
              <w:rPr>
                <w:rFonts w:hint="eastAsia"/>
                <w:color w:val="auto"/>
                <w:sz w:val="24"/>
                <w:szCs w:val="24"/>
                <w:highlight w:val="none"/>
                <w:lang w:val="en-US" w:eastAsia="zh-CN"/>
              </w:rPr>
              <w:t>服务</w:t>
            </w:r>
            <w:r>
              <w:rPr>
                <w:rFonts w:hint="eastAsia"/>
                <w:color w:val="auto"/>
                <w:sz w:val="24"/>
                <w:szCs w:val="24"/>
                <w:highlight w:val="none"/>
              </w:rPr>
              <w:t>期限</w:t>
            </w:r>
          </w:p>
        </w:tc>
        <w:tc>
          <w:tcPr>
            <w:tcW w:w="2611" w:type="dxa"/>
            <w:vAlign w:val="center"/>
          </w:tcPr>
          <w:p w14:paraId="620875ED">
            <w:pPr>
              <w:widowControl/>
              <w:autoSpaceDE w:val="0"/>
              <w:autoSpaceDN w:val="0"/>
              <w:jc w:val="center"/>
              <w:textAlignment w:val="bottom"/>
              <w:rPr>
                <w:color w:val="auto"/>
                <w:sz w:val="24"/>
                <w:szCs w:val="24"/>
                <w:highlight w:val="none"/>
              </w:rPr>
            </w:pPr>
            <w:r>
              <w:rPr>
                <w:rFonts w:hint="eastAsia"/>
                <w:color w:val="auto"/>
                <w:sz w:val="24"/>
                <w:szCs w:val="24"/>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jc w:val="center"/>
              <w:rPr>
                <w:color w:val="auto"/>
                <w:sz w:val="24"/>
                <w:szCs w:val="24"/>
                <w:highlight w:val="none"/>
              </w:rPr>
            </w:pPr>
          </w:p>
        </w:tc>
        <w:tc>
          <w:tcPr>
            <w:tcW w:w="2352" w:type="dxa"/>
            <w:vAlign w:val="center"/>
          </w:tcPr>
          <w:p w14:paraId="45A40F19">
            <w:pPr>
              <w:widowControl/>
              <w:autoSpaceDE w:val="0"/>
              <w:autoSpaceDN w:val="0"/>
              <w:spacing w:line="240" w:lineRule="auto"/>
              <w:ind w:left="851" w:hanging="851"/>
              <w:jc w:val="both"/>
              <w:textAlignment w:val="bottom"/>
              <w:rPr>
                <w:rFonts w:hint="eastAsia"/>
                <w:color w:val="auto"/>
                <w:sz w:val="24"/>
                <w:szCs w:val="24"/>
                <w:highlight w:val="none"/>
                <w:lang w:val="en-US" w:eastAsia="zh-CN"/>
              </w:rPr>
            </w:pPr>
            <w:r>
              <w:rPr>
                <w:rFonts w:hint="eastAsia"/>
                <w:color w:val="auto"/>
                <w:sz w:val="24"/>
                <w:szCs w:val="24"/>
                <w:highlight w:val="none"/>
                <w:lang w:val="en-US" w:eastAsia="zh-CN"/>
              </w:rPr>
              <w:t>小写：</w:t>
            </w:r>
          </w:p>
          <w:p w14:paraId="52F86517">
            <w:pPr>
              <w:jc w:val="both"/>
              <w:rPr>
                <w:color w:val="auto"/>
                <w:sz w:val="24"/>
                <w:szCs w:val="24"/>
                <w:highlight w:val="none"/>
              </w:rPr>
            </w:pPr>
            <w:r>
              <w:rPr>
                <w:rFonts w:hint="eastAsia"/>
                <w:color w:val="auto"/>
                <w:sz w:val="24"/>
                <w:szCs w:val="24"/>
                <w:highlight w:val="none"/>
                <w:lang w:val="en-US" w:eastAsia="zh-CN"/>
              </w:rPr>
              <w:t>大写：</w:t>
            </w:r>
          </w:p>
        </w:tc>
        <w:tc>
          <w:tcPr>
            <w:tcW w:w="2161" w:type="dxa"/>
            <w:vAlign w:val="center"/>
          </w:tcPr>
          <w:p w14:paraId="3409D243">
            <w:pPr>
              <w:jc w:val="center"/>
              <w:rPr>
                <w:color w:val="auto"/>
                <w:sz w:val="24"/>
                <w:szCs w:val="24"/>
                <w:highlight w:val="none"/>
              </w:rPr>
            </w:pPr>
          </w:p>
        </w:tc>
        <w:tc>
          <w:tcPr>
            <w:tcW w:w="2611" w:type="dxa"/>
            <w:vAlign w:val="center"/>
          </w:tcPr>
          <w:p w14:paraId="35602B49">
            <w:pPr>
              <w:jc w:val="center"/>
              <w:rPr>
                <w:color w:val="auto"/>
                <w:sz w:val="24"/>
                <w:szCs w:val="24"/>
                <w:highlight w:val="none"/>
              </w:rPr>
            </w:pPr>
          </w:p>
        </w:tc>
      </w:tr>
    </w:tbl>
    <w:p w14:paraId="486E37D7">
      <w:pPr>
        <w:spacing w:line="300" w:lineRule="auto"/>
        <w:rPr>
          <w:rFonts w:ascii="Arial" w:hAnsi="Arial" w:cs="Arial"/>
          <w:color w:val="auto"/>
          <w:szCs w:val="21"/>
          <w:highlight w:val="none"/>
          <w:u w:val="single"/>
        </w:rPr>
      </w:pPr>
    </w:p>
    <w:p w14:paraId="011DAF4C">
      <w:pPr>
        <w:spacing w:line="300" w:lineRule="auto"/>
        <w:rPr>
          <w:rFonts w:ascii="Arial" w:hAnsi="Arial" w:cs="Arial"/>
          <w:color w:val="auto"/>
          <w:szCs w:val="21"/>
          <w:highlight w:val="none"/>
        </w:rPr>
      </w:pPr>
    </w:p>
    <w:p w14:paraId="0270EFB4">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6302F8A6">
      <w:pPr>
        <w:spacing w:line="300" w:lineRule="auto"/>
        <w:rPr>
          <w:rFonts w:ascii="Arial" w:hAnsi="Arial" w:cs="Arial"/>
          <w:color w:val="auto"/>
          <w:szCs w:val="21"/>
          <w:highlight w:val="none"/>
          <w:u w:val="single"/>
        </w:rPr>
      </w:pPr>
      <w:r>
        <w:rPr>
          <w:rFonts w:ascii="Arial" w:hAnsi="Arial" w:cs="Arial"/>
          <w:color w:val="auto"/>
          <w:szCs w:val="21"/>
          <w:highlight w:val="none"/>
        </w:rPr>
        <w:t>日期：</w:t>
      </w:r>
    </w:p>
    <w:p w14:paraId="722CC087">
      <w:pPr>
        <w:rPr>
          <w:rFonts w:cs="Arial"/>
          <w:color w:val="auto"/>
          <w:szCs w:val="24"/>
          <w:highlight w:val="none"/>
        </w:rPr>
      </w:pPr>
    </w:p>
    <w:p w14:paraId="21BB3A26">
      <w:pPr>
        <w:pStyle w:val="13"/>
        <w:rPr>
          <w:rFonts w:cs="Arial"/>
          <w:color w:val="auto"/>
          <w:szCs w:val="24"/>
          <w:highlight w:val="none"/>
        </w:rPr>
      </w:pPr>
    </w:p>
    <w:p w14:paraId="4C551945">
      <w:pPr>
        <w:pStyle w:val="13"/>
        <w:rPr>
          <w:rFonts w:cs="Arial"/>
          <w:color w:val="auto"/>
          <w:szCs w:val="24"/>
          <w:highlight w:val="none"/>
        </w:rPr>
      </w:pPr>
    </w:p>
    <w:p w14:paraId="09ACCEBB">
      <w:pPr>
        <w:pStyle w:val="13"/>
        <w:rPr>
          <w:rFonts w:cs="Arial"/>
          <w:color w:val="auto"/>
          <w:szCs w:val="24"/>
          <w:highlight w:val="none"/>
        </w:rPr>
      </w:pPr>
    </w:p>
    <w:p w14:paraId="54CAC625">
      <w:pPr>
        <w:pStyle w:val="13"/>
        <w:rPr>
          <w:rFonts w:cs="Arial"/>
          <w:color w:val="auto"/>
          <w:szCs w:val="24"/>
          <w:highlight w:val="none"/>
        </w:rPr>
      </w:pPr>
    </w:p>
    <w:p w14:paraId="5D119674">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7BF32ACE">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1.此表用于开标唱标之用。</w:t>
      </w:r>
    </w:p>
    <w:p w14:paraId="7C885789">
      <w:pPr>
        <w:spacing w:line="360" w:lineRule="auto"/>
        <w:ind w:firstLine="435"/>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2.表中投标报价即为优惠后报价，并作为评审及定标依据。任何有选择或有条件的投标报价，或者表中某一包填写多个报价，均为无效报价。</w:t>
      </w:r>
    </w:p>
    <w:p w14:paraId="3B3B887F">
      <w:pPr>
        <w:pStyle w:val="13"/>
        <w:ind w:firstLine="420" w:firstLineChars="200"/>
        <w:rPr>
          <w:rFonts w:hint="eastAsia" w:ascii="宋体" w:hAnsi="宋体" w:eastAsia="宋体" w:cs="宋体"/>
          <w:color w:val="auto"/>
          <w:sz w:val="24"/>
          <w:szCs w:val="24"/>
          <w:highlight w:val="none"/>
        </w:rPr>
        <w:sectPr>
          <w:pgSz w:w="11905" w:h="16840"/>
          <w:pgMar w:top="1440" w:right="1797" w:bottom="1440" w:left="1797" w:header="851" w:footer="850" w:gutter="0"/>
          <w:pgBorders>
            <w:top w:val="none" w:sz="0" w:space="0"/>
            <w:left w:val="none" w:sz="0" w:space="0"/>
            <w:bottom w:val="none" w:sz="0" w:space="0"/>
            <w:right w:val="none" w:sz="0" w:space="0"/>
          </w:pgBorders>
          <w:pgNumType w:fmt="numberInDash"/>
          <w:cols w:space="720" w:num="1"/>
        </w:sect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rPr>
        <w:t>.表中大写与小写不一致的，以大写为准。</w:t>
      </w:r>
    </w:p>
    <w:p w14:paraId="7B2B178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bookmarkStart w:id="681" w:name="_Toc3714"/>
      <w:r>
        <w:rPr>
          <w:rFonts w:hint="eastAsia" w:cstheme="majorBidi"/>
          <w:b/>
          <w:bCs/>
          <w:color w:val="auto"/>
          <w:kern w:val="2"/>
          <w:sz w:val="32"/>
          <w:szCs w:val="32"/>
          <w:highlight w:val="none"/>
          <w:lang w:val="en-US" w:eastAsia="zh-CN" w:bidi="ar-SA"/>
        </w:rPr>
        <w:t>二、分项报价表</w:t>
      </w:r>
      <w:bookmarkEnd w:id="681"/>
    </w:p>
    <w:p w14:paraId="25D833CC">
      <w:pPr>
        <w:rPr>
          <w:b w:val="0"/>
          <w:bCs/>
          <w:color w:val="auto"/>
          <w:szCs w:val="21"/>
          <w:highlight w:val="none"/>
          <w:lang w:val="zh-CN"/>
        </w:rPr>
      </w:pPr>
      <w:r>
        <w:rPr>
          <w:rFonts w:hint="eastAsia"/>
          <w:b w:val="0"/>
          <w:bCs/>
          <w:color w:val="auto"/>
          <w:szCs w:val="21"/>
          <w:highlight w:val="none"/>
          <w:lang w:val="zh-CN"/>
        </w:rPr>
        <w:t>项目名称：</w:t>
      </w:r>
      <w:r>
        <w:rPr>
          <w:rFonts w:hint="eastAsia"/>
          <w:b w:val="0"/>
          <w:bCs/>
          <w:color w:val="auto"/>
          <w:szCs w:val="21"/>
          <w:highlight w:val="none"/>
          <w:u w:val="single"/>
          <w:lang w:val="zh-CN"/>
        </w:rPr>
        <w:t xml:space="preserve">                  </w:t>
      </w:r>
      <w:r>
        <w:rPr>
          <w:rFonts w:hint="eastAsia"/>
          <w:b w:val="0"/>
          <w:bCs/>
          <w:color w:val="auto"/>
          <w:szCs w:val="21"/>
          <w:highlight w:val="none"/>
          <w:u w:val="single"/>
          <w:lang w:val="en-US" w:eastAsia="zh-CN"/>
        </w:rPr>
        <w:t xml:space="preserve">   </w:t>
      </w:r>
    </w:p>
    <w:p w14:paraId="6FFFD51E">
      <w:pPr>
        <w:rPr>
          <w:rFonts w:hint="eastAsia"/>
          <w:b w:val="0"/>
          <w:bCs/>
          <w:color w:val="auto"/>
          <w:szCs w:val="21"/>
          <w:highlight w:val="none"/>
          <w:u w:val="single"/>
          <w:lang w:val="zh-CN"/>
        </w:rPr>
      </w:pPr>
      <w:r>
        <w:rPr>
          <w:rFonts w:hint="eastAsia"/>
          <w:b w:val="0"/>
          <w:bCs/>
          <w:color w:val="auto"/>
          <w:szCs w:val="21"/>
          <w:highlight w:val="none"/>
          <w:lang w:val="zh-CN"/>
        </w:rPr>
        <w:t>项目编号：</w:t>
      </w:r>
      <w:r>
        <w:rPr>
          <w:rFonts w:hint="eastAsia"/>
          <w:b w:val="0"/>
          <w:bCs/>
          <w:color w:val="auto"/>
          <w:szCs w:val="21"/>
          <w:highlight w:val="none"/>
          <w:u w:val="single"/>
          <w:lang w:val="zh-CN"/>
        </w:rPr>
        <w:t xml:space="preserve">                     </w:t>
      </w:r>
    </w:p>
    <w:tbl>
      <w:tblPr>
        <w:tblStyle w:val="77"/>
        <w:tblpPr w:leftFromText="180" w:rightFromText="180" w:vertAnchor="text" w:horzAnchor="page" w:tblpX="1578" w:tblpY="298"/>
        <w:tblOverlap w:val="never"/>
        <w:tblW w:w="9197"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55"/>
        <w:gridCol w:w="2467"/>
        <w:gridCol w:w="1083"/>
        <w:gridCol w:w="955"/>
        <w:gridCol w:w="1247"/>
        <w:gridCol w:w="1372"/>
        <w:gridCol w:w="1518"/>
      </w:tblGrid>
      <w:tr w14:paraId="4C452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blHeader/>
        </w:trPr>
        <w:tc>
          <w:tcPr>
            <w:tcW w:w="555" w:type="dxa"/>
            <w:vMerge w:val="restart"/>
            <w:tcBorders>
              <w:bottom w:val="nil"/>
            </w:tcBorders>
            <w:shd w:val="clear" w:color="auto" w:fill="auto"/>
            <w:vAlign w:val="center"/>
          </w:tcPr>
          <w:p w14:paraId="66B24FBB">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序号</w:t>
            </w:r>
          </w:p>
        </w:tc>
        <w:tc>
          <w:tcPr>
            <w:tcW w:w="2467" w:type="dxa"/>
            <w:vMerge w:val="restart"/>
            <w:tcBorders>
              <w:bottom w:val="nil"/>
            </w:tcBorders>
            <w:shd w:val="clear" w:color="auto" w:fill="auto"/>
            <w:vAlign w:val="center"/>
          </w:tcPr>
          <w:p w14:paraId="503CE332">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工程内容</w:t>
            </w:r>
          </w:p>
        </w:tc>
        <w:tc>
          <w:tcPr>
            <w:tcW w:w="2038" w:type="dxa"/>
            <w:gridSpan w:val="2"/>
            <w:shd w:val="clear" w:color="auto" w:fill="auto"/>
            <w:vAlign w:val="center"/>
          </w:tcPr>
          <w:p w14:paraId="07C01C65">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工程量</w:t>
            </w:r>
          </w:p>
        </w:tc>
        <w:tc>
          <w:tcPr>
            <w:tcW w:w="2619" w:type="dxa"/>
            <w:gridSpan w:val="2"/>
            <w:shd w:val="clear" w:color="auto" w:fill="auto"/>
            <w:vAlign w:val="center"/>
          </w:tcPr>
          <w:p w14:paraId="25DFA341">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单价</w:t>
            </w:r>
          </w:p>
        </w:tc>
        <w:tc>
          <w:tcPr>
            <w:tcW w:w="1518" w:type="dxa"/>
            <w:vMerge w:val="restart"/>
            <w:shd w:val="clear" w:color="auto" w:fill="auto"/>
            <w:vAlign w:val="center"/>
          </w:tcPr>
          <w:p w14:paraId="44602C1E">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val="en-US" w:eastAsia="zh-CN"/>
              </w:rPr>
            </w:pPr>
            <w:r>
              <w:rPr>
                <w:rFonts w:hint="eastAsia" w:cs="Times New Roman"/>
                <w:b/>
                <w:bCs/>
                <w:color w:val="auto"/>
                <w:spacing w:val="-5"/>
                <w:sz w:val="21"/>
                <w:highlight w:val="none"/>
                <w:lang w:val="en-US" w:eastAsia="zh-CN"/>
              </w:rPr>
              <w:t>费用</w:t>
            </w:r>
          </w:p>
          <w:p w14:paraId="2E58DF34">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（元</w:t>
            </w:r>
            <w:r>
              <w:rPr>
                <w:rFonts w:hint="default" w:cs="Times New Roman"/>
                <w:b/>
                <w:bCs/>
                <w:color w:val="auto"/>
                <w:spacing w:val="-5"/>
                <w:sz w:val="21"/>
                <w:highlight w:val="none"/>
                <w:lang w:val="en-US" w:eastAsia="zh-CN"/>
              </w:rPr>
              <w:t>/</w:t>
            </w:r>
            <w:r>
              <w:rPr>
                <w:rFonts w:hint="eastAsia" w:cs="Times New Roman"/>
                <w:b/>
                <w:bCs/>
                <w:color w:val="auto"/>
                <w:spacing w:val="-5"/>
                <w:sz w:val="21"/>
                <w:highlight w:val="none"/>
                <w:lang w:val="en-US" w:eastAsia="zh-CN"/>
              </w:rPr>
              <w:t>年）</w:t>
            </w:r>
          </w:p>
        </w:tc>
      </w:tr>
      <w:tr w14:paraId="0D9FF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blHeader/>
        </w:trPr>
        <w:tc>
          <w:tcPr>
            <w:tcW w:w="555" w:type="dxa"/>
            <w:vMerge w:val="continue"/>
            <w:tcBorders>
              <w:top w:val="nil"/>
            </w:tcBorders>
            <w:shd w:val="clear" w:color="auto" w:fill="63B86C"/>
            <w:vAlign w:val="center"/>
          </w:tcPr>
          <w:p w14:paraId="3367A127">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p>
        </w:tc>
        <w:tc>
          <w:tcPr>
            <w:tcW w:w="2467" w:type="dxa"/>
            <w:vMerge w:val="continue"/>
            <w:tcBorders>
              <w:top w:val="nil"/>
            </w:tcBorders>
            <w:shd w:val="clear" w:color="auto" w:fill="63B86C"/>
            <w:vAlign w:val="center"/>
          </w:tcPr>
          <w:p w14:paraId="3B564ACC">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p>
        </w:tc>
        <w:tc>
          <w:tcPr>
            <w:tcW w:w="1083" w:type="dxa"/>
            <w:shd w:val="clear" w:color="auto" w:fill="auto"/>
            <w:vAlign w:val="center"/>
          </w:tcPr>
          <w:p w14:paraId="6D34E793">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工程量</w:t>
            </w:r>
          </w:p>
        </w:tc>
        <w:tc>
          <w:tcPr>
            <w:tcW w:w="955" w:type="dxa"/>
            <w:shd w:val="clear" w:color="auto" w:fill="auto"/>
            <w:vAlign w:val="center"/>
          </w:tcPr>
          <w:p w14:paraId="19DF6F10">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单位</w:t>
            </w:r>
          </w:p>
        </w:tc>
        <w:tc>
          <w:tcPr>
            <w:tcW w:w="1247" w:type="dxa"/>
            <w:shd w:val="clear" w:color="auto" w:fill="auto"/>
            <w:vAlign w:val="center"/>
          </w:tcPr>
          <w:p w14:paraId="2B5E87DF">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单价</w:t>
            </w:r>
          </w:p>
        </w:tc>
        <w:tc>
          <w:tcPr>
            <w:tcW w:w="1372" w:type="dxa"/>
            <w:shd w:val="clear" w:color="auto" w:fill="auto"/>
            <w:vAlign w:val="center"/>
          </w:tcPr>
          <w:p w14:paraId="7B703306">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r>
              <w:rPr>
                <w:rFonts w:hint="eastAsia" w:cs="Times New Roman"/>
                <w:b/>
                <w:bCs/>
                <w:color w:val="auto"/>
                <w:spacing w:val="-5"/>
                <w:sz w:val="21"/>
                <w:highlight w:val="none"/>
                <w:lang w:val="en-US" w:eastAsia="zh-CN"/>
              </w:rPr>
              <w:t>单位</w:t>
            </w:r>
          </w:p>
        </w:tc>
        <w:tc>
          <w:tcPr>
            <w:tcW w:w="1518" w:type="dxa"/>
            <w:vMerge w:val="continue"/>
            <w:shd w:val="clear" w:color="auto" w:fill="63B86C"/>
            <w:vAlign w:val="center"/>
          </w:tcPr>
          <w:p w14:paraId="4AD1D07E">
            <w:pPr>
              <w:kinsoku/>
              <w:autoSpaceDE/>
              <w:autoSpaceDN/>
              <w:adjustRightInd/>
              <w:snapToGrid/>
              <w:spacing w:line="240" w:lineRule="auto"/>
              <w:ind w:firstLine="0" w:firstLineChars="0"/>
              <w:jc w:val="center"/>
              <w:textAlignment w:val="auto"/>
              <w:rPr>
                <w:rFonts w:hint="eastAsia" w:cs="Times New Roman"/>
                <w:b/>
                <w:bCs/>
                <w:color w:val="auto"/>
                <w:spacing w:val="-5"/>
                <w:sz w:val="21"/>
                <w:highlight w:val="none"/>
                <w:lang w:eastAsia="zh-CN"/>
              </w:rPr>
            </w:pPr>
          </w:p>
        </w:tc>
      </w:tr>
      <w:tr w14:paraId="5DCE9E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197" w:type="dxa"/>
            <w:gridSpan w:val="7"/>
            <w:vAlign w:val="center"/>
          </w:tcPr>
          <w:p w14:paraId="11C12882">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道路清扫保洁</w:t>
            </w:r>
          </w:p>
        </w:tc>
      </w:tr>
      <w:tr w14:paraId="08976F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555" w:type="dxa"/>
            <w:vAlign w:val="center"/>
          </w:tcPr>
          <w:p w14:paraId="120755A3">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default" w:ascii="Times New Roman" w:hAnsi="Times New Roman" w:cs="Times New Roman"/>
                <w:color w:val="auto"/>
                <w:spacing w:val="-5"/>
                <w:sz w:val="21"/>
                <w:highlight w:val="none"/>
                <w:lang w:val="en-US" w:eastAsia="zh-CN"/>
              </w:rPr>
              <w:t>1</w:t>
            </w:r>
          </w:p>
        </w:tc>
        <w:tc>
          <w:tcPr>
            <w:tcW w:w="2467" w:type="dxa"/>
            <w:vAlign w:val="center"/>
          </w:tcPr>
          <w:p w14:paraId="3BD14FB6">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道路清扫保洁</w:t>
            </w:r>
          </w:p>
        </w:tc>
        <w:tc>
          <w:tcPr>
            <w:tcW w:w="1083" w:type="dxa"/>
            <w:vAlign w:val="center"/>
          </w:tcPr>
          <w:p w14:paraId="7188E330">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651561.2</w:t>
            </w:r>
          </w:p>
        </w:tc>
        <w:tc>
          <w:tcPr>
            <w:tcW w:w="955" w:type="dxa"/>
            <w:vAlign w:val="center"/>
          </w:tcPr>
          <w:p w14:paraId="04B3AED5">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平方米</w:t>
            </w:r>
          </w:p>
        </w:tc>
        <w:tc>
          <w:tcPr>
            <w:tcW w:w="1247" w:type="dxa"/>
            <w:vAlign w:val="center"/>
          </w:tcPr>
          <w:p w14:paraId="7FA9A8E5">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507FB90D">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平方米</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003E1C99">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194C74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197" w:type="dxa"/>
            <w:gridSpan w:val="7"/>
            <w:vAlign w:val="center"/>
          </w:tcPr>
          <w:p w14:paraId="0C5D4DB2">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default" w:ascii="Times New Roman" w:hAnsi="Times New Roman" w:cs="Times New Roman"/>
                <w:color w:val="auto"/>
                <w:spacing w:val="-5"/>
                <w:sz w:val="21"/>
                <w:highlight w:val="none"/>
                <w:lang w:val="en-US" w:eastAsia="zh-CN"/>
              </w:rPr>
              <w:t>绿化带防风林清扫保洁</w:t>
            </w:r>
          </w:p>
        </w:tc>
      </w:tr>
      <w:tr w14:paraId="1F4404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6" w:hRule="atLeast"/>
        </w:trPr>
        <w:tc>
          <w:tcPr>
            <w:tcW w:w="555" w:type="dxa"/>
            <w:shd w:val="clear" w:color="auto" w:fill="auto"/>
            <w:vAlign w:val="center"/>
          </w:tcPr>
          <w:p w14:paraId="4F8AD4EC">
            <w:pPr>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val="0"/>
                <w:color w:val="auto"/>
                <w:spacing w:val="-5"/>
                <w:sz w:val="21"/>
                <w:szCs w:val="21"/>
                <w:highlight w:val="none"/>
                <w:lang w:val="en-US" w:eastAsia="zh-CN" w:bidi="ar-SA"/>
              </w:rPr>
            </w:pPr>
            <w:r>
              <w:rPr>
                <w:rFonts w:hint="eastAsia" w:cs="Times New Roman"/>
                <w:color w:val="auto"/>
                <w:spacing w:val="-5"/>
                <w:sz w:val="21"/>
                <w:highlight w:val="none"/>
                <w:lang w:val="en-US" w:eastAsia="zh-CN"/>
              </w:rPr>
              <w:t>2</w:t>
            </w:r>
          </w:p>
        </w:tc>
        <w:tc>
          <w:tcPr>
            <w:tcW w:w="2467" w:type="dxa"/>
            <w:shd w:val="clear" w:color="auto" w:fill="auto"/>
            <w:vAlign w:val="center"/>
          </w:tcPr>
          <w:p w14:paraId="5F3CE1CC">
            <w:pPr>
              <w:kinsoku/>
              <w:autoSpaceDE/>
              <w:autoSpaceDN/>
              <w:adjustRightInd/>
              <w:snapToGrid/>
              <w:spacing w:line="240" w:lineRule="auto"/>
              <w:ind w:firstLine="0" w:firstLineChars="0"/>
              <w:jc w:val="center"/>
              <w:textAlignment w:val="auto"/>
              <w:rPr>
                <w:rFonts w:hint="eastAsia" w:ascii="Times New Roman" w:hAnsi="Times New Roman" w:eastAsia="仿宋" w:cs="Times New Roman"/>
                <w:snapToGrid w:val="0"/>
                <w:color w:val="auto"/>
                <w:spacing w:val="-5"/>
                <w:sz w:val="21"/>
                <w:szCs w:val="21"/>
                <w:highlight w:val="none"/>
                <w:lang w:val="en-US" w:eastAsia="zh-CN" w:bidi="ar-SA"/>
              </w:rPr>
            </w:pPr>
            <w:r>
              <w:rPr>
                <w:rFonts w:hint="default" w:ascii="Times New Roman" w:hAnsi="Times New Roman" w:cs="Times New Roman"/>
                <w:color w:val="auto"/>
                <w:spacing w:val="-5"/>
                <w:sz w:val="21"/>
                <w:highlight w:val="none"/>
                <w:lang w:val="en-US" w:eastAsia="zh-CN"/>
              </w:rPr>
              <w:t>绿化带防风林清扫保洁</w:t>
            </w:r>
          </w:p>
        </w:tc>
        <w:tc>
          <w:tcPr>
            <w:tcW w:w="1083" w:type="dxa"/>
            <w:shd w:val="clear" w:color="auto" w:fill="auto"/>
            <w:vAlign w:val="center"/>
          </w:tcPr>
          <w:p w14:paraId="7185E8D1">
            <w:pPr>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val="0"/>
                <w:color w:val="auto"/>
                <w:spacing w:val="-5"/>
                <w:sz w:val="21"/>
                <w:szCs w:val="21"/>
                <w:highlight w:val="none"/>
                <w:lang w:val="en-US" w:eastAsia="zh-CN" w:bidi="ar-SA"/>
              </w:rPr>
            </w:pPr>
            <w:r>
              <w:rPr>
                <w:rFonts w:hint="eastAsia" w:cs="Times New Roman"/>
                <w:color w:val="auto"/>
                <w:spacing w:val="-5"/>
                <w:sz w:val="21"/>
                <w:highlight w:val="none"/>
                <w:lang w:val="en-US" w:eastAsia="zh-CN"/>
              </w:rPr>
              <w:t>760518.3</w:t>
            </w:r>
          </w:p>
        </w:tc>
        <w:tc>
          <w:tcPr>
            <w:tcW w:w="955" w:type="dxa"/>
            <w:shd w:val="clear" w:color="auto" w:fill="auto"/>
            <w:vAlign w:val="center"/>
          </w:tcPr>
          <w:p w14:paraId="3DE95AEB">
            <w:pPr>
              <w:kinsoku/>
              <w:autoSpaceDE/>
              <w:autoSpaceDN/>
              <w:adjustRightInd/>
              <w:snapToGrid/>
              <w:spacing w:line="240" w:lineRule="auto"/>
              <w:ind w:firstLine="0" w:firstLineChars="0"/>
              <w:jc w:val="center"/>
              <w:textAlignment w:val="auto"/>
              <w:rPr>
                <w:rFonts w:hint="eastAsia" w:ascii="Times New Roman" w:hAnsi="Times New Roman" w:eastAsia="仿宋" w:cs="Times New Roman"/>
                <w:snapToGrid w:val="0"/>
                <w:color w:val="auto"/>
                <w:spacing w:val="-5"/>
                <w:sz w:val="21"/>
                <w:szCs w:val="21"/>
                <w:highlight w:val="none"/>
                <w:lang w:val="en-US" w:eastAsia="zh-CN" w:bidi="ar-SA"/>
              </w:rPr>
            </w:pPr>
            <w:r>
              <w:rPr>
                <w:rFonts w:hint="eastAsia" w:ascii="Times New Roman" w:hAnsi="Times New Roman" w:cs="Times New Roman"/>
                <w:color w:val="auto"/>
                <w:spacing w:val="-5"/>
                <w:sz w:val="21"/>
                <w:highlight w:val="none"/>
                <w:lang w:val="en-US" w:eastAsia="zh-CN"/>
              </w:rPr>
              <w:t>平方米</w:t>
            </w:r>
          </w:p>
        </w:tc>
        <w:tc>
          <w:tcPr>
            <w:tcW w:w="1247" w:type="dxa"/>
            <w:shd w:val="clear" w:color="auto" w:fill="auto"/>
            <w:vAlign w:val="center"/>
          </w:tcPr>
          <w:p w14:paraId="2E1D6361">
            <w:pPr>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val="0"/>
                <w:color w:val="auto"/>
                <w:spacing w:val="-5"/>
                <w:sz w:val="21"/>
                <w:szCs w:val="21"/>
                <w:highlight w:val="none"/>
                <w:lang w:val="en-US" w:eastAsia="zh-CN" w:bidi="ar-SA"/>
              </w:rPr>
            </w:pPr>
          </w:p>
        </w:tc>
        <w:tc>
          <w:tcPr>
            <w:tcW w:w="1372" w:type="dxa"/>
            <w:shd w:val="clear" w:color="auto" w:fill="auto"/>
            <w:vAlign w:val="center"/>
          </w:tcPr>
          <w:p w14:paraId="4E4F52A4">
            <w:pPr>
              <w:kinsoku/>
              <w:autoSpaceDE/>
              <w:autoSpaceDN/>
              <w:adjustRightInd/>
              <w:snapToGrid/>
              <w:spacing w:line="240" w:lineRule="auto"/>
              <w:ind w:firstLine="0" w:firstLineChars="0"/>
              <w:jc w:val="center"/>
              <w:textAlignment w:val="auto"/>
              <w:rPr>
                <w:rFonts w:hint="eastAsia" w:ascii="Times New Roman" w:hAnsi="Times New Roman" w:eastAsia="仿宋" w:cs="Times New Roman"/>
                <w:snapToGrid w:val="0"/>
                <w:color w:val="auto"/>
                <w:spacing w:val="-5"/>
                <w:sz w:val="21"/>
                <w:szCs w:val="21"/>
                <w:highlight w:val="none"/>
                <w:lang w:val="en-US" w:eastAsia="zh-CN" w:bidi="ar-SA"/>
              </w:rPr>
            </w:pPr>
            <w:r>
              <w:rPr>
                <w:rFonts w:hint="eastAsia" w:ascii="Times New Roman" w:hAnsi="Times New Roman" w:cs="Times New Roman"/>
                <w:color w:val="auto"/>
                <w:spacing w:val="-5"/>
                <w:sz w:val="21"/>
                <w:highlight w:val="none"/>
                <w:lang w:val="en-US" w:eastAsia="zh-CN"/>
              </w:rPr>
              <w:t>元</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平方米</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shd w:val="clear" w:color="auto" w:fill="auto"/>
            <w:vAlign w:val="center"/>
          </w:tcPr>
          <w:p w14:paraId="5058D583">
            <w:pPr>
              <w:kinsoku/>
              <w:autoSpaceDE/>
              <w:autoSpaceDN/>
              <w:adjustRightInd/>
              <w:snapToGrid/>
              <w:spacing w:line="240" w:lineRule="auto"/>
              <w:ind w:firstLine="0" w:firstLineChars="0"/>
              <w:jc w:val="center"/>
              <w:textAlignment w:val="auto"/>
              <w:rPr>
                <w:rFonts w:hint="default" w:ascii="Times New Roman" w:hAnsi="Times New Roman" w:eastAsia="仿宋" w:cs="Times New Roman"/>
                <w:snapToGrid w:val="0"/>
                <w:color w:val="auto"/>
                <w:spacing w:val="-5"/>
                <w:sz w:val="21"/>
                <w:szCs w:val="21"/>
                <w:highlight w:val="none"/>
                <w:lang w:val="en-US" w:eastAsia="zh-CN" w:bidi="ar-SA"/>
              </w:rPr>
            </w:pPr>
          </w:p>
        </w:tc>
      </w:tr>
      <w:tr w14:paraId="549215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trPr>
        <w:tc>
          <w:tcPr>
            <w:tcW w:w="9197" w:type="dxa"/>
            <w:gridSpan w:val="7"/>
            <w:vAlign w:val="center"/>
          </w:tcPr>
          <w:p w14:paraId="302F03C8">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垃圾清运</w:t>
            </w:r>
          </w:p>
        </w:tc>
      </w:tr>
      <w:tr w14:paraId="037068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555" w:type="dxa"/>
            <w:vAlign w:val="center"/>
          </w:tcPr>
          <w:p w14:paraId="46F09AB2">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3</w:t>
            </w:r>
          </w:p>
        </w:tc>
        <w:tc>
          <w:tcPr>
            <w:tcW w:w="2467" w:type="dxa"/>
            <w:vAlign w:val="center"/>
          </w:tcPr>
          <w:p w14:paraId="1ECD2ED5">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垃圾收运</w:t>
            </w:r>
          </w:p>
        </w:tc>
        <w:tc>
          <w:tcPr>
            <w:tcW w:w="1083" w:type="dxa"/>
            <w:vAlign w:val="center"/>
          </w:tcPr>
          <w:p w14:paraId="3CDC28FC">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3650</w:t>
            </w:r>
            <w:r>
              <w:rPr>
                <w:rFonts w:hint="default" w:ascii="Times New Roman" w:hAnsi="Times New Roman" w:cs="Times New Roman"/>
                <w:color w:val="auto"/>
                <w:spacing w:val="-5"/>
                <w:sz w:val="21"/>
                <w:highlight w:val="none"/>
                <w:lang w:val="en-US" w:eastAsia="zh-CN"/>
              </w:rPr>
              <w:t xml:space="preserve"> </w:t>
            </w:r>
          </w:p>
        </w:tc>
        <w:tc>
          <w:tcPr>
            <w:tcW w:w="955" w:type="dxa"/>
            <w:vAlign w:val="center"/>
          </w:tcPr>
          <w:p w14:paraId="3E273AF4">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吨</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247" w:type="dxa"/>
            <w:vAlign w:val="center"/>
          </w:tcPr>
          <w:p w14:paraId="3FFD74D1">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0C8A726C">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吨</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581DF9A2">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31DCF8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197" w:type="dxa"/>
            <w:gridSpan w:val="7"/>
            <w:vAlign w:val="center"/>
          </w:tcPr>
          <w:p w14:paraId="08610733">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转运</w:t>
            </w:r>
            <w:r>
              <w:rPr>
                <w:rFonts w:hint="eastAsia" w:ascii="Times New Roman" w:hAnsi="Times New Roman" w:cs="Times New Roman"/>
                <w:color w:val="auto"/>
                <w:spacing w:val="-5"/>
                <w:sz w:val="21"/>
                <w:highlight w:val="none"/>
                <w:lang w:val="en-US" w:eastAsia="zh-CN"/>
              </w:rPr>
              <w:t>站</w:t>
            </w:r>
          </w:p>
        </w:tc>
      </w:tr>
      <w:tr w14:paraId="553FB5F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55" w:type="dxa"/>
            <w:vAlign w:val="center"/>
          </w:tcPr>
          <w:p w14:paraId="23FC353B">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4</w:t>
            </w:r>
          </w:p>
        </w:tc>
        <w:tc>
          <w:tcPr>
            <w:tcW w:w="2467" w:type="dxa"/>
            <w:vAlign w:val="center"/>
          </w:tcPr>
          <w:p w14:paraId="72321FDB">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转运</w:t>
            </w:r>
            <w:r>
              <w:rPr>
                <w:rFonts w:hint="eastAsia" w:ascii="Times New Roman" w:hAnsi="Times New Roman" w:cs="Times New Roman"/>
                <w:color w:val="auto"/>
                <w:spacing w:val="-5"/>
                <w:sz w:val="21"/>
                <w:highlight w:val="none"/>
                <w:lang w:val="en-US" w:eastAsia="zh-CN"/>
              </w:rPr>
              <w:t>站</w:t>
            </w:r>
          </w:p>
        </w:tc>
        <w:tc>
          <w:tcPr>
            <w:tcW w:w="1083" w:type="dxa"/>
            <w:vAlign w:val="center"/>
          </w:tcPr>
          <w:p w14:paraId="557DE7DC">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1</w:t>
            </w:r>
          </w:p>
        </w:tc>
        <w:tc>
          <w:tcPr>
            <w:tcW w:w="955" w:type="dxa"/>
            <w:vAlign w:val="center"/>
          </w:tcPr>
          <w:p w14:paraId="735578B8">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座</w:t>
            </w:r>
          </w:p>
        </w:tc>
        <w:tc>
          <w:tcPr>
            <w:tcW w:w="1247" w:type="dxa"/>
            <w:vAlign w:val="center"/>
          </w:tcPr>
          <w:p w14:paraId="397706A8">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default" w:ascii="Times New Roman" w:hAnsi="Times New Roman" w:cs="Times New Roman"/>
                <w:color w:val="auto"/>
                <w:spacing w:val="-5"/>
                <w:sz w:val="21"/>
                <w:highlight w:val="none"/>
                <w:lang w:val="en-US" w:eastAsia="zh-CN"/>
              </w:rPr>
              <w:t xml:space="preserve"> </w:t>
            </w:r>
          </w:p>
        </w:tc>
        <w:tc>
          <w:tcPr>
            <w:tcW w:w="1372" w:type="dxa"/>
            <w:vAlign w:val="center"/>
          </w:tcPr>
          <w:p w14:paraId="1075EC4D">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元/座</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2BBDF08C">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3D6E4E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197" w:type="dxa"/>
            <w:gridSpan w:val="7"/>
            <w:vAlign w:val="center"/>
          </w:tcPr>
          <w:p w14:paraId="58E40EC2">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公厕保洁</w:t>
            </w:r>
          </w:p>
        </w:tc>
      </w:tr>
      <w:tr w14:paraId="2081F71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55" w:type="dxa"/>
            <w:vAlign w:val="center"/>
          </w:tcPr>
          <w:p w14:paraId="67696DB8">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5</w:t>
            </w:r>
          </w:p>
        </w:tc>
        <w:tc>
          <w:tcPr>
            <w:tcW w:w="2467" w:type="dxa"/>
            <w:vAlign w:val="center"/>
          </w:tcPr>
          <w:p w14:paraId="68C5D16D">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公厕保洁</w:t>
            </w:r>
          </w:p>
        </w:tc>
        <w:tc>
          <w:tcPr>
            <w:tcW w:w="1083" w:type="dxa"/>
            <w:vAlign w:val="center"/>
          </w:tcPr>
          <w:p w14:paraId="424E4263">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5</w:t>
            </w:r>
          </w:p>
        </w:tc>
        <w:tc>
          <w:tcPr>
            <w:tcW w:w="955" w:type="dxa"/>
            <w:vAlign w:val="center"/>
          </w:tcPr>
          <w:p w14:paraId="018FD208">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座</w:t>
            </w:r>
          </w:p>
        </w:tc>
        <w:tc>
          <w:tcPr>
            <w:tcW w:w="1247" w:type="dxa"/>
            <w:vAlign w:val="center"/>
          </w:tcPr>
          <w:p w14:paraId="0C3DD578">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15339F89">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座</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0BFA339C">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p>
        </w:tc>
      </w:tr>
      <w:tr w14:paraId="7D02E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197" w:type="dxa"/>
            <w:gridSpan w:val="7"/>
            <w:vAlign w:val="center"/>
          </w:tcPr>
          <w:p w14:paraId="7132A4BF">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除雪服务</w:t>
            </w:r>
          </w:p>
        </w:tc>
      </w:tr>
      <w:tr w14:paraId="72287E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55" w:type="dxa"/>
            <w:vAlign w:val="center"/>
          </w:tcPr>
          <w:p w14:paraId="7ADCBF38">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6</w:t>
            </w:r>
          </w:p>
        </w:tc>
        <w:tc>
          <w:tcPr>
            <w:tcW w:w="2467" w:type="dxa"/>
            <w:vAlign w:val="center"/>
          </w:tcPr>
          <w:p w14:paraId="22473B0F">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冬季除雪</w:t>
            </w:r>
          </w:p>
        </w:tc>
        <w:tc>
          <w:tcPr>
            <w:tcW w:w="1083" w:type="dxa"/>
            <w:vAlign w:val="center"/>
          </w:tcPr>
          <w:p w14:paraId="5AA53339">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651561.2</w:t>
            </w:r>
          </w:p>
        </w:tc>
        <w:tc>
          <w:tcPr>
            <w:tcW w:w="955" w:type="dxa"/>
            <w:vAlign w:val="center"/>
          </w:tcPr>
          <w:p w14:paraId="29C92219">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平方米</w:t>
            </w:r>
          </w:p>
        </w:tc>
        <w:tc>
          <w:tcPr>
            <w:tcW w:w="1247" w:type="dxa"/>
            <w:vAlign w:val="center"/>
          </w:tcPr>
          <w:p w14:paraId="230ED72B">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76D2455A">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元/平方米/年</w:t>
            </w:r>
          </w:p>
        </w:tc>
        <w:tc>
          <w:tcPr>
            <w:tcW w:w="1518" w:type="dxa"/>
            <w:vAlign w:val="center"/>
          </w:tcPr>
          <w:p w14:paraId="7B647DA9">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16381D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679" w:type="dxa"/>
            <w:gridSpan w:val="6"/>
            <w:vAlign w:val="center"/>
          </w:tcPr>
          <w:p w14:paraId="452480D3">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 xml:space="preserve">          </w:t>
            </w:r>
            <w:r>
              <w:rPr>
                <w:rFonts w:hint="eastAsia" w:ascii="Times New Roman" w:hAnsi="Times New Roman" w:cs="Times New Roman"/>
                <w:color w:val="auto"/>
                <w:spacing w:val="-5"/>
                <w:sz w:val="21"/>
                <w:highlight w:val="none"/>
                <w:lang w:val="en-US" w:eastAsia="zh-CN"/>
              </w:rPr>
              <w:t>城乡环卫保洁费用合计</w:t>
            </w:r>
          </w:p>
        </w:tc>
        <w:tc>
          <w:tcPr>
            <w:tcW w:w="1518" w:type="dxa"/>
            <w:vAlign w:val="center"/>
          </w:tcPr>
          <w:p w14:paraId="41259410">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039464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197" w:type="dxa"/>
            <w:gridSpan w:val="7"/>
            <w:vAlign w:val="center"/>
          </w:tcPr>
          <w:p w14:paraId="6464524E">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园林绿化及公园管理</w:t>
            </w:r>
          </w:p>
        </w:tc>
      </w:tr>
      <w:tr w14:paraId="1DB8FA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55" w:type="dxa"/>
            <w:vAlign w:val="center"/>
          </w:tcPr>
          <w:p w14:paraId="7C6B7E5D">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default" w:ascii="Times New Roman" w:hAnsi="Times New Roman" w:cs="Times New Roman"/>
                <w:color w:val="auto"/>
                <w:spacing w:val="-5"/>
                <w:sz w:val="21"/>
                <w:highlight w:val="none"/>
                <w:lang w:val="en-US" w:eastAsia="zh-CN"/>
              </w:rPr>
              <w:t>9</w:t>
            </w:r>
          </w:p>
        </w:tc>
        <w:tc>
          <w:tcPr>
            <w:tcW w:w="2467" w:type="dxa"/>
            <w:vAlign w:val="center"/>
          </w:tcPr>
          <w:p w14:paraId="5C376A34">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公园</w:t>
            </w:r>
            <w:r>
              <w:rPr>
                <w:rFonts w:hint="eastAsia" w:cs="Times New Roman"/>
                <w:color w:val="auto"/>
                <w:spacing w:val="-5"/>
                <w:sz w:val="21"/>
                <w:highlight w:val="none"/>
                <w:lang w:val="en-US" w:eastAsia="zh-CN"/>
              </w:rPr>
              <w:t>绿地养护（含保洁）</w:t>
            </w:r>
          </w:p>
        </w:tc>
        <w:tc>
          <w:tcPr>
            <w:tcW w:w="1083" w:type="dxa"/>
            <w:vAlign w:val="center"/>
          </w:tcPr>
          <w:p w14:paraId="41BE9AEC">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388400</w:t>
            </w:r>
          </w:p>
        </w:tc>
        <w:tc>
          <w:tcPr>
            <w:tcW w:w="955" w:type="dxa"/>
            <w:vAlign w:val="center"/>
          </w:tcPr>
          <w:p w14:paraId="0579370B">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平方米</w:t>
            </w:r>
          </w:p>
        </w:tc>
        <w:tc>
          <w:tcPr>
            <w:tcW w:w="1247" w:type="dxa"/>
            <w:vAlign w:val="center"/>
          </w:tcPr>
          <w:p w14:paraId="044724D4">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1FB480D4">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元/平方米</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303C0C27">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359C3C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55" w:type="dxa"/>
            <w:vAlign w:val="center"/>
          </w:tcPr>
          <w:p w14:paraId="3E57FB89">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10</w:t>
            </w:r>
          </w:p>
        </w:tc>
        <w:tc>
          <w:tcPr>
            <w:tcW w:w="2467" w:type="dxa"/>
            <w:vAlign w:val="center"/>
          </w:tcPr>
          <w:p w14:paraId="5C3E2741">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公共绿地养护</w:t>
            </w:r>
          </w:p>
        </w:tc>
        <w:tc>
          <w:tcPr>
            <w:tcW w:w="1083" w:type="dxa"/>
            <w:vAlign w:val="center"/>
          </w:tcPr>
          <w:p w14:paraId="4B0118C3">
            <w:pPr>
              <w:kinsoku/>
              <w:autoSpaceDE/>
              <w:autoSpaceDN/>
              <w:adjustRightInd/>
              <w:snapToGrid/>
              <w:spacing w:line="240" w:lineRule="auto"/>
              <w:ind w:firstLine="0" w:firstLineChars="0"/>
              <w:jc w:val="center"/>
              <w:textAlignment w:val="auto"/>
              <w:rPr>
                <w:rFonts w:hint="default" w:cs="Times New Roman"/>
                <w:color w:val="auto"/>
                <w:spacing w:val="-5"/>
                <w:sz w:val="21"/>
                <w:highlight w:val="none"/>
                <w:lang w:val="en-US" w:eastAsia="zh-CN"/>
              </w:rPr>
            </w:pPr>
            <w:r>
              <w:rPr>
                <w:rFonts w:hint="eastAsia" w:cs="Times New Roman"/>
                <w:color w:val="auto"/>
                <w:spacing w:val="-5"/>
                <w:sz w:val="21"/>
                <w:highlight w:val="none"/>
                <w:lang w:val="en-US" w:eastAsia="zh-CN"/>
              </w:rPr>
              <w:t>384618.3</w:t>
            </w:r>
          </w:p>
        </w:tc>
        <w:tc>
          <w:tcPr>
            <w:tcW w:w="955" w:type="dxa"/>
            <w:vAlign w:val="center"/>
          </w:tcPr>
          <w:p w14:paraId="519AB5D8">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平方米</w:t>
            </w:r>
          </w:p>
        </w:tc>
        <w:tc>
          <w:tcPr>
            <w:tcW w:w="1247" w:type="dxa"/>
            <w:vAlign w:val="center"/>
          </w:tcPr>
          <w:p w14:paraId="3D7D9502">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0BFC6564">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元/平方米</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03228E70">
            <w:pPr>
              <w:kinsoku/>
              <w:autoSpaceDE/>
              <w:autoSpaceDN/>
              <w:adjustRightInd/>
              <w:snapToGrid/>
              <w:spacing w:line="240" w:lineRule="auto"/>
              <w:ind w:firstLine="0" w:firstLineChars="0"/>
              <w:jc w:val="center"/>
              <w:textAlignment w:val="auto"/>
              <w:rPr>
                <w:rFonts w:hint="default" w:cs="Times New Roman"/>
                <w:color w:val="auto"/>
                <w:spacing w:val="-5"/>
                <w:sz w:val="21"/>
                <w:highlight w:val="none"/>
                <w:lang w:val="en-US" w:eastAsia="zh-CN"/>
              </w:rPr>
            </w:pPr>
          </w:p>
        </w:tc>
      </w:tr>
      <w:tr w14:paraId="698206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55" w:type="dxa"/>
            <w:vAlign w:val="center"/>
          </w:tcPr>
          <w:p w14:paraId="0539E9D1">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11</w:t>
            </w:r>
          </w:p>
        </w:tc>
        <w:tc>
          <w:tcPr>
            <w:tcW w:w="2467" w:type="dxa"/>
            <w:vAlign w:val="center"/>
          </w:tcPr>
          <w:p w14:paraId="4E2BB9DA">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防风林养护</w:t>
            </w:r>
          </w:p>
        </w:tc>
        <w:tc>
          <w:tcPr>
            <w:tcW w:w="1083" w:type="dxa"/>
            <w:vAlign w:val="center"/>
          </w:tcPr>
          <w:p w14:paraId="1C31A87D">
            <w:pPr>
              <w:kinsoku/>
              <w:autoSpaceDE/>
              <w:autoSpaceDN/>
              <w:adjustRightInd/>
              <w:snapToGrid/>
              <w:spacing w:line="240" w:lineRule="auto"/>
              <w:ind w:firstLine="0" w:firstLineChars="0"/>
              <w:jc w:val="center"/>
              <w:textAlignment w:val="auto"/>
              <w:rPr>
                <w:rFonts w:hint="default" w:cs="Times New Roman"/>
                <w:color w:val="auto"/>
                <w:spacing w:val="-5"/>
                <w:sz w:val="21"/>
                <w:highlight w:val="none"/>
                <w:lang w:val="en-US" w:eastAsia="zh-CN"/>
              </w:rPr>
            </w:pPr>
            <w:r>
              <w:rPr>
                <w:rFonts w:hint="eastAsia" w:cs="Times New Roman"/>
                <w:color w:val="auto"/>
                <w:spacing w:val="-5"/>
                <w:sz w:val="21"/>
                <w:highlight w:val="none"/>
                <w:lang w:val="en-US" w:eastAsia="zh-CN"/>
              </w:rPr>
              <w:t>375900</w:t>
            </w:r>
          </w:p>
        </w:tc>
        <w:tc>
          <w:tcPr>
            <w:tcW w:w="955" w:type="dxa"/>
            <w:vAlign w:val="center"/>
          </w:tcPr>
          <w:p w14:paraId="277BB77E">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平方米</w:t>
            </w:r>
          </w:p>
        </w:tc>
        <w:tc>
          <w:tcPr>
            <w:tcW w:w="1247" w:type="dxa"/>
            <w:vAlign w:val="center"/>
          </w:tcPr>
          <w:p w14:paraId="468EC172">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43488C8C">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元/平方米</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52049814">
            <w:pPr>
              <w:kinsoku/>
              <w:autoSpaceDE/>
              <w:autoSpaceDN/>
              <w:adjustRightInd/>
              <w:snapToGrid/>
              <w:spacing w:line="240" w:lineRule="auto"/>
              <w:ind w:firstLine="0" w:firstLineChars="0"/>
              <w:jc w:val="center"/>
              <w:textAlignment w:val="auto"/>
              <w:rPr>
                <w:rFonts w:hint="default" w:cs="Times New Roman"/>
                <w:color w:val="auto"/>
                <w:spacing w:val="-5"/>
                <w:sz w:val="21"/>
                <w:highlight w:val="none"/>
                <w:lang w:val="en-US" w:eastAsia="zh-CN"/>
              </w:rPr>
            </w:pPr>
          </w:p>
        </w:tc>
      </w:tr>
      <w:tr w14:paraId="652C75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679" w:type="dxa"/>
            <w:gridSpan w:val="6"/>
            <w:vAlign w:val="center"/>
          </w:tcPr>
          <w:p w14:paraId="71D28529">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园林绿化及公园管理费用合计</w:t>
            </w:r>
          </w:p>
        </w:tc>
        <w:tc>
          <w:tcPr>
            <w:tcW w:w="1518" w:type="dxa"/>
            <w:vAlign w:val="center"/>
          </w:tcPr>
          <w:p w14:paraId="3DB6C362">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452BA5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9197" w:type="dxa"/>
            <w:gridSpan w:val="7"/>
            <w:vAlign w:val="center"/>
          </w:tcPr>
          <w:p w14:paraId="2B860D5A">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市政设施</w:t>
            </w:r>
          </w:p>
        </w:tc>
      </w:tr>
      <w:tr w14:paraId="2B2FF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55" w:type="dxa"/>
            <w:vAlign w:val="center"/>
          </w:tcPr>
          <w:p w14:paraId="0DFF4C76">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default" w:ascii="Times New Roman" w:hAnsi="Times New Roman" w:cs="Times New Roman"/>
                <w:color w:val="auto"/>
                <w:spacing w:val="-5"/>
                <w:sz w:val="21"/>
                <w:highlight w:val="none"/>
                <w:lang w:val="en-US" w:eastAsia="zh-CN"/>
              </w:rPr>
              <w:t>1</w:t>
            </w:r>
            <w:r>
              <w:rPr>
                <w:rFonts w:hint="eastAsia" w:ascii="Times New Roman" w:hAnsi="Times New Roman" w:cs="Times New Roman"/>
                <w:color w:val="auto"/>
                <w:spacing w:val="-5"/>
                <w:sz w:val="21"/>
                <w:highlight w:val="none"/>
                <w:lang w:val="en-US" w:eastAsia="zh-CN"/>
              </w:rPr>
              <w:t>2</w:t>
            </w:r>
          </w:p>
        </w:tc>
        <w:tc>
          <w:tcPr>
            <w:tcW w:w="2467" w:type="dxa"/>
            <w:vAlign w:val="center"/>
          </w:tcPr>
          <w:p w14:paraId="29EE2134">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市政道路养护</w:t>
            </w:r>
          </w:p>
        </w:tc>
        <w:tc>
          <w:tcPr>
            <w:tcW w:w="1083" w:type="dxa"/>
            <w:vAlign w:val="center"/>
          </w:tcPr>
          <w:p w14:paraId="069F8BD3">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eastAsia" w:cs="Times New Roman"/>
                <w:color w:val="auto"/>
                <w:spacing w:val="-5"/>
                <w:sz w:val="21"/>
                <w:highlight w:val="none"/>
                <w:lang w:val="en-US" w:eastAsia="zh-CN"/>
              </w:rPr>
              <w:t>651561.2</w:t>
            </w:r>
          </w:p>
        </w:tc>
        <w:tc>
          <w:tcPr>
            <w:tcW w:w="955" w:type="dxa"/>
            <w:vAlign w:val="center"/>
          </w:tcPr>
          <w:p w14:paraId="6769648F">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平方米</w:t>
            </w:r>
          </w:p>
        </w:tc>
        <w:tc>
          <w:tcPr>
            <w:tcW w:w="1247" w:type="dxa"/>
            <w:vAlign w:val="center"/>
          </w:tcPr>
          <w:p w14:paraId="367FC134">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19CDF739">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元/平方米</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72CC6271">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14743E8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555" w:type="dxa"/>
            <w:vAlign w:val="center"/>
          </w:tcPr>
          <w:p w14:paraId="0505D930">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default" w:ascii="Times New Roman" w:hAnsi="Times New Roman" w:cs="Times New Roman"/>
                <w:color w:val="auto"/>
                <w:spacing w:val="-5"/>
                <w:sz w:val="21"/>
                <w:highlight w:val="none"/>
                <w:lang w:val="en-US" w:eastAsia="zh-CN"/>
              </w:rPr>
              <w:t>1</w:t>
            </w:r>
            <w:r>
              <w:rPr>
                <w:rFonts w:hint="eastAsia" w:ascii="Times New Roman" w:hAnsi="Times New Roman" w:cs="Times New Roman"/>
                <w:color w:val="auto"/>
                <w:spacing w:val="-5"/>
                <w:sz w:val="21"/>
                <w:highlight w:val="none"/>
                <w:lang w:val="en-US" w:eastAsia="zh-CN"/>
              </w:rPr>
              <w:t>3</w:t>
            </w:r>
          </w:p>
        </w:tc>
        <w:tc>
          <w:tcPr>
            <w:tcW w:w="2467" w:type="dxa"/>
            <w:vAlign w:val="center"/>
          </w:tcPr>
          <w:p w14:paraId="0F1CC67C">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路灯照明设施管养</w:t>
            </w:r>
          </w:p>
        </w:tc>
        <w:tc>
          <w:tcPr>
            <w:tcW w:w="1083" w:type="dxa"/>
            <w:vAlign w:val="center"/>
          </w:tcPr>
          <w:p w14:paraId="5EB346A5">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r>
              <w:rPr>
                <w:rFonts w:hint="default" w:ascii="Times New Roman" w:hAnsi="Times New Roman" w:cs="Times New Roman"/>
                <w:color w:val="auto"/>
                <w:spacing w:val="-5"/>
                <w:sz w:val="21"/>
                <w:highlight w:val="none"/>
                <w:lang w:val="en-US" w:eastAsia="zh-CN"/>
              </w:rPr>
              <w:t>1</w:t>
            </w:r>
            <w:r>
              <w:rPr>
                <w:rFonts w:hint="eastAsia" w:cs="Times New Roman"/>
                <w:color w:val="auto"/>
                <w:spacing w:val="-5"/>
                <w:sz w:val="21"/>
                <w:highlight w:val="none"/>
                <w:lang w:val="en-US" w:eastAsia="zh-CN"/>
              </w:rPr>
              <w:t>530</w:t>
            </w:r>
          </w:p>
        </w:tc>
        <w:tc>
          <w:tcPr>
            <w:tcW w:w="955" w:type="dxa"/>
            <w:vAlign w:val="center"/>
          </w:tcPr>
          <w:p w14:paraId="65BAD60E">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个</w:t>
            </w:r>
          </w:p>
        </w:tc>
        <w:tc>
          <w:tcPr>
            <w:tcW w:w="1247" w:type="dxa"/>
            <w:vAlign w:val="center"/>
          </w:tcPr>
          <w:p w14:paraId="344D1AC4">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c>
          <w:tcPr>
            <w:tcW w:w="1372" w:type="dxa"/>
            <w:vAlign w:val="center"/>
          </w:tcPr>
          <w:p w14:paraId="26043660">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元/个</w:t>
            </w:r>
            <w:r>
              <w:rPr>
                <w:rFonts w:hint="default" w:ascii="Times New Roman" w:hAnsi="Times New Roman" w:cs="Times New Roman"/>
                <w:color w:val="auto"/>
                <w:spacing w:val="-5"/>
                <w:sz w:val="21"/>
                <w:highlight w:val="none"/>
                <w:lang w:val="en-US" w:eastAsia="zh-CN"/>
              </w:rPr>
              <w:t>/</w:t>
            </w:r>
            <w:r>
              <w:rPr>
                <w:rFonts w:hint="eastAsia" w:ascii="Times New Roman" w:hAnsi="Times New Roman" w:cs="Times New Roman"/>
                <w:color w:val="auto"/>
                <w:spacing w:val="-5"/>
                <w:sz w:val="21"/>
                <w:highlight w:val="none"/>
                <w:lang w:val="en-US" w:eastAsia="zh-CN"/>
              </w:rPr>
              <w:t>年</w:t>
            </w:r>
          </w:p>
        </w:tc>
        <w:tc>
          <w:tcPr>
            <w:tcW w:w="1518" w:type="dxa"/>
            <w:vAlign w:val="center"/>
          </w:tcPr>
          <w:p w14:paraId="6A95CE97">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7CD61E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8" w:hRule="atLeast"/>
        </w:trPr>
        <w:tc>
          <w:tcPr>
            <w:tcW w:w="7679" w:type="dxa"/>
            <w:gridSpan w:val="6"/>
            <w:vAlign w:val="center"/>
          </w:tcPr>
          <w:p w14:paraId="714303C2">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市政设施费用合计</w:t>
            </w:r>
          </w:p>
        </w:tc>
        <w:tc>
          <w:tcPr>
            <w:tcW w:w="1518" w:type="dxa"/>
            <w:vAlign w:val="center"/>
          </w:tcPr>
          <w:p w14:paraId="4624F3BB">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r w14:paraId="38F641A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7679" w:type="dxa"/>
            <w:gridSpan w:val="6"/>
            <w:vAlign w:val="center"/>
          </w:tcPr>
          <w:p w14:paraId="1427AC4C">
            <w:pPr>
              <w:kinsoku/>
              <w:autoSpaceDE/>
              <w:autoSpaceDN/>
              <w:adjustRightInd/>
              <w:snapToGrid/>
              <w:spacing w:line="240" w:lineRule="auto"/>
              <w:ind w:firstLine="0" w:firstLineChars="0"/>
              <w:jc w:val="center"/>
              <w:textAlignment w:val="auto"/>
              <w:rPr>
                <w:rFonts w:hint="eastAsia" w:ascii="Times New Roman" w:hAnsi="Times New Roman" w:cs="Times New Roman"/>
                <w:color w:val="auto"/>
                <w:spacing w:val="-5"/>
                <w:sz w:val="21"/>
                <w:highlight w:val="none"/>
                <w:lang w:val="en-US" w:eastAsia="zh-CN"/>
              </w:rPr>
            </w:pPr>
            <w:r>
              <w:rPr>
                <w:rFonts w:hint="eastAsia" w:ascii="Times New Roman" w:hAnsi="Times New Roman" w:cs="Times New Roman"/>
                <w:color w:val="auto"/>
                <w:spacing w:val="-5"/>
                <w:sz w:val="21"/>
                <w:highlight w:val="none"/>
                <w:lang w:val="en-US" w:eastAsia="zh-CN"/>
              </w:rPr>
              <w:t>合计</w:t>
            </w:r>
          </w:p>
        </w:tc>
        <w:tc>
          <w:tcPr>
            <w:tcW w:w="1518" w:type="dxa"/>
            <w:vAlign w:val="center"/>
          </w:tcPr>
          <w:p w14:paraId="0795D768">
            <w:pPr>
              <w:kinsoku/>
              <w:autoSpaceDE/>
              <w:autoSpaceDN/>
              <w:adjustRightInd/>
              <w:snapToGrid/>
              <w:spacing w:line="240" w:lineRule="auto"/>
              <w:ind w:firstLine="0" w:firstLineChars="0"/>
              <w:jc w:val="center"/>
              <w:textAlignment w:val="auto"/>
              <w:rPr>
                <w:rFonts w:hint="default" w:ascii="Times New Roman" w:hAnsi="Times New Roman" w:cs="Times New Roman"/>
                <w:color w:val="auto"/>
                <w:spacing w:val="-5"/>
                <w:sz w:val="21"/>
                <w:highlight w:val="none"/>
                <w:lang w:val="en-US" w:eastAsia="zh-CN"/>
              </w:rPr>
            </w:pPr>
          </w:p>
        </w:tc>
      </w:tr>
    </w:tbl>
    <w:p w14:paraId="62480CF8">
      <w:pPr>
        <w:spacing w:line="300" w:lineRule="auto"/>
        <w:rPr>
          <w:rFonts w:ascii="Arial" w:hAnsi="Arial" w:cs="Arial"/>
          <w:color w:val="auto"/>
          <w:szCs w:val="21"/>
          <w:highlight w:val="none"/>
        </w:rPr>
      </w:pPr>
    </w:p>
    <w:p w14:paraId="51101AF7">
      <w:pPr>
        <w:spacing w:line="300" w:lineRule="auto"/>
        <w:rPr>
          <w:rFonts w:ascii="Arial" w:hAnsi="Arial" w:cs="Arial"/>
          <w:color w:val="auto"/>
          <w:szCs w:val="21"/>
          <w:highlight w:val="none"/>
        </w:rPr>
      </w:pPr>
      <w:r>
        <w:rPr>
          <w:rFonts w:ascii="Arial" w:hAnsi="Arial" w:cs="Arial"/>
          <w:color w:val="auto"/>
          <w:szCs w:val="21"/>
          <w:highlight w:val="none"/>
        </w:rPr>
        <w:t>投标人名称</w:t>
      </w:r>
      <w:r>
        <w:rPr>
          <w:rFonts w:hint="eastAsia" w:ascii="宋体" w:hAnsi="宋体" w:cs="宋体"/>
          <w:color w:val="auto"/>
          <w:kern w:val="0"/>
          <w:sz w:val="24"/>
          <w:highlight w:val="none"/>
          <w:lang w:val="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Arial" w:hAnsi="Arial" w:cs="Arial"/>
          <w:color w:val="auto"/>
          <w:szCs w:val="21"/>
          <w:highlight w:val="none"/>
        </w:rPr>
        <w:t>：</w:t>
      </w:r>
    </w:p>
    <w:p w14:paraId="2F327AC4">
      <w:pPr>
        <w:spacing w:line="300" w:lineRule="auto"/>
        <w:rPr>
          <w:rFonts w:ascii="Arial" w:hAnsi="Arial" w:cs="Arial"/>
          <w:color w:val="auto"/>
          <w:szCs w:val="21"/>
          <w:highlight w:val="none"/>
        </w:rPr>
      </w:pPr>
      <w:r>
        <w:rPr>
          <w:rFonts w:ascii="Arial" w:hAnsi="Arial" w:cs="Arial"/>
          <w:color w:val="auto"/>
          <w:szCs w:val="21"/>
          <w:highlight w:val="none"/>
        </w:rPr>
        <w:t>日期：</w:t>
      </w:r>
    </w:p>
    <w:p w14:paraId="1AA2B51E">
      <w:pPr>
        <w:spacing w:line="360" w:lineRule="auto"/>
        <w:rPr>
          <w:rFonts w:hint="eastAsia" w:ascii="宋体" w:hAnsi="宋体" w:eastAsia="宋体" w:cs="宋体"/>
          <w:b/>
          <w:color w:val="auto"/>
          <w:sz w:val="21"/>
          <w:szCs w:val="21"/>
          <w:highlight w:val="none"/>
          <w:lang w:eastAsia="zh-CN"/>
        </w:rPr>
      </w:pPr>
    </w:p>
    <w:p w14:paraId="19373AA9">
      <w:pPr>
        <w:spacing w:line="360" w:lineRule="auto"/>
        <w:rPr>
          <w:rFonts w:hint="eastAsia" w:ascii="宋体" w:hAnsi="宋体" w:eastAsia="宋体" w:cs="宋体"/>
          <w:b/>
          <w:color w:val="auto"/>
          <w:sz w:val="21"/>
          <w:szCs w:val="21"/>
          <w:highlight w:val="none"/>
          <w:lang w:eastAsia="zh-CN"/>
        </w:rPr>
      </w:pPr>
      <w:r>
        <w:rPr>
          <w:rFonts w:hint="eastAsia" w:ascii="宋体" w:hAnsi="宋体" w:eastAsia="宋体" w:cs="宋体"/>
          <w:b/>
          <w:color w:val="auto"/>
          <w:sz w:val="21"/>
          <w:szCs w:val="21"/>
          <w:highlight w:val="none"/>
          <w:lang w:eastAsia="zh-CN"/>
        </w:rPr>
        <w:t>注：</w:t>
      </w:r>
    </w:p>
    <w:p w14:paraId="4681585F">
      <w:pPr>
        <w:spacing w:line="360" w:lineRule="auto"/>
        <w:ind w:firstLine="435"/>
        <w:rPr>
          <w:rFonts w:hint="default"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default" w:ascii="宋体" w:hAnsi="宋体" w:eastAsia="宋体" w:cs="宋体"/>
          <w:color w:val="auto"/>
          <w:sz w:val="21"/>
          <w:szCs w:val="21"/>
          <w:highlight w:val="none"/>
          <w:lang w:val="en-US" w:eastAsia="zh-CN"/>
        </w:rPr>
        <w:t>按照本表填写的各项目的投标报价合计填写到</w:t>
      </w:r>
      <w:r>
        <w:rPr>
          <w:rFonts w:hint="eastAsia" w:ascii="宋体" w:hAnsi="宋体" w:eastAsia="宋体" w:cs="宋体"/>
          <w:color w:val="auto"/>
          <w:sz w:val="21"/>
          <w:szCs w:val="21"/>
          <w:highlight w:val="none"/>
          <w:lang w:val="en-US" w:eastAsia="zh-CN"/>
        </w:rPr>
        <w:t>“开标一览表”</w:t>
      </w:r>
      <w:r>
        <w:rPr>
          <w:rFonts w:hint="default" w:ascii="宋体" w:hAnsi="宋体" w:eastAsia="宋体" w:cs="宋体"/>
          <w:color w:val="auto"/>
          <w:sz w:val="21"/>
          <w:szCs w:val="21"/>
          <w:highlight w:val="none"/>
          <w:lang w:val="en-US" w:eastAsia="zh-CN"/>
        </w:rPr>
        <w:t>中对应的</w:t>
      </w:r>
      <w:r>
        <w:rPr>
          <w:rFonts w:hint="eastAsia"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投标报价</w:t>
      </w:r>
      <w:r>
        <w:rPr>
          <w:rFonts w:hint="eastAsia" w:cs="宋体"/>
          <w:color w:val="auto"/>
          <w:sz w:val="21"/>
          <w:szCs w:val="21"/>
          <w:highlight w:val="none"/>
          <w:lang w:val="en-US" w:eastAsia="zh-CN"/>
        </w:rPr>
        <w:t>”</w:t>
      </w:r>
      <w:r>
        <w:rPr>
          <w:rFonts w:hint="default" w:ascii="宋体" w:hAnsi="宋体" w:eastAsia="宋体" w:cs="宋体"/>
          <w:color w:val="auto"/>
          <w:sz w:val="21"/>
          <w:szCs w:val="21"/>
          <w:highlight w:val="none"/>
          <w:lang w:val="en-US" w:eastAsia="zh-CN"/>
        </w:rPr>
        <w:t>栏中。</w:t>
      </w:r>
    </w:p>
    <w:p w14:paraId="25B9431E">
      <w:pPr>
        <w:spacing w:line="360" w:lineRule="auto"/>
        <w:ind w:firstLine="435"/>
        <w:rPr>
          <w:rFonts w:hint="eastAsia" w:ascii="宋体" w:hAnsi="宋体" w:eastAsia="宋体" w:cs="宋体"/>
          <w:color w:val="auto"/>
          <w:sz w:val="24"/>
          <w:szCs w:val="24"/>
          <w:highlight w:val="none"/>
        </w:rPr>
      </w:pPr>
      <w:r>
        <w:rPr>
          <w:rFonts w:hint="eastAsia" w:cs="宋体"/>
          <w:color w:val="auto"/>
          <w:sz w:val="21"/>
          <w:szCs w:val="21"/>
          <w:highlight w:val="none"/>
          <w:lang w:val="en-US" w:eastAsia="zh-CN"/>
        </w:rPr>
        <w:t>2</w:t>
      </w:r>
      <w:r>
        <w:rPr>
          <w:rFonts w:hint="eastAsia" w:ascii="宋体" w:hAnsi="宋体" w:eastAsia="宋体" w:cs="宋体"/>
          <w:color w:val="auto"/>
          <w:sz w:val="21"/>
          <w:szCs w:val="21"/>
          <w:highlight w:val="none"/>
        </w:rPr>
        <w:t>.所列服务为对应本项目需求的全部服务内容。如有漏项或缺项，投标人承担全部责任。</w:t>
      </w:r>
      <w:r>
        <w:rPr>
          <w:rFonts w:hint="eastAsia" w:ascii="宋体" w:hAnsi="宋体" w:eastAsia="宋体" w:cs="宋体"/>
          <w:color w:val="auto"/>
          <w:sz w:val="24"/>
          <w:szCs w:val="24"/>
          <w:highlight w:val="none"/>
        </w:rPr>
        <w:br w:type="page"/>
      </w:r>
    </w:p>
    <w:p w14:paraId="4A59D451">
      <w:pPr>
        <w:pStyle w:val="62"/>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color w:val="auto"/>
          <w:highlight w:val="none"/>
          <w:lang w:val="en-US" w:eastAsia="zh-CN"/>
        </w:rPr>
      </w:pPr>
    </w:p>
    <w:p w14:paraId="42253C07">
      <w:pPr>
        <w:ind w:firstLine="480" w:firstLineChars="200"/>
        <w:rPr>
          <w:rFonts w:cs="仿宋_GB2312"/>
          <w:color w:val="auto"/>
          <w:szCs w:val="24"/>
          <w:highlight w:val="none"/>
          <w:lang w:val="zh-CN"/>
        </w:rPr>
      </w:pPr>
      <w:r>
        <w:rPr>
          <w:rFonts w:hint="eastAsia" w:cs="仿宋_GB2312"/>
          <w:color w:val="auto"/>
          <w:szCs w:val="24"/>
          <w:highlight w:val="none"/>
          <w:lang w:val="zh-CN"/>
        </w:rPr>
        <w:t>封面：</w:t>
      </w:r>
    </w:p>
    <w:p w14:paraId="1369E9F7">
      <w:pPr>
        <w:autoSpaceDE w:val="0"/>
        <w:autoSpaceDN w:val="0"/>
        <w:adjustRightInd w:val="0"/>
        <w:rPr>
          <w:color w:val="auto"/>
          <w:sz w:val="21"/>
          <w:szCs w:val="24"/>
          <w:highlight w:val="none"/>
        </w:rPr>
      </w:pPr>
    </w:p>
    <w:p w14:paraId="7545DFD8">
      <w:pPr>
        <w:autoSpaceDE w:val="0"/>
        <w:autoSpaceDN w:val="0"/>
        <w:adjustRightInd w:val="0"/>
        <w:rPr>
          <w:color w:val="auto"/>
          <w:sz w:val="21"/>
          <w:szCs w:val="24"/>
          <w:highlight w:val="none"/>
        </w:rPr>
      </w:pPr>
    </w:p>
    <w:p w14:paraId="6E9DF04D">
      <w:pPr>
        <w:autoSpaceDE w:val="0"/>
        <w:autoSpaceDN w:val="0"/>
        <w:adjustRightInd w:val="0"/>
        <w:jc w:val="center"/>
        <w:rPr>
          <w:color w:val="auto"/>
          <w:sz w:val="21"/>
          <w:szCs w:val="24"/>
          <w:highlight w:val="none"/>
        </w:rPr>
      </w:pPr>
    </w:p>
    <w:p w14:paraId="4A09F0AA">
      <w:pPr>
        <w:pStyle w:val="3"/>
        <w:bidi w:val="0"/>
        <w:jc w:val="center"/>
        <w:rPr>
          <w:color w:val="auto"/>
          <w:sz w:val="84"/>
          <w:szCs w:val="84"/>
          <w:highlight w:val="none"/>
        </w:rPr>
      </w:pPr>
      <w:bookmarkStart w:id="682" w:name="_Toc23184"/>
      <w:bookmarkStart w:id="683" w:name="_Toc10529"/>
      <w:bookmarkStart w:id="684" w:name="_Toc4489"/>
      <w:r>
        <w:rPr>
          <w:rFonts w:hint="eastAsia"/>
          <w:color w:val="auto"/>
          <w:sz w:val="84"/>
          <w:szCs w:val="84"/>
          <w:highlight w:val="none"/>
        </w:rPr>
        <w:t>投 标 文 件</w:t>
      </w:r>
      <w:bookmarkEnd w:id="682"/>
      <w:bookmarkEnd w:id="683"/>
      <w:bookmarkEnd w:id="684"/>
    </w:p>
    <w:p w14:paraId="4E8ADE01">
      <w:pPr>
        <w:pStyle w:val="3"/>
        <w:bidi w:val="0"/>
        <w:jc w:val="center"/>
        <w:rPr>
          <w:rFonts w:hint="eastAsia"/>
          <w:color w:val="auto"/>
          <w:sz w:val="56"/>
          <w:szCs w:val="56"/>
          <w:highlight w:val="none"/>
          <w:lang w:val="en-US" w:eastAsia="zh-CN"/>
        </w:rPr>
      </w:pPr>
      <w:bookmarkStart w:id="685" w:name="_Toc26020"/>
      <w:r>
        <w:rPr>
          <w:rFonts w:hint="eastAsia"/>
          <w:color w:val="auto"/>
          <w:sz w:val="56"/>
          <w:szCs w:val="56"/>
          <w:highlight w:val="none"/>
          <w:lang w:val="en-US" w:eastAsia="zh-CN"/>
        </w:rPr>
        <w:t>商务技术文件</w:t>
      </w:r>
      <w:bookmarkEnd w:id="685"/>
    </w:p>
    <w:p w14:paraId="570FB9DD">
      <w:pPr>
        <w:autoSpaceDE w:val="0"/>
        <w:autoSpaceDN w:val="0"/>
        <w:adjustRightInd w:val="0"/>
        <w:jc w:val="center"/>
        <w:rPr>
          <w:rFonts w:hint="eastAsia" w:eastAsia="宋体"/>
          <w:color w:val="auto"/>
          <w:sz w:val="36"/>
          <w:szCs w:val="36"/>
          <w:highlight w:val="none"/>
          <w:lang w:eastAsia="zh-CN"/>
        </w:rPr>
      </w:pPr>
      <w:r>
        <w:rPr>
          <w:rFonts w:hint="eastAsia"/>
          <w:color w:val="auto"/>
          <w:sz w:val="36"/>
          <w:szCs w:val="36"/>
          <w:highlight w:val="none"/>
          <w:lang w:val="en-US" w:eastAsia="zh-CN"/>
        </w:rPr>
        <w:t>（第XX包</w:t>
      </w:r>
      <w:r>
        <w:rPr>
          <w:rFonts w:hint="eastAsia"/>
          <w:color w:val="auto"/>
          <w:sz w:val="36"/>
          <w:szCs w:val="36"/>
          <w:highlight w:val="none"/>
          <w:lang w:eastAsia="zh-CN"/>
        </w:rPr>
        <w:t>）【</w:t>
      </w:r>
      <w:r>
        <w:rPr>
          <w:rFonts w:hint="eastAsia"/>
          <w:color w:val="auto"/>
          <w:sz w:val="36"/>
          <w:szCs w:val="36"/>
          <w:highlight w:val="none"/>
          <w:lang w:val="en-US" w:eastAsia="zh-CN"/>
        </w:rPr>
        <w:t>如不分包，请删去本行</w:t>
      </w:r>
      <w:r>
        <w:rPr>
          <w:rFonts w:hint="eastAsia"/>
          <w:color w:val="auto"/>
          <w:sz w:val="36"/>
          <w:szCs w:val="36"/>
          <w:highlight w:val="none"/>
          <w:lang w:eastAsia="zh-CN"/>
        </w:rPr>
        <w:t>】</w:t>
      </w:r>
    </w:p>
    <w:p w14:paraId="3BFF9900">
      <w:pPr>
        <w:pStyle w:val="3"/>
        <w:rPr>
          <w:color w:val="auto"/>
          <w:sz w:val="21"/>
          <w:szCs w:val="21"/>
          <w:highlight w:val="none"/>
        </w:rPr>
      </w:pPr>
    </w:p>
    <w:p w14:paraId="3304790D">
      <w:pPr>
        <w:rPr>
          <w:color w:val="auto"/>
          <w:sz w:val="21"/>
          <w:szCs w:val="21"/>
          <w:highlight w:val="none"/>
        </w:rPr>
      </w:pPr>
    </w:p>
    <w:p w14:paraId="414CC1ED">
      <w:pPr>
        <w:rPr>
          <w:color w:val="auto"/>
          <w:highlight w:val="none"/>
        </w:rPr>
      </w:pPr>
    </w:p>
    <w:p w14:paraId="789512AB">
      <w:pPr>
        <w:autoSpaceDE w:val="0"/>
        <w:autoSpaceDN w:val="0"/>
        <w:adjustRightInd w:val="0"/>
        <w:rPr>
          <w:color w:val="auto"/>
          <w:sz w:val="21"/>
          <w:szCs w:val="21"/>
          <w:highlight w:val="none"/>
        </w:rPr>
      </w:pPr>
    </w:p>
    <w:p w14:paraId="4BE21783">
      <w:pPr>
        <w:autoSpaceDE w:val="0"/>
        <w:autoSpaceDN w:val="0"/>
        <w:adjustRightInd w:val="0"/>
        <w:rPr>
          <w:color w:val="auto"/>
          <w:sz w:val="21"/>
          <w:szCs w:val="21"/>
          <w:highlight w:val="none"/>
        </w:rPr>
      </w:pPr>
    </w:p>
    <w:p w14:paraId="037029E5">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项目编号：</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538909E">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项目名称：</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6D86FB53">
      <w:pPr>
        <w:ind w:left="420" w:leftChars="175"/>
        <w:rPr>
          <w:rFonts w:hint="eastAsia" w:ascii="宋体" w:hAnsi="宋体" w:eastAsia="宋体" w:cs="宋体"/>
          <w:color w:val="auto"/>
          <w:sz w:val="36"/>
          <w:szCs w:val="36"/>
          <w:highlight w:val="none"/>
        </w:rPr>
      </w:pPr>
      <w:r>
        <w:rPr>
          <w:rFonts w:hint="eastAsia" w:ascii="宋体" w:hAnsi="宋体" w:eastAsia="宋体" w:cs="宋体"/>
          <w:color w:val="auto"/>
          <w:sz w:val="36"/>
          <w:szCs w:val="36"/>
          <w:highlight w:val="none"/>
        </w:rPr>
        <w:t>投</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标</w:t>
      </w:r>
      <w:r>
        <w:rPr>
          <w:rFonts w:hint="eastAsia" w:ascii="宋体" w:hAnsi="宋体" w:eastAsia="宋体" w:cs="宋体"/>
          <w:color w:val="auto"/>
          <w:sz w:val="36"/>
          <w:szCs w:val="36"/>
          <w:highlight w:val="none"/>
          <w:lang w:val="en-US" w:eastAsia="zh-CN"/>
        </w:rPr>
        <w:t xml:space="preserve"> </w:t>
      </w:r>
      <w:r>
        <w:rPr>
          <w:rFonts w:hint="eastAsia" w:ascii="宋体" w:hAnsi="宋体" w:eastAsia="宋体" w:cs="宋体"/>
          <w:color w:val="auto"/>
          <w:sz w:val="36"/>
          <w:szCs w:val="36"/>
          <w:highlight w:val="none"/>
        </w:rPr>
        <w:t>人：</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r>
        <w:rPr>
          <w:rFonts w:hint="eastAsia" w:ascii="宋体" w:hAnsi="宋体" w:eastAsia="宋体" w:cs="宋体"/>
          <w:color w:val="auto"/>
          <w:sz w:val="36"/>
          <w:szCs w:val="36"/>
          <w:highlight w:val="none"/>
          <w:u w:val="single"/>
          <w:lang w:val="en-US" w:eastAsia="zh-CN"/>
        </w:rPr>
        <w:t xml:space="preserve"> </w:t>
      </w:r>
      <w:r>
        <w:rPr>
          <w:rFonts w:hint="eastAsia" w:ascii="宋体" w:hAnsi="宋体" w:eastAsia="宋体" w:cs="宋体"/>
          <w:color w:val="auto"/>
          <w:sz w:val="36"/>
          <w:szCs w:val="36"/>
          <w:highlight w:val="none"/>
          <w:u w:val="single"/>
        </w:rPr>
        <w:t xml:space="preserve">              </w:t>
      </w:r>
    </w:p>
    <w:p w14:paraId="02BCF110">
      <w:pPr>
        <w:ind w:left="420" w:leftChars="175"/>
        <w:rPr>
          <w:rFonts w:ascii="黑体" w:hAnsi="黑体" w:eastAsia="黑体"/>
          <w:color w:val="auto"/>
          <w:sz w:val="32"/>
          <w:szCs w:val="32"/>
          <w:highlight w:val="none"/>
        </w:rPr>
      </w:pPr>
    </w:p>
    <w:p w14:paraId="70A32CAD">
      <w:pPr>
        <w:ind w:left="840" w:firstLine="420"/>
        <w:rPr>
          <w:b/>
          <w:bCs/>
          <w:color w:val="auto"/>
          <w:sz w:val="28"/>
          <w:szCs w:val="28"/>
          <w:highlight w:val="none"/>
        </w:rPr>
      </w:pPr>
    </w:p>
    <w:p w14:paraId="25D3DD60">
      <w:pPr>
        <w:ind w:left="840" w:firstLine="420"/>
        <w:rPr>
          <w:b/>
          <w:bCs/>
          <w:color w:val="auto"/>
          <w:sz w:val="28"/>
          <w:szCs w:val="28"/>
          <w:highlight w:val="none"/>
        </w:rPr>
      </w:pPr>
    </w:p>
    <w:p w14:paraId="2F9296DD">
      <w:pPr>
        <w:jc w:val="center"/>
        <w:rPr>
          <w:rFonts w:ascii="黑体" w:hAnsi="黑体" w:eastAsia="黑体"/>
          <w:color w:val="auto"/>
          <w:sz w:val="32"/>
          <w:szCs w:val="32"/>
          <w:highlight w:val="none"/>
        </w:rPr>
      </w:pPr>
      <w:r>
        <w:rPr>
          <w:rFonts w:hint="eastAsia" w:ascii="宋体" w:hAnsi="宋体" w:eastAsia="宋体" w:cs="宋体"/>
          <w:color w:val="auto"/>
          <w:sz w:val="32"/>
          <w:szCs w:val="32"/>
          <w:highlight w:val="none"/>
        </w:rPr>
        <w:t>年   月    日</w:t>
      </w:r>
    </w:p>
    <w:p w14:paraId="5C2AEB63">
      <w:pPr>
        <w:rPr>
          <w:color w:val="auto"/>
          <w:highlight w:val="none"/>
          <w:lang w:val="zh-CN"/>
        </w:rPr>
      </w:pPr>
      <w:r>
        <w:rPr>
          <w:color w:val="auto"/>
          <w:highlight w:val="none"/>
          <w:lang w:val="zh-CN"/>
        </w:rPr>
        <w:br w:type="page"/>
      </w:r>
    </w:p>
    <w:p w14:paraId="374BEE88">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686" w:name="_Toc3577"/>
      <w:bookmarkStart w:id="687" w:name="_Toc109899489"/>
      <w:bookmarkStart w:id="688" w:name="_Toc109900327"/>
      <w:bookmarkStart w:id="689" w:name="_Toc140132831"/>
      <w:bookmarkStart w:id="690" w:name="_Toc155185921"/>
      <w:bookmarkStart w:id="691" w:name="_Toc25402"/>
      <w:bookmarkStart w:id="692" w:name="_Toc109899908"/>
      <w:bookmarkStart w:id="693" w:name="_Toc29296"/>
      <w:r>
        <w:rPr>
          <w:rFonts w:hint="eastAsia" w:eastAsia="宋体" w:asciiTheme="majorHAnsi" w:hAnsiTheme="majorHAnsi" w:cstheme="majorBidi"/>
          <w:b/>
          <w:bCs/>
          <w:color w:val="auto"/>
          <w:kern w:val="2"/>
          <w:sz w:val="32"/>
          <w:szCs w:val="32"/>
          <w:highlight w:val="none"/>
          <w:lang w:val="en-US" w:eastAsia="zh-CN" w:bidi="ar-SA"/>
        </w:rPr>
        <w:t>一、投标函</w:t>
      </w:r>
      <w:bookmarkEnd w:id="686"/>
      <w:bookmarkEnd w:id="687"/>
      <w:bookmarkEnd w:id="688"/>
      <w:bookmarkEnd w:id="689"/>
      <w:bookmarkEnd w:id="690"/>
      <w:bookmarkEnd w:id="691"/>
      <w:bookmarkEnd w:id="692"/>
      <w:bookmarkEnd w:id="693"/>
    </w:p>
    <w:p w14:paraId="0ABD9EA3">
      <w:pPr>
        <w:rPr>
          <w:color w:val="auto"/>
          <w:highlight w:val="none"/>
        </w:rPr>
      </w:pPr>
      <w:r>
        <w:rPr>
          <w:rFonts w:hint="eastAsia"/>
          <w:color w:val="auto"/>
          <w:highlight w:val="none"/>
        </w:rPr>
        <w:t>致：（采购人）</w:t>
      </w:r>
    </w:p>
    <w:p w14:paraId="35C4266A">
      <w:pPr>
        <w:ind w:firstLine="480" w:firstLineChars="200"/>
        <w:rPr>
          <w:rFonts w:cs="仿宋_GB2312"/>
          <w:b/>
          <w:bCs/>
          <w:color w:val="auto"/>
          <w:szCs w:val="24"/>
          <w:highlight w:val="none"/>
        </w:rPr>
      </w:pPr>
      <w:r>
        <w:rPr>
          <w:rFonts w:hint="eastAsia" w:cs="仿宋_GB2312"/>
          <w:color w:val="auto"/>
          <w:szCs w:val="24"/>
          <w:highlight w:val="none"/>
        </w:rPr>
        <w:t>根据贵方</w:t>
      </w:r>
      <w:r>
        <w:rPr>
          <w:rFonts w:hint="eastAsia" w:cs="仿宋_GB2312"/>
          <w:color w:val="auto"/>
          <w:szCs w:val="24"/>
          <w:highlight w:val="none"/>
          <w:u w:val="single"/>
        </w:rPr>
        <w:t>（项目名称）（项目编号）</w:t>
      </w:r>
      <w:r>
        <w:rPr>
          <w:rFonts w:hint="eastAsia" w:cs="仿宋_GB2312"/>
          <w:color w:val="auto"/>
          <w:szCs w:val="24"/>
          <w:highlight w:val="none"/>
          <w:lang w:val="en-US" w:eastAsia="zh-CN"/>
        </w:rPr>
        <w:t>项目</w:t>
      </w:r>
      <w:r>
        <w:rPr>
          <w:rFonts w:hint="eastAsia" w:cs="仿宋_GB2312"/>
          <w:color w:val="auto"/>
          <w:szCs w:val="24"/>
          <w:highlight w:val="none"/>
        </w:rPr>
        <w:t>的</w:t>
      </w:r>
      <w:r>
        <w:rPr>
          <w:rFonts w:hint="eastAsia" w:cs="仿宋_GB2312"/>
          <w:color w:val="auto"/>
          <w:szCs w:val="24"/>
          <w:highlight w:val="none"/>
          <w:lang w:val="en-US" w:eastAsia="zh-CN"/>
        </w:rPr>
        <w:t>招标公告</w:t>
      </w:r>
      <w:r>
        <w:rPr>
          <w:rFonts w:hint="eastAsia" w:cs="仿宋_GB2312"/>
          <w:color w:val="auto"/>
          <w:szCs w:val="24"/>
          <w:highlight w:val="none"/>
        </w:rPr>
        <w:t>，签字代表</w:t>
      </w:r>
      <w:r>
        <w:rPr>
          <w:rFonts w:hint="eastAsia" w:cs="仿宋_GB2312"/>
          <w:color w:val="auto"/>
          <w:szCs w:val="24"/>
          <w:highlight w:val="none"/>
          <w:u w:val="single"/>
        </w:rPr>
        <w:t>（姓名、职务）</w:t>
      </w:r>
      <w:r>
        <w:rPr>
          <w:rFonts w:hint="eastAsia" w:cs="仿宋_GB2312"/>
          <w:color w:val="auto"/>
          <w:szCs w:val="24"/>
          <w:highlight w:val="none"/>
        </w:rPr>
        <w:t>经正式授权并代表投标人</w:t>
      </w:r>
      <w:r>
        <w:rPr>
          <w:rFonts w:hint="eastAsia" w:cs="仿宋_GB2312"/>
          <w:color w:val="auto"/>
          <w:szCs w:val="24"/>
          <w:highlight w:val="none"/>
          <w:u w:val="single"/>
        </w:rPr>
        <w:t>（投标人名称、地址）</w:t>
      </w:r>
      <w:r>
        <w:rPr>
          <w:rFonts w:hint="eastAsia" w:cs="仿宋_GB2312"/>
          <w:color w:val="auto"/>
          <w:szCs w:val="24"/>
          <w:highlight w:val="none"/>
        </w:rPr>
        <w:t>提交下述文件</w:t>
      </w:r>
      <w:r>
        <w:rPr>
          <w:rFonts w:hint="eastAsia" w:cs="仿宋_GB2312"/>
          <w:b/>
          <w:bCs/>
          <w:color w:val="auto"/>
          <w:szCs w:val="24"/>
          <w:highlight w:val="none"/>
        </w:rPr>
        <w:t>：</w:t>
      </w:r>
    </w:p>
    <w:p w14:paraId="21BBF032">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hint="eastAsia" w:cs="Arial"/>
          <w:color w:val="auto"/>
          <w:szCs w:val="24"/>
          <w:highlight w:val="none"/>
        </w:rPr>
        <w:t>资格</w:t>
      </w:r>
      <w:r>
        <w:rPr>
          <w:rFonts w:hint="eastAsia" w:cs="Arial"/>
          <w:color w:val="auto"/>
          <w:szCs w:val="24"/>
          <w:highlight w:val="none"/>
          <w:lang w:val="en-US" w:eastAsia="zh-CN"/>
        </w:rPr>
        <w:t>证明</w:t>
      </w:r>
      <w:r>
        <w:rPr>
          <w:rFonts w:hint="eastAsia" w:cs="Arial"/>
          <w:color w:val="auto"/>
          <w:szCs w:val="24"/>
          <w:highlight w:val="none"/>
        </w:rPr>
        <w:t>文件</w:t>
      </w:r>
      <w:r>
        <w:rPr>
          <w:rFonts w:cs="Arial"/>
          <w:color w:val="auto"/>
          <w:szCs w:val="24"/>
          <w:highlight w:val="none"/>
        </w:rPr>
        <w:t>；</w:t>
      </w:r>
    </w:p>
    <w:p w14:paraId="0A0EA079">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投标报价</w:t>
      </w:r>
      <w:r>
        <w:rPr>
          <w:rFonts w:cs="Arial"/>
          <w:color w:val="auto"/>
          <w:szCs w:val="24"/>
          <w:highlight w:val="none"/>
        </w:rPr>
        <w:t>文件</w:t>
      </w:r>
      <w:r>
        <w:rPr>
          <w:rFonts w:hint="eastAsia" w:cs="Arial"/>
          <w:color w:val="auto"/>
          <w:szCs w:val="24"/>
          <w:highlight w:val="none"/>
        </w:rPr>
        <w:t>；</w:t>
      </w:r>
    </w:p>
    <w:p w14:paraId="7C008F28">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lang w:val="en-US" w:eastAsia="zh-CN"/>
        </w:rPr>
        <w:t>商务技术</w:t>
      </w:r>
      <w:r>
        <w:rPr>
          <w:rFonts w:hint="eastAsia" w:cs="Arial"/>
          <w:color w:val="auto"/>
          <w:szCs w:val="24"/>
          <w:highlight w:val="none"/>
        </w:rPr>
        <w:t>文件</w:t>
      </w:r>
      <w:r>
        <w:rPr>
          <w:rFonts w:cs="Arial"/>
          <w:color w:val="auto"/>
          <w:szCs w:val="24"/>
          <w:highlight w:val="none"/>
        </w:rPr>
        <w:t>。</w:t>
      </w:r>
    </w:p>
    <w:p w14:paraId="2038C573">
      <w:pPr>
        <w:spacing w:line="324" w:lineRule="auto"/>
        <w:ind w:firstLine="480" w:firstLineChars="200"/>
        <w:rPr>
          <w:rFonts w:cs="Arial"/>
          <w:color w:val="auto"/>
          <w:szCs w:val="24"/>
          <w:highlight w:val="none"/>
        </w:rPr>
      </w:pPr>
      <w:r>
        <w:rPr>
          <w:rFonts w:cs="Arial"/>
          <w:color w:val="auto"/>
          <w:szCs w:val="24"/>
          <w:highlight w:val="none"/>
        </w:rPr>
        <w:t>根据此函，签字代表宣布同意如下：</w:t>
      </w:r>
    </w:p>
    <w:p w14:paraId="7021F257">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1.</w:t>
      </w:r>
      <w:r>
        <w:rPr>
          <w:rFonts w:cs="Arial"/>
          <w:color w:val="auto"/>
          <w:szCs w:val="24"/>
          <w:highlight w:val="none"/>
        </w:rPr>
        <w:t>所附投标价格表中规定的应提交和交付的服务和</w:t>
      </w:r>
      <w:r>
        <w:rPr>
          <w:rFonts w:hint="eastAsia" w:cs="Arial"/>
          <w:color w:val="auto"/>
          <w:szCs w:val="24"/>
          <w:highlight w:val="none"/>
          <w:lang w:val="en-US" w:eastAsia="zh-CN"/>
        </w:rPr>
        <w:t>相关</w:t>
      </w:r>
      <w:r>
        <w:rPr>
          <w:rFonts w:hint="eastAsia" w:cs="Arial"/>
          <w:color w:val="auto"/>
          <w:szCs w:val="24"/>
          <w:highlight w:val="none"/>
        </w:rPr>
        <w:t>货物（如有）</w:t>
      </w:r>
      <w:r>
        <w:rPr>
          <w:rFonts w:cs="Arial"/>
          <w:color w:val="auto"/>
          <w:szCs w:val="24"/>
          <w:highlight w:val="none"/>
        </w:rPr>
        <w:t>的</w:t>
      </w:r>
      <w:r>
        <w:rPr>
          <w:rFonts w:hint="eastAsia" w:cs="Arial"/>
          <w:color w:val="auto"/>
          <w:szCs w:val="24"/>
          <w:highlight w:val="none"/>
        </w:rPr>
        <w:t>投标报价</w:t>
      </w:r>
      <w:r>
        <w:rPr>
          <w:rFonts w:cs="Arial"/>
          <w:color w:val="auto"/>
          <w:szCs w:val="24"/>
          <w:highlight w:val="none"/>
        </w:rPr>
        <w:t>为</w:t>
      </w:r>
      <w:r>
        <w:rPr>
          <w:rFonts w:hint="eastAsia" w:cs="Arial"/>
          <w:color w:val="auto"/>
          <w:szCs w:val="24"/>
          <w:highlight w:val="none"/>
        </w:rPr>
        <w:t xml:space="preserve"> </w:t>
      </w:r>
      <w:r>
        <w:rPr>
          <w:rFonts w:hint="eastAsia" w:cs="Arial"/>
          <w:color w:val="auto"/>
          <w:szCs w:val="24"/>
          <w:highlight w:val="none"/>
          <w:u w:val="single"/>
        </w:rPr>
        <w:t xml:space="preserve">                  </w:t>
      </w:r>
      <w:r>
        <w:rPr>
          <w:rFonts w:cs="Arial"/>
          <w:color w:val="auto"/>
          <w:szCs w:val="24"/>
          <w:highlight w:val="none"/>
        </w:rPr>
        <w:t>。</w:t>
      </w:r>
    </w:p>
    <w:p w14:paraId="3FF1B405">
      <w:pPr>
        <w:numPr>
          <w:ilvl w:val="0"/>
          <w:numId w:val="0"/>
        </w:numPr>
        <w:spacing w:line="324" w:lineRule="auto"/>
        <w:ind w:firstLine="480" w:firstLineChars="200"/>
        <w:jc w:val="both"/>
        <w:rPr>
          <w:rFonts w:cs="Arial"/>
          <w:color w:val="auto"/>
          <w:szCs w:val="24"/>
          <w:highlight w:val="none"/>
        </w:rPr>
      </w:pPr>
      <w:r>
        <w:rPr>
          <w:rFonts w:hint="eastAsia" w:ascii="宋体" w:hAnsi="宋体" w:eastAsia="宋体" w:cs="Arial"/>
          <w:color w:val="auto"/>
          <w:kern w:val="2"/>
          <w:sz w:val="24"/>
          <w:szCs w:val="24"/>
          <w:highlight w:val="none"/>
          <w:lang w:val="en-US" w:eastAsia="zh-CN" w:bidi="ar-SA"/>
        </w:rPr>
        <w:t>2.</w:t>
      </w:r>
      <w:r>
        <w:rPr>
          <w:rFonts w:hint="eastAsia" w:cs="Arial"/>
          <w:color w:val="auto"/>
          <w:szCs w:val="24"/>
          <w:highlight w:val="none"/>
        </w:rPr>
        <w:t>我方</w:t>
      </w:r>
      <w:r>
        <w:rPr>
          <w:rFonts w:cs="Arial"/>
          <w:color w:val="auto"/>
          <w:szCs w:val="24"/>
          <w:highlight w:val="none"/>
        </w:rPr>
        <w:t>将按招标文件的规定履行合同责任和义务。</w:t>
      </w:r>
    </w:p>
    <w:p w14:paraId="464D767C">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color w:val="auto"/>
          <w:kern w:val="2"/>
          <w:sz w:val="24"/>
          <w:szCs w:val="24"/>
          <w:highlight w:val="none"/>
          <w:lang w:val="en-US" w:eastAsia="zh-CN" w:bidi="ar-SA"/>
        </w:rPr>
        <w:t>3.</w:t>
      </w:r>
      <w:r>
        <w:rPr>
          <w:rFonts w:hint="eastAsia" w:cs="Arial"/>
          <w:color w:val="auto"/>
          <w:szCs w:val="24"/>
          <w:highlight w:val="none"/>
        </w:rPr>
        <w:t>我方</w:t>
      </w:r>
      <w:r>
        <w:rPr>
          <w:rFonts w:cs="Arial"/>
          <w:color w:val="auto"/>
          <w:szCs w:val="24"/>
          <w:highlight w:val="none"/>
        </w:rPr>
        <w:t>已详细审查全部招标文件，包括</w:t>
      </w:r>
      <w:r>
        <w:rPr>
          <w:rFonts w:cs="Arial"/>
          <w:i w:val="0"/>
          <w:iCs w:val="0"/>
          <w:color w:val="auto"/>
          <w:szCs w:val="24"/>
          <w:highlight w:val="none"/>
        </w:rPr>
        <w:t>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投标有效期为自提交投标文件的截止之日起</w:t>
      </w:r>
      <w:r>
        <w:rPr>
          <w:rFonts w:hint="eastAsia" w:cs="Arial"/>
          <w:i w:val="0"/>
          <w:iCs w:val="0"/>
          <w:color w:val="auto"/>
          <w:szCs w:val="24"/>
          <w:highlight w:val="none"/>
          <w:u w:val="single"/>
        </w:rPr>
        <w:t xml:space="preserve"> （由投标人填写）</w:t>
      </w:r>
      <w:r>
        <w:rPr>
          <w:rFonts w:cs="Arial"/>
          <w:i w:val="0"/>
          <w:iCs w:val="0"/>
          <w:color w:val="auto"/>
          <w:szCs w:val="24"/>
          <w:highlight w:val="none"/>
        </w:rPr>
        <w:t>个日历天。</w:t>
      </w:r>
    </w:p>
    <w:p w14:paraId="52EDF2A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招标</w:t>
      </w:r>
      <w:r>
        <w:rPr>
          <w:rFonts w:hint="eastAsia" w:cs="Arial"/>
          <w:i w:val="0"/>
          <w:iCs w:val="0"/>
          <w:color w:val="auto"/>
          <w:szCs w:val="24"/>
          <w:highlight w:val="none"/>
        </w:rPr>
        <w:t>文件</w:t>
      </w:r>
      <w:r>
        <w:rPr>
          <w:rFonts w:cs="Arial"/>
          <w:i w:val="0"/>
          <w:iCs w:val="0"/>
          <w:color w:val="auto"/>
          <w:szCs w:val="24"/>
          <w:highlight w:val="none"/>
        </w:rPr>
        <w:t>要求的与投标有关的一切数据或资料，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完全理解贵方不一定接受最低价的投标。</w:t>
      </w:r>
    </w:p>
    <w:p w14:paraId="3CF5A66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本项目如由中标人支付采购代理服务费，我方同意按投标人须知前附表中规定向采购代理机构支付采购代理服务费。</w:t>
      </w:r>
    </w:p>
    <w:p w14:paraId="6A150207">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19A44DC4">
      <w:pPr>
        <w:snapToGrid w:val="0"/>
        <w:spacing w:line="324" w:lineRule="auto"/>
        <w:ind w:firstLine="480" w:firstLineChars="200"/>
        <w:rPr>
          <w:color w:val="auto"/>
          <w:szCs w:val="24"/>
          <w:highlight w:val="none"/>
        </w:rPr>
      </w:pPr>
      <w:r>
        <w:rPr>
          <w:rFonts w:hint="eastAsia"/>
          <w:color w:val="auto"/>
          <w:szCs w:val="24"/>
          <w:highlight w:val="none"/>
          <w:lang w:val="en-US" w:eastAsia="zh-CN"/>
        </w:rPr>
        <w:t>1</w:t>
      </w:r>
      <w:r>
        <w:rPr>
          <w:rFonts w:hint="eastAsia"/>
          <w:color w:val="auto"/>
          <w:szCs w:val="24"/>
          <w:highlight w:val="none"/>
        </w:rPr>
        <w:t>）我方在本投标文件中所提供的全部资料均真实有效，我方承诺对其真实性负责并承担相应后果。</w:t>
      </w:r>
    </w:p>
    <w:p w14:paraId="5FB2607B">
      <w:pPr>
        <w:snapToGrid w:val="0"/>
        <w:spacing w:line="324" w:lineRule="auto"/>
        <w:ind w:firstLine="480" w:firstLineChars="200"/>
        <w:rPr>
          <w:color w:val="auto"/>
          <w:szCs w:val="24"/>
          <w:highlight w:val="none"/>
        </w:rPr>
      </w:pPr>
      <w:r>
        <w:rPr>
          <w:rFonts w:hint="eastAsia"/>
          <w:color w:val="auto"/>
          <w:szCs w:val="24"/>
          <w:highlight w:val="none"/>
          <w:lang w:val="en-US" w:eastAsia="zh-CN"/>
        </w:rPr>
        <w:t>2</w:t>
      </w:r>
      <w:r>
        <w:rPr>
          <w:rFonts w:hint="eastAsia"/>
          <w:color w:val="auto"/>
          <w:szCs w:val="24"/>
          <w:highlight w:val="none"/>
        </w:rPr>
        <w:t>）</w:t>
      </w:r>
      <w:bookmarkStart w:id="694" w:name="_Hlk161604053"/>
      <w:r>
        <w:rPr>
          <w:rFonts w:hint="eastAsia"/>
          <w:color w:val="auto"/>
          <w:szCs w:val="24"/>
          <w:highlight w:val="none"/>
        </w:rPr>
        <w:t>我方承诺本《投标函》的签章对本投标文件全部内容具有约束力并承担法律责任。</w:t>
      </w:r>
      <w:bookmarkEnd w:id="694"/>
    </w:p>
    <w:p w14:paraId="3F664789">
      <w:pPr>
        <w:spacing w:line="300" w:lineRule="auto"/>
        <w:rPr>
          <w:rFonts w:cs="Arial"/>
          <w:color w:val="auto"/>
          <w:szCs w:val="24"/>
          <w:highlight w:val="none"/>
        </w:rPr>
      </w:pPr>
    </w:p>
    <w:p w14:paraId="6C365FF0">
      <w:pPr>
        <w:spacing w:line="300" w:lineRule="auto"/>
        <w:rPr>
          <w:rFonts w:cs="Arial"/>
          <w:color w:val="auto"/>
          <w:szCs w:val="24"/>
          <w:highlight w:val="none"/>
        </w:rPr>
      </w:pPr>
    </w:p>
    <w:p w14:paraId="2DB608AC">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投 </w:t>
      </w:r>
      <w:r>
        <w:rPr>
          <w:rFonts w:cs="宋体"/>
          <w:color w:val="auto"/>
          <w:highlight w:val="none"/>
        </w:rPr>
        <w:t xml:space="preserve">   </w:t>
      </w:r>
      <w:r>
        <w:rPr>
          <w:rFonts w:hint="eastAsia" w:cs="宋体"/>
          <w:color w:val="auto"/>
          <w:highlight w:val="none"/>
        </w:rPr>
        <w:t xml:space="preserve">标 </w:t>
      </w:r>
      <w:r>
        <w:rPr>
          <w:rFonts w:cs="宋体"/>
          <w:color w:val="auto"/>
          <w:highlight w:val="none"/>
        </w:rPr>
        <w:t xml:space="preserve">   </w:t>
      </w:r>
      <w:r>
        <w:rPr>
          <w:rFonts w:hint="eastAsia" w:cs="宋体"/>
          <w:color w:val="auto"/>
          <w:highlight w:val="none"/>
        </w:rPr>
        <w:t>人</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p>
    <w:p w14:paraId="4CCC9D16">
      <w:pPr>
        <w:autoSpaceDE w:val="0"/>
        <w:autoSpaceDN w:val="0"/>
        <w:adjustRightInd w:val="0"/>
        <w:snapToGrid w:val="0"/>
        <w:ind w:firstLine="480" w:firstLineChars="200"/>
        <w:rPr>
          <w:rFonts w:cs="宋体"/>
          <w:color w:val="auto"/>
          <w:highlight w:val="none"/>
        </w:rPr>
      </w:pPr>
      <w:r>
        <w:rPr>
          <w:rFonts w:hint="eastAsia" w:cs="宋体"/>
          <w:color w:val="auto"/>
          <w:highlight w:val="none"/>
        </w:rPr>
        <w:t>通  讯  地  址：</w:t>
      </w:r>
    </w:p>
    <w:p w14:paraId="268281DA">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传       </w:t>
      </w:r>
      <w:r>
        <w:rPr>
          <w:rFonts w:cs="宋体"/>
          <w:color w:val="auto"/>
          <w:highlight w:val="none"/>
        </w:rPr>
        <w:t xml:space="preserve">   </w:t>
      </w:r>
      <w:r>
        <w:rPr>
          <w:rFonts w:hint="eastAsia" w:cs="宋体"/>
          <w:color w:val="auto"/>
          <w:highlight w:val="none"/>
        </w:rPr>
        <w:t>真：</w:t>
      </w:r>
    </w:p>
    <w:p w14:paraId="0A396883">
      <w:pPr>
        <w:autoSpaceDE w:val="0"/>
        <w:autoSpaceDN w:val="0"/>
        <w:adjustRightInd w:val="0"/>
        <w:snapToGrid w:val="0"/>
        <w:ind w:firstLine="480" w:firstLineChars="200"/>
        <w:rPr>
          <w:rFonts w:cs="宋体"/>
          <w:color w:val="auto"/>
          <w:highlight w:val="none"/>
        </w:rPr>
      </w:pPr>
      <w:r>
        <w:rPr>
          <w:rFonts w:hint="eastAsia" w:cs="宋体"/>
          <w:color w:val="auto"/>
          <w:highlight w:val="none"/>
        </w:rPr>
        <w:t>电          话：</w:t>
      </w:r>
    </w:p>
    <w:p w14:paraId="21203E4D">
      <w:pPr>
        <w:autoSpaceDE w:val="0"/>
        <w:autoSpaceDN w:val="0"/>
        <w:adjustRightInd w:val="0"/>
        <w:snapToGrid w:val="0"/>
        <w:ind w:firstLine="480" w:firstLineChars="200"/>
        <w:rPr>
          <w:rFonts w:cs="宋体"/>
          <w:color w:val="auto"/>
          <w:highlight w:val="none"/>
        </w:rPr>
      </w:pPr>
      <w:r>
        <w:rPr>
          <w:rFonts w:hint="eastAsia" w:cs="宋体"/>
          <w:color w:val="auto"/>
          <w:highlight w:val="none"/>
        </w:rPr>
        <w:t xml:space="preserve">授 </w:t>
      </w:r>
      <w:r>
        <w:rPr>
          <w:rFonts w:cs="宋体"/>
          <w:color w:val="auto"/>
          <w:highlight w:val="none"/>
        </w:rPr>
        <w:t xml:space="preserve"> </w:t>
      </w:r>
      <w:r>
        <w:rPr>
          <w:rFonts w:hint="eastAsia" w:cs="宋体"/>
          <w:color w:val="auto"/>
          <w:highlight w:val="none"/>
        </w:rPr>
        <w:t xml:space="preserve">权 </w:t>
      </w:r>
      <w:r>
        <w:rPr>
          <w:rFonts w:cs="宋体"/>
          <w:color w:val="auto"/>
          <w:highlight w:val="none"/>
        </w:rPr>
        <w:t xml:space="preserve"> </w:t>
      </w:r>
      <w:r>
        <w:rPr>
          <w:rFonts w:hint="eastAsia" w:cs="宋体"/>
          <w:color w:val="auto"/>
          <w:highlight w:val="none"/>
        </w:rPr>
        <w:t xml:space="preserve">代 </w:t>
      </w:r>
      <w:r>
        <w:rPr>
          <w:rFonts w:cs="宋体"/>
          <w:color w:val="auto"/>
          <w:highlight w:val="none"/>
        </w:rPr>
        <w:t xml:space="preserve"> </w:t>
      </w:r>
      <w:r>
        <w:rPr>
          <w:rFonts w:hint="eastAsia" w:cs="宋体"/>
          <w:color w:val="auto"/>
          <w:highlight w:val="none"/>
        </w:rPr>
        <w:t>表：</w:t>
      </w:r>
    </w:p>
    <w:p w14:paraId="6674502E">
      <w:pPr>
        <w:ind w:firstLine="480" w:firstLineChars="200"/>
        <w:rPr>
          <w:rFonts w:cs="Arial"/>
          <w:color w:val="auto"/>
          <w:szCs w:val="24"/>
          <w:highlight w:val="none"/>
          <w:u w:val="single"/>
        </w:rPr>
      </w:pPr>
      <w:r>
        <w:rPr>
          <w:rFonts w:hint="eastAsia" w:cs="宋体"/>
          <w:color w:val="auto"/>
          <w:highlight w:val="none"/>
        </w:rPr>
        <w:t xml:space="preserve">日     </w:t>
      </w:r>
      <w:r>
        <w:rPr>
          <w:rFonts w:cs="宋体"/>
          <w:color w:val="auto"/>
          <w:highlight w:val="none"/>
        </w:rPr>
        <w:t xml:space="preserve">  </w:t>
      </w:r>
      <w:r>
        <w:rPr>
          <w:rFonts w:hint="eastAsia" w:cs="宋体"/>
          <w:color w:val="auto"/>
          <w:highlight w:val="none"/>
        </w:rPr>
        <w:t xml:space="preserve">    期：</w:t>
      </w:r>
    </w:p>
    <w:p w14:paraId="478BFBB8">
      <w:pPr>
        <w:rPr>
          <w:rFonts w:cs="Arial"/>
          <w:color w:val="auto"/>
          <w:szCs w:val="24"/>
          <w:highlight w:val="none"/>
          <w:u w:val="single"/>
        </w:rPr>
      </w:pPr>
      <w:r>
        <w:rPr>
          <w:rFonts w:cs="Arial"/>
          <w:color w:val="auto"/>
          <w:szCs w:val="24"/>
          <w:highlight w:val="none"/>
          <w:u w:val="single"/>
        </w:rPr>
        <w:br w:type="page"/>
      </w:r>
    </w:p>
    <w:p w14:paraId="24B4BD65">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695" w:name="_Toc3746"/>
      <w:bookmarkStart w:id="696" w:name="_Toc155185924"/>
      <w:r>
        <w:rPr>
          <w:rFonts w:hint="eastAsia" w:cstheme="majorBidi"/>
          <w:b/>
          <w:bCs/>
          <w:color w:val="auto"/>
          <w:kern w:val="2"/>
          <w:sz w:val="32"/>
          <w:szCs w:val="32"/>
          <w:highlight w:val="none"/>
          <w:lang w:val="en-US" w:eastAsia="zh-CN" w:bidi="ar-SA"/>
        </w:rPr>
        <w:t>二</w:t>
      </w:r>
      <w:r>
        <w:rPr>
          <w:rFonts w:hint="eastAsia" w:eastAsia="宋体" w:asciiTheme="majorHAnsi" w:hAnsiTheme="majorHAnsi" w:cstheme="majorBidi"/>
          <w:b/>
          <w:bCs/>
          <w:color w:val="auto"/>
          <w:kern w:val="2"/>
          <w:sz w:val="32"/>
          <w:szCs w:val="32"/>
          <w:highlight w:val="none"/>
          <w:lang w:val="en-US" w:eastAsia="zh-CN" w:bidi="ar-SA"/>
        </w:rPr>
        <w:t>、法定代表人（单位负责人）身份证明</w:t>
      </w:r>
      <w:bookmarkEnd w:id="695"/>
      <w:bookmarkEnd w:id="696"/>
    </w:p>
    <w:p w14:paraId="46CF1AA3">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color w:val="auto"/>
          <w:szCs w:val="24"/>
          <w:highlight w:val="none"/>
        </w:rPr>
      </w:pPr>
      <w:r>
        <w:rPr>
          <w:rFonts w:hint="eastAsia" w:cs="仿宋_GB2312"/>
          <w:color w:val="auto"/>
          <w:szCs w:val="24"/>
          <w:highlight w:val="none"/>
          <w:lang w:val="en-US" w:eastAsia="zh-CN"/>
        </w:rPr>
        <w:t xml:space="preserve">兹证明， </w:t>
      </w:r>
    </w:p>
    <w:p w14:paraId="1D36B9E0">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系 </w:t>
      </w:r>
      <w:r>
        <w:rPr>
          <w:rFonts w:hint="eastAsia" w:cs="仿宋_GB2312"/>
          <w:color w:val="auto"/>
          <w:szCs w:val="24"/>
          <w:highlight w:val="none"/>
          <w:u w:val="single"/>
          <w:lang w:val="en-US" w:eastAsia="zh-CN"/>
        </w:rPr>
        <w:t xml:space="preserve">            </w:t>
      </w:r>
      <w:r>
        <w:rPr>
          <w:rFonts w:hint="eastAsia" w:cs="仿宋_GB2312"/>
          <w:color w:val="auto"/>
          <w:szCs w:val="24"/>
          <w:highlight w:val="none"/>
          <w:lang w:val="en-US" w:eastAsia="zh-CN"/>
        </w:rPr>
        <w:t xml:space="preserve">（投标人名称）的法定代表人（单位负责人）。 </w:t>
      </w:r>
    </w:p>
    <w:p w14:paraId="3B002BC6">
      <w:pPr>
        <w:spacing w:line="480" w:lineRule="auto"/>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color w:val="auto"/>
          <w:szCs w:val="24"/>
          <w:highlight w:val="none"/>
        </w:rPr>
      </w:pPr>
    </w:p>
    <w:p w14:paraId="473563CD">
      <w:pPr>
        <w:rPr>
          <w:rFonts w:cs="Arial"/>
          <w:color w:val="auto"/>
          <w:sz w:val="21"/>
          <w:szCs w:val="21"/>
          <w:highlight w:val="none"/>
        </w:rPr>
      </w:pP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color w:val="auto"/>
                <w:highlight w:val="none"/>
              </w:rPr>
            </w:pPr>
          </w:p>
        </w:tc>
      </w:tr>
    </w:tbl>
    <w:p w14:paraId="76B5C725">
      <w:pPr>
        <w:ind w:firstLine="840" w:firstLineChars="350"/>
        <w:jc w:val="center"/>
        <w:rPr>
          <w:rFonts w:cs="Arial"/>
          <w:color w:val="auto"/>
          <w:highlight w:val="none"/>
        </w:rPr>
      </w:pPr>
    </w:p>
    <w:p w14:paraId="4AD74708">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DejaVuSans" w:hAnsi="DejaVuSans" w:eastAsia="DejaVuSans" w:cs="DejaVuSans"/>
          <w:color w:val="auto"/>
          <w:kern w:val="0"/>
          <w:sz w:val="24"/>
          <w:szCs w:val="24"/>
          <w:highlight w:val="none"/>
          <w:lang w:val="en-US" w:eastAsia="zh-CN" w:bidi="ar"/>
        </w:rPr>
        <w:t xml:space="preserve">________________ </w:t>
      </w:r>
    </w:p>
    <w:p w14:paraId="364A1245">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 </w:t>
      </w:r>
    </w:p>
    <w:p w14:paraId="10B3C29F">
      <w:pPr>
        <w:keepNext w:val="0"/>
        <w:keepLines w:val="0"/>
        <w:widowControl/>
        <w:suppressLineNumbers w:val="0"/>
        <w:jc w:val="left"/>
        <w:rPr>
          <w:rFonts w:hint="eastAsia" w:ascii="宋体" w:hAnsi="宋体" w:eastAsia="宋体" w:cs="宋体"/>
          <w:color w:val="auto"/>
          <w:kern w:val="0"/>
          <w:sz w:val="24"/>
          <w:szCs w:val="24"/>
          <w:highlight w:val="none"/>
          <w:lang w:val="en-US" w:eastAsia="zh-CN" w:bidi="ar"/>
        </w:rPr>
      </w:pPr>
    </w:p>
    <w:p w14:paraId="7239FE13">
      <w:pPr>
        <w:keepNext w:val="0"/>
        <w:keepLines w:val="0"/>
        <w:widowControl/>
        <w:suppressLineNumbers w:val="0"/>
        <w:jc w:val="left"/>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日</w:t>
      </w:r>
    </w:p>
    <w:p w14:paraId="6948CD78">
      <w:pPr>
        <w:rPr>
          <w:b/>
          <w:color w:val="auto"/>
          <w:sz w:val="28"/>
          <w:szCs w:val="28"/>
          <w:highlight w:val="none"/>
        </w:rPr>
      </w:pPr>
    </w:p>
    <w:p w14:paraId="04FDD702">
      <w:pPr>
        <w:rPr>
          <w:b/>
          <w:color w:val="auto"/>
          <w:sz w:val="28"/>
          <w:szCs w:val="28"/>
          <w:highlight w:val="none"/>
        </w:rPr>
      </w:pPr>
      <w:r>
        <w:rPr>
          <w:b/>
          <w:color w:val="auto"/>
          <w:sz w:val="28"/>
          <w:szCs w:val="28"/>
          <w:highlight w:val="none"/>
        </w:rPr>
        <w:br w:type="page"/>
      </w:r>
    </w:p>
    <w:p w14:paraId="0EEE8A23">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697" w:name="_Toc155185925"/>
      <w:bookmarkStart w:id="698" w:name="_Toc6271"/>
      <w:r>
        <w:rPr>
          <w:rFonts w:hint="eastAsia" w:cstheme="majorBidi"/>
          <w:b/>
          <w:bCs/>
          <w:color w:val="auto"/>
          <w:kern w:val="2"/>
          <w:sz w:val="32"/>
          <w:szCs w:val="32"/>
          <w:highlight w:val="none"/>
          <w:lang w:val="en-US" w:eastAsia="zh-CN" w:bidi="ar-SA"/>
        </w:rPr>
        <w:t>三</w:t>
      </w:r>
      <w:r>
        <w:rPr>
          <w:rFonts w:hint="eastAsia" w:eastAsia="宋体" w:asciiTheme="majorHAnsi" w:hAnsiTheme="majorHAnsi" w:cstheme="majorBidi"/>
          <w:b/>
          <w:bCs/>
          <w:color w:val="auto"/>
          <w:kern w:val="2"/>
          <w:sz w:val="32"/>
          <w:szCs w:val="32"/>
          <w:highlight w:val="none"/>
          <w:lang w:val="en-US" w:eastAsia="zh-CN" w:bidi="ar-SA"/>
        </w:rPr>
        <w:t>、授权委托书</w:t>
      </w:r>
      <w:bookmarkEnd w:id="697"/>
      <w:bookmarkEnd w:id="698"/>
    </w:p>
    <w:p w14:paraId="593F068D">
      <w:pPr>
        <w:ind w:firstLine="480" w:firstLineChars="200"/>
        <w:rPr>
          <w:rFonts w:cs="仿宋_GB2312"/>
          <w:color w:val="auto"/>
          <w:szCs w:val="24"/>
          <w:highlight w:val="none"/>
        </w:rPr>
      </w:pPr>
      <w:r>
        <w:rPr>
          <w:rFonts w:hint="eastAsia" w:cs="仿宋_GB2312"/>
          <w:color w:val="auto"/>
          <w:szCs w:val="24"/>
          <w:highlight w:val="none"/>
        </w:rPr>
        <w:t>本人</w:t>
      </w:r>
      <w:r>
        <w:rPr>
          <w:rFonts w:cs="仿宋_GB2312"/>
          <w:color w:val="auto"/>
          <w:szCs w:val="24"/>
          <w:highlight w:val="none"/>
          <w:u w:val="single"/>
        </w:rPr>
        <w:t xml:space="preserve">     </w:t>
      </w:r>
      <w:r>
        <w:rPr>
          <w:rFonts w:hint="eastAsia" w:cs="仿宋_GB2312"/>
          <w:color w:val="auto"/>
          <w:szCs w:val="24"/>
          <w:highlight w:val="none"/>
          <w:u w:val="none"/>
        </w:rPr>
        <w:t>（姓名）</w:t>
      </w:r>
      <w:r>
        <w:rPr>
          <w:rFonts w:hint="eastAsia" w:cs="仿宋_GB2312"/>
          <w:color w:val="auto"/>
          <w:szCs w:val="24"/>
          <w:highlight w:val="none"/>
        </w:rPr>
        <w:t>系</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u w:val="none"/>
        </w:rPr>
        <w:t>（投标人名称）</w:t>
      </w:r>
      <w:r>
        <w:rPr>
          <w:rFonts w:hint="eastAsia" w:cs="仿宋_GB2312"/>
          <w:color w:val="auto"/>
          <w:szCs w:val="24"/>
          <w:highlight w:val="none"/>
        </w:rPr>
        <w:t>的法定代表人</w:t>
      </w:r>
      <w:r>
        <w:rPr>
          <w:rFonts w:hint="eastAsia"/>
          <w:color w:val="auto"/>
          <w:highlight w:val="none"/>
        </w:rPr>
        <w:t>（</w:t>
      </w:r>
      <w:r>
        <w:rPr>
          <w:rFonts w:hint="eastAsia"/>
          <w:color w:val="auto"/>
          <w:highlight w:val="none"/>
          <w:lang w:val="en-US" w:eastAsia="zh-CN"/>
        </w:rPr>
        <w:t>单位</w:t>
      </w:r>
      <w:r>
        <w:rPr>
          <w:rFonts w:hint="eastAsia"/>
          <w:color w:val="auto"/>
          <w:highlight w:val="none"/>
        </w:rPr>
        <w:t>负责人）</w:t>
      </w:r>
      <w:r>
        <w:rPr>
          <w:rFonts w:hint="eastAsia" w:cs="仿宋_GB2312"/>
          <w:color w:val="auto"/>
          <w:szCs w:val="24"/>
          <w:highlight w:val="none"/>
        </w:rPr>
        <w:t>，现委托</w:t>
      </w:r>
      <w:r>
        <w:rPr>
          <w:rFonts w:hint="eastAsia" w:cs="仿宋_GB2312"/>
          <w:color w:val="auto"/>
          <w:szCs w:val="24"/>
          <w:highlight w:val="none"/>
          <w:u w:val="single"/>
        </w:rPr>
        <w:t xml:space="preserve">     </w:t>
      </w:r>
      <w:r>
        <w:rPr>
          <w:rFonts w:hint="eastAsia" w:cs="仿宋_GB2312"/>
          <w:color w:val="auto"/>
          <w:szCs w:val="24"/>
          <w:highlight w:val="none"/>
        </w:rPr>
        <w:t>（姓名）为我方代理人。代理人根据授权，以我方名义签署、澄清</w:t>
      </w:r>
      <w:r>
        <w:rPr>
          <w:rFonts w:hint="eastAsia" w:cs="仿宋_GB2312"/>
          <w:color w:val="auto"/>
          <w:szCs w:val="24"/>
          <w:highlight w:val="none"/>
          <w:lang w:val="en-US" w:eastAsia="zh-CN"/>
        </w:rPr>
        <w:t>确认</w:t>
      </w:r>
      <w:r>
        <w:rPr>
          <w:rFonts w:hint="eastAsia" w:cs="仿宋_GB2312"/>
          <w:color w:val="auto"/>
          <w:szCs w:val="24"/>
          <w:highlight w:val="none"/>
        </w:rPr>
        <w:t>、说明、补正、递交、撤回、修改</w:t>
      </w:r>
      <w:r>
        <w:rPr>
          <w:rFonts w:hint="eastAsia" w:cs="仿宋_GB2312"/>
          <w:color w:val="auto"/>
          <w:szCs w:val="24"/>
          <w:highlight w:val="none"/>
          <w:u w:val="single"/>
        </w:rPr>
        <w:t xml:space="preserve">   </w:t>
      </w:r>
      <w:r>
        <w:rPr>
          <w:rFonts w:hint="eastAsia" w:cs="仿宋_GB2312"/>
          <w:color w:val="auto"/>
          <w:szCs w:val="24"/>
          <w:highlight w:val="none"/>
          <w:u w:val="single"/>
          <w:lang w:val="en-US" w:eastAsia="zh-CN"/>
        </w:rPr>
        <w:t xml:space="preserve">      </w:t>
      </w:r>
      <w:r>
        <w:rPr>
          <w:rFonts w:hint="eastAsia" w:cs="仿宋_GB2312"/>
          <w:color w:val="auto"/>
          <w:szCs w:val="24"/>
          <w:highlight w:val="none"/>
          <w:u w:val="single"/>
        </w:rPr>
        <w:t xml:space="preserve">  </w:t>
      </w:r>
      <w:r>
        <w:rPr>
          <w:rFonts w:hint="eastAsia" w:cs="仿宋_GB2312"/>
          <w:color w:val="auto"/>
          <w:szCs w:val="24"/>
          <w:highlight w:val="none"/>
        </w:rPr>
        <w:t>（项目名称）投标文件、签订合同和处理有关事宜，其法律后果由我方承担。</w:t>
      </w:r>
    </w:p>
    <w:p w14:paraId="56B80D1C">
      <w:pPr>
        <w:ind w:firstLine="480" w:firstLineChars="200"/>
        <w:rPr>
          <w:rFonts w:hint="eastAsia" w:cs="仿宋_GB2312"/>
          <w:color w:val="auto"/>
          <w:szCs w:val="24"/>
          <w:highlight w:val="none"/>
        </w:rPr>
      </w:pPr>
      <w:r>
        <w:rPr>
          <w:rFonts w:hint="eastAsia" w:cs="仿宋_GB2312"/>
          <w:color w:val="auto"/>
          <w:szCs w:val="24"/>
          <w:highlight w:val="none"/>
        </w:rPr>
        <w:t>委托期限：</w:t>
      </w:r>
      <w:r>
        <w:rPr>
          <w:rFonts w:hint="eastAsia" w:cs="仿宋_GB2312"/>
          <w:color w:val="auto"/>
          <w:szCs w:val="24"/>
          <w:highlight w:val="none"/>
          <w:lang w:val="en-US" w:eastAsia="zh-CN"/>
        </w:rPr>
        <w:t>自本授权委托书签署之日起至投标有效期届满之日止。</w:t>
      </w:r>
    </w:p>
    <w:p w14:paraId="0A605ABE">
      <w:pPr>
        <w:ind w:firstLine="480" w:firstLineChars="200"/>
        <w:rPr>
          <w:rFonts w:cs="仿宋_GB2312"/>
          <w:color w:val="auto"/>
          <w:szCs w:val="24"/>
          <w:highlight w:val="none"/>
        </w:rPr>
      </w:pPr>
      <w:r>
        <w:rPr>
          <w:rFonts w:hint="eastAsia" w:cs="仿宋_GB2312"/>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ascii="DejaVuSans" w:hAnsi="DejaVuSans" w:eastAsia="DejaVuSans" w:cs="DejaVuSans"/>
          <w:color w:val="auto"/>
          <w:kern w:val="0"/>
          <w:sz w:val="24"/>
          <w:szCs w:val="24"/>
          <w:highlight w:val="none"/>
          <w:lang w:val="en-US" w:eastAsia="zh-CN" w:bidi="ar"/>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法定代表人（单位负责人）（签字或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委托代理人（签字或</w:t>
      </w:r>
      <w:r>
        <w:rPr>
          <w:rFonts w:hint="eastAsia" w:cs="宋体"/>
          <w:color w:val="auto"/>
          <w:kern w:val="0"/>
          <w:sz w:val="24"/>
          <w:szCs w:val="24"/>
          <w:highlight w:val="none"/>
          <w:lang w:eastAsia="zh-CN"/>
        </w:rPr>
        <w:t>盖</w:t>
      </w:r>
      <w:r>
        <w:rPr>
          <w:rFonts w:hint="eastAsia" w:ascii="宋体" w:hAnsi="宋体" w:eastAsia="宋体" w:cs="宋体"/>
          <w:color w:val="auto"/>
          <w:kern w:val="0"/>
          <w:sz w:val="24"/>
          <w:szCs w:val="24"/>
          <w:highlight w:val="none"/>
          <w:lang w:eastAsia="zh-CN"/>
        </w:rPr>
        <w:t>章</w:t>
      </w:r>
      <w:r>
        <w:rPr>
          <w:rFonts w:hint="eastAsia" w:ascii="宋体" w:hAnsi="宋体" w:eastAsia="宋体" w:cs="宋体"/>
          <w:color w:val="auto"/>
          <w:kern w:val="0"/>
          <w:sz w:val="24"/>
          <w:szCs w:val="24"/>
          <w:highlight w:val="none"/>
          <w:lang w:val="en-US" w:eastAsia="zh-CN" w:bidi="ar"/>
        </w:rPr>
        <w:t>）：</w:t>
      </w:r>
      <w:r>
        <w:rPr>
          <w:rFonts w:hint="default" w:ascii="DejaVuSans" w:hAnsi="DejaVuSans" w:eastAsia="DejaVuSans" w:cs="DejaVuSans"/>
          <w:color w:val="auto"/>
          <w:kern w:val="0"/>
          <w:sz w:val="24"/>
          <w:szCs w:val="24"/>
          <w:highlight w:val="none"/>
          <w:lang w:val="en-US" w:eastAsia="zh-CN" w:bidi="ar"/>
        </w:rPr>
        <w:t xml:space="preserve">________________ </w:t>
      </w:r>
      <w:r>
        <w:rPr>
          <w:rFonts w:hint="eastAsia" w:ascii="DejaVuSans" w:hAnsi="DejaVuSans" w:eastAsia="DejaVuSans" w:cs="DejaVuSans"/>
          <w:color w:val="auto"/>
          <w:kern w:val="0"/>
          <w:sz w:val="24"/>
          <w:szCs w:val="24"/>
          <w:highlight w:val="none"/>
          <w:lang w:val="en-US" w:eastAsia="zh-CN" w:bidi="ar"/>
        </w:rPr>
        <w:t xml:space="preserve">   联系电话：</w:t>
      </w:r>
      <w:r>
        <w:rPr>
          <w:rFonts w:hint="eastAsia" w:ascii="DejaVuSans" w:hAnsi="DejaVuSans" w:eastAsia="DejaVuSans" w:cs="DejaVuSans"/>
          <w:color w:val="auto"/>
          <w:kern w:val="0"/>
          <w:sz w:val="24"/>
          <w:szCs w:val="24"/>
          <w:highlight w:val="none"/>
          <w:u w:val="single"/>
          <w:lang w:val="en-US" w:eastAsia="zh-CN" w:bidi="ar"/>
        </w:rPr>
        <w:t xml:space="preserve">               </w:t>
      </w:r>
      <w:r>
        <w:rPr>
          <w:rFonts w:hint="default" w:ascii="DejaVuSans" w:hAnsi="DejaVuSans" w:eastAsia="DejaVuSans" w:cs="DejaVuSans"/>
          <w:color w:val="auto"/>
          <w:kern w:val="0"/>
          <w:sz w:val="24"/>
          <w:szCs w:val="24"/>
          <w:highlight w:val="none"/>
          <w:lang w:val="en-US" w:eastAsia="zh-CN" w:bidi="ar"/>
        </w:rPr>
        <w:t xml:space="preserve"> </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日期：</w:t>
      </w:r>
      <w:r>
        <w:rPr>
          <w:rFonts w:hint="default" w:ascii="DejaVuSans" w:hAnsi="DejaVuSans" w:eastAsia="DejaVuSans" w:cs="DejaVuSans"/>
          <w:color w:val="auto"/>
          <w:kern w:val="0"/>
          <w:sz w:val="24"/>
          <w:szCs w:val="24"/>
          <w:highlight w:val="none"/>
          <w:lang w:val="en-US" w:eastAsia="zh-CN" w:bidi="ar"/>
        </w:rPr>
        <w:t>_____</w:t>
      </w:r>
      <w:r>
        <w:rPr>
          <w:rFonts w:hint="eastAsia" w:ascii="宋体" w:hAnsi="宋体" w:eastAsia="宋体" w:cs="宋体"/>
          <w:color w:val="auto"/>
          <w:kern w:val="0"/>
          <w:sz w:val="24"/>
          <w:szCs w:val="24"/>
          <w:highlight w:val="none"/>
          <w:lang w:val="en-US" w:eastAsia="zh-CN" w:bidi="ar"/>
        </w:rPr>
        <w:t>年</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月</w:t>
      </w:r>
      <w:r>
        <w:rPr>
          <w:rFonts w:hint="default" w:ascii="DejaVuSans" w:hAnsi="DejaVuSans" w:eastAsia="DejaVuSans" w:cs="DejaVuSans"/>
          <w:color w:val="auto"/>
          <w:kern w:val="0"/>
          <w:sz w:val="24"/>
          <w:szCs w:val="24"/>
          <w:highlight w:val="none"/>
          <w:lang w:val="en-US" w:eastAsia="zh-CN" w:bidi="ar"/>
        </w:rPr>
        <w:t>______</w:t>
      </w:r>
      <w:r>
        <w:rPr>
          <w:rFonts w:hint="eastAsia" w:ascii="宋体" w:hAnsi="宋体" w:eastAsia="宋体" w:cs="宋体"/>
          <w:color w:val="auto"/>
          <w:kern w:val="0"/>
          <w:sz w:val="24"/>
          <w:szCs w:val="24"/>
          <w:highlight w:val="none"/>
          <w:lang w:val="en-US" w:eastAsia="zh-CN" w:bidi="ar"/>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color w:val="auto"/>
          <w:highlight w:val="none"/>
        </w:rPr>
      </w:pPr>
      <w:r>
        <w:rPr>
          <w:rFonts w:hint="eastAsia" w:ascii="宋体" w:hAnsi="宋体" w:eastAsia="宋体" w:cs="宋体"/>
          <w:color w:val="auto"/>
          <w:kern w:val="0"/>
          <w:sz w:val="24"/>
          <w:szCs w:val="24"/>
          <w:highlight w:val="none"/>
          <w:lang w:val="en-US" w:eastAsia="zh-CN" w:bidi="ar"/>
        </w:rPr>
        <w:t xml:space="preserve">附：法定代表人及委托代理人身份证明文件电子件： </w:t>
      </w:r>
    </w:p>
    <w:tbl>
      <w:tblPr>
        <w:tblStyle w:val="31"/>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color w:val="auto"/>
                <w:highlight w:val="none"/>
              </w:rPr>
            </w:pPr>
          </w:p>
        </w:tc>
      </w:tr>
    </w:tbl>
    <w:p w14:paraId="003FC2D7">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说明： </w:t>
      </w:r>
    </w:p>
    <w:p w14:paraId="6A6FAC65">
      <w:pPr>
        <w:ind w:firstLine="480" w:firstLineChars="200"/>
        <w:rPr>
          <w:rFonts w:hint="eastAsia" w:cs="仿宋_GB2312"/>
          <w:color w:val="auto"/>
          <w:szCs w:val="24"/>
          <w:highlight w:val="none"/>
        </w:rPr>
      </w:pPr>
      <w:r>
        <w:rPr>
          <w:rFonts w:hint="eastAsia" w:cs="仿宋_GB2312"/>
          <w:color w:val="auto"/>
          <w:szCs w:val="24"/>
          <w:highlight w:val="none"/>
          <w:lang w:val="en-US" w:eastAsia="zh-CN"/>
        </w:rPr>
        <w:t xml:space="preserve">1.若投标人为事业单位或其他组织或分支机构，则法定代表人（单位负责人）处的签署人可为单位负责人。 </w:t>
      </w:r>
    </w:p>
    <w:p w14:paraId="7579C425">
      <w:pPr>
        <w:ind w:firstLine="480" w:firstLineChars="200"/>
        <w:rPr>
          <w:rFonts w:hint="eastAsia" w:cs="仿宋_GB2312"/>
          <w:color w:val="auto"/>
          <w:szCs w:val="24"/>
          <w:highlight w:val="none"/>
        </w:rPr>
      </w:pPr>
      <w:r>
        <w:rPr>
          <w:rFonts w:hint="default" w:cs="仿宋_GB2312"/>
          <w:color w:val="auto"/>
          <w:szCs w:val="24"/>
          <w:highlight w:val="none"/>
          <w:lang w:val="en-US" w:eastAsia="zh-CN"/>
        </w:rPr>
        <w:t>2.</w:t>
      </w:r>
      <w:r>
        <w:rPr>
          <w:rFonts w:hint="eastAsia" w:cs="仿宋_GB2312"/>
          <w:color w:val="auto"/>
          <w:szCs w:val="24"/>
          <w:highlight w:val="none"/>
          <w:lang w:val="en-US" w:eastAsia="zh-CN"/>
        </w:rPr>
        <w:t xml:space="preserve">若投标文件中签字之处均为法定代表人（单位负责人）本人签署，则可不提供本《授权委托书》，但须提供《法定代表人（单位负责人）身份证明》。 </w:t>
      </w:r>
    </w:p>
    <w:p w14:paraId="7D81952A">
      <w:pPr>
        <w:ind w:firstLine="480" w:firstLineChars="200"/>
        <w:rPr>
          <w:rFonts w:hint="eastAsia" w:cs="仿宋_GB2312"/>
          <w:color w:val="auto"/>
          <w:szCs w:val="24"/>
          <w:highlight w:val="none"/>
        </w:rPr>
      </w:pPr>
      <w:r>
        <w:rPr>
          <w:rFonts w:hint="default" w:cs="仿宋_GB2312"/>
          <w:color w:val="auto"/>
          <w:szCs w:val="24"/>
          <w:highlight w:val="none"/>
          <w:lang w:val="en-US" w:eastAsia="zh-CN"/>
        </w:rPr>
        <w:t>3.</w:t>
      </w:r>
      <w:r>
        <w:rPr>
          <w:rFonts w:hint="eastAsia" w:cs="仿宋_GB2312"/>
          <w:color w:val="auto"/>
          <w:szCs w:val="24"/>
          <w:highlight w:val="none"/>
          <w:lang w:val="en-US" w:eastAsia="zh-CN"/>
        </w:rPr>
        <w:t xml:space="preserve">投标人为自然人的情形，可不提供本《授权委托书》。 </w:t>
      </w:r>
    </w:p>
    <w:p w14:paraId="16E91B57">
      <w:pPr>
        <w:ind w:firstLine="480" w:firstLineChars="200"/>
        <w:rPr>
          <w:rFonts w:hint="eastAsia" w:cs="仿宋_GB2312"/>
          <w:color w:val="auto"/>
          <w:szCs w:val="24"/>
          <w:highlight w:val="none"/>
        </w:rPr>
      </w:pPr>
      <w:r>
        <w:rPr>
          <w:rFonts w:hint="default" w:cs="仿宋_GB2312"/>
          <w:color w:val="auto"/>
          <w:szCs w:val="24"/>
          <w:highlight w:val="none"/>
          <w:lang w:val="en-US" w:eastAsia="zh-CN"/>
        </w:rPr>
        <w:t>4.</w:t>
      </w:r>
      <w:r>
        <w:rPr>
          <w:rFonts w:hint="eastAsia" w:cs="仿宋_GB2312"/>
          <w:color w:val="auto"/>
          <w:szCs w:val="24"/>
          <w:highlight w:val="none"/>
          <w:lang w:val="en-US" w:eastAsia="zh-CN"/>
        </w:rPr>
        <w:t>投标人应随本《授权委托书》同时提供法定代表人（单位负责人）及委托代理人的有效的身份证、护照等身份证明文件电子件。提供身份证的，应同时提供身份证</w:t>
      </w:r>
      <w:r>
        <w:rPr>
          <w:rFonts w:hint="eastAsia" w:cs="仿宋_GB2312"/>
          <w:b/>
          <w:bCs/>
          <w:color w:val="auto"/>
          <w:szCs w:val="24"/>
          <w:highlight w:val="none"/>
          <w:lang w:val="en-US" w:eastAsia="zh-CN"/>
        </w:rPr>
        <w:t>双面</w:t>
      </w:r>
      <w:r>
        <w:rPr>
          <w:rFonts w:hint="eastAsia" w:cs="仿宋_GB2312"/>
          <w:color w:val="auto"/>
          <w:szCs w:val="24"/>
          <w:highlight w:val="none"/>
          <w:lang w:val="en-US" w:eastAsia="zh-CN"/>
        </w:rPr>
        <w:t>电子件。</w:t>
      </w:r>
    </w:p>
    <w:p w14:paraId="0B2EBA16">
      <w:pPr>
        <w:rPr>
          <w:color w:val="auto"/>
          <w:highlight w:val="none"/>
        </w:rPr>
      </w:pPr>
      <w:r>
        <w:rPr>
          <w:color w:val="auto"/>
          <w:highlight w:val="none"/>
        </w:rPr>
        <w:br w:type="page"/>
      </w:r>
    </w:p>
    <w:p w14:paraId="117D25C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699" w:name="_Toc155185934"/>
      <w:bookmarkStart w:id="700" w:name="_Toc163492928"/>
      <w:bookmarkStart w:id="701" w:name="_Toc11514"/>
      <w:r>
        <w:rPr>
          <w:rFonts w:hint="eastAsia" w:cstheme="majorBidi"/>
          <w:b/>
          <w:bCs/>
          <w:color w:val="auto"/>
          <w:kern w:val="2"/>
          <w:sz w:val="32"/>
          <w:szCs w:val="32"/>
          <w:highlight w:val="none"/>
          <w:lang w:val="en-US" w:eastAsia="zh-CN" w:bidi="ar-SA"/>
        </w:rPr>
        <w:t>四</w:t>
      </w:r>
      <w:r>
        <w:rPr>
          <w:rFonts w:hint="eastAsia" w:eastAsia="宋体" w:asciiTheme="majorHAnsi" w:hAnsiTheme="majorHAnsi" w:cstheme="majorBidi"/>
          <w:b/>
          <w:bCs/>
          <w:color w:val="auto"/>
          <w:kern w:val="2"/>
          <w:sz w:val="32"/>
          <w:szCs w:val="32"/>
          <w:highlight w:val="none"/>
          <w:lang w:val="en-US" w:eastAsia="zh-CN" w:bidi="ar-SA"/>
        </w:rPr>
        <w:t>、</w:t>
      </w:r>
      <w:bookmarkEnd w:id="699"/>
      <w:bookmarkEnd w:id="700"/>
      <w:r>
        <w:rPr>
          <w:rFonts w:hint="eastAsia" w:eastAsia="宋体" w:asciiTheme="majorHAnsi" w:hAnsiTheme="majorHAnsi" w:cstheme="majorBidi"/>
          <w:b/>
          <w:bCs/>
          <w:color w:val="auto"/>
          <w:kern w:val="2"/>
          <w:sz w:val="32"/>
          <w:szCs w:val="32"/>
          <w:highlight w:val="none"/>
          <w:lang w:val="zh-CN" w:eastAsia="zh-CN" w:bidi="ar-SA"/>
        </w:rPr>
        <w:t>政府采购</w:t>
      </w:r>
      <w:r>
        <w:rPr>
          <w:rFonts w:hint="eastAsia" w:cstheme="majorBidi"/>
          <w:b/>
          <w:bCs/>
          <w:color w:val="auto"/>
          <w:kern w:val="2"/>
          <w:sz w:val="32"/>
          <w:szCs w:val="32"/>
          <w:highlight w:val="none"/>
          <w:lang w:val="en-US" w:eastAsia="zh-CN" w:bidi="ar-SA"/>
        </w:rPr>
        <w:t>投标人</w:t>
      </w:r>
      <w:r>
        <w:rPr>
          <w:rFonts w:hint="eastAsia" w:eastAsia="宋体" w:asciiTheme="majorHAnsi" w:hAnsiTheme="majorHAnsi" w:cstheme="majorBidi"/>
          <w:b/>
          <w:bCs/>
          <w:color w:val="auto"/>
          <w:kern w:val="2"/>
          <w:sz w:val="32"/>
          <w:szCs w:val="32"/>
          <w:highlight w:val="none"/>
          <w:lang w:val="zh-CN" w:eastAsia="zh-CN" w:bidi="ar-SA"/>
        </w:rPr>
        <w:t>廉洁自律承诺书</w:t>
      </w:r>
      <w:bookmarkEnd w:id="701"/>
    </w:p>
    <w:p w14:paraId="31E213A3">
      <w:pPr>
        <w:snapToGrid w:val="0"/>
        <w:spacing w:line="360" w:lineRule="auto"/>
        <w:rPr>
          <w:rFonts w:hint="eastAsia" w:ascii="宋体" w:hAnsi="宋体" w:cs="宋体"/>
          <w:color w:val="auto"/>
          <w:sz w:val="24"/>
          <w:szCs w:val="24"/>
          <w:highlight w:val="none"/>
        </w:rPr>
      </w:pPr>
    </w:p>
    <w:p w14:paraId="2CE177B4">
      <w:pPr>
        <w:snapToGrid w:val="0"/>
        <w:spacing w:line="360" w:lineRule="auto"/>
        <w:rPr>
          <w:rFonts w:ascii="宋体" w:hAnsi="宋体" w:cs="宋体"/>
          <w:color w:val="auto"/>
          <w:kern w:val="0"/>
          <w:sz w:val="24"/>
          <w:szCs w:val="24"/>
          <w:highlight w:val="none"/>
        </w:rPr>
      </w:pPr>
      <w:r>
        <w:rPr>
          <w:rFonts w:hint="eastAsia" w:ascii="宋体" w:hAnsi="宋体" w:cs="宋体"/>
          <w:color w:val="auto"/>
          <w:sz w:val="24"/>
          <w:szCs w:val="24"/>
          <w:highlight w:val="none"/>
        </w:rPr>
        <w:t>（采购人）、（采购代理机构）</w:t>
      </w:r>
      <w:r>
        <w:rPr>
          <w:rFonts w:hint="eastAsia" w:ascii="宋体" w:hAnsi="宋体" w:cs="宋体"/>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我单位响应你</w:t>
      </w:r>
      <w:r>
        <w:rPr>
          <w:rFonts w:hint="eastAsia" w:ascii="宋体" w:hAnsi="宋体" w:cs="宋体"/>
          <w:color w:val="auto"/>
          <w:sz w:val="24"/>
          <w:szCs w:val="24"/>
          <w:highlight w:val="none"/>
        </w:rPr>
        <w:t>单位</w:t>
      </w:r>
      <w:r>
        <w:rPr>
          <w:rFonts w:hint="eastAsia" w:ascii="宋体" w:hAnsi="宋体" w:cs="宋体"/>
          <w:color w:val="auto"/>
          <w:kern w:val="0"/>
          <w:sz w:val="24"/>
          <w:szCs w:val="24"/>
          <w:highlight w:val="none"/>
          <w:lang w:val="zh-CN"/>
        </w:rPr>
        <w:t>项目招标要求参加投标。在这次投标过程中和中标后，我们将严格遵守国家法律法规要求，并郑重承诺：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六、严格遵守《中华人民共和国政府采购法》</w:t>
      </w:r>
      <w:r>
        <w:rPr>
          <w:rFonts w:hint="eastAsia"/>
          <w:color w:val="auto"/>
          <w:highlight w:val="none"/>
        </w:rPr>
        <w:t>《中华人民共和国政府采购法</w:t>
      </w:r>
      <w:r>
        <w:rPr>
          <w:rFonts w:hint="eastAsia"/>
          <w:color w:val="auto"/>
          <w:highlight w:val="none"/>
          <w:lang w:val="en-US" w:eastAsia="zh-CN"/>
        </w:rPr>
        <w:t>实施条例</w:t>
      </w:r>
      <w:r>
        <w:rPr>
          <w:rFonts w:hint="eastAsia"/>
          <w:color w:val="auto"/>
          <w:highlight w:val="none"/>
        </w:rPr>
        <w:t>》</w:t>
      </w:r>
      <w:r>
        <w:rPr>
          <w:rFonts w:hint="eastAsia" w:ascii="宋体" w:hAnsi="宋体" w:cs="宋体"/>
          <w:color w:val="auto"/>
          <w:kern w:val="0"/>
          <w:sz w:val="24"/>
          <w:szCs w:val="24"/>
          <w:highlight w:val="none"/>
          <w:lang w:val="zh-CN"/>
        </w:rPr>
        <w:t xml:space="preserve">《中华人民共和国民法典》等法律法规，诚实守信，合法经营，坚决抵制各种违法违纪行为。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如违反上述承诺，你单位有权立即取消我单位投标、中标或在建项目的建设资格，有权拒绝我单位在一定时期内进入你单位进行项目建设或其他经营活动，并通报</w:t>
      </w:r>
      <w:r>
        <w:rPr>
          <w:rFonts w:hint="eastAsia" w:cs="宋体"/>
          <w:i w:val="0"/>
          <w:iCs w:val="0"/>
          <w:color w:val="auto"/>
          <w:kern w:val="0"/>
          <w:sz w:val="24"/>
          <w:szCs w:val="24"/>
          <w:highlight w:val="none"/>
          <w:lang w:val="en-US" w:eastAsia="zh-CN"/>
        </w:rPr>
        <w:t>当地</w:t>
      </w:r>
      <w:r>
        <w:rPr>
          <w:rFonts w:hint="eastAsia" w:ascii="宋体" w:hAnsi="宋体" w:cs="宋体"/>
          <w:color w:val="auto"/>
          <w:kern w:val="0"/>
          <w:sz w:val="24"/>
          <w:szCs w:val="24"/>
          <w:highlight w:val="none"/>
          <w:lang w:val="zh-CN"/>
        </w:rPr>
        <w:t>财政局。由此引起的相应损失均由我单位承担。</w:t>
      </w:r>
    </w:p>
    <w:p w14:paraId="5E22ECB4">
      <w:pPr>
        <w:autoSpaceDE w:val="0"/>
        <w:autoSpaceDN w:val="0"/>
        <w:spacing w:line="360" w:lineRule="auto"/>
        <w:ind w:left="2"/>
        <w:jc w:val="left"/>
        <w:rPr>
          <w:rFonts w:ascii="宋体" w:hAnsi="宋体" w:cs="宋体"/>
          <w:color w:val="auto"/>
          <w:kern w:val="0"/>
          <w:sz w:val="24"/>
          <w:szCs w:val="24"/>
          <w:highlight w:val="none"/>
          <w:lang w:val="zh-CN"/>
        </w:rPr>
      </w:pPr>
    </w:p>
    <w:p w14:paraId="0914ACDE">
      <w:pPr>
        <w:autoSpaceDE w:val="0"/>
        <w:autoSpaceDN w:val="0"/>
        <w:spacing w:line="360" w:lineRule="auto"/>
        <w:ind w:left="2"/>
        <w:jc w:val="left"/>
        <w:rPr>
          <w:rFonts w:ascii="宋体" w:hAnsi="宋体" w:cs="宋体"/>
          <w:color w:val="auto"/>
          <w:kern w:val="0"/>
          <w:sz w:val="24"/>
          <w:szCs w:val="24"/>
          <w:highlight w:val="none"/>
          <w:lang w:val="zh-CN"/>
        </w:rPr>
      </w:pPr>
    </w:p>
    <w:p w14:paraId="02E01AF0">
      <w:pPr>
        <w:autoSpaceDE w:val="0"/>
        <w:autoSpaceDN w:val="0"/>
        <w:spacing w:line="360" w:lineRule="auto"/>
        <w:ind w:left="2"/>
        <w:jc w:val="left"/>
        <w:rPr>
          <w:rFonts w:ascii="宋体" w:hAnsi="宋体" w:cs="宋体"/>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color w:val="auto"/>
          <w:kern w:val="0"/>
          <w:sz w:val="24"/>
          <w:szCs w:val="24"/>
          <w:highlight w:val="none"/>
          <w:lang w:val="zh-CN"/>
        </w:rPr>
      </w:pPr>
      <w:r>
        <w:rPr>
          <w:rFonts w:hint="eastAsia" w:ascii="宋体" w:hAnsi="宋体" w:cs="宋体"/>
          <w:color w:val="auto"/>
          <w:kern w:val="0"/>
          <w:sz w:val="24"/>
          <w:szCs w:val="24"/>
          <w:highlight w:val="none"/>
          <w:lang w:val="zh-CN"/>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cs="宋体"/>
          <w:color w:val="auto"/>
          <w:kern w:val="0"/>
          <w:sz w:val="24"/>
          <w:szCs w:val="24"/>
          <w:highlight w:val="none"/>
          <w:lang w:val="zh-CN"/>
        </w:rPr>
        <w:t xml:space="preserve">：                                                                                                                                                                                                               </w:t>
      </w:r>
    </w:p>
    <w:p w14:paraId="0FD8A2DC">
      <w:pPr>
        <w:ind w:firstLine="4560" w:firstLineChars="1900"/>
        <w:rPr>
          <w:rFonts w:hint="eastAsia" w:eastAsia="宋体" w:asciiTheme="majorHAnsi" w:hAnsiTheme="majorHAnsi" w:cstheme="majorBidi"/>
          <w:b/>
          <w:bCs/>
          <w:color w:val="auto"/>
          <w:kern w:val="2"/>
          <w:sz w:val="24"/>
          <w:szCs w:val="24"/>
          <w:highlight w:val="none"/>
          <w:lang w:val="en-US" w:eastAsia="zh-CN" w:bidi="ar-SA"/>
        </w:rPr>
      </w:pPr>
      <w:r>
        <w:rPr>
          <w:rFonts w:hint="eastAsia" w:ascii="宋体" w:hAnsi="宋体" w:cs="宋体"/>
          <w:color w:val="auto"/>
          <w:kern w:val="0"/>
          <w:sz w:val="24"/>
          <w:szCs w:val="24"/>
          <w:highlight w:val="none"/>
          <w:lang w:val="zh-CN"/>
        </w:rPr>
        <w:t>日期</w:t>
      </w:r>
      <w:r>
        <w:rPr>
          <w:rFonts w:hint="eastAsia" w:ascii="宋体" w:hAnsi="宋体" w:cs="宋体"/>
          <w:color w:val="auto"/>
          <w:kern w:val="0"/>
          <w:sz w:val="24"/>
          <w:szCs w:val="24"/>
          <w:highlight w:val="none"/>
        </w:rPr>
        <w:t>：</w:t>
      </w:r>
      <w:r>
        <w:rPr>
          <w:rFonts w:hint="eastAsia" w:ascii="宋体" w:hAnsi="宋体" w:cs="宋体"/>
          <w:color w:val="auto"/>
          <w:kern w:val="0"/>
          <w:sz w:val="24"/>
          <w:szCs w:val="24"/>
          <w:highlight w:val="none"/>
          <w:lang w:val="zh-CN"/>
        </w:rPr>
        <w:t xml:space="preserve">   年   月   日</w:t>
      </w:r>
    </w:p>
    <w:p w14:paraId="5AA40BF9">
      <w:pPr>
        <w:rPr>
          <w:rFonts w:hint="eastAsia" w:eastAsia="宋体" w:asciiTheme="majorHAnsi" w:hAnsiTheme="majorHAnsi" w:cstheme="majorBidi"/>
          <w:b/>
          <w:bCs/>
          <w:color w:val="auto"/>
          <w:kern w:val="2"/>
          <w:sz w:val="24"/>
          <w:szCs w:val="24"/>
          <w:highlight w:val="none"/>
          <w:lang w:val="en-US" w:eastAsia="zh-CN" w:bidi="ar-SA"/>
        </w:rPr>
      </w:pPr>
    </w:p>
    <w:p w14:paraId="2917743B">
      <w:pPr>
        <w:pStyle w:val="13"/>
        <w:rPr>
          <w:rFonts w:hint="eastAsia" w:eastAsia="宋体" w:asciiTheme="majorHAnsi" w:hAnsiTheme="majorHAnsi" w:cstheme="majorBidi"/>
          <w:b/>
          <w:bCs/>
          <w:color w:val="auto"/>
          <w:kern w:val="2"/>
          <w:sz w:val="24"/>
          <w:szCs w:val="24"/>
          <w:highlight w:val="none"/>
          <w:lang w:val="en-US" w:eastAsia="zh-CN" w:bidi="ar-SA"/>
        </w:rPr>
      </w:pPr>
    </w:p>
    <w:p w14:paraId="2CC927CA">
      <w:pPr>
        <w:pStyle w:val="13"/>
        <w:rPr>
          <w:rFonts w:hint="eastAsia" w:eastAsia="宋体" w:asciiTheme="majorHAnsi" w:hAnsiTheme="majorHAnsi" w:cstheme="majorBidi"/>
          <w:b/>
          <w:bCs/>
          <w:color w:val="auto"/>
          <w:kern w:val="2"/>
          <w:sz w:val="24"/>
          <w:szCs w:val="24"/>
          <w:highlight w:val="none"/>
          <w:lang w:val="en-US" w:eastAsia="zh-CN" w:bidi="ar-SA"/>
        </w:rPr>
      </w:pPr>
    </w:p>
    <w:p w14:paraId="3E59CD3C">
      <w:pPr>
        <w:keepNext/>
        <w:keepLines/>
        <w:pageBreakBefore w:val="0"/>
        <w:widowControl w:val="0"/>
        <w:kinsoku/>
        <w:wordWrap/>
        <w:overflowPunct/>
        <w:topLinePunct w:val="0"/>
        <w:autoSpaceDE/>
        <w:autoSpaceDN/>
        <w:bidi w:val="0"/>
        <w:adjustRightInd/>
        <w:snapToGrid/>
        <w:spacing w:before="100" w:after="100"/>
        <w:ind w:left="420" w:leftChars="0" w:firstLineChars="0"/>
        <w:jc w:val="center"/>
        <w:textAlignment w:val="auto"/>
        <w:rPr>
          <w:rFonts w:hint="eastAsia" w:cstheme="majorBidi"/>
          <w:b/>
          <w:bCs/>
          <w:color w:val="auto"/>
          <w:kern w:val="2"/>
          <w:sz w:val="32"/>
          <w:szCs w:val="32"/>
          <w:highlight w:val="none"/>
          <w:lang w:val="en-US" w:eastAsia="zh-CN" w:bidi="ar-SA"/>
        </w:rPr>
      </w:pPr>
      <w:bookmarkStart w:id="702" w:name="_Toc12547"/>
      <w:r>
        <w:rPr>
          <w:rFonts w:hint="eastAsia" w:cstheme="majorBidi"/>
          <w:b/>
          <w:bCs/>
          <w:color w:val="auto"/>
          <w:kern w:val="2"/>
          <w:sz w:val="32"/>
          <w:szCs w:val="32"/>
          <w:highlight w:val="none"/>
          <w:lang w:val="en-US" w:eastAsia="zh-CN" w:bidi="ar-SA"/>
        </w:rPr>
        <w:br w:type="page"/>
      </w:r>
    </w:p>
    <w:p w14:paraId="39A05A9C">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theme="majorBidi"/>
          <w:b/>
          <w:bCs/>
          <w:color w:val="auto"/>
          <w:kern w:val="2"/>
          <w:sz w:val="32"/>
          <w:szCs w:val="32"/>
          <w:highlight w:val="none"/>
          <w:lang w:val="en-US" w:eastAsia="zh-CN" w:bidi="ar-SA"/>
        </w:rPr>
      </w:pPr>
      <w:r>
        <w:rPr>
          <w:rFonts w:hint="eastAsia" w:cstheme="majorBidi"/>
          <w:b/>
          <w:bCs/>
          <w:color w:val="auto"/>
          <w:kern w:val="2"/>
          <w:sz w:val="32"/>
          <w:szCs w:val="32"/>
          <w:highlight w:val="none"/>
          <w:lang w:val="en-US" w:eastAsia="zh-CN" w:bidi="ar-SA"/>
        </w:rPr>
        <w:t>五、不参与围标串标承诺书</w:t>
      </w:r>
      <w:bookmarkEnd w:id="702"/>
    </w:p>
    <w:p w14:paraId="7C844350">
      <w:pPr>
        <w:rPr>
          <w:rFonts w:hint="eastAsia"/>
          <w:color w:val="auto"/>
          <w:highlight w:val="none"/>
          <w:lang w:val="en-US" w:eastAsia="zh-CN"/>
        </w:rPr>
      </w:pPr>
      <w:r>
        <w:rPr>
          <w:rFonts w:hint="eastAsia"/>
          <w:color w:val="auto"/>
          <w:highlight w:val="none"/>
          <w:lang w:val="en-US" w:eastAsia="zh-CN"/>
        </w:rPr>
        <w:t>  </w:t>
      </w:r>
    </w:p>
    <w:p w14:paraId="15BFCAEE">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本人作为经授权的投标人代表,清楚知晓我单位本项目投标活动,对以下事项作出承诺：</w:t>
      </w:r>
    </w:p>
    <w:p w14:paraId="7C2824CC">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一、我单位和我本人遵循公开透明、公平竞争、公正和诚实信用的原则,依法依规参与本项目竞标。</w:t>
      </w:r>
    </w:p>
    <w:p w14:paraId="2E26EC3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二、我单位和我本人在本项目政府采购投标活动中,未参与围标串标。</w:t>
      </w:r>
    </w:p>
    <w:p w14:paraId="5F05000A">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color w:val="auto"/>
          <w:highlight w:val="none"/>
          <w:lang w:val="en-US" w:eastAsia="zh-CN"/>
        </w:rPr>
      </w:pPr>
      <w:r>
        <w:rPr>
          <w:rFonts w:hint="eastAsia"/>
          <w:color w:val="auto"/>
          <w:highlight w:val="none"/>
          <w:lang w:val="en-US" w:eastAsia="zh-CN"/>
        </w:rPr>
        <w:t>三、我单位如被查实在本项目政府采购投标活动中存在围标串标的，递交投标文件行为作为实施串通投标违法行为的关键环节,由我单位及法定代表人承担相应的法律责任，接受相应行政处罚和失信惩戒。</w:t>
      </w:r>
    </w:p>
    <w:p w14:paraId="366CAE87">
      <w:pPr>
        <w:pStyle w:val="13"/>
        <w:rPr>
          <w:rFonts w:hint="eastAsia"/>
          <w:color w:val="auto"/>
          <w:highlight w:val="none"/>
          <w:lang w:val="en-US" w:eastAsia="zh-CN"/>
        </w:rPr>
      </w:pPr>
    </w:p>
    <w:p w14:paraId="39EE5425">
      <w:pPr>
        <w:spacing w:line="560" w:lineRule="exact"/>
        <w:rPr>
          <w:rFonts w:hint="eastAsia" w:ascii="宋体" w:hAnsi="宋体" w:eastAsia="宋体" w:cs="宋体"/>
          <w:color w:val="auto"/>
          <w:kern w:val="0"/>
          <w:sz w:val="24"/>
          <w:szCs w:val="24"/>
          <w:highlight w:val="none"/>
        </w:rPr>
      </w:pPr>
    </w:p>
    <w:p w14:paraId="7EF00BEA">
      <w:pPr>
        <w:spacing w:line="560" w:lineRule="exact"/>
        <w:rPr>
          <w:rFonts w:hint="eastAsia" w:ascii="宋体" w:hAnsi="宋体" w:eastAsia="宋体" w:cs="宋体"/>
          <w:color w:val="auto"/>
          <w:kern w:val="0"/>
          <w:sz w:val="24"/>
          <w:szCs w:val="24"/>
          <w:highlight w:val="none"/>
        </w:rPr>
      </w:pPr>
      <w:r>
        <w:rPr>
          <w:rFonts w:hint="eastAsia" w:cs="宋体"/>
          <w:color w:val="auto"/>
          <w:kern w:val="0"/>
          <w:sz w:val="24"/>
          <w:szCs w:val="24"/>
          <w:highlight w:val="none"/>
          <w:lang w:val="en-US" w:eastAsia="zh-CN"/>
        </w:rPr>
        <w:t>投标人</w:t>
      </w:r>
      <w:r>
        <w:rPr>
          <w:rFonts w:hint="eastAsia"/>
          <w:bCs/>
          <w:color w:val="auto"/>
          <w:szCs w:val="21"/>
          <w:highlight w:val="none"/>
          <w:lang w:val="en-US" w:eastAsia="zh-CN"/>
        </w:rPr>
        <w:t>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ascii="宋体" w:hAnsi="宋体" w:eastAsia="宋体" w:cs="宋体"/>
          <w:color w:val="auto"/>
          <w:kern w:val="0"/>
          <w:sz w:val="24"/>
          <w:szCs w:val="24"/>
          <w:highlight w:val="none"/>
        </w:rPr>
        <w:t>：</w:t>
      </w:r>
    </w:p>
    <w:p w14:paraId="156DDEC3">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法定代表人（负责人或本人）或授权代表（签字或盖章）：</w:t>
      </w:r>
    </w:p>
    <w:p w14:paraId="7ED45391">
      <w:pPr>
        <w:spacing w:line="560" w:lineRule="exact"/>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日期： 年 月 日</w:t>
      </w:r>
    </w:p>
    <w:p w14:paraId="3901BA9C">
      <w:pPr>
        <w:widowControl/>
        <w:spacing w:line="560" w:lineRule="exact"/>
        <w:ind w:firstLine="630"/>
        <w:jc w:val="left"/>
        <w:rPr>
          <w:rFonts w:hint="eastAsia" w:ascii="宋体" w:hAnsi="宋体" w:eastAsia="宋体" w:cs="宋体"/>
          <w:color w:val="auto"/>
          <w:kern w:val="0"/>
          <w:sz w:val="24"/>
          <w:szCs w:val="24"/>
          <w:highlight w:val="none"/>
        </w:rPr>
      </w:pPr>
    </w:p>
    <w:p w14:paraId="1531BD90">
      <w:pPr>
        <w:numPr>
          <w:ilvl w:val="0"/>
          <w:numId w:val="0"/>
        </w:numPr>
        <w:rPr>
          <w:rFonts w:hint="default"/>
          <w:color w:val="auto"/>
          <w:highlight w:val="none"/>
          <w:lang w:val="en-US" w:eastAsia="zh-CN"/>
        </w:rPr>
      </w:pPr>
    </w:p>
    <w:p w14:paraId="1BAA11FC">
      <w:pPr>
        <w:rPr>
          <w:rFonts w:hint="eastAsia" w:eastAsia="宋体" w:asciiTheme="majorHAnsi" w:hAnsiTheme="majorHAnsi" w:cstheme="majorBidi"/>
          <w:b/>
          <w:bCs/>
          <w:color w:val="auto"/>
          <w:kern w:val="2"/>
          <w:sz w:val="28"/>
          <w:szCs w:val="28"/>
          <w:highlight w:val="none"/>
          <w:lang w:val="en-US" w:eastAsia="zh-CN" w:bidi="ar-SA"/>
        </w:rPr>
      </w:pPr>
      <w:r>
        <w:rPr>
          <w:rFonts w:hint="eastAsia" w:eastAsia="宋体" w:asciiTheme="majorHAnsi" w:hAnsiTheme="majorHAnsi" w:cstheme="majorBidi"/>
          <w:b/>
          <w:bCs/>
          <w:color w:val="auto"/>
          <w:kern w:val="2"/>
          <w:sz w:val="28"/>
          <w:szCs w:val="28"/>
          <w:highlight w:val="none"/>
          <w:lang w:val="en-US" w:eastAsia="zh-CN" w:bidi="ar-SA"/>
        </w:rPr>
        <w:br w:type="page"/>
      </w:r>
    </w:p>
    <w:p w14:paraId="626EF50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703" w:name="_Toc6507"/>
      <w:r>
        <w:rPr>
          <w:rFonts w:hint="eastAsia" w:cstheme="majorBidi"/>
          <w:b/>
          <w:bCs/>
          <w:color w:val="auto"/>
          <w:kern w:val="2"/>
          <w:sz w:val="32"/>
          <w:szCs w:val="32"/>
          <w:highlight w:val="none"/>
          <w:lang w:val="en-US" w:eastAsia="zh-CN" w:bidi="ar-SA"/>
        </w:rPr>
        <w:t>六</w:t>
      </w:r>
      <w:r>
        <w:rPr>
          <w:rFonts w:hint="eastAsia" w:eastAsia="宋体" w:asciiTheme="majorHAnsi" w:hAnsiTheme="majorHAnsi" w:cstheme="majorBidi"/>
          <w:b/>
          <w:bCs/>
          <w:color w:val="auto"/>
          <w:kern w:val="2"/>
          <w:sz w:val="32"/>
          <w:szCs w:val="32"/>
          <w:highlight w:val="none"/>
          <w:lang w:val="en-US" w:eastAsia="zh-CN" w:bidi="ar-SA"/>
        </w:rPr>
        <w:t>、商务响应偏离表</w:t>
      </w:r>
      <w:bookmarkEnd w:id="703"/>
    </w:p>
    <w:p w14:paraId="1D186498">
      <w:pPr>
        <w:rPr>
          <w:rFonts w:cs="仿宋_GB2312"/>
          <w:color w:val="auto"/>
          <w:szCs w:val="24"/>
          <w:highlight w:val="none"/>
        </w:rPr>
      </w:pPr>
      <w:r>
        <w:rPr>
          <w:rFonts w:hint="eastAsia" w:cs="仿宋_GB2312"/>
          <w:color w:val="auto"/>
          <w:szCs w:val="24"/>
          <w:highlight w:val="none"/>
        </w:rPr>
        <w:t xml:space="preserve">项目名称：                                         </w:t>
      </w:r>
    </w:p>
    <w:p w14:paraId="49D93B14">
      <w:pPr>
        <w:rPr>
          <w:rFonts w:cs="仿宋_GB2312"/>
          <w:color w:val="auto"/>
          <w:szCs w:val="24"/>
          <w:highlight w:val="none"/>
        </w:rPr>
      </w:pPr>
      <w:r>
        <w:rPr>
          <w:rFonts w:hint="eastAsia" w:cs="仿宋_GB2312"/>
          <w:color w:val="auto"/>
          <w:szCs w:val="24"/>
          <w:highlight w:val="none"/>
        </w:rPr>
        <w:t xml:space="preserve">项目编号：        </w:t>
      </w:r>
    </w:p>
    <w:tbl>
      <w:tblPr>
        <w:tblStyle w:val="31"/>
        <w:tblW w:w="477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0"/>
        <w:gridCol w:w="2191"/>
        <w:gridCol w:w="2902"/>
        <w:gridCol w:w="2664"/>
      </w:tblGrid>
      <w:tr w14:paraId="33127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535" w:type="pct"/>
            <w:vAlign w:val="center"/>
          </w:tcPr>
          <w:p w14:paraId="61EA105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261" w:type="pct"/>
            <w:vAlign w:val="center"/>
          </w:tcPr>
          <w:p w14:paraId="49200A2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招标文件的商务条款</w:t>
            </w:r>
          </w:p>
        </w:tc>
        <w:tc>
          <w:tcPr>
            <w:tcW w:w="1670" w:type="pct"/>
            <w:vAlign w:val="center"/>
          </w:tcPr>
          <w:p w14:paraId="2B47A59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533" w:type="pct"/>
            <w:vAlign w:val="center"/>
          </w:tcPr>
          <w:p w14:paraId="0A22DBCC">
            <w:pPr>
              <w:pStyle w:val="51"/>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偏离说明</w:t>
            </w:r>
          </w:p>
        </w:tc>
      </w:tr>
      <w:tr w14:paraId="2C90D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pct"/>
            <w:vAlign w:val="center"/>
          </w:tcPr>
          <w:p w14:paraId="6F94D57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261" w:type="pct"/>
            <w:vAlign w:val="center"/>
          </w:tcPr>
          <w:p w14:paraId="4BC6C9AE">
            <w:pPr>
              <w:pStyle w:val="51"/>
              <w:jc w:val="center"/>
              <w:rPr>
                <w:rFonts w:hint="eastAsia" w:ascii="宋体" w:hAnsi="宋体" w:eastAsia="宋体" w:cs="宋体"/>
                <w:color w:val="auto"/>
                <w:sz w:val="21"/>
                <w:szCs w:val="21"/>
                <w:highlight w:val="none"/>
              </w:rPr>
            </w:pPr>
          </w:p>
        </w:tc>
        <w:tc>
          <w:tcPr>
            <w:tcW w:w="1670" w:type="pct"/>
            <w:vAlign w:val="center"/>
          </w:tcPr>
          <w:p w14:paraId="5FBB3652">
            <w:pPr>
              <w:pStyle w:val="51"/>
              <w:jc w:val="center"/>
              <w:rPr>
                <w:rFonts w:hint="eastAsia" w:ascii="宋体" w:hAnsi="宋体" w:eastAsia="宋体" w:cs="宋体"/>
                <w:color w:val="auto"/>
                <w:sz w:val="21"/>
                <w:szCs w:val="21"/>
                <w:highlight w:val="none"/>
              </w:rPr>
            </w:pPr>
          </w:p>
        </w:tc>
        <w:tc>
          <w:tcPr>
            <w:tcW w:w="1533" w:type="pct"/>
            <w:vAlign w:val="center"/>
          </w:tcPr>
          <w:p w14:paraId="0BE3ED73">
            <w:pPr>
              <w:pStyle w:val="51"/>
              <w:jc w:val="center"/>
              <w:rPr>
                <w:rFonts w:hint="eastAsia" w:ascii="宋体" w:hAnsi="宋体" w:eastAsia="宋体" w:cs="宋体"/>
                <w:color w:val="auto"/>
                <w:sz w:val="21"/>
                <w:szCs w:val="21"/>
                <w:highlight w:val="none"/>
              </w:rPr>
            </w:pPr>
          </w:p>
        </w:tc>
      </w:tr>
      <w:tr w14:paraId="2C680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pct"/>
            <w:vAlign w:val="center"/>
          </w:tcPr>
          <w:p w14:paraId="31A99A4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261" w:type="pct"/>
            <w:vAlign w:val="center"/>
          </w:tcPr>
          <w:p w14:paraId="45C9EA13">
            <w:pPr>
              <w:pStyle w:val="51"/>
              <w:jc w:val="center"/>
              <w:rPr>
                <w:rFonts w:hint="eastAsia" w:ascii="宋体" w:hAnsi="宋体" w:eastAsia="宋体" w:cs="宋体"/>
                <w:color w:val="auto"/>
                <w:sz w:val="21"/>
                <w:szCs w:val="21"/>
                <w:highlight w:val="none"/>
              </w:rPr>
            </w:pPr>
          </w:p>
        </w:tc>
        <w:tc>
          <w:tcPr>
            <w:tcW w:w="1670" w:type="pct"/>
            <w:vAlign w:val="center"/>
          </w:tcPr>
          <w:p w14:paraId="78716E39">
            <w:pPr>
              <w:pStyle w:val="51"/>
              <w:jc w:val="center"/>
              <w:rPr>
                <w:rFonts w:hint="eastAsia" w:ascii="宋体" w:hAnsi="宋体" w:eastAsia="宋体" w:cs="宋体"/>
                <w:color w:val="auto"/>
                <w:sz w:val="21"/>
                <w:szCs w:val="21"/>
                <w:highlight w:val="none"/>
              </w:rPr>
            </w:pPr>
          </w:p>
        </w:tc>
        <w:tc>
          <w:tcPr>
            <w:tcW w:w="1533" w:type="pct"/>
            <w:vAlign w:val="center"/>
          </w:tcPr>
          <w:p w14:paraId="7FF2D014">
            <w:pPr>
              <w:pStyle w:val="51"/>
              <w:jc w:val="center"/>
              <w:rPr>
                <w:rFonts w:hint="eastAsia" w:ascii="宋体" w:hAnsi="宋体" w:eastAsia="宋体" w:cs="宋体"/>
                <w:color w:val="auto"/>
                <w:sz w:val="21"/>
                <w:szCs w:val="21"/>
                <w:highlight w:val="none"/>
              </w:rPr>
            </w:pPr>
          </w:p>
        </w:tc>
      </w:tr>
      <w:tr w14:paraId="3CF1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pct"/>
            <w:vAlign w:val="center"/>
          </w:tcPr>
          <w:p w14:paraId="21DCD2E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261" w:type="pct"/>
            <w:vAlign w:val="center"/>
          </w:tcPr>
          <w:p w14:paraId="69CD6442">
            <w:pPr>
              <w:pStyle w:val="51"/>
              <w:jc w:val="center"/>
              <w:rPr>
                <w:rFonts w:hint="eastAsia" w:ascii="宋体" w:hAnsi="宋体" w:eastAsia="宋体" w:cs="宋体"/>
                <w:color w:val="auto"/>
                <w:sz w:val="21"/>
                <w:szCs w:val="21"/>
                <w:highlight w:val="none"/>
              </w:rPr>
            </w:pPr>
          </w:p>
        </w:tc>
        <w:tc>
          <w:tcPr>
            <w:tcW w:w="1670" w:type="pct"/>
            <w:vAlign w:val="center"/>
          </w:tcPr>
          <w:p w14:paraId="0A18A482">
            <w:pPr>
              <w:pStyle w:val="51"/>
              <w:jc w:val="center"/>
              <w:rPr>
                <w:rFonts w:hint="eastAsia" w:ascii="宋体" w:hAnsi="宋体" w:eastAsia="宋体" w:cs="宋体"/>
                <w:color w:val="auto"/>
                <w:sz w:val="21"/>
                <w:szCs w:val="21"/>
                <w:highlight w:val="none"/>
              </w:rPr>
            </w:pPr>
          </w:p>
        </w:tc>
        <w:tc>
          <w:tcPr>
            <w:tcW w:w="1533" w:type="pct"/>
            <w:vAlign w:val="center"/>
          </w:tcPr>
          <w:p w14:paraId="4CBAA73E">
            <w:pPr>
              <w:pStyle w:val="51"/>
              <w:jc w:val="center"/>
              <w:rPr>
                <w:rFonts w:hint="eastAsia" w:ascii="宋体" w:hAnsi="宋体" w:eastAsia="宋体" w:cs="宋体"/>
                <w:color w:val="auto"/>
                <w:sz w:val="21"/>
                <w:szCs w:val="21"/>
                <w:highlight w:val="none"/>
              </w:rPr>
            </w:pPr>
          </w:p>
        </w:tc>
      </w:tr>
      <w:tr w14:paraId="15C0F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pct"/>
            <w:vAlign w:val="center"/>
          </w:tcPr>
          <w:p w14:paraId="7F30B680">
            <w:pPr>
              <w:pStyle w:val="51"/>
              <w:jc w:val="center"/>
              <w:rPr>
                <w:rFonts w:hint="eastAsia" w:ascii="宋体" w:hAnsi="宋体" w:eastAsia="宋体" w:cs="宋体"/>
                <w:color w:val="auto"/>
                <w:sz w:val="21"/>
                <w:szCs w:val="21"/>
                <w:highlight w:val="none"/>
              </w:rPr>
            </w:pPr>
          </w:p>
        </w:tc>
        <w:tc>
          <w:tcPr>
            <w:tcW w:w="1261" w:type="pct"/>
            <w:vAlign w:val="center"/>
          </w:tcPr>
          <w:p w14:paraId="4AADEA29">
            <w:pPr>
              <w:pStyle w:val="51"/>
              <w:jc w:val="center"/>
              <w:rPr>
                <w:rFonts w:hint="eastAsia" w:ascii="宋体" w:hAnsi="宋体" w:eastAsia="宋体" w:cs="宋体"/>
                <w:color w:val="auto"/>
                <w:sz w:val="21"/>
                <w:szCs w:val="21"/>
                <w:highlight w:val="none"/>
              </w:rPr>
            </w:pPr>
          </w:p>
        </w:tc>
        <w:tc>
          <w:tcPr>
            <w:tcW w:w="1670" w:type="pct"/>
            <w:vAlign w:val="center"/>
          </w:tcPr>
          <w:p w14:paraId="38D5F739">
            <w:pPr>
              <w:pStyle w:val="51"/>
              <w:jc w:val="center"/>
              <w:rPr>
                <w:rFonts w:hint="eastAsia" w:ascii="宋体" w:hAnsi="宋体" w:eastAsia="宋体" w:cs="宋体"/>
                <w:color w:val="auto"/>
                <w:sz w:val="21"/>
                <w:szCs w:val="21"/>
                <w:highlight w:val="none"/>
              </w:rPr>
            </w:pPr>
          </w:p>
        </w:tc>
        <w:tc>
          <w:tcPr>
            <w:tcW w:w="1533" w:type="pct"/>
            <w:vAlign w:val="center"/>
          </w:tcPr>
          <w:p w14:paraId="225853EF">
            <w:pPr>
              <w:pStyle w:val="51"/>
              <w:jc w:val="center"/>
              <w:rPr>
                <w:rFonts w:hint="eastAsia" w:ascii="宋体" w:hAnsi="宋体" w:eastAsia="宋体" w:cs="宋体"/>
                <w:color w:val="auto"/>
                <w:sz w:val="21"/>
                <w:szCs w:val="21"/>
                <w:highlight w:val="none"/>
              </w:rPr>
            </w:pPr>
          </w:p>
        </w:tc>
      </w:tr>
      <w:tr w14:paraId="0D3DF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pct"/>
            <w:vAlign w:val="center"/>
          </w:tcPr>
          <w:p w14:paraId="35F3EE02">
            <w:pPr>
              <w:pStyle w:val="51"/>
              <w:jc w:val="center"/>
              <w:rPr>
                <w:rFonts w:hint="eastAsia" w:ascii="宋体" w:hAnsi="宋体" w:eastAsia="宋体" w:cs="宋体"/>
                <w:color w:val="auto"/>
                <w:sz w:val="21"/>
                <w:szCs w:val="21"/>
                <w:highlight w:val="none"/>
              </w:rPr>
            </w:pPr>
          </w:p>
        </w:tc>
        <w:tc>
          <w:tcPr>
            <w:tcW w:w="1261" w:type="pct"/>
            <w:vAlign w:val="center"/>
          </w:tcPr>
          <w:p w14:paraId="4393079D">
            <w:pPr>
              <w:pStyle w:val="51"/>
              <w:jc w:val="center"/>
              <w:rPr>
                <w:rFonts w:hint="eastAsia" w:ascii="宋体" w:hAnsi="宋体" w:eastAsia="宋体" w:cs="宋体"/>
                <w:color w:val="auto"/>
                <w:sz w:val="21"/>
                <w:szCs w:val="21"/>
                <w:highlight w:val="none"/>
              </w:rPr>
            </w:pPr>
          </w:p>
        </w:tc>
        <w:tc>
          <w:tcPr>
            <w:tcW w:w="1670" w:type="pct"/>
            <w:vAlign w:val="center"/>
          </w:tcPr>
          <w:p w14:paraId="25A3A5BC">
            <w:pPr>
              <w:pStyle w:val="51"/>
              <w:jc w:val="center"/>
              <w:rPr>
                <w:rFonts w:hint="eastAsia" w:ascii="宋体" w:hAnsi="宋体" w:eastAsia="宋体" w:cs="宋体"/>
                <w:color w:val="auto"/>
                <w:sz w:val="21"/>
                <w:szCs w:val="21"/>
                <w:highlight w:val="none"/>
              </w:rPr>
            </w:pPr>
          </w:p>
        </w:tc>
        <w:tc>
          <w:tcPr>
            <w:tcW w:w="1533" w:type="pct"/>
            <w:vAlign w:val="center"/>
          </w:tcPr>
          <w:p w14:paraId="1B49FF8B">
            <w:pPr>
              <w:pStyle w:val="51"/>
              <w:jc w:val="center"/>
              <w:rPr>
                <w:rFonts w:hint="eastAsia" w:ascii="宋体" w:hAnsi="宋体" w:eastAsia="宋体" w:cs="宋体"/>
                <w:color w:val="auto"/>
                <w:sz w:val="21"/>
                <w:szCs w:val="21"/>
                <w:highlight w:val="none"/>
              </w:rPr>
            </w:pPr>
          </w:p>
        </w:tc>
      </w:tr>
      <w:tr w14:paraId="193F5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pct"/>
            <w:vAlign w:val="center"/>
          </w:tcPr>
          <w:p w14:paraId="308504A9">
            <w:pPr>
              <w:pStyle w:val="51"/>
              <w:jc w:val="center"/>
              <w:rPr>
                <w:rFonts w:hint="eastAsia" w:ascii="宋体" w:hAnsi="宋体" w:eastAsia="宋体" w:cs="宋体"/>
                <w:color w:val="auto"/>
                <w:sz w:val="21"/>
                <w:szCs w:val="21"/>
                <w:highlight w:val="none"/>
              </w:rPr>
            </w:pPr>
          </w:p>
        </w:tc>
        <w:tc>
          <w:tcPr>
            <w:tcW w:w="1261" w:type="pct"/>
            <w:vAlign w:val="center"/>
          </w:tcPr>
          <w:p w14:paraId="0B05BA21">
            <w:pPr>
              <w:pStyle w:val="51"/>
              <w:jc w:val="center"/>
              <w:rPr>
                <w:rFonts w:hint="eastAsia" w:ascii="宋体" w:hAnsi="宋体" w:eastAsia="宋体" w:cs="宋体"/>
                <w:color w:val="auto"/>
                <w:sz w:val="21"/>
                <w:szCs w:val="21"/>
                <w:highlight w:val="none"/>
              </w:rPr>
            </w:pPr>
          </w:p>
        </w:tc>
        <w:tc>
          <w:tcPr>
            <w:tcW w:w="1670" w:type="pct"/>
            <w:vAlign w:val="center"/>
          </w:tcPr>
          <w:p w14:paraId="6EE2FD7A">
            <w:pPr>
              <w:pStyle w:val="51"/>
              <w:jc w:val="center"/>
              <w:rPr>
                <w:rFonts w:hint="eastAsia" w:ascii="宋体" w:hAnsi="宋体" w:eastAsia="宋体" w:cs="宋体"/>
                <w:color w:val="auto"/>
                <w:sz w:val="21"/>
                <w:szCs w:val="21"/>
                <w:highlight w:val="none"/>
              </w:rPr>
            </w:pPr>
          </w:p>
        </w:tc>
        <w:tc>
          <w:tcPr>
            <w:tcW w:w="1533" w:type="pct"/>
            <w:vAlign w:val="center"/>
          </w:tcPr>
          <w:p w14:paraId="3C3EE3D6">
            <w:pPr>
              <w:pStyle w:val="51"/>
              <w:jc w:val="center"/>
              <w:rPr>
                <w:rFonts w:hint="eastAsia" w:ascii="宋体" w:hAnsi="宋体" w:eastAsia="宋体" w:cs="宋体"/>
                <w:color w:val="auto"/>
                <w:sz w:val="21"/>
                <w:szCs w:val="21"/>
                <w:highlight w:val="none"/>
              </w:rPr>
            </w:pPr>
          </w:p>
        </w:tc>
      </w:tr>
      <w:tr w14:paraId="05BC6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pct"/>
            <w:vAlign w:val="center"/>
          </w:tcPr>
          <w:p w14:paraId="2DE1BBEB">
            <w:pPr>
              <w:pStyle w:val="51"/>
              <w:jc w:val="center"/>
              <w:rPr>
                <w:rFonts w:hint="eastAsia" w:ascii="宋体" w:hAnsi="宋体" w:eastAsia="宋体" w:cs="宋体"/>
                <w:color w:val="auto"/>
                <w:sz w:val="21"/>
                <w:szCs w:val="21"/>
                <w:highlight w:val="none"/>
              </w:rPr>
            </w:pPr>
          </w:p>
        </w:tc>
        <w:tc>
          <w:tcPr>
            <w:tcW w:w="1261" w:type="pct"/>
            <w:vAlign w:val="center"/>
          </w:tcPr>
          <w:p w14:paraId="2369E7CE">
            <w:pPr>
              <w:pStyle w:val="51"/>
              <w:jc w:val="center"/>
              <w:rPr>
                <w:rFonts w:hint="eastAsia" w:ascii="宋体" w:hAnsi="宋体" w:eastAsia="宋体" w:cs="宋体"/>
                <w:color w:val="auto"/>
                <w:sz w:val="21"/>
                <w:szCs w:val="21"/>
                <w:highlight w:val="none"/>
              </w:rPr>
            </w:pPr>
          </w:p>
        </w:tc>
        <w:tc>
          <w:tcPr>
            <w:tcW w:w="1670" w:type="pct"/>
            <w:vAlign w:val="center"/>
          </w:tcPr>
          <w:p w14:paraId="1C290511">
            <w:pPr>
              <w:pStyle w:val="51"/>
              <w:jc w:val="center"/>
              <w:rPr>
                <w:rFonts w:hint="eastAsia" w:ascii="宋体" w:hAnsi="宋体" w:eastAsia="宋体" w:cs="宋体"/>
                <w:color w:val="auto"/>
                <w:sz w:val="21"/>
                <w:szCs w:val="21"/>
                <w:highlight w:val="none"/>
              </w:rPr>
            </w:pPr>
          </w:p>
        </w:tc>
        <w:tc>
          <w:tcPr>
            <w:tcW w:w="1533" w:type="pct"/>
            <w:vAlign w:val="center"/>
          </w:tcPr>
          <w:p w14:paraId="2E4702A6">
            <w:pPr>
              <w:pStyle w:val="51"/>
              <w:jc w:val="center"/>
              <w:rPr>
                <w:rFonts w:hint="eastAsia" w:ascii="宋体" w:hAnsi="宋体" w:eastAsia="宋体" w:cs="宋体"/>
                <w:color w:val="auto"/>
                <w:sz w:val="21"/>
                <w:szCs w:val="21"/>
                <w:highlight w:val="none"/>
              </w:rPr>
            </w:pPr>
          </w:p>
        </w:tc>
      </w:tr>
      <w:tr w14:paraId="650A2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0" w:hRule="atLeast"/>
        </w:trPr>
        <w:tc>
          <w:tcPr>
            <w:tcW w:w="535" w:type="pct"/>
            <w:vAlign w:val="center"/>
          </w:tcPr>
          <w:p w14:paraId="5D23FA22">
            <w:pPr>
              <w:pStyle w:val="51"/>
              <w:jc w:val="center"/>
              <w:rPr>
                <w:rFonts w:hint="eastAsia" w:ascii="宋体" w:hAnsi="宋体" w:eastAsia="宋体" w:cs="宋体"/>
                <w:color w:val="auto"/>
                <w:sz w:val="21"/>
                <w:szCs w:val="21"/>
                <w:highlight w:val="none"/>
              </w:rPr>
            </w:pPr>
          </w:p>
        </w:tc>
        <w:tc>
          <w:tcPr>
            <w:tcW w:w="1261" w:type="pct"/>
            <w:vAlign w:val="center"/>
          </w:tcPr>
          <w:p w14:paraId="582C2856">
            <w:pPr>
              <w:pStyle w:val="51"/>
              <w:jc w:val="center"/>
              <w:rPr>
                <w:rFonts w:hint="eastAsia" w:ascii="宋体" w:hAnsi="宋体" w:eastAsia="宋体" w:cs="宋体"/>
                <w:color w:val="auto"/>
                <w:sz w:val="21"/>
                <w:szCs w:val="21"/>
                <w:highlight w:val="none"/>
              </w:rPr>
            </w:pPr>
          </w:p>
        </w:tc>
        <w:tc>
          <w:tcPr>
            <w:tcW w:w="1670" w:type="pct"/>
            <w:vAlign w:val="center"/>
          </w:tcPr>
          <w:p w14:paraId="324F9122">
            <w:pPr>
              <w:pStyle w:val="51"/>
              <w:jc w:val="center"/>
              <w:rPr>
                <w:rFonts w:hint="eastAsia" w:ascii="宋体" w:hAnsi="宋体" w:eastAsia="宋体" w:cs="宋体"/>
                <w:color w:val="auto"/>
                <w:sz w:val="21"/>
                <w:szCs w:val="21"/>
                <w:highlight w:val="none"/>
              </w:rPr>
            </w:pPr>
          </w:p>
        </w:tc>
        <w:tc>
          <w:tcPr>
            <w:tcW w:w="1533" w:type="pct"/>
            <w:vAlign w:val="center"/>
          </w:tcPr>
          <w:p w14:paraId="2C83C7AC">
            <w:pPr>
              <w:pStyle w:val="51"/>
              <w:jc w:val="center"/>
              <w:rPr>
                <w:rFonts w:hint="eastAsia" w:ascii="宋体" w:hAnsi="宋体" w:eastAsia="宋体" w:cs="宋体"/>
                <w:color w:val="auto"/>
                <w:sz w:val="21"/>
                <w:szCs w:val="21"/>
                <w:highlight w:val="none"/>
              </w:rPr>
            </w:pPr>
          </w:p>
        </w:tc>
      </w:tr>
      <w:tr w14:paraId="53B15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trPr>
        <w:tc>
          <w:tcPr>
            <w:tcW w:w="535" w:type="pct"/>
            <w:vAlign w:val="center"/>
          </w:tcPr>
          <w:p w14:paraId="06D2AB5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261" w:type="pct"/>
            <w:vAlign w:val="center"/>
          </w:tcPr>
          <w:p w14:paraId="6799470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670" w:type="pct"/>
            <w:vAlign w:val="center"/>
          </w:tcPr>
          <w:p w14:paraId="460CD4A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533" w:type="pct"/>
            <w:vAlign w:val="center"/>
          </w:tcPr>
          <w:p w14:paraId="6A23004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r>
    </w:tbl>
    <w:p w14:paraId="5516D2ED">
      <w:pPr>
        <w:ind w:firstLine="420" w:firstLineChars="200"/>
        <w:rPr>
          <w:rFonts w:hint="eastAsia" w:cs="仿宋_GB2312"/>
          <w:color w:val="auto"/>
          <w:sz w:val="21"/>
          <w:szCs w:val="21"/>
          <w:highlight w:val="none"/>
        </w:rPr>
      </w:pPr>
    </w:p>
    <w:p w14:paraId="25AA4FE8">
      <w:pPr>
        <w:rPr>
          <w:rFonts w:hint="eastAsia" w:cs="仿宋_GB2312"/>
          <w:color w:val="auto"/>
          <w:sz w:val="21"/>
          <w:szCs w:val="21"/>
          <w:highlight w:val="none"/>
        </w:rPr>
      </w:pPr>
      <w:r>
        <w:rPr>
          <w:rFonts w:hint="eastAsia" w:cs="仿宋_GB2312"/>
          <w:color w:val="auto"/>
          <w:sz w:val="21"/>
          <w:szCs w:val="21"/>
          <w:highlight w:val="none"/>
        </w:rPr>
        <w:t>注：1、有偏离的商务条款须在该表中逐一列明，并在在“偏离说明”中说明偏离具体情形。若无偏离请在“偏离说明”中填写“无偏离”。</w:t>
      </w:r>
    </w:p>
    <w:p w14:paraId="36069E01">
      <w:pPr>
        <w:rPr>
          <w:rFonts w:hint="eastAsia" w:cs="仿宋_GB2312"/>
          <w:color w:val="auto"/>
          <w:sz w:val="21"/>
          <w:szCs w:val="21"/>
          <w:highlight w:val="none"/>
        </w:rPr>
      </w:pPr>
      <w:r>
        <w:rPr>
          <w:rFonts w:hint="eastAsia" w:cs="仿宋_GB2312"/>
          <w:color w:val="auto"/>
          <w:sz w:val="21"/>
          <w:szCs w:val="21"/>
          <w:highlight w:val="none"/>
        </w:rPr>
        <w:t>2、未声明部分将被视为已接受</w:t>
      </w:r>
      <w:r>
        <w:rPr>
          <w:rFonts w:hint="eastAsia" w:cs="仿宋_GB2312"/>
          <w:color w:val="auto"/>
          <w:sz w:val="21"/>
          <w:szCs w:val="21"/>
          <w:highlight w:val="none"/>
          <w:lang w:val="en-US" w:eastAsia="zh-CN"/>
        </w:rPr>
        <w:t>招标</w:t>
      </w:r>
      <w:r>
        <w:rPr>
          <w:rFonts w:hint="eastAsia" w:cs="仿宋_GB2312"/>
          <w:color w:val="auto"/>
          <w:sz w:val="21"/>
          <w:szCs w:val="21"/>
          <w:highlight w:val="none"/>
        </w:rPr>
        <w:t>文件要求，签约时未经采购方同意不得改变。</w:t>
      </w:r>
    </w:p>
    <w:p w14:paraId="1A3EAC71">
      <w:pPr>
        <w:rPr>
          <w:rFonts w:hint="eastAsia" w:eastAsia="宋体" w:cs="仿宋_GB2312"/>
          <w:color w:val="auto"/>
          <w:sz w:val="21"/>
          <w:szCs w:val="21"/>
          <w:highlight w:val="none"/>
          <w:lang w:eastAsia="zh-CN"/>
        </w:rPr>
      </w:pPr>
      <w:r>
        <w:rPr>
          <w:rFonts w:hint="eastAsia" w:cs="仿宋_GB2312"/>
          <w:color w:val="auto"/>
          <w:sz w:val="21"/>
          <w:szCs w:val="21"/>
          <w:highlight w:val="none"/>
        </w:rPr>
        <w:t>3、</w:t>
      </w:r>
      <w:r>
        <w:rPr>
          <w:rFonts w:hint="eastAsia" w:cs="仿宋_GB2312"/>
          <w:color w:val="auto"/>
          <w:sz w:val="21"/>
          <w:szCs w:val="21"/>
          <w:highlight w:val="none"/>
          <w:lang w:val="en-US" w:eastAsia="zh-CN"/>
        </w:rPr>
        <w:t>投标人</w:t>
      </w:r>
      <w:r>
        <w:rPr>
          <w:rFonts w:hint="eastAsia" w:cs="仿宋_GB2312"/>
          <w:color w:val="auto"/>
          <w:sz w:val="21"/>
          <w:szCs w:val="21"/>
          <w:highlight w:val="none"/>
        </w:rPr>
        <w:t>可根据其响应内容进一步细化上述表格，并可增添其它表格或说明以便进一步明确响应内容</w:t>
      </w:r>
      <w:r>
        <w:rPr>
          <w:rFonts w:hint="eastAsia" w:cs="仿宋_GB2312"/>
          <w:color w:val="auto"/>
          <w:sz w:val="21"/>
          <w:szCs w:val="21"/>
          <w:highlight w:val="none"/>
          <w:lang w:eastAsia="zh-CN"/>
        </w:rPr>
        <w:t>。</w:t>
      </w:r>
    </w:p>
    <w:p w14:paraId="5CB06622">
      <w:pPr>
        <w:ind w:firstLine="480" w:firstLineChars="200"/>
        <w:rPr>
          <w:rFonts w:cs="仿宋_GB2312"/>
          <w:color w:val="auto"/>
          <w:szCs w:val="24"/>
          <w:highlight w:val="none"/>
        </w:rPr>
      </w:pPr>
    </w:p>
    <w:p w14:paraId="2E8083B6">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77655944">
      <w:pPr>
        <w:ind w:firstLine="420"/>
        <w:rPr>
          <w:rFonts w:cs="仿宋_GB2312"/>
          <w:color w:val="auto"/>
          <w:szCs w:val="24"/>
          <w:highlight w:val="none"/>
        </w:rPr>
      </w:pPr>
      <w:r>
        <w:rPr>
          <w:rFonts w:hint="eastAsia" w:cs="仿宋_GB2312"/>
          <w:color w:val="auto"/>
          <w:szCs w:val="24"/>
          <w:highlight w:val="none"/>
        </w:rPr>
        <w:t>日      期：</w:t>
      </w:r>
    </w:p>
    <w:p w14:paraId="598C43A6">
      <w:pPr>
        <w:ind w:firstLine="420"/>
        <w:rPr>
          <w:rFonts w:cs="仿宋_GB2312"/>
          <w:color w:val="auto"/>
          <w:szCs w:val="24"/>
          <w:highlight w:val="none"/>
        </w:rPr>
      </w:pPr>
      <w:r>
        <w:rPr>
          <w:rFonts w:cs="仿宋_GB2312"/>
          <w:color w:val="auto"/>
          <w:szCs w:val="24"/>
          <w:highlight w:val="none"/>
        </w:rPr>
        <w:br w:type="page"/>
      </w:r>
    </w:p>
    <w:p w14:paraId="390939F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704" w:name="_Toc6105"/>
      <w:r>
        <w:rPr>
          <w:rFonts w:hint="eastAsia" w:cstheme="majorBidi"/>
          <w:b/>
          <w:bCs/>
          <w:color w:val="auto"/>
          <w:kern w:val="2"/>
          <w:sz w:val="32"/>
          <w:szCs w:val="32"/>
          <w:highlight w:val="none"/>
          <w:lang w:val="en-US" w:eastAsia="zh-CN" w:bidi="ar-SA"/>
        </w:rPr>
        <w:t>七</w:t>
      </w:r>
      <w:r>
        <w:rPr>
          <w:rFonts w:hint="eastAsia" w:eastAsia="宋体" w:asciiTheme="majorHAnsi" w:hAnsiTheme="majorHAnsi" w:cstheme="majorBidi"/>
          <w:b/>
          <w:bCs/>
          <w:color w:val="auto"/>
          <w:kern w:val="2"/>
          <w:sz w:val="32"/>
          <w:szCs w:val="32"/>
          <w:highlight w:val="none"/>
          <w:lang w:val="en-US" w:eastAsia="zh-CN" w:bidi="ar-SA"/>
        </w:rPr>
        <w:t>、业绩证明文件</w:t>
      </w:r>
      <w:bookmarkEnd w:id="704"/>
    </w:p>
    <w:p w14:paraId="7DB08DA5">
      <w:pPr>
        <w:rPr>
          <w:rFonts w:cs="仿宋_GB2312"/>
          <w:color w:val="auto"/>
          <w:szCs w:val="24"/>
          <w:highlight w:val="none"/>
        </w:rPr>
      </w:pPr>
      <w:r>
        <w:rPr>
          <w:rFonts w:cs="Arial"/>
          <w:bCs/>
          <w:color w:val="auto"/>
          <w:szCs w:val="21"/>
          <w:highlight w:val="none"/>
        </w:rPr>
        <w:fldChar w:fldCharType="begin"/>
      </w:r>
      <w:r>
        <w:rPr>
          <w:rFonts w:cs="Arial"/>
          <w:bCs/>
          <w:color w:val="auto"/>
          <w:szCs w:val="21"/>
          <w:highlight w:val="none"/>
        </w:rPr>
        <w:instrText xml:space="preserve"> LINK Word.Document.8 "D:\\音乐厅\\4通用设备\\招标文件\\音乐厅空调设备招标文件v1.0.doc" "OLE_LINK8" \r  \* MERGEFORMAT </w:instrText>
      </w:r>
      <w:r>
        <w:rPr>
          <w:rFonts w:cs="Arial"/>
          <w:bCs/>
          <w:color w:val="auto"/>
          <w:szCs w:val="21"/>
          <w:highlight w:val="none"/>
        </w:rPr>
        <w:fldChar w:fldCharType="separate"/>
      </w:r>
      <w:r>
        <w:rPr>
          <w:rFonts w:hint="eastAsia" w:cs="仿宋_GB2312"/>
          <w:color w:val="auto"/>
          <w:szCs w:val="24"/>
          <w:highlight w:val="none"/>
        </w:rPr>
        <w:t xml:space="preserve">项目名称：                                         </w:t>
      </w:r>
    </w:p>
    <w:p w14:paraId="4A687997">
      <w:pPr>
        <w:rPr>
          <w:rFonts w:cs="Arial"/>
          <w:bCs/>
          <w:color w:val="auto"/>
          <w:szCs w:val="21"/>
          <w:highlight w:val="none"/>
        </w:rPr>
      </w:pPr>
      <w:r>
        <w:rPr>
          <w:rFonts w:hint="eastAsia" w:cs="仿宋_GB2312"/>
          <w:color w:val="auto"/>
          <w:szCs w:val="24"/>
          <w:highlight w:val="none"/>
        </w:rPr>
        <w:t xml:space="preserve">项目编号：      </w:t>
      </w:r>
      <w:r>
        <w:rPr>
          <w:rFonts w:cs="Arial"/>
          <w:bCs/>
          <w:color w:val="auto"/>
          <w:szCs w:val="21"/>
          <w:highlight w:val="none"/>
        </w:rPr>
        <w:fldChar w:fldCharType="end"/>
      </w:r>
    </w:p>
    <w:tbl>
      <w:tblPr>
        <w:tblStyle w:val="31"/>
        <w:tblW w:w="9056" w:type="dxa"/>
        <w:tblInd w:w="-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
        <w:gridCol w:w="1429"/>
        <w:gridCol w:w="1293"/>
        <w:gridCol w:w="1469"/>
        <w:gridCol w:w="1567"/>
        <w:gridCol w:w="1099"/>
        <w:gridCol w:w="1347"/>
      </w:tblGrid>
      <w:tr w14:paraId="0BB30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9" w:hRule="atLeast"/>
        </w:trPr>
        <w:tc>
          <w:tcPr>
            <w:tcW w:w="852" w:type="dxa"/>
            <w:vAlign w:val="center"/>
          </w:tcPr>
          <w:p w14:paraId="37278D52">
            <w:pPr>
              <w:jc w:val="center"/>
              <w:rPr>
                <w:rFonts w:hint="eastAsia" w:ascii="宋体" w:hAnsi="宋体" w:eastAsia="宋体" w:cs="宋体"/>
                <w:color w:val="auto"/>
                <w:sz w:val="21"/>
                <w:szCs w:val="21"/>
                <w:highlight w:val="none"/>
              </w:rPr>
            </w:pPr>
            <w:bookmarkStart w:id="705" w:name="_Hlk46779239"/>
            <w:r>
              <w:rPr>
                <w:rFonts w:hint="eastAsia" w:ascii="宋体" w:hAnsi="宋体" w:eastAsia="宋体" w:cs="宋体"/>
                <w:color w:val="auto"/>
                <w:sz w:val="21"/>
                <w:szCs w:val="21"/>
                <w:highlight w:val="none"/>
              </w:rPr>
              <w:t>序号</w:t>
            </w:r>
          </w:p>
        </w:tc>
        <w:tc>
          <w:tcPr>
            <w:tcW w:w="1429" w:type="dxa"/>
            <w:vAlign w:val="center"/>
          </w:tcPr>
          <w:p w14:paraId="15F71199">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项目名称</w:t>
            </w:r>
          </w:p>
        </w:tc>
        <w:tc>
          <w:tcPr>
            <w:tcW w:w="1293" w:type="dxa"/>
            <w:vAlign w:val="center"/>
          </w:tcPr>
          <w:p w14:paraId="7F2B957F">
            <w:pPr>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服务</w:t>
            </w:r>
            <w:r>
              <w:rPr>
                <w:rFonts w:hint="eastAsia" w:ascii="宋体" w:hAnsi="宋体" w:eastAsia="宋体" w:cs="宋体"/>
                <w:color w:val="auto"/>
                <w:sz w:val="21"/>
                <w:szCs w:val="21"/>
                <w:highlight w:val="none"/>
              </w:rPr>
              <w:t>内容</w:t>
            </w:r>
          </w:p>
        </w:tc>
        <w:tc>
          <w:tcPr>
            <w:tcW w:w="1469" w:type="dxa"/>
            <w:vAlign w:val="center"/>
          </w:tcPr>
          <w:p w14:paraId="56A87752">
            <w:pPr>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委托人</w:t>
            </w:r>
            <w:r>
              <w:rPr>
                <w:rFonts w:hint="eastAsia" w:ascii="宋体" w:hAnsi="宋体" w:eastAsia="宋体" w:cs="宋体"/>
                <w:color w:val="auto"/>
                <w:sz w:val="21"/>
                <w:szCs w:val="21"/>
                <w:highlight w:val="none"/>
              </w:rPr>
              <w:t>名称</w:t>
            </w:r>
          </w:p>
        </w:tc>
        <w:tc>
          <w:tcPr>
            <w:tcW w:w="1567" w:type="dxa"/>
            <w:vAlign w:val="center"/>
          </w:tcPr>
          <w:p w14:paraId="55D436A5">
            <w:pPr>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合同</w:t>
            </w:r>
            <w:r>
              <w:rPr>
                <w:rFonts w:hint="eastAsia" w:ascii="宋体" w:hAnsi="宋体" w:eastAsia="宋体" w:cs="宋体"/>
                <w:color w:val="auto"/>
                <w:sz w:val="21"/>
                <w:szCs w:val="21"/>
                <w:highlight w:val="none"/>
                <w:lang w:val="en-US" w:eastAsia="zh-CN"/>
              </w:rPr>
              <w:t>金额</w:t>
            </w:r>
          </w:p>
        </w:tc>
        <w:tc>
          <w:tcPr>
            <w:tcW w:w="1099" w:type="dxa"/>
            <w:vAlign w:val="center"/>
          </w:tcPr>
          <w:p w14:paraId="0DD0D2D4">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p>
        </w:tc>
        <w:tc>
          <w:tcPr>
            <w:tcW w:w="1347" w:type="dxa"/>
            <w:vAlign w:val="center"/>
          </w:tcPr>
          <w:p w14:paraId="607D7E4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r>
      <w:tr w14:paraId="49BD0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52" w:type="dxa"/>
            <w:vAlign w:val="center"/>
          </w:tcPr>
          <w:p w14:paraId="61F1D14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429" w:type="dxa"/>
            <w:vAlign w:val="center"/>
          </w:tcPr>
          <w:p w14:paraId="6F3805E3">
            <w:pPr>
              <w:rPr>
                <w:rFonts w:hint="eastAsia" w:ascii="宋体" w:hAnsi="宋体" w:eastAsia="宋体" w:cs="宋体"/>
                <w:color w:val="auto"/>
                <w:sz w:val="21"/>
                <w:szCs w:val="21"/>
                <w:highlight w:val="none"/>
              </w:rPr>
            </w:pPr>
          </w:p>
        </w:tc>
        <w:tc>
          <w:tcPr>
            <w:tcW w:w="1293" w:type="dxa"/>
            <w:vAlign w:val="center"/>
          </w:tcPr>
          <w:p w14:paraId="7CB7C00C">
            <w:pPr>
              <w:rPr>
                <w:rFonts w:hint="eastAsia" w:ascii="宋体" w:hAnsi="宋体" w:eastAsia="宋体" w:cs="宋体"/>
                <w:color w:val="auto"/>
                <w:sz w:val="21"/>
                <w:szCs w:val="21"/>
                <w:highlight w:val="none"/>
              </w:rPr>
            </w:pPr>
          </w:p>
        </w:tc>
        <w:tc>
          <w:tcPr>
            <w:tcW w:w="1469" w:type="dxa"/>
            <w:vAlign w:val="center"/>
          </w:tcPr>
          <w:p w14:paraId="60DAC622">
            <w:pPr>
              <w:rPr>
                <w:rFonts w:hint="eastAsia" w:ascii="宋体" w:hAnsi="宋体" w:eastAsia="宋体" w:cs="宋体"/>
                <w:color w:val="auto"/>
                <w:sz w:val="21"/>
                <w:szCs w:val="21"/>
                <w:highlight w:val="none"/>
              </w:rPr>
            </w:pPr>
          </w:p>
        </w:tc>
        <w:tc>
          <w:tcPr>
            <w:tcW w:w="1567" w:type="dxa"/>
            <w:vAlign w:val="center"/>
          </w:tcPr>
          <w:p w14:paraId="5436BEC1">
            <w:pPr>
              <w:rPr>
                <w:rFonts w:hint="eastAsia" w:ascii="宋体" w:hAnsi="宋体" w:eastAsia="宋体" w:cs="宋体"/>
                <w:color w:val="auto"/>
                <w:sz w:val="21"/>
                <w:szCs w:val="21"/>
                <w:highlight w:val="none"/>
              </w:rPr>
            </w:pPr>
          </w:p>
        </w:tc>
        <w:tc>
          <w:tcPr>
            <w:tcW w:w="1099" w:type="dxa"/>
            <w:vAlign w:val="center"/>
          </w:tcPr>
          <w:p w14:paraId="4A8D26BB">
            <w:pPr>
              <w:rPr>
                <w:rFonts w:hint="eastAsia" w:ascii="宋体" w:hAnsi="宋体" w:eastAsia="宋体" w:cs="宋体"/>
                <w:color w:val="auto"/>
                <w:sz w:val="21"/>
                <w:szCs w:val="21"/>
                <w:highlight w:val="none"/>
              </w:rPr>
            </w:pPr>
          </w:p>
        </w:tc>
        <w:tc>
          <w:tcPr>
            <w:tcW w:w="1347" w:type="dxa"/>
            <w:vAlign w:val="center"/>
          </w:tcPr>
          <w:p w14:paraId="6799D8A5">
            <w:pPr>
              <w:rPr>
                <w:rFonts w:hint="eastAsia" w:ascii="宋体" w:hAnsi="宋体" w:eastAsia="宋体" w:cs="宋体"/>
                <w:color w:val="auto"/>
                <w:sz w:val="21"/>
                <w:szCs w:val="21"/>
                <w:highlight w:val="none"/>
              </w:rPr>
            </w:pPr>
          </w:p>
        </w:tc>
      </w:tr>
      <w:tr w14:paraId="43671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52" w:type="dxa"/>
            <w:vAlign w:val="center"/>
          </w:tcPr>
          <w:p w14:paraId="03174847">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429" w:type="dxa"/>
            <w:vAlign w:val="center"/>
          </w:tcPr>
          <w:p w14:paraId="753A8A2D">
            <w:pPr>
              <w:rPr>
                <w:rFonts w:hint="eastAsia" w:ascii="宋体" w:hAnsi="宋体" w:eastAsia="宋体" w:cs="宋体"/>
                <w:color w:val="auto"/>
                <w:sz w:val="21"/>
                <w:szCs w:val="21"/>
                <w:highlight w:val="none"/>
              </w:rPr>
            </w:pPr>
          </w:p>
        </w:tc>
        <w:tc>
          <w:tcPr>
            <w:tcW w:w="1293" w:type="dxa"/>
            <w:vAlign w:val="center"/>
          </w:tcPr>
          <w:p w14:paraId="02634890">
            <w:pPr>
              <w:rPr>
                <w:rFonts w:hint="eastAsia" w:ascii="宋体" w:hAnsi="宋体" w:eastAsia="宋体" w:cs="宋体"/>
                <w:color w:val="auto"/>
                <w:sz w:val="21"/>
                <w:szCs w:val="21"/>
                <w:highlight w:val="none"/>
              </w:rPr>
            </w:pPr>
          </w:p>
        </w:tc>
        <w:tc>
          <w:tcPr>
            <w:tcW w:w="1469" w:type="dxa"/>
            <w:vAlign w:val="center"/>
          </w:tcPr>
          <w:p w14:paraId="3563AED4">
            <w:pPr>
              <w:rPr>
                <w:rFonts w:hint="eastAsia" w:ascii="宋体" w:hAnsi="宋体" w:eastAsia="宋体" w:cs="宋体"/>
                <w:color w:val="auto"/>
                <w:sz w:val="21"/>
                <w:szCs w:val="21"/>
                <w:highlight w:val="none"/>
              </w:rPr>
            </w:pPr>
          </w:p>
        </w:tc>
        <w:tc>
          <w:tcPr>
            <w:tcW w:w="1567" w:type="dxa"/>
            <w:vAlign w:val="center"/>
          </w:tcPr>
          <w:p w14:paraId="4ED6DFCE">
            <w:pPr>
              <w:rPr>
                <w:rFonts w:hint="eastAsia" w:ascii="宋体" w:hAnsi="宋体" w:eastAsia="宋体" w:cs="宋体"/>
                <w:color w:val="auto"/>
                <w:sz w:val="21"/>
                <w:szCs w:val="21"/>
                <w:highlight w:val="none"/>
              </w:rPr>
            </w:pPr>
          </w:p>
        </w:tc>
        <w:tc>
          <w:tcPr>
            <w:tcW w:w="1099" w:type="dxa"/>
            <w:vAlign w:val="center"/>
          </w:tcPr>
          <w:p w14:paraId="3DDF15B1">
            <w:pPr>
              <w:rPr>
                <w:rFonts w:hint="eastAsia" w:ascii="宋体" w:hAnsi="宋体" w:eastAsia="宋体" w:cs="宋体"/>
                <w:color w:val="auto"/>
                <w:sz w:val="21"/>
                <w:szCs w:val="21"/>
                <w:highlight w:val="none"/>
              </w:rPr>
            </w:pPr>
          </w:p>
        </w:tc>
        <w:tc>
          <w:tcPr>
            <w:tcW w:w="1347" w:type="dxa"/>
            <w:vAlign w:val="center"/>
          </w:tcPr>
          <w:p w14:paraId="069D1E24">
            <w:pPr>
              <w:rPr>
                <w:rFonts w:hint="eastAsia" w:ascii="宋体" w:hAnsi="宋体" w:eastAsia="宋体" w:cs="宋体"/>
                <w:color w:val="auto"/>
                <w:sz w:val="21"/>
                <w:szCs w:val="21"/>
                <w:highlight w:val="none"/>
              </w:rPr>
            </w:pPr>
          </w:p>
        </w:tc>
      </w:tr>
      <w:tr w14:paraId="026FE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52" w:type="dxa"/>
            <w:vAlign w:val="center"/>
          </w:tcPr>
          <w:p w14:paraId="6CB6EA9A">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429" w:type="dxa"/>
            <w:vAlign w:val="center"/>
          </w:tcPr>
          <w:p w14:paraId="40DFA463">
            <w:pPr>
              <w:rPr>
                <w:rFonts w:hint="eastAsia" w:ascii="宋体" w:hAnsi="宋体" w:eastAsia="宋体" w:cs="宋体"/>
                <w:color w:val="auto"/>
                <w:sz w:val="21"/>
                <w:szCs w:val="21"/>
                <w:highlight w:val="none"/>
              </w:rPr>
            </w:pPr>
          </w:p>
        </w:tc>
        <w:tc>
          <w:tcPr>
            <w:tcW w:w="1293" w:type="dxa"/>
            <w:vAlign w:val="center"/>
          </w:tcPr>
          <w:p w14:paraId="192188BA">
            <w:pPr>
              <w:rPr>
                <w:rFonts w:hint="eastAsia" w:ascii="宋体" w:hAnsi="宋体" w:eastAsia="宋体" w:cs="宋体"/>
                <w:color w:val="auto"/>
                <w:sz w:val="21"/>
                <w:szCs w:val="21"/>
                <w:highlight w:val="none"/>
              </w:rPr>
            </w:pPr>
          </w:p>
        </w:tc>
        <w:tc>
          <w:tcPr>
            <w:tcW w:w="1469" w:type="dxa"/>
            <w:vAlign w:val="center"/>
          </w:tcPr>
          <w:p w14:paraId="58044B96">
            <w:pPr>
              <w:rPr>
                <w:rFonts w:hint="eastAsia" w:ascii="宋体" w:hAnsi="宋体" w:eastAsia="宋体" w:cs="宋体"/>
                <w:color w:val="auto"/>
                <w:sz w:val="21"/>
                <w:szCs w:val="21"/>
                <w:highlight w:val="none"/>
              </w:rPr>
            </w:pPr>
          </w:p>
        </w:tc>
        <w:tc>
          <w:tcPr>
            <w:tcW w:w="1567" w:type="dxa"/>
            <w:vAlign w:val="center"/>
          </w:tcPr>
          <w:p w14:paraId="10BAB04D">
            <w:pPr>
              <w:rPr>
                <w:rFonts w:hint="eastAsia" w:ascii="宋体" w:hAnsi="宋体" w:eastAsia="宋体" w:cs="宋体"/>
                <w:color w:val="auto"/>
                <w:sz w:val="21"/>
                <w:szCs w:val="21"/>
                <w:highlight w:val="none"/>
              </w:rPr>
            </w:pPr>
          </w:p>
        </w:tc>
        <w:tc>
          <w:tcPr>
            <w:tcW w:w="1099" w:type="dxa"/>
            <w:vAlign w:val="center"/>
          </w:tcPr>
          <w:p w14:paraId="38FE3D5D">
            <w:pPr>
              <w:rPr>
                <w:rFonts w:hint="eastAsia" w:ascii="宋体" w:hAnsi="宋体" w:eastAsia="宋体" w:cs="宋体"/>
                <w:color w:val="auto"/>
                <w:sz w:val="21"/>
                <w:szCs w:val="21"/>
                <w:highlight w:val="none"/>
              </w:rPr>
            </w:pPr>
          </w:p>
        </w:tc>
        <w:tc>
          <w:tcPr>
            <w:tcW w:w="1347" w:type="dxa"/>
            <w:vAlign w:val="center"/>
          </w:tcPr>
          <w:p w14:paraId="048AC4DE">
            <w:pPr>
              <w:rPr>
                <w:rFonts w:hint="eastAsia" w:ascii="宋体" w:hAnsi="宋体" w:eastAsia="宋体" w:cs="宋体"/>
                <w:color w:val="auto"/>
                <w:sz w:val="21"/>
                <w:szCs w:val="21"/>
                <w:highlight w:val="none"/>
              </w:rPr>
            </w:pPr>
          </w:p>
        </w:tc>
      </w:tr>
      <w:tr w14:paraId="45C01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52" w:type="dxa"/>
            <w:vAlign w:val="center"/>
          </w:tcPr>
          <w:p w14:paraId="7D259137">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4</w:t>
            </w:r>
          </w:p>
        </w:tc>
        <w:tc>
          <w:tcPr>
            <w:tcW w:w="1429" w:type="dxa"/>
            <w:vAlign w:val="center"/>
          </w:tcPr>
          <w:p w14:paraId="278EE304">
            <w:pPr>
              <w:rPr>
                <w:rFonts w:hint="eastAsia" w:ascii="宋体" w:hAnsi="宋体" w:eastAsia="宋体" w:cs="宋体"/>
                <w:color w:val="auto"/>
                <w:sz w:val="21"/>
                <w:szCs w:val="21"/>
                <w:highlight w:val="none"/>
              </w:rPr>
            </w:pPr>
          </w:p>
        </w:tc>
        <w:tc>
          <w:tcPr>
            <w:tcW w:w="1293" w:type="dxa"/>
            <w:vAlign w:val="center"/>
          </w:tcPr>
          <w:p w14:paraId="502FE2B6">
            <w:pPr>
              <w:rPr>
                <w:rFonts w:hint="eastAsia" w:ascii="宋体" w:hAnsi="宋体" w:eastAsia="宋体" w:cs="宋体"/>
                <w:color w:val="auto"/>
                <w:sz w:val="21"/>
                <w:szCs w:val="21"/>
                <w:highlight w:val="none"/>
              </w:rPr>
            </w:pPr>
          </w:p>
        </w:tc>
        <w:tc>
          <w:tcPr>
            <w:tcW w:w="1469" w:type="dxa"/>
            <w:vAlign w:val="center"/>
          </w:tcPr>
          <w:p w14:paraId="44F7BE63">
            <w:pPr>
              <w:rPr>
                <w:rFonts w:hint="eastAsia" w:ascii="宋体" w:hAnsi="宋体" w:eastAsia="宋体" w:cs="宋体"/>
                <w:color w:val="auto"/>
                <w:sz w:val="21"/>
                <w:szCs w:val="21"/>
                <w:highlight w:val="none"/>
              </w:rPr>
            </w:pPr>
          </w:p>
        </w:tc>
        <w:tc>
          <w:tcPr>
            <w:tcW w:w="1567" w:type="dxa"/>
            <w:vAlign w:val="center"/>
          </w:tcPr>
          <w:p w14:paraId="463BDC1B">
            <w:pPr>
              <w:rPr>
                <w:rFonts w:hint="eastAsia" w:ascii="宋体" w:hAnsi="宋体" w:eastAsia="宋体" w:cs="宋体"/>
                <w:color w:val="auto"/>
                <w:sz w:val="21"/>
                <w:szCs w:val="21"/>
                <w:highlight w:val="none"/>
              </w:rPr>
            </w:pPr>
          </w:p>
        </w:tc>
        <w:tc>
          <w:tcPr>
            <w:tcW w:w="1099" w:type="dxa"/>
            <w:vAlign w:val="center"/>
          </w:tcPr>
          <w:p w14:paraId="5208210B">
            <w:pPr>
              <w:rPr>
                <w:rFonts w:hint="eastAsia" w:ascii="宋体" w:hAnsi="宋体" w:eastAsia="宋体" w:cs="宋体"/>
                <w:color w:val="auto"/>
                <w:sz w:val="21"/>
                <w:szCs w:val="21"/>
                <w:highlight w:val="none"/>
              </w:rPr>
            </w:pPr>
          </w:p>
        </w:tc>
        <w:tc>
          <w:tcPr>
            <w:tcW w:w="1347" w:type="dxa"/>
            <w:vAlign w:val="center"/>
          </w:tcPr>
          <w:p w14:paraId="7EC41624">
            <w:pPr>
              <w:rPr>
                <w:rFonts w:hint="eastAsia" w:ascii="宋体" w:hAnsi="宋体" w:eastAsia="宋体" w:cs="宋体"/>
                <w:color w:val="auto"/>
                <w:sz w:val="21"/>
                <w:szCs w:val="21"/>
                <w:highlight w:val="none"/>
              </w:rPr>
            </w:pPr>
          </w:p>
        </w:tc>
      </w:tr>
      <w:tr w14:paraId="6F11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9" w:hRule="atLeast"/>
        </w:trPr>
        <w:tc>
          <w:tcPr>
            <w:tcW w:w="852" w:type="dxa"/>
            <w:vAlign w:val="center"/>
          </w:tcPr>
          <w:p w14:paraId="1FCCAE38">
            <w:pPr>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5</w:t>
            </w:r>
          </w:p>
        </w:tc>
        <w:tc>
          <w:tcPr>
            <w:tcW w:w="1429" w:type="dxa"/>
            <w:vAlign w:val="center"/>
          </w:tcPr>
          <w:p w14:paraId="5B701B38">
            <w:pPr>
              <w:rPr>
                <w:rFonts w:hint="eastAsia" w:ascii="宋体" w:hAnsi="宋体" w:eastAsia="宋体" w:cs="宋体"/>
                <w:color w:val="auto"/>
                <w:sz w:val="21"/>
                <w:szCs w:val="21"/>
                <w:highlight w:val="none"/>
              </w:rPr>
            </w:pPr>
          </w:p>
        </w:tc>
        <w:tc>
          <w:tcPr>
            <w:tcW w:w="1293" w:type="dxa"/>
            <w:vAlign w:val="center"/>
          </w:tcPr>
          <w:p w14:paraId="0BFD5658">
            <w:pPr>
              <w:rPr>
                <w:rFonts w:hint="eastAsia" w:ascii="宋体" w:hAnsi="宋体" w:eastAsia="宋体" w:cs="宋体"/>
                <w:color w:val="auto"/>
                <w:sz w:val="21"/>
                <w:szCs w:val="21"/>
                <w:highlight w:val="none"/>
              </w:rPr>
            </w:pPr>
          </w:p>
        </w:tc>
        <w:tc>
          <w:tcPr>
            <w:tcW w:w="1469" w:type="dxa"/>
            <w:vAlign w:val="center"/>
          </w:tcPr>
          <w:p w14:paraId="56955758">
            <w:pPr>
              <w:rPr>
                <w:rFonts w:hint="eastAsia" w:ascii="宋体" w:hAnsi="宋体" w:eastAsia="宋体" w:cs="宋体"/>
                <w:color w:val="auto"/>
                <w:sz w:val="21"/>
                <w:szCs w:val="21"/>
                <w:highlight w:val="none"/>
              </w:rPr>
            </w:pPr>
          </w:p>
        </w:tc>
        <w:tc>
          <w:tcPr>
            <w:tcW w:w="1567" w:type="dxa"/>
            <w:vAlign w:val="center"/>
          </w:tcPr>
          <w:p w14:paraId="6AF4F252">
            <w:pPr>
              <w:rPr>
                <w:rFonts w:hint="eastAsia" w:ascii="宋体" w:hAnsi="宋体" w:eastAsia="宋体" w:cs="宋体"/>
                <w:color w:val="auto"/>
                <w:sz w:val="21"/>
                <w:szCs w:val="21"/>
                <w:highlight w:val="none"/>
              </w:rPr>
            </w:pPr>
          </w:p>
        </w:tc>
        <w:tc>
          <w:tcPr>
            <w:tcW w:w="1099" w:type="dxa"/>
            <w:vAlign w:val="center"/>
          </w:tcPr>
          <w:p w14:paraId="0E461DD3">
            <w:pPr>
              <w:rPr>
                <w:rFonts w:hint="eastAsia" w:ascii="宋体" w:hAnsi="宋体" w:eastAsia="宋体" w:cs="宋体"/>
                <w:color w:val="auto"/>
                <w:sz w:val="21"/>
                <w:szCs w:val="21"/>
                <w:highlight w:val="none"/>
              </w:rPr>
            </w:pPr>
          </w:p>
        </w:tc>
        <w:tc>
          <w:tcPr>
            <w:tcW w:w="1347" w:type="dxa"/>
            <w:vAlign w:val="center"/>
          </w:tcPr>
          <w:p w14:paraId="5804A0BF">
            <w:pPr>
              <w:rPr>
                <w:rFonts w:hint="eastAsia" w:ascii="宋体" w:hAnsi="宋体" w:eastAsia="宋体" w:cs="宋体"/>
                <w:color w:val="auto"/>
                <w:sz w:val="21"/>
                <w:szCs w:val="21"/>
                <w:highlight w:val="none"/>
              </w:rPr>
            </w:pPr>
          </w:p>
        </w:tc>
      </w:tr>
      <w:tr w14:paraId="68222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trPr>
        <w:tc>
          <w:tcPr>
            <w:tcW w:w="852" w:type="dxa"/>
            <w:vAlign w:val="center"/>
          </w:tcPr>
          <w:p w14:paraId="5EB02E48">
            <w:pPr>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tc>
        <w:tc>
          <w:tcPr>
            <w:tcW w:w="1429" w:type="dxa"/>
            <w:vAlign w:val="center"/>
          </w:tcPr>
          <w:p w14:paraId="147B2F98">
            <w:pPr>
              <w:rPr>
                <w:rFonts w:hint="eastAsia" w:ascii="宋体" w:hAnsi="宋体" w:eastAsia="宋体" w:cs="宋体"/>
                <w:color w:val="auto"/>
                <w:sz w:val="21"/>
                <w:szCs w:val="21"/>
                <w:highlight w:val="none"/>
              </w:rPr>
            </w:pPr>
          </w:p>
        </w:tc>
        <w:tc>
          <w:tcPr>
            <w:tcW w:w="1293" w:type="dxa"/>
            <w:vAlign w:val="center"/>
          </w:tcPr>
          <w:p w14:paraId="61B0E0D4">
            <w:pPr>
              <w:rPr>
                <w:rFonts w:hint="eastAsia" w:ascii="宋体" w:hAnsi="宋体" w:eastAsia="宋体" w:cs="宋体"/>
                <w:color w:val="auto"/>
                <w:sz w:val="21"/>
                <w:szCs w:val="21"/>
                <w:highlight w:val="none"/>
              </w:rPr>
            </w:pPr>
          </w:p>
        </w:tc>
        <w:tc>
          <w:tcPr>
            <w:tcW w:w="1469" w:type="dxa"/>
            <w:vAlign w:val="center"/>
          </w:tcPr>
          <w:p w14:paraId="6B918799">
            <w:pPr>
              <w:rPr>
                <w:rFonts w:hint="eastAsia" w:ascii="宋体" w:hAnsi="宋体" w:eastAsia="宋体" w:cs="宋体"/>
                <w:color w:val="auto"/>
                <w:sz w:val="21"/>
                <w:szCs w:val="21"/>
                <w:highlight w:val="none"/>
              </w:rPr>
            </w:pPr>
          </w:p>
        </w:tc>
        <w:tc>
          <w:tcPr>
            <w:tcW w:w="1567" w:type="dxa"/>
            <w:vAlign w:val="center"/>
          </w:tcPr>
          <w:p w14:paraId="1BCEEA1A">
            <w:pPr>
              <w:rPr>
                <w:rFonts w:hint="eastAsia" w:ascii="宋体" w:hAnsi="宋体" w:eastAsia="宋体" w:cs="宋体"/>
                <w:color w:val="auto"/>
                <w:sz w:val="21"/>
                <w:szCs w:val="21"/>
                <w:highlight w:val="none"/>
              </w:rPr>
            </w:pPr>
          </w:p>
        </w:tc>
        <w:tc>
          <w:tcPr>
            <w:tcW w:w="1099" w:type="dxa"/>
            <w:vAlign w:val="center"/>
          </w:tcPr>
          <w:p w14:paraId="4A3F6BEC">
            <w:pPr>
              <w:rPr>
                <w:rFonts w:hint="eastAsia" w:ascii="宋体" w:hAnsi="宋体" w:eastAsia="宋体" w:cs="宋体"/>
                <w:color w:val="auto"/>
                <w:sz w:val="21"/>
                <w:szCs w:val="21"/>
                <w:highlight w:val="none"/>
              </w:rPr>
            </w:pPr>
          </w:p>
        </w:tc>
        <w:tc>
          <w:tcPr>
            <w:tcW w:w="1347" w:type="dxa"/>
            <w:vAlign w:val="center"/>
          </w:tcPr>
          <w:p w14:paraId="459FE74C">
            <w:pPr>
              <w:rPr>
                <w:rFonts w:hint="eastAsia" w:ascii="宋体" w:hAnsi="宋体" w:eastAsia="宋体" w:cs="宋体"/>
                <w:color w:val="auto"/>
                <w:sz w:val="21"/>
                <w:szCs w:val="21"/>
                <w:highlight w:val="none"/>
              </w:rPr>
            </w:pPr>
          </w:p>
        </w:tc>
      </w:tr>
      <w:bookmarkEnd w:id="705"/>
    </w:tbl>
    <w:p w14:paraId="0D2F5038">
      <w:pPr>
        <w:rPr>
          <w:rFonts w:hint="eastAsia" w:cs="仿宋_GB2312"/>
          <w:color w:val="auto"/>
          <w:szCs w:val="24"/>
          <w:highlight w:val="none"/>
        </w:rPr>
      </w:pPr>
    </w:p>
    <w:p w14:paraId="088168D4">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业绩合同及结算发票等</w:t>
      </w:r>
      <w:r>
        <w:rPr>
          <w:rFonts w:hint="eastAsia" w:cs="仿宋_GB2312"/>
          <w:color w:val="auto"/>
          <w:sz w:val="21"/>
          <w:szCs w:val="21"/>
          <w:highlight w:val="none"/>
        </w:rPr>
        <w:t>证明资料。</w:t>
      </w:r>
    </w:p>
    <w:p w14:paraId="57D75AD1">
      <w:pPr>
        <w:rPr>
          <w:rFonts w:cs="仿宋_GB2312"/>
          <w:color w:val="auto"/>
          <w:szCs w:val="24"/>
          <w:highlight w:val="none"/>
        </w:rPr>
      </w:pPr>
    </w:p>
    <w:p w14:paraId="5DB99613">
      <w:pPr>
        <w:widowControl/>
        <w:spacing w:before="100" w:beforeAutospacing="1" w:after="100" w:afterAutospacing="1"/>
        <w:rPr>
          <w:rFonts w:cs="Arial"/>
          <w:color w:val="auto"/>
          <w:szCs w:val="21"/>
          <w:highlight w:val="none"/>
        </w:rPr>
      </w:pPr>
    </w:p>
    <w:p w14:paraId="68FCBA1E">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r>
        <w:rPr>
          <w:rFonts w:cs="仿宋_GB2312"/>
          <w:color w:val="auto"/>
          <w:szCs w:val="24"/>
          <w:highlight w:val="none"/>
        </w:rPr>
        <w:t xml:space="preserve"> </w:t>
      </w:r>
    </w:p>
    <w:p w14:paraId="360811C8">
      <w:pPr>
        <w:ind w:firstLine="420"/>
        <w:rPr>
          <w:rFonts w:cs="仿宋_GB2312"/>
          <w:color w:val="auto"/>
          <w:szCs w:val="24"/>
          <w:highlight w:val="none"/>
        </w:rPr>
      </w:pPr>
      <w:r>
        <w:rPr>
          <w:rFonts w:hint="eastAsia" w:cs="仿宋_GB2312"/>
          <w:color w:val="auto"/>
          <w:szCs w:val="24"/>
          <w:highlight w:val="none"/>
        </w:rPr>
        <w:t>日      期：</w:t>
      </w:r>
    </w:p>
    <w:p w14:paraId="70039520">
      <w:pPr>
        <w:rPr>
          <w:rFonts w:hint="eastAsia" w:eastAsia="宋体" w:asciiTheme="majorHAnsi" w:hAnsiTheme="majorHAnsi" w:cstheme="majorBidi"/>
          <w:b/>
          <w:bCs/>
          <w:color w:val="auto"/>
          <w:kern w:val="2"/>
          <w:sz w:val="32"/>
          <w:szCs w:val="32"/>
          <w:highlight w:val="none"/>
          <w:lang w:val="en-US" w:eastAsia="zh-CN" w:bidi="ar-SA"/>
        </w:rPr>
      </w:pPr>
      <w:r>
        <w:rPr>
          <w:rFonts w:hint="eastAsia" w:eastAsia="宋体" w:asciiTheme="majorHAnsi" w:hAnsiTheme="majorHAnsi" w:cstheme="majorBidi"/>
          <w:b/>
          <w:bCs/>
          <w:color w:val="auto"/>
          <w:kern w:val="2"/>
          <w:sz w:val="32"/>
          <w:szCs w:val="32"/>
          <w:highlight w:val="none"/>
          <w:lang w:val="en-US" w:eastAsia="zh-CN" w:bidi="ar-SA"/>
        </w:rPr>
        <w:br w:type="page"/>
      </w:r>
    </w:p>
    <w:p w14:paraId="4E924C8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default" w:eastAsia="宋体" w:asciiTheme="majorHAnsi" w:hAnsiTheme="majorHAnsi" w:cstheme="majorBidi"/>
          <w:b/>
          <w:bCs/>
          <w:color w:val="auto"/>
          <w:kern w:val="2"/>
          <w:sz w:val="32"/>
          <w:szCs w:val="32"/>
          <w:highlight w:val="none"/>
          <w:lang w:val="en-US" w:eastAsia="zh-CN" w:bidi="ar-SA"/>
        </w:rPr>
      </w:pPr>
      <w:bookmarkStart w:id="706" w:name="_Toc30221"/>
      <w:r>
        <w:rPr>
          <w:rFonts w:hint="eastAsia" w:cstheme="majorBidi"/>
          <w:b/>
          <w:bCs/>
          <w:color w:val="auto"/>
          <w:kern w:val="2"/>
          <w:sz w:val="32"/>
          <w:szCs w:val="32"/>
          <w:highlight w:val="none"/>
          <w:lang w:val="en-US" w:eastAsia="zh-CN" w:bidi="ar-SA"/>
        </w:rPr>
        <w:t>八</w:t>
      </w:r>
      <w:r>
        <w:rPr>
          <w:rFonts w:hint="eastAsia" w:eastAsia="宋体" w:asciiTheme="majorHAnsi" w:hAnsiTheme="majorHAnsi" w:cstheme="majorBidi"/>
          <w:b/>
          <w:bCs/>
          <w:color w:val="auto"/>
          <w:kern w:val="2"/>
          <w:sz w:val="32"/>
          <w:szCs w:val="32"/>
          <w:highlight w:val="none"/>
          <w:lang w:val="en-US" w:eastAsia="zh-CN" w:bidi="ar-SA"/>
        </w:rPr>
        <w:t>、拟派项目团队</w:t>
      </w:r>
      <w:r>
        <w:rPr>
          <w:rFonts w:hint="eastAsia" w:cstheme="majorBidi"/>
          <w:b/>
          <w:bCs/>
          <w:color w:val="auto"/>
          <w:kern w:val="2"/>
          <w:sz w:val="32"/>
          <w:szCs w:val="32"/>
          <w:highlight w:val="none"/>
          <w:lang w:val="en-US" w:eastAsia="zh-CN" w:bidi="ar-SA"/>
        </w:rPr>
        <w:t>主要人员</w:t>
      </w:r>
      <w:bookmarkEnd w:id="706"/>
    </w:p>
    <w:tbl>
      <w:tblPr>
        <w:tblStyle w:val="31"/>
        <w:tblW w:w="9464"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79"/>
        <w:gridCol w:w="1442"/>
        <w:gridCol w:w="1089"/>
        <w:gridCol w:w="1309"/>
        <w:gridCol w:w="1077"/>
        <w:gridCol w:w="968"/>
        <w:gridCol w:w="1296"/>
        <w:gridCol w:w="1404"/>
      </w:tblGrid>
      <w:tr w14:paraId="377CEB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77" w:hRule="atLeast"/>
        </w:trPr>
        <w:tc>
          <w:tcPr>
            <w:tcW w:w="879" w:type="dxa"/>
            <w:vAlign w:val="center"/>
          </w:tcPr>
          <w:p w14:paraId="6B0F782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442" w:type="dxa"/>
            <w:vAlign w:val="center"/>
          </w:tcPr>
          <w:p w14:paraId="09FA2F8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团队</w:t>
            </w:r>
            <w:r>
              <w:rPr>
                <w:rFonts w:hint="eastAsia" w:cs="宋体"/>
                <w:color w:val="auto"/>
                <w:sz w:val="21"/>
                <w:szCs w:val="21"/>
                <w:highlight w:val="none"/>
                <w:lang w:val="en-US" w:eastAsia="zh-CN"/>
              </w:rPr>
              <w:t>主要</w:t>
            </w:r>
            <w:r>
              <w:rPr>
                <w:rFonts w:hint="eastAsia" w:ascii="宋体" w:hAnsi="宋体" w:eastAsia="宋体" w:cs="宋体"/>
                <w:color w:val="auto"/>
                <w:sz w:val="21"/>
                <w:szCs w:val="21"/>
                <w:highlight w:val="none"/>
                <w:lang w:val="en-US" w:eastAsia="zh-CN"/>
              </w:rPr>
              <w:t>成员</w:t>
            </w:r>
            <w:r>
              <w:rPr>
                <w:rFonts w:hint="eastAsia" w:ascii="宋体" w:hAnsi="宋体" w:eastAsia="宋体" w:cs="宋体"/>
                <w:color w:val="auto"/>
                <w:sz w:val="21"/>
                <w:szCs w:val="21"/>
                <w:highlight w:val="none"/>
              </w:rPr>
              <w:t>姓名</w:t>
            </w:r>
          </w:p>
        </w:tc>
        <w:tc>
          <w:tcPr>
            <w:tcW w:w="1089" w:type="dxa"/>
            <w:tcBorders>
              <w:right w:val="single" w:color="auto" w:sz="4" w:space="0"/>
            </w:tcBorders>
            <w:vAlign w:val="center"/>
          </w:tcPr>
          <w:p w14:paraId="4D802FF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工作单位</w:t>
            </w:r>
          </w:p>
        </w:tc>
        <w:tc>
          <w:tcPr>
            <w:tcW w:w="1309" w:type="dxa"/>
            <w:tcBorders>
              <w:left w:val="single" w:color="auto" w:sz="4" w:space="0"/>
            </w:tcBorders>
            <w:vAlign w:val="center"/>
          </w:tcPr>
          <w:p w14:paraId="3A608FC3">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身份证号</w:t>
            </w:r>
          </w:p>
        </w:tc>
        <w:tc>
          <w:tcPr>
            <w:tcW w:w="1077" w:type="dxa"/>
            <w:tcBorders>
              <w:left w:val="single" w:color="auto" w:sz="4" w:space="0"/>
            </w:tcBorders>
            <w:vAlign w:val="center"/>
          </w:tcPr>
          <w:p w14:paraId="3116E3D2">
            <w:pPr>
              <w:pStyle w:val="51"/>
              <w:jc w:val="center"/>
              <w:rPr>
                <w:rFonts w:hint="eastAsia" w:ascii="宋体" w:hAnsi="宋体" w:eastAsia="宋体" w:cs="宋体"/>
                <w:color w:val="auto"/>
                <w:sz w:val="21"/>
                <w:szCs w:val="21"/>
                <w:highlight w:val="none"/>
              </w:rPr>
            </w:pPr>
            <w:r>
              <w:rPr>
                <w:rFonts w:hint="eastAsia" w:cs="宋体"/>
                <w:color w:val="auto"/>
                <w:sz w:val="21"/>
                <w:szCs w:val="21"/>
                <w:highlight w:val="none"/>
                <w:lang w:val="en-US" w:eastAsia="zh-CN"/>
              </w:rPr>
              <w:t>学历</w:t>
            </w:r>
          </w:p>
        </w:tc>
        <w:tc>
          <w:tcPr>
            <w:tcW w:w="968" w:type="dxa"/>
            <w:tcBorders>
              <w:left w:val="single" w:color="auto" w:sz="4" w:space="0"/>
            </w:tcBorders>
            <w:vAlign w:val="center"/>
          </w:tcPr>
          <w:p w14:paraId="1115941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296" w:type="dxa"/>
            <w:vAlign w:val="center"/>
          </w:tcPr>
          <w:p w14:paraId="0940B260">
            <w:pPr>
              <w:pStyle w:val="51"/>
              <w:jc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证书名称及编号</w:t>
            </w:r>
          </w:p>
        </w:tc>
        <w:tc>
          <w:tcPr>
            <w:tcW w:w="1404" w:type="dxa"/>
            <w:vAlign w:val="center"/>
          </w:tcPr>
          <w:p w14:paraId="422D7D9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在团队中职务（岗位）</w:t>
            </w:r>
          </w:p>
        </w:tc>
      </w:tr>
      <w:tr w14:paraId="34A624B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79" w:type="dxa"/>
            <w:vAlign w:val="center"/>
          </w:tcPr>
          <w:p w14:paraId="239BDB40">
            <w:pPr>
              <w:pStyle w:val="51"/>
              <w:jc w:val="center"/>
              <w:rPr>
                <w:rFonts w:hint="eastAsia" w:ascii="宋体" w:hAnsi="宋体" w:eastAsia="宋体" w:cs="宋体"/>
                <w:color w:val="auto"/>
                <w:sz w:val="21"/>
                <w:szCs w:val="21"/>
                <w:highlight w:val="none"/>
              </w:rPr>
            </w:pPr>
            <w:bookmarkStart w:id="707" w:name="_Toc100090784"/>
            <w:bookmarkStart w:id="708" w:name="_Toc99533292"/>
            <w:r>
              <w:rPr>
                <w:rFonts w:hint="eastAsia" w:ascii="宋体" w:hAnsi="宋体" w:eastAsia="宋体" w:cs="宋体"/>
                <w:color w:val="auto"/>
                <w:sz w:val="21"/>
                <w:szCs w:val="21"/>
                <w:highlight w:val="none"/>
              </w:rPr>
              <w:t>1</w:t>
            </w:r>
            <w:bookmarkEnd w:id="707"/>
            <w:bookmarkEnd w:id="708"/>
          </w:p>
        </w:tc>
        <w:tc>
          <w:tcPr>
            <w:tcW w:w="1442" w:type="dxa"/>
            <w:vAlign w:val="center"/>
          </w:tcPr>
          <w:p w14:paraId="04D72608">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7C735158">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0EF6F977">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369CC082">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3483447B">
            <w:pPr>
              <w:pStyle w:val="51"/>
              <w:jc w:val="center"/>
              <w:rPr>
                <w:rFonts w:hint="eastAsia" w:ascii="宋体" w:hAnsi="宋体" w:eastAsia="宋体" w:cs="宋体"/>
                <w:color w:val="auto"/>
                <w:sz w:val="21"/>
                <w:szCs w:val="21"/>
                <w:highlight w:val="none"/>
              </w:rPr>
            </w:pPr>
          </w:p>
        </w:tc>
        <w:tc>
          <w:tcPr>
            <w:tcW w:w="1296" w:type="dxa"/>
            <w:vAlign w:val="center"/>
          </w:tcPr>
          <w:p w14:paraId="7F355EC3">
            <w:pPr>
              <w:pStyle w:val="51"/>
              <w:jc w:val="center"/>
              <w:rPr>
                <w:rFonts w:hint="eastAsia" w:ascii="宋体" w:hAnsi="宋体" w:eastAsia="宋体" w:cs="宋体"/>
                <w:color w:val="auto"/>
                <w:sz w:val="21"/>
                <w:szCs w:val="21"/>
                <w:highlight w:val="none"/>
              </w:rPr>
            </w:pPr>
          </w:p>
        </w:tc>
        <w:tc>
          <w:tcPr>
            <w:tcW w:w="1404" w:type="dxa"/>
            <w:vAlign w:val="center"/>
          </w:tcPr>
          <w:p w14:paraId="11476DCE">
            <w:pPr>
              <w:pStyle w:val="51"/>
              <w:jc w:val="center"/>
              <w:rPr>
                <w:rFonts w:hint="eastAsia" w:ascii="宋体" w:hAnsi="宋体" w:eastAsia="宋体" w:cs="宋体"/>
                <w:color w:val="auto"/>
                <w:sz w:val="21"/>
                <w:szCs w:val="21"/>
                <w:highlight w:val="none"/>
              </w:rPr>
            </w:pPr>
          </w:p>
        </w:tc>
      </w:tr>
      <w:tr w14:paraId="19E49C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79" w:type="dxa"/>
            <w:vAlign w:val="center"/>
          </w:tcPr>
          <w:p w14:paraId="47F12C5C">
            <w:pPr>
              <w:pStyle w:val="51"/>
              <w:jc w:val="center"/>
              <w:rPr>
                <w:rFonts w:hint="eastAsia" w:ascii="宋体" w:hAnsi="宋体" w:eastAsia="宋体" w:cs="宋体"/>
                <w:color w:val="auto"/>
                <w:sz w:val="21"/>
                <w:szCs w:val="21"/>
                <w:highlight w:val="none"/>
              </w:rPr>
            </w:pPr>
            <w:bookmarkStart w:id="709" w:name="_Toc99533293"/>
            <w:bookmarkStart w:id="710" w:name="_Toc100090785"/>
            <w:r>
              <w:rPr>
                <w:rFonts w:hint="eastAsia" w:ascii="宋体" w:hAnsi="宋体" w:eastAsia="宋体" w:cs="宋体"/>
                <w:color w:val="auto"/>
                <w:sz w:val="21"/>
                <w:szCs w:val="21"/>
                <w:highlight w:val="none"/>
              </w:rPr>
              <w:t>2</w:t>
            </w:r>
            <w:bookmarkEnd w:id="709"/>
            <w:bookmarkEnd w:id="710"/>
          </w:p>
        </w:tc>
        <w:tc>
          <w:tcPr>
            <w:tcW w:w="1442" w:type="dxa"/>
            <w:vAlign w:val="center"/>
          </w:tcPr>
          <w:p w14:paraId="3AE14FF6">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06FFE829">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1A33E450">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0736F211">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476ECD82">
            <w:pPr>
              <w:pStyle w:val="51"/>
              <w:jc w:val="center"/>
              <w:rPr>
                <w:rFonts w:hint="eastAsia" w:ascii="宋体" w:hAnsi="宋体" w:eastAsia="宋体" w:cs="宋体"/>
                <w:color w:val="auto"/>
                <w:sz w:val="21"/>
                <w:szCs w:val="21"/>
                <w:highlight w:val="none"/>
              </w:rPr>
            </w:pPr>
          </w:p>
        </w:tc>
        <w:tc>
          <w:tcPr>
            <w:tcW w:w="1296" w:type="dxa"/>
            <w:vAlign w:val="center"/>
          </w:tcPr>
          <w:p w14:paraId="390E678F">
            <w:pPr>
              <w:pStyle w:val="51"/>
              <w:jc w:val="center"/>
              <w:rPr>
                <w:rFonts w:hint="eastAsia" w:ascii="宋体" w:hAnsi="宋体" w:eastAsia="宋体" w:cs="宋体"/>
                <w:color w:val="auto"/>
                <w:sz w:val="21"/>
                <w:szCs w:val="21"/>
                <w:highlight w:val="none"/>
              </w:rPr>
            </w:pPr>
          </w:p>
        </w:tc>
        <w:tc>
          <w:tcPr>
            <w:tcW w:w="1404" w:type="dxa"/>
            <w:vAlign w:val="center"/>
          </w:tcPr>
          <w:p w14:paraId="44B4146B">
            <w:pPr>
              <w:pStyle w:val="51"/>
              <w:jc w:val="center"/>
              <w:rPr>
                <w:rFonts w:hint="eastAsia" w:ascii="宋体" w:hAnsi="宋体" w:eastAsia="宋体" w:cs="宋体"/>
                <w:color w:val="auto"/>
                <w:sz w:val="21"/>
                <w:szCs w:val="21"/>
                <w:highlight w:val="none"/>
              </w:rPr>
            </w:pPr>
          </w:p>
        </w:tc>
      </w:tr>
      <w:tr w14:paraId="5F5E2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1" w:hRule="atLeast"/>
        </w:trPr>
        <w:tc>
          <w:tcPr>
            <w:tcW w:w="879" w:type="dxa"/>
            <w:vAlign w:val="center"/>
          </w:tcPr>
          <w:p w14:paraId="0824241E">
            <w:pPr>
              <w:pStyle w:val="51"/>
              <w:jc w:val="center"/>
              <w:rPr>
                <w:rFonts w:hint="eastAsia" w:ascii="宋体" w:hAnsi="宋体" w:eastAsia="宋体" w:cs="宋体"/>
                <w:color w:val="auto"/>
                <w:sz w:val="21"/>
                <w:szCs w:val="21"/>
                <w:highlight w:val="none"/>
              </w:rPr>
            </w:pPr>
            <w:bookmarkStart w:id="711" w:name="_Toc100090786"/>
            <w:bookmarkStart w:id="712" w:name="_Toc99533294"/>
            <w:r>
              <w:rPr>
                <w:rFonts w:hint="eastAsia" w:ascii="宋体" w:hAnsi="宋体" w:eastAsia="宋体" w:cs="宋体"/>
                <w:color w:val="auto"/>
                <w:sz w:val="21"/>
                <w:szCs w:val="21"/>
                <w:highlight w:val="none"/>
              </w:rPr>
              <w:t>3</w:t>
            </w:r>
            <w:bookmarkEnd w:id="711"/>
            <w:bookmarkEnd w:id="712"/>
          </w:p>
        </w:tc>
        <w:tc>
          <w:tcPr>
            <w:tcW w:w="1442" w:type="dxa"/>
            <w:vAlign w:val="center"/>
          </w:tcPr>
          <w:p w14:paraId="19C12411">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1E33B914">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70C10384">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65174213">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657B47D5">
            <w:pPr>
              <w:pStyle w:val="51"/>
              <w:jc w:val="center"/>
              <w:rPr>
                <w:rFonts w:hint="eastAsia" w:ascii="宋体" w:hAnsi="宋体" w:eastAsia="宋体" w:cs="宋体"/>
                <w:color w:val="auto"/>
                <w:sz w:val="21"/>
                <w:szCs w:val="21"/>
                <w:highlight w:val="none"/>
              </w:rPr>
            </w:pPr>
          </w:p>
        </w:tc>
        <w:tc>
          <w:tcPr>
            <w:tcW w:w="1296" w:type="dxa"/>
            <w:vAlign w:val="center"/>
          </w:tcPr>
          <w:p w14:paraId="3F31D2CD">
            <w:pPr>
              <w:pStyle w:val="51"/>
              <w:jc w:val="center"/>
              <w:rPr>
                <w:rFonts w:hint="eastAsia" w:ascii="宋体" w:hAnsi="宋体" w:eastAsia="宋体" w:cs="宋体"/>
                <w:color w:val="auto"/>
                <w:sz w:val="21"/>
                <w:szCs w:val="21"/>
                <w:highlight w:val="none"/>
              </w:rPr>
            </w:pPr>
          </w:p>
        </w:tc>
        <w:tc>
          <w:tcPr>
            <w:tcW w:w="1404" w:type="dxa"/>
            <w:vAlign w:val="center"/>
          </w:tcPr>
          <w:p w14:paraId="3A9D9DD7">
            <w:pPr>
              <w:pStyle w:val="51"/>
              <w:jc w:val="center"/>
              <w:rPr>
                <w:rFonts w:hint="eastAsia" w:ascii="宋体" w:hAnsi="宋体" w:eastAsia="宋体" w:cs="宋体"/>
                <w:color w:val="auto"/>
                <w:sz w:val="21"/>
                <w:szCs w:val="21"/>
                <w:highlight w:val="none"/>
              </w:rPr>
            </w:pPr>
          </w:p>
        </w:tc>
      </w:tr>
      <w:tr w14:paraId="72391D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79" w:type="dxa"/>
            <w:vAlign w:val="center"/>
          </w:tcPr>
          <w:p w14:paraId="329A399B">
            <w:pPr>
              <w:pStyle w:val="51"/>
              <w:jc w:val="center"/>
              <w:rPr>
                <w:rFonts w:hint="eastAsia" w:ascii="宋体" w:hAnsi="宋体" w:eastAsia="宋体" w:cs="宋体"/>
                <w:color w:val="auto"/>
                <w:sz w:val="21"/>
                <w:szCs w:val="21"/>
                <w:highlight w:val="none"/>
              </w:rPr>
            </w:pPr>
            <w:bookmarkStart w:id="713" w:name="_Toc100090787"/>
            <w:bookmarkStart w:id="714" w:name="_Toc99533295"/>
            <w:r>
              <w:rPr>
                <w:rFonts w:hint="eastAsia" w:ascii="宋体" w:hAnsi="宋体" w:eastAsia="宋体" w:cs="宋体"/>
                <w:color w:val="auto"/>
                <w:sz w:val="21"/>
                <w:szCs w:val="21"/>
                <w:highlight w:val="none"/>
              </w:rPr>
              <w:t>4</w:t>
            </w:r>
            <w:bookmarkEnd w:id="713"/>
            <w:bookmarkEnd w:id="714"/>
          </w:p>
        </w:tc>
        <w:tc>
          <w:tcPr>
            <w:tcW w:w="1442" w:type="dxa"/>
            <w:vAlign w:val="center"/>
          </w:tcPr>
          <w:p w14:paraId="42DE0F63">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3CA0809C">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6D63F4E6">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3D4C82DB">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496384D0">
            <w:pPr>
              <w:pStyle w:val="51"/>
              <w:jc w:val="center"/>
              <w:rPr>
                <w:rFonts w:hint="eastAsia" w:ascii="宋体" w:hAnsi="宋体" w:eastAsia="宋体" w:cs="宋体"/>
                <w:color w:val="auto"/>
                <w:sz w:val="21"/>
                <w:szCs w:val="21"/>
                <w:highlight w:val="none"/>
              </w:rPr>
            </w:pPr>
          </w:p>
        </w:tc>
        <w:tc>
          <w:tcPr>
            <w:tcW w:w="1296" w:type="dxa"/>
            <w:vAlign w:val="center"/>
          </w:tcPr>
          <w:p w14:paraId="068007BF">
            <w:pPr>
              <w:pStyle w:val="51"/>
              <w:jc w:val="center"/>
              <w:rPr>
                <w:rFonts w:hint="eastAsia" w:ascii="宋体" w:hAnsi="宋体" w:eastAsia="宋体" w:cs="宋体"/>
                <w:color w:val="auto"/>
                <w:sz w:val="21"/>
                <w:szCs w:val="21"/>
                <w:highlight w:val="none"/>
              </w:rPr>
            </w:pPr>
          </w:p>
        </w:tc>
        <w:tc>
          <w:tcPr>
            <w:tcW w:w="1404" w:type="dxa"/>
            <w:vAlign w:val="center"/>
          </w:tcPr>
          <w:p w14:paraId="5A94DC72">
            <w:pPr>
              <w:pStyle w:val="51"/>
              <w:jc w:val="center"/>
              <w:rPr>
                <w:rFonts w:hint="eastAsia" w:ascii="宋体" w:hAnsi="宋体" w:eastAsia="宋体" w:cs="宋体"/>
                <w:color w:val="auto"/>
                <w:sz w:val="21"/>
                <w:szCs w:val="21"/>
                <w:highlight w:val="none"/>
              </w:rPr>
            </w:pPr>
          </w:p>
        </w:tc>
      </w:tr>
      <w:tr w14:paraId="67CF6A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79" w:type="dxa"/>
            <w:vAlign w:val="center"/>
          </w:tcPr>
          <w:p w14:paraId="61FE3797">
            <w:pPr>
              <w:pStyle w:val="51"/>
              <w:jc w:val="center"/>
              <w:rPr>
                <w:rFonts w:hint="eastAsia" w:ascii="宋体" w:hAnsi="宋体" w:eastAsia="宋体" w:cs="宋体"/>
                <w:color w:val="auto"/>
                <w:sz w:val="21"/>
                <w:szCs w:val="21"/>
                <w:highlight w:val="none"/>
              </w:rPr>
            </w:pPr>
            <w:bookmarkStart w:id="715" w:name="_Toc99533296"/>
            <w:bookmarkStart w:id="716" w:name="_Toc100090788"/>
            <w:r>
              <w:rPr>
                <w:rFonts w:hint="eastAsia" w:ascii="宋体" w:hAnsi="宋体" w:eastAsia="宋体" w:cs="宋体"/>
                <w:color w:val="auto"/>
                <w:sz w:val="21"/>
                <w:szCs w:val="21"/>
                <w:highlight w:val="none"/>
              </w:rPr>
              <w:t>5</w:t>
            </w:r>
            <w:bookmarkEnd w:id="715"/>
            <w:bookmarkEnd w:id="716"/>
          </w:p>
        </w:tc>
        <w:tc>
          <w:tcPr>
            <w:tcW w:w="1442" w:type="dxa"/>
            <w:vAlign w:val="center"/>
          </w:tcPr>
          <w:p w14:paraId="3241008C">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3999E45B">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64009478">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69AAE91E">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75153765">
            <w:pPr>
              <w:pStyle w:val="51"/>
              <w:jc w:val="center"/>
              <w:rPr>
                <w:rFonts w:hint="eastAsia" w:ascii="宋体" w:hAnsi="宋体" w:eastAsia="宋体" w:cs="宋体"/>
                <w:color w:val="auto"/>
                <w:sz w:val="21"/>
                <w:szCs w:val="21"/>
                <w:highlight w:val="none"/>
              </w:rPr>
            </w:pPr>
          </w:p>
        </w:tc>
        <w:tc>
          <w:tcPr>
            <w:tcW w:w="1296" w:type="dxa"/>
            <w:vAlign w:val="center"/>
          </w:tcPr>
          <w:p w14:paraId="12AB49C0">
            <w:pPr>
              <w:pStyle w:val="51"/>
              <w:jc w:val="center"/>
              <w:rPr>
                <w:rFonts w:hint="eastAsia" w:ascii="宋体" w:hAnsi="宋体" w:eastAsia="宋体" w:cs="宋体"/>
                <w:color w:val="auto"/>
                <w:sz w:val="21"/>
                <w:szCs w:val="21"/>
                <w:highlight w:val="none"/>
              </w:rPr>
            </w:pPr>
          </w:p>
        </w:tc>
        <w:tc>
          <w:tcPr>
            <w:tcW w:w="1404" w:type="dxa"/>
            <w:vAlign w:val="center"/>
          </w:tcPr>
          <w:p w14:paraId="1659A511">
            <w:pPr>
              <w:pStyle w:val="51"/>
              <w:jc w:val="center"/>
              <w:rPr>
                <w:rFonts w:hint="eastAsia" w:ascii="宋体" w:hAnsi="宋体" w:eastAsia="宋体" w:cs="宋体"/>
                <w:color w:val="auto"/>
                <w:sz w:val="21"/>
                <w:szCs w:val="21"/>
                <w:highlight w:val="none"/>
              </w:rPr>
            </w:pPr>
          </w:p>
        </w:tc>
      </w:tr>
      <w:tr w14:paraId="053F8BD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79" w:type="dxa"/>
            <w:vAlign w:val="center"/>
          </w:tcPr>
          <w:p w14:paraId="07DED61F">
            <w:pPr>
              <w:pStyle w:val="51"/>
              <w:jc w:val="center"/>
              <w:rPr>
                <w:rFonts w:hint="eastAsia" w:ascii="宋体" w:hAnsi="宋体" w:eastAsia="宋体" w:cs="宋体"/>
                <w:color w:val="auto"/>
                <w:sz w:val="21"/>
                <w:szCs w:val="21"/>
                <w:highlight w:val="none"/>
              </w:rPr>
            </w:pPr>
            <w:bookmarkStart w:id="717" w:name="_Toc99533297"/>
            <w:bookmarkStart w:id="718" w:name="_Toc100090789"/>
            <w:r>
              <w:rPr>
                <w:rFonts w:hint="eastAsia" w:ascii="宋体" w:hAnsi="宋体" w:eastAsia="宋体" w:cs="宋体"/>
                <w:color w:val="auto"/>
                <w:sz w:val="21"/>
                <w:szCs w:val="21"/>
                <w:highlight w:val="none"/>
              </w:rPr>
              <w:t>6</w:t>
            </w:r>
            <w:bookmarkEnd w:id="717"/>
            <w:bookmarkEnd w:id="718"/>
          </w:p>
        </w:tc>
        <w:tc>
          <w:tcPr>
            <w:tcW w:w="1442" w:type="dxa"/>
            <w:vAlign w:val="center"/>
          </w:tcPr>
          <w:p w14:paraId="40527E11">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16947C68">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1666B8AD">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4B56E47C">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45256EB9">
            <w:pPr>
              <w:pStyle w:val="51"/>
              <w:jc w:val="center"/>
              <w:rPr>
                <w:rFonts w:hint="eastAsia" w:ascii="宋体" w:hAnsi="宋体" w:eastAsia="宋体" w:cs="宋体"/>
                <w:color w:val="auto"/>
                <w:sz w:val="21"/>
                <w:szCs w:val="21"/>
                <w:highlight w:val="none"/>
              </w:rPr>
            </w:pPr>
          </w:p>
        </w:tc>
        <w:tc>
          <w:tcPr>
            <w:tcW w:w="1296" w:type="dxa"/>
            <w:vAlign w:val="center"/>
          </w:tcPr>
          <w:p w14:paraId="51ADEB68">
            <w:pPr>
              <w:pStyle w:val="51"/>
              <w:jc w:val="center"/>
              <w:rPr>
                <w:rFonts w:hint="eastAsia" w:ascii="宋体" w:hAnsi="宋体" w:eastAsia="宋体" w:cs="宋体"/>
                <w:color w:val="auto"/>
                <w:sz w:val="21"/>
                <w:szCs w:val="21"/>
                <w:highlight w:val="none"/>
              </w:rPr>
            </w:pPr>
          </w:p>
        </w:tc>
        <w:tc>
          <w:tcPr>
            <w:tcW w:w="1404" w:type="dxa"/>
            <w:vAlign w:val="center"/>
          </w:tcPr>
          <w:p w14:paraId="1CED2476">
            <w:pPr>
              <w:pStyle w:val="51"/>
              <w:jc w:val="center"/>
              <w:rPr>
                <w:rFonts w:hint="eastAsia" w:ascii="宋体" w:hAnsi="宋体" w:eastAsia="宋体" w:cs="宋体"/>
                <w:color w:val="auto"/>
                <w:sz w:val="21"/>
                <w:szCs w:val="21"/>
                <w:highlight w:val="none"/>
              </w:rPr>
            </w:pPr>
          </w:p>
        </w:tc>
      </w:tr>
      <w:tr w14:paraId="661CA4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79" w:type="dxa"/>
            <w:vAlign w:val="center"/>
          </w:tcPr>
          <w:p w14:paraId="6AA4734C">
            <w:pPr>
              <w:pStyle w:val="51"/>
              <w:jc w:val="center"/>
              <w:rPr>
                <w:rFonts w:hint="eastAsia" w:ascii="宋体" w:hAnsi="宋体" w:eastAsia="宋体" w:cs="宋体"/>
                <w:color w:val="auto"/>
                <w:sz w:val="21"/>
                <w:szCs w:val="21"/>
                <w:highlight w:val="none"/>
              </w:rPr>
            </w:pPr>
            <w:bookmarkStart w:id="719" w:name="_Toc99533298"/>
            <w:bookmarkStart w:id="720" w:name="_Toc100090790"/>
            <w:r>
              <w:rPr>
                <w:rFonts w:hint="eastAsia" w:ascii="宋体" w:hAnsi="宋体" w:eastAsia="宋体" w:cs="宋体"/>
                <w:color w:val="auto"/>
                <w:sz w:val="21"/>
                <w:szCs w:val="21"/>
                <w:highlight w:val="none"/>
              </w:rPr>
              <w:t>7</w:t>
            </w:r>
            <w:bookmarkEnd w:id="719"/>
            <w:bookmarkEnd w:id="720"/>
          </w:p>
        </w:tc>
        <w:tc>
          <w:tcPr>
            <w:tcW w:w="1442" w:type="dxa"/>
            <w:vAlign w:val="center"/>
          </w:tcPr>
          <w:p w14:paraId="3F3B684D">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78032A99">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601AE572">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58CAB087">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01172C19">
            <w:pPr>
              <w:pStyle w:val="51"/>
              <w:jc w:val="center"/>
              <w:rPr>
                <w:rFonts w:hint="eastAsia" w:ascii="宋体" w:hAnsi="宋体" w:eastAsia="宋体" w:cs="宋体"/>
                <w:color w:val="auto"/>
                <w:sz w:val="21"/>
                <w:szCs w:val="21"/>
                <w:highlight w:val="none"/>
              </w:rPr>
            </w:pPr>
          </w:p>
        </w:tc>
        <w:tc>
          <w:tcPr>
            <w:tcW w:w="1296" w:type="dxa"/>
            <w:vAlign w:val="center"/>
          </w:tcPr>
          <w:p w14:paraId="7E9B2A2D">
            <w:pPr>
              <w:pStyle w:val="51"/>
              <w:jc w:val="center"/>
              <w:rPr>
                <w:rFonts w:hint="eastAsia" w:ascii="宋体" w:hAnsi="宋体" w:eastAsia="宋体" w:cs="宋体"/>
                <w:color w:val="auto"/>
                <w:sz w:val="21"/>
                <w:szCs w:val="21"/>
                <w:highlight w:val="none"/>
              </w:rPr>
            </w:pPr>
          </w:p>
        </w:tc>
        <w:tc>
          <w:tcPr>
            <w:tcW w:w="1404" w:type="dxa"/>
            <w:vAlign w:val="center"/>
          </w:tcPr>
          <w:p w14:paraId="4A11C356">
            <w:pPr>
              <w:pStyle w:val="51"/>
              <w:jc w:val="center"/>
              <w:rPr>
                <w:rFonts w:hint="eastAsia" w:ascii="宋体" w:hAnsi="宋体" w:eastAsia="宋体" w:cs="宋体"/>
                <w:color w:val="auto"/>
                <w:sz w:val="21"/>
                <w:szCs w:val="21"/>
                <w:highlight w:val="none"/>
              </w:rPr>
            </w:pPr>
          </w:p>
        </w:tc>
      </w:tr>
      <w:tr w14:paraId="5E0A6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79" w:type="dxa"/>
            <w:vAlign w:val="center"/>
          </w:tcPr>
          <w:p w14:paraId="603F7F8C">
            <w:pPr>
              <w:pStyle w:val="51"/>
              <w:jc w:val="center"/>
              <w:rPr>
                <w:rFonts w:hint="eastAsia" w:ascii="宋体" w:hAnsi="宋体" w:eastAsia="宋体" w:cs="宋体"/>
                <w:color w:val="auto"/>
                <w:sz w:val="21"/>
                <w:szCs w:val="21"/>
                <w:highlight w:val="none"/>
              </w:rPr>
            </w:pPr>
            <w:bookmarkStart w:id="721" w:name="_Toc99533299"/>
            <w:bookmarkStart w:id="722" w:name="_Toc100090791"/>
            <w:r>
              <w:rPr>
                <w:rFonts w:hint="eastAsia" w:ascii="宋体" w:hAnsi="宋体" w:eastAsia="宋体" w:cs="宋体"/>
                <w:color w:val="auto"/>
                <w:sz w:val="21"/>
                <w:szCs w:val="21"/>
                <w:highlight w:val="none"/>
              </w:rPr>
              <w:t>8</w:t>
            </w:r>
            <w:bookmarkEnd w:id="721"/>
            <w:bookmarkEnd w:id="722"/>
          </w:p>
        </w:tc>
        <w:tc>
          <w:tcPr>
            <w:tcW w:w="1442" w:type="dxa"/>
            <w:vAlign w:val="center"/>
          </w:tcPr>
          <w:p w14:paraId="20BD29D0">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7C9D455C">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3548599B">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0FAD5F1B">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2842C962">
            <w:pPr>
              <w:pStyle w:val="51"/>
              <w:jc w:val="center"/>
              <w:rPr>
                <w:rFonts w:hint="eastAsia" w:ascii="宋体" w:hAnsi="宋体" w:eastAsia="宋体" w:cs="宋体"/>
                <w:color w:val="auto"/>
                <w:sz w:val="21"/>
                <w:szCs w:val="21"/>
                <w:highlight w:val="none"/>
              </w:rPr>
            </w:pPr>
          </w:p>
        </w:tc>
        <w:tc>
          <w:tcPr>
            <w:tcW w:w="1296" w:type="dxa"/>
            <w:vAlign w:val="center"/>
          </w:tcPr>
          <w:p w14:paraId="292DF220">
            <w:pPr>
              <w:pStyle w:val="51"/>
              <w:jc w:val="center"/>
              <w:rPr>
                <w:rFonts w:hint="eastAsia" w:ascii="宋体" w:hAnsi="宋体" w:eastAsia="宋体" w:cs="宋体"/>
                <w:color w:val="auto"/>
                <w:sz w:val="21"/>
                <w:szCs w:val="21"/>
                <w:highlight w:val="none"/>
              </w:rPr>
            </w:pPr>
          </w:p>
        </w:tc>
        <w:tc>
          <w:tcPr>
            <w:tcW w:w="1404" w:type="dxa"/>
            <w:vAlign w:val="center"/>
          </w:tcPr>
          <w:p w14:paraId="70F58594">
            <w:pPr>
              <w:pStyle w:val="51"/>
              <w:jc w:val="center"/>
              <w:rPr>
                <w:rFonts w:hint="eastAsia" w:ascii="宋体" w:hAnsi="宋体" w:eastAsia="宋体" w:cs="宋体"/>
                <w:color w:val="auto"/>
                <w:sz w:val="21"/>
                <w:szCs w:val="21"/>
                <w:highlight w:val="none"/>
              </w:rPr>
            </w:pPr>
          </w:p>
        </w:tc>
      </w:tr>
      <w:tr w14:paraId="17D5B0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879" w:type="dxa"/>
            <w:vAlign w:val="center"/>
          </w:tcPr>
          <w:p w14:paraId="4F7A90D9">
            <w:pPr>
              <w:pStyle w:val="51"/>
              <w:jc w:val="center"/>
              <w:rPr>
                <w:rFonts w:hint="eastAsia" w:ascii="宋体" w:hAnsi="宋体" w:eastAsia="宋体" w:cs="宋体"/>
                <w:color w:val="auto"/>
                <w:sz w:val="21"/>
                <w:szCs w:val="21"/>
                <w:highlight w:val="none"/>
              </w:rPr>
            </w:pPr>
            <w:bookmarkStart w:id="723" w:name="_Toc100090792"/>
            <w:bookmarkStart w:id="724" w:name="_Toc99533300"/>
            <w:r>
              <w:rPr>
                <w:rFonts w:hint="eastAsia" w:ascii="宋体" w:hAnsi="宋体" w:eastAsia="宋体" w:cs="宋体"/>
                <w:color w:val="auto"/>
                <w:sz w:val="21"/>
                <w:szCs w:val="21"/>
                <w:highlight w:val="none"/>
              </w:rPr>
              <w:t>9</w:t>
            </w:r>
            <w:bookmarkEnd w:id="723"/>
            <w:bookmarkEnd w:id="724"/>
          </w:p>
        </w:tc>
        <w:tc>
          <w:tcPr>
            <w:tcW w:w="1442" w:type="dxa"/>
            <w:vAlign w:val="center"/>
          </w:tcPr>
          <w:p w14:paraId="6C5090EC">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32CD2ADB">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0DD9EDDC">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7CA90F41">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05650614">
            <w:pPr>
              <w:pStyle w:val="51"/>
              <w:jc w:val="center"/>
              <w:rPr>
                <w:rFonts w:hint="eastAsia" w:ascii="宋体" w:hAnsi="宋体" w:eastAsia="宋体" w:cs="宋体"/>
                <w:color w:val="auto"/>
                <w:sz w:val="21"/>
                <w:szCs w:val="21"/>
                <w:highlight w:val="none"/>
              </w:rPr>
            </w:pPr>
          </w:p>
        </w:tc>
        <w:tc>
          <w:tcPr>
            <w:tcW w:w="1296" w:type="dxa"/>
            <w:vAlign w:val="center"/>
          </w:tcPr>
          <w:p w14:paraId="337B4053">
            <w:pPr>
              <w:pStyle w:val="51"/>
              <w:jc w:val="center"/>
              <w:rPr>
                <w:rFonts w:hint="eastAsia" w:ascii="宋体" w:hAnsi="宋体" w:eastAsia="宋体" w:cs="宋体"/>
                <w:color w:val="auto"/>
                <w:sz w:val="21"/>
                <w:szCs w:val="21"/>
                <w:highlight w:val="none"/>
              </w:rPr>
            </w:pPr>
          </w:p>
        </w:tc>
        <w:tc>
          <w:tcPr>
            <w:tcW w:w="1404" w:type="dxa"/>
            <w:vAlign w:val="center"/>
          </w:tcPr>
          <w:p w14:paraId="7D6C0C38">
            <w:pPr>
              <w:pStyle w:val="51"/>
              <w:jc w:val="center"/>
              <w:rPr>
                <w:rFonts w:hint="eastAsia" w:ascii="宋体" w:hAnsi="宋体" w:eastAsia="宋体" w:cs="宋体"/>
                <w:color w:val="auto"/>
                <w:sz w:val="21"/>
                <w:szCs w:val="21"/>
                <w:highlight w:val="none"/>
              </w:rPr>
            </w:pPr>
          </w:p>
        </w:tc>
      </w:tr>
      <w:tr w14:paraId="5F497A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1" w:hRule="atLeast"/>
        </w:trPr>
        <w:tc>
          <w:tcPr>
            <w:tcW w:w="879" w:type="dxa"/>
            <w:vAlign w:val="center"/>
          </w:tcPr>
          <w:p w14:paraId="406250BE">
            <w:pPr>
              <w:pStyle w:val="51"/>
              <w:jc w:val="center"/>
              <w:rPr>
                <w:rFonts w:hint="eastAsia" w:ascii="宋体" w:hAnsi="宋体" w:eastAsia="宋体" w:cs="宋体"/>
                <w:color w:val="auto"/>
                <w:sz w:val="21"/>
                <w:szCs w:val="21"/>
                <w:highlight w:val="none"/>
              </w:rPr>
            </w:pPr>
            <w:bookmarkStart w:id="725" w:name="_Toc99533301"/>
            <w:bookmarkStart w:id="726" w:name="_Toc100090793"/>
            <w:r>
              <w:rPr>
                <w:rFonts w:hint="eastAsia" w:ascii="宋体" w:hAnsi="宋体" w:eastAsia="宋体" w:cs="宋体"/>
                <w:color w:val="auto"/>
                <w:sz w:val="21"/>
                <w:szCs w:val="21"/>
                <w:highlight w:val="none"/>
              </w:rPr>
              <w:t>10</w:t>
            </w:r>
            <w:bookmarkEnd w:id="725"/>
            <w:bookmarkEnd w:id="726"/>
          </w:p>
        </w:tc>
        <w:tc>
          <w:tcPr>
            <w:tcW w:w="1442" w:type="dxa"/>
            <w:vAlign w:val="center"/>
          </w:tcPr>
          <w:p w14:paraId="0D84E205">
            <w:pPr>
              <w:pStyle w:val="51"/>
              <w:jc w:val="center"/>
              <w:rPr>
                <w:rFonts w:hint="eastAsia" w:ascii="宋体" w:hAnsi="宋体" w:eastAsia="宋体" w:cs="宋体"/>
                <w:color w:val="auto"/>
                <w:sz w:val="21"/>
                <w:szCs w:val="21"/>
                <w:highlight w:val="none"/>
              </w:rPr>
            </w:pPr>
          </w:p>
        </w:tc>
        <w:tc>
          <w:tcPr>
            <w:tcW w:w="1089" w:type="dxa"/>
            <w:tcBorders>
              <w:right w:val="single" w:color="auto" w:sz="4" w:space="0"/>
            </w:tcBorders>
            <w:vAlign w:val="center"/>
          </w:tcPr>
          <w:p w14:paraId="79F36313">
            <w:pPr>
              <w:pStyle w:val="51"/>
              <w:jc w:val="center"/>
              <w:rPr>
                <w:rFonts w:hint="eastAsia" w:ascii="宋体" w:hAnsi="宋体" w:eastAsia="宋体" w:cs="宋体"/>
                <w:color w:val="auto"/>
                <w:sz w:val="21"/>
                <w:szCs w:val="21"/>
                <w:highlight w:val="none"/>
              </w:rPr>
            </w:pPr>
          </w:p>
        </w:tc>
        <w:tc>
          <w:tcPr>
            <w:tcW w:w="1309" w:type="dxa"/>
            <w:tcBorders>
              <w:left w:val="single" w:color="auto" w:sz="4" w:space="0"/>
            </w:tcBorders>
            <w:vAlign w:val="center"/>
          </w:tcPr>
          <w:p w14:paraId="193C6909">
            <w:pPr>
              <w:pStyle w:val="51"/>
              <w:jc w:val="center"/>
              <w:rPr>
                <w:rFonts w:hint="eastAsia" w:ascii="宋体" w:hAnsi="宋体" w:eastAsia="宋体" w:cs="宋体"/>
                <w:color w:val="auto"/>
                <w:sz w:val="21"/>
                <w:szCs w:val="21"/>
                <w:highlight w:val="none"/>
              </w:rPr>
            </w:pPr>
          </w:p>
        </w:tc>
        <w:tc>
          <w:tcPr>
            <w:tcW w:w="1077" w:type="dxa"/>
            <w:tcBorders>
              <w:left w:val="single" w:color="auto" w:sz="4" w:space="0"/>
            </w:tcBorders>
            <w:vAlign w:val="center"/>
          </w:tcPr>
          <w:p w14:paraId="07F907B9">
            <w:pPr>
              <w:pStyle w:val="51"/>
              <w:jc w:val="center"/>
              <w:rPr>
                <w:rFonts w:hint="eastAsia" w:ascii="宋体" w:hAnsi="宋体" w:eastAsia="宋体" w:cs="宋体"/>
                <w:color w:val="auto"/>
                <w:sz w:val="21"/>
                <w:szCs w:val="21"/>
                <w:highlight w:val="none"/>
              </w:rPr>
            </w:pPr>
          </w:p>
        </w:tc>
        <w:tc>
          <w:tcPr>
            <w:tcW w:w="968" w:type="dxa"/>
            <w:tcBorders>
              <w:left w:val="single" w:color="auto" w:sz="4" w:space="0"/>
            </w:tcBorders>
            <w:vAlign w:val="center"/>
          </w:tcPr>
          <w:p w14:paraId="6C34049E">
            <w:pPr>
              <w:pStyle w:val="51"/>
              <w:jc w:val="center"/>
              <w:rPr>
                <w:rFonts w:hint="eastAsia" w:ascii="宋体" w:hAnsi="宋体" w:eastAsia="宋体" w:cs="宋体"/>
                <w:color w:val="auto"/>
                <w:sz w:val="21"/>
                <w:szCs w:val="21"/>
                <w:highlight w:val="none"/>
              </w:rPr>
            </w:pPr>
          </w:p>
        </w:tc>
        <w:tc>
          <w:tcPr>
            <w:tcW w:w="1296" w:type="dxa"/>
            <w:vAlign w:val="center"/>
          </w:tcPr>
          <w:p w14:paraId="7790D037">
            <w:pPr>
              <w:pStyle w:val="51"/>
              <w:jc w:val="center"/>
              <w:rPr>
                <w:rFonts w:hint="eastAsia" w:ascii="宋体" w:hAnsi="宋体" w:eastAsia="宋体" w:cs="宋体"/>
                <w:color w:val="auto"/>
                <w:sz w:val="21"/>
                <w:szCs w:val="21"/>
                <w:highlight w:val="none"/>
              </w:rPr>
            </w:pPr>
          </w:p>
        </w:tc>
        <w:tc>
          <w:tcPr>
            <w:tcW w:w="1404" w:type="dxa"/>
            <w:vAlign w:val="center"/>
          </w:tcPr>
          <w:p w14:paraId="7B74B27D">
            <w:pPr>
              <w:pStyle w:val="51"/>
              <w:jc w:val="center"/>
              <w:rPr>
                <w:rFonts w:hint="eastAsia" w:ascii="宋体" w:hAnsi="宋体" w:eastAsia="宋体" w:cs="宋体"/>
                <w:color w:val="auto"/>
                <w:sz w:val="21"/>
                <w:szCs w:val="21"/>
                <w:highlight w:val="none"/>
              </w:rPr>
            </w:pPr>
          </w:p>
        </w:tc>
      </w:tr>
    </w:tbl>
    <w:p w14:paraId="79A3A009">
      <w:pPr>
        <w:rPr>
          <w:color w:val="auto"/>
          <w:highlight w:val="none"/>
        </w:rPr>
      </w:pPr>
    </w:p>
    <w:p w14:paraId="0EC696BC">
      <w:pPr>
        <w:rPr>
          <w:rFonts w:hint="eastAsia"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人员证书等</w:t>
      </w:r>
      <w:r>
        <w:rPr>
          <w:rFonts w:hint="eastAsia" w:cs="仿宋_GB2312"/>
          <w:color w:val="auto"/>
          <w:sz w:val="21"/>
          <w:szCs w:val="21"/>
          <w:highlight w:val="none"/>
        </w:rPr>
        <w:t>证明资料。</w:t>
      </w:r>
    </w:p>
    <w:p w14:paraId="7ED48309">
      <w:pPr>
        <w:rPr>
          <w:rFonts w:hint="eastAsia" w:cs="仿宋_GB2312"/>
          <w:color w:val="auto"/>
          <w:sz w:val="21"/>
          <w:szCs w:val="21"/>
          <w:highlight w:val="none"/>
        </w:rPr>
      </w:pPr>
      <w:r>
        <w:rPr>
          <w:rFonts w:hint="eastAsia" w:cs="仿宋_GB2312"/>
          <w:color w:val="auto"/>
          <w:sz w:val="21"/>
          <w:szCs w:val="21"/>
          <w:highlight w:val="none"/>
        </w:rPr>
        <w:br w:type="page"/>
      </w:r>
    </w:p>
    <w:p w14:paraId="037367DB">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default" w:eastAsia="宋体" w:asciiTheme="majorHAnsi" w:hAnsiTheme="majorHAnsi" w:cstheme="majorBidi"/>
          <w:b/>
          <w:bCs/>
          <w:color w:val="auto"/>
          <w:kern w:val="2"/>
          <w:sz w:val="32"/>
          <w:szCs w:val="32"/>
          <w:highlight w:val="none"/>
          <w:lang w:val="en-US" w:eastAsia="zh-CN" w:bidi="ar-SA"/>
        </w:rPr>
      </w:pPr>
      <w:bookmarkStart w:id="727" w:name="_Toc3490"/>
      <w:r>
        <w:rPr>
          <w:rFonts w:hint="eastAsia" w:cstheme="majorBidi"/>
          <w:b/>
          <w:bCs/>
          <w:color w:val="auto"/>
          <w:kern w:val="2"/>
          <w:sz w:val="32"/>
          <w:szCs w:val="32"/>
          <w:highlight w:val="none"/>
          <w:lang w:val="en-US" w:eastAsia="zh-CN" w:bidi="ar-SA"/>
        </w:rPr>
        <w:t>九</w:t>
      </w:r>
      <w:r>
        <w:rPr>
          <w:rFonts w:hint="eastAsia" w:eastAsia="宋体" w:asciiTheme="majorHAnsi" w:hAnsiTheme="majorHAnsi" w:cstheme="majorBidi"/>
          <w:b/>
          <w:bCs/>
          <w:color w:val="auto"/>
          <w:kern w:val="2"/>
          <w:sz w:val="32"/>
          <w:szCs w:val="32"/>
          <w:highlight w:val="none"/>
          <w:lang w:val="en-US" w:eastAsia="zh-CN" w:bidi="ar-SA"/>
        </w:rPr>
        <w:t>、拟</w:t>
      </w:r>
      <w:r>
        <w:rPr>
          <w:rFonts w:hint="eastAsia" w:cstheme="majorBidi"/>
          <w:b/>
          <w:bCs/>
          <w:color w:val="auto"/>
          <w:kern w:val="2"/>
          <w:sz w:val="32"/>
          <w:szCs w:val="32"/>
          <w:highlight w:val="none"/>
          <w:lang w:val="en-US" w:eastAsia="zh-CN" w:bidi="ar-SA"/>
        </w:rPr>
        <w:t>投入主要设备表</w:t>
      </w:r>
      <w:bookmarkEnd w:id="727"/>
    </w:p>
    <w:tbl>
      <w:tblPr>
        <w:tblStyle w:val="31"/>
        <w:tblW w:w="9218" w:type="dxa"/>
        <w:tblInd w:w="-42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4"/>
        <w:gridCol w:w="1860"/>
        <w:gridCol w:w="1431"/>
        <w:gridCol w:w="1736"/>
        <w:gridCol w:w="1394"/>
        <w:gridCol w:w="1953"/>
      </w:tblGrid>
      <w:tr w14:paraId="43F8D0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773" w:hRule="atLeast"/>
        </w:trPr>
        <w:tc>
          <w:tcPr>
            <w:tcW w:w="844" w:type="dxa"/>
            <w:vAlign w:val="center"/>
          </w:tcPr>
          <w:p w14:paraId="6F7F0625">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860" w:type="dxa"/>
            <w:vAlign w:val="center"/>
          </w:tcPr>
          <w:p w14:paraId="33F3F12A">
            <w:pPr>
              <w:pStyle w:val="51"/>
              <w:jc w:val="center"/>
              <w:rPr>
                <w:rFonts w:hint="default" w:ascii="宋体" w:hAnsi="宋体" w:eastAsia="宋体" w:cs="宋体"/>
                <w:color w:val="auto"/>
                <w:sz w:val="21"/>
                <w:szCs w:val="21"/>
                <w:highlight w:val="none"/>
                <w:lang w:val="en-US"/>
              </w:rPr>
            </w:pPr>
            <w:r>
              <w:rPr>
                <w:rFonts w:hint="eastAsia" w:cs="宋体"/>
                <w:color w:val="auto"/>
                <w:sz w:val="21"/>
                <w:szCs w:val="21"/>
                <w:highlight w:val="none"/>
                <w:lang w:val="en-US" w:eastAsia="zh-CN"/>
              </w:rPr>
              <w:t>设备名称</w:t>
            </w:r>
          </w:p>
        </w:tc>
        <w:tc>
          <w:tcPr>
            <w:tcW w:w="1431" w:type="dxa"/>
            <w:tcBorders>
              <w:left w:val="single" w:color="auto" w:sz="4" w:space="0"/>
            </w:tcBorders>
            <w:vAlign w:val="center"/>
          </w:tcPr>
          <w:p w14:paraId="55DC12C0">
            <w:pPr>
              <w:pStyle w:val="51"/>
              <w:jc w:val="center"/>
              <w:rPr>
                <w:rFonts w:hint="default" w:cs="宋体"/>
                <w:color w:val="auto"/>
                <w:sz w:val="21"/>
                <w:szCs w:val="21"/>
                <w:highlight w:val="none"/>
                <w:lang w:val="en-US" w:eastAsia="zh-CN"/>
              </w:rPr>
            </w:pPr>
            <w:r>
              <w:rPr>
                <w:rFonts w:hint="eastAsia" w:cs="宋体"/>
                <w:color w:val="auto"/>
                <w:sz w:val="21"/>
                <w:szCs w:val="21"/>
                <w:highlight w:val="none"/>
                <w:lang w:val="en-US" w:eastAsia="zh-CN"/>
              </w:rPr>
              <w:t>用途</w:t>
            </w:r>
          </w:p>
        </w:tc>
        <w:tc>
          <w:tcPr>
            <w:tcW w:w="1736" w:type="dxa"/>
            <w:tcBorders>
              <w:left w:val="single" w:color="auto" w:sz="4" w:space="0"/>
            </w:tcBorders>
            <w:vAlign w:val="center"/>
          </w:tcPr>
          <w:p w14:paraId="0B8C7367">
            <w:pPr>
              <w:pStyle w:val="51"/>
              <w:jc w:val="center"/>
              <w:rPr>
                <w:rFonts w:hint="default" w:ascii="宋体" w:hAnsi="宋体" w:eastAsia="宋体" w:cs="宋体"/>
                <w:color w:val="auto"/>
                <w:sz w:val="21"/>
                <w:szCs w:val="21"/>
                <w:highlight w:val="none"/>
                <w:lang w:val="en-US"/>
              </w:rPr>
            </w:pPr>
            <w:r>
              <w:rPr>
                <w:rFonts w:hint="eastAsia" w:cs="宋体"/>
                <w:color w:val="auto"/>
                <w:sz w:val="21"/>
                <w:szCs w:val="21"/>
                <w:highlight w:val="none"/>
                <w:lang w:val="en-US" w:eastAsia="zh-CN"/>
              </w:rPr>
              <w:t>规格型号</w:t>
            </w:r>
          </w:p>
        </w:tc>
        <w:tc>
          <w:tcPr>
            <w:tcW w:w="1394" w:type="dxa"/>
            <w:tcBorders>
              <w:left w:val="single" w:color="auto" w:sz="4" w:space="0"/>
            </w:tcBorders>
            <w:vAlign w:val="center"/>
          </w:tcPr>
          <w:p w14:paraId="4AAE7BEA">
            <w:pPr>
              <w:pStyle w:val="51"/>
              <w:jc w:val="center"/>
              <w:rPr>
                <w:rFonts w:hint="eastAsia"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数量</w:t>
            </w:r>
          </w:p>
        </w:tc>
        <w:tc>
          <w:tcPr>
            <w:tcW w:w="1953" w:type="dxa"/>
            <w:vAlign w:val="center"/>
          </w:tcPr>
          <w:p w14:paraId="7B9C6145">
            <w:pPr>
              <w:pStyle w:val="51"/>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证明资料名称及编号（如有）</w:t>
            </w:r>
          </w:p>
        </w:tc>
      </w:tr>
      <w:tr w14:paraId="3A6E1E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28D295B7">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860" w:type="dxa"/>
            <w:vAlign w:val="center"/>
          </w:tcPr>
          <w:p w14:paraId="5F8D2F9D">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58193314">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5D5E77D0">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4185FFEC">
            <w:pPr>
              <w:pStyle w:val="51"/>
              <w:jc w:val="center"/>
              <w:rPr>
                <w:rFonts w:hint="eastAsia" w:ascii="宋体" w:hAnsi="宋体" w:eastAsia="宋体" w:cs="宋体"/>
                <w:color w:val="auto"/>
                <w:sz w:val="21"/>
                <w:szCs w:val="21"/>
                <w:highlight w:val="none"/>
              </w:rPr>
            </w:pPr>
          </w:p>
        </w:tc>
        <w:tc>
          <w:tcPr>
            <w:tcW w:w="1953" w:type="dxa"/>
            <w:vAlign w:val="center"/>
          </w:tcPr>
          <w:p w14:paraId="49264397">
            <w:pPr>
              <w:pStyle w:val="51"/>
              <w:jc w:val="center"/>
              <w:rPr>
                <w:rFonts w:hint="eastAsia" w:ascii="宋体" w:hAnsi="宋体" w:eastAsia="宋体" w:cs="宋体"/>
                <w:color w:val="auto"/>
                <w:sz w:val="21"/>
                <w:szCs w:val="21"/>
                <w:highlight w:val="none"/>
              </w:rPr>
            </w:pPr>
          </w:p>
        </w:tc>
      </w:tr>
      <w:tr w14:paraId="140A95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651B4372">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860" w:type="dxa"/>
            <w:vAlign w:val="center"/>
          </w:tcPr>
          <w:p w14:paraId="5AFFD321">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337B5BF2">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0F4622CA">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2BC9404B">
            <w:pPr>
              <w:pStyle w:val="51"/>
              <w:jc w:val="center"/>
              <w:rPr>
                <w:rFonts w:hint="eastAsia" w:ascii="宋体" w:hAnsi="宋体" w:eastAsia="宋体" w:cs="宋体"/>
                <w:color w:val="auto"/>
                <w:sz w:val="21"/>
                <w:szCs w:val="21"/>
                <w:highlight w:val="none"/>
              </w:rPr>
            </w:pPr>
          </w:p>
        </w:tc>
        <w:tc>
          <w:tcPr>
            <w:tcW w:w="1953" w:type="dxa"/>
            <w:vAlign w:val="center"/>
          </w:tcPr>
          <w:p w14:paraId="1BDAD588">
            <w:pPr>
              <w:pStyle w:val="51"/>
              <w:jc w:val="center"/>
              <w:rPr>
                <w:rFonts w:hint="eastAsia" w:ascii="宋体" w:hAnsi="宋体" w:eastAsia="宋体" w:cs="宋体"/>
                <w:color w:val="auto"/>
                <w:sz w:val="21"/>
                <w:szCs w:val="21"/>
                <w:highlight w:val="none"/>
              </w:rPr>
            </w:pPr>
          </w:p>
        </w:tc>
      </w:tr>
      <w:tr w14:paraId="0DBA4B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6483A49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3</w:t>
            </w:r>
          </w:p>
        </w:tc>
        <w:tc>
          <w:tcPr>
            <w:tcW w:w="1860" w:type="dxa"/>
            <w:vAlign w:val="center"/>
          </w:tcPr>
          <w:p w14:paraId="6A2B3FC3">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7D02F0F1">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361438C9">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5DF5C4FF">
            <w:pPr>
              <w:pStyle w:val="51"/>
              <w:jc w:val="center"/>
              <w:rPr>
                <w:rFonts w:hint="eastAsia" w:ascii="宋体" w:hAnsi="宋体" w:eastAsia="宋体" w:cs="宋体"/>
                <w:color w:val="auto"/>
                <w:sz w:val="21"/>
                <w:szCs w:val="21"/>
                <w:highlight w:val="none"/>
              </w:rPr>
            </w:pPr>
          </w:p>
        </w:tc>
        <w:tc>
          <w:tcPr>
            <w:tcW w:w="1953" w:type="dxa"/>
            <w:vAlign w:val="center"/>
          </w:tcPr>
          <w:p w14:paraId="315572AF">
            <w:pPr>
              <w:pStyle w:val="51"/>
              <w:jc w:val="center"/>
              <w:rPr>
                <w:rFonts w:hint="eastAsia" w:ascii="宋体" w:hAnsi="宋体" w:eastAsia="宋体" w:cs="宋体"/>
                <w:color w:val="auto"/>
                <w:sz w:val="21"/>
                <w:szCs w:val="21"/>
                <w:highlight w:val="none"/>
              </w:rPr>
            </w:pPr>
          </w:p>
        </w:tc>
      </w:tr>
      <w:tr w14:paraId="20EC38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187371B3">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4</w:t>
            </w:r>
          </w:p>
        </w:tc>
        <w:tc>
          <w:tcPr>
            <w:tcW w:w="1860" w:type="dxa"/>
            <w:vAlign w:val="center"/>
          </w:tcPr>
          <w:p w14:paraId="4A587E04">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3F4F4C0D">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524F4DD5">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56D4DFDA">
            <w:pPr>
              <w:pStyle w:val="51"/>
              <w:jc w:val="center"/>
              <w:rPr>
                <w:rFonts w:hint="eastAsia" w:ascii="宋体" w:hAnsi="宋体" w:eastAsia="宋体" w:cs="宋体"/>
                <w:color w:val="auto"/>
                <w:sz w:val="21"/>
                <w:szCs w:val="21"/>
                <w:highlight w:val="none"/>
              </w:rPr>
            </w:pPr>
          </w:p>
        </w:tc>
        <w:tc>
          <w:tcPr>
            <w:tcW w:w="1953" w:type="dxa"/>
            <w:vAlign w:val="center"/>
          </w:tcPr>
          <w:p w14:paraId="6304F8BF">
            <w:pPr>
              <w:pStyle w:val="51"/>
              <w:jc w:val="center"/>
              <w:rPr>
                <w:rFonts w:hint="eastAsia" w:ascii="宋体" w:hAnsi="宋体" w:eastAsia="宋体" w:cs="宋体"/>
                <w:color w:val="auto"/>
                <w:sz w:val="21"/>
                <w:szCs w:val="21"/>
                <w:highlight w:val="none"/>
              </w:rPr>
            </w:pPr>
          </w:p>
        </w:tc>
      </w:tr>
      <w:tr w14:paraId="57A771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3759210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5</w:t>
            </w:r>
          </w:p>
        </w:tc>
        <w:tc>
          <w:tcPr>
            <w:tcW w:w="1860" w:type="dxa"/>
            <w:vAlign w:val="center"/>
          </w:tcPr>
          <w:p w14:paraId="58D31BAA">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0678A27A">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574BCC33">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63B0372B">
            <w:pPr>
              <w:pStyle w:val="51"/>
              <w:jc w:val="center"/>
              <w:rPr>
                <w:rFonts w:hint="eastAsia" w:ascii="宋体" w:hAnsi="宋体" w:eastAsia="宋体" w:cs="宋体"/>
                <w:color w:val="auto"/>
                <w:sz w:val="21"/>
                <w:szCs w:val="21"/>
                <w:highlight w:val="none"/>
              </w:rPr>
            </w:pPr>
          </w:p>
        </w:tc>
        <w:tc>
          <w:tcPr>
            <w:tcW w:w="1953" w:type="dxa"/>
            <w:vAlign w:val="center"/>
          </w:tcPr>
          <w:p w14:paraId="657C79D8">
            <w:pPr>
              <w:pStyle w:val="51"/>
              <w:jc w:val="center"/>
              <w:rPr>
                <w:rFonts w:hint="eastAsia" w:ascii="宋体" w:hAnsi="宋体" w:eastAsia="宋体" w:cs="宋体"/>
                <w:color w:val="auto"/>
                <w:sz w:val="21"/>
                <w:szCs w:val="21"/>
                <w:highlight w:val="none"/>
              </w:rPr>
            </w:pPr>
          </w:p>
        </w:tc>
      </w:tr>
      <w:tr w14:paraId="3CB40C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1633EA4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6</w:t>
            </w:r>
          </w:p>
        </w:tc>
        <w:tc>
          <w:tcPr>
            <w:tcW w:w="1860" w:type="dxa"/>
            <w:vAlign w:val="center"/>
          </w:tcPr>
          <w:p w14:paraId="528B4D69">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5D4DBAAE">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5850B7CD">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1F5DB29C">
            <w:pPr>
              <w:pStyle w:val="51"/>
              <w:jc w:val="center"/>
              <w:rPr>
                <w:rFonts w:hint="eastAsia" w:ascii="宋体" w:hAnsi="宋体" w:eastAsia="宋体" w:cs="宋体"/>
                <w:color w:val="auto"/>
                <w:sz w:val="21"/>
                <w:szCs w:val="21"/>
                <w:highlight w:val="none"/>
              </w:rPr>
            </w:pPr>
          </w:p>
        </w:tc>
        <w:tc>
          <w:tcPr>
            <w:tcW w:w="1953" w:type="dxa"/>
            <w:vAlign w:val="center"/>
          </w:tcPr>
          <w:p w14:paraId="090C4D2B">
            <w:pPr>
              <w:pStyle w:val="51"/>
              <w:jc w:val="center"/>
              <w:rPr>
                <w:rFonts w:hint="eastAsia" w:ascii="宋体" w:hAnsi="宋体" w:eastAsia="宋体" w:cs="宋体"/>
                <w:color w:val="auto"/>
                <w:sz w:val="21"/>
                <w:szCs w:val="21"/>
                <w:highlight w:val="none"/>
              </w:rPr>
            </w:pPr>
          </w:p>
        </w:tc>
      </w:tr>
      <w:tr w14:paraId="0F0FB0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13CBAB59">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w:t>
            </w:r>
          </w:p>
        </w:tc>
        <w:tc>
          <w:tcPr>
            <w:tcW w:w="1860" w:type="dxa"/>
            <w:vAlign w:val="center"/>
          </w:tcPr>
          <w:p w14:paraId="7E90E101">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58FB6827">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5D585527">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6E735CF8">
            <w:pPr>
              <w:pStyle w:val="51"/>
              <w:jc w:val="center"/>
              <w:rPr>
                <w:rFonts w:hint="eastAsia" w:ascii="宋体" w:hAnsi="宋体" w:eastAsia="宋体" w:cs="宋体"/>
                <w:color w:val="auto"/>
                <w:sz w:val="21"/>
                <w:szCs w:val="21"/>
                <w:highlight w:val="none"/>
              </w:rPr>
            </w:pPr>
          </w:p>
        </w:tc>
        <w:tc>
          <w:tcPr>
            <w:tcW w:w="1953" w:type="dxa"/>
            <w:vAlign w:val="center"/>
          </w:tcPr>
          <w:p w14:paraId="67120FD1">
            <w:pPr>
              <w:pStyle w:val="51"/>
              <w:jc w:val="center"/>
              <w:rPr>
                <w:rFonts w:hint="eastAsia" w:ascii="宋体" w:hAnsi="宋体" w:eastAsia="宋体" w:cs="宋体"/>
                <w:color w:val="auto"/>
                <w:sz w:val="21"/>
                <w:szCs w:val="21"/>
                <w:highlight w:val="none"/>
              </w:rPr>
            </w:pPr>
          </w:p>
        </w:tc>
      </w:tr>
      <w:tr w14:paraId="1164F1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78A2C418">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8</w:t>
            </w:r>
          </w:p>
        </w:tc>
        <w:tc>
          <w:tcPr>
            <w:tcW w:w="1860" w:type="dxa"/>
            <w:vAlign w:val="center"/>
          </w:tcPr>
          <w:p w14:paraId="49356AA7">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6DFB579D">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3C0A93B4">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08334C69">
            <w:pPr>
              <w:pStyle w:val="51"/>
              <w:jc w:val="center"/>
              <w:rPr>
                <w:rFonts w:hint="eastAsia" w:ascii="宋体" w:hAnsi="宋体" w:eastAsia="宋体" w:cs="宋体"/>
                <w:color w:val="auto"/>
                <w:sz w:val="21"/>
                <w:szCs w:val="21"/>
                <w:highlight w:val="none"/>
              </w:rPr>
            </w:pPr>
          </w:p>
        </w:tc>
        <w:tc>
          <w:tcPr>
            <w:tcW w:w="1953" w:type="dxa"/>
            <w:vAlign w:val="center"/>
          </w:tcPr>
          <w:p w14:paraId="6AD064BA">
            <w:pPr>
              <w:pStyle w:val="51"/>
              <w:jc w:val="center"/>
              <w:rPr>
                <w:rFonts w:hint="eastAsia" w:ascii="宋体" w:hAnsi="宋体" w:eastAsia="宋体" w:cs="宋体"/>
                <w:color w:val="auto"/>
                <w:sz w:val="21"/>
                <w:szCs w:val="21"/>
                <w:highlight w:val="none"/>
              </w:rPr>
            </w:pPr>
          </w:p>
        </w:tc>
      </w:tr>
      <w:tr w14:paraId="64FDE8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05" w:hRule="atLeast"/>
        </w:trPr>
        <w:tc>
          <w:tcPr>
            <w:tcW w:w="844" w:type="dxa"/>
            <w:vAlign w:val="center"/>
          </w:tcPr>
          <w:p w14:paraId="43081B26">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9</w:t>
            </w:r>
          </w:p>
        </w:tc>
        <w:tc>
          <w:tcPr>
            <w:tcW w:w="1860" w:type="dxa"/>
            <w:vAlign w:val="center"/>
          </w:tcPr>
          <w:p w14:paraId="233FF5C6">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723FAF12">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63FD32E3">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684C3292">
            <w:pPr>
              <w:pStyle w:val="51"/>
              <w:jc w:val="center"/>
              <w:rPr>
                <w:rFonts w:hint="eastAsia" w:ascii="宋体" w:hAnsi="宋体" w:eastAsia="宋体" w:cs="宋体"/>
                <w:color w:val="auto"/>
                <w:sz w:val="21"/>
                <w:szCs w:val="21"/>
                <w:highlight w:val="none"/>
              </w:rPr>
            </w:pPr>
          </w:p>
        </w:tc>
        <w:tc>
          <w:tcPr>
            <w:tcW w:w="1953" w:type="dxa"/>
            <w:vAlign w:val="center"/>
          </w:tcPr>
          <w:p w14:paraId="5120A042">
            <w:pPr>
              <w:pStyle w:val="51"/>
              <w:jc w:val="center"/>
              <w:rPr>
                <w:rFonts w:hint="eastAsia" w:ascii="宋体" w:hAnsi="宋体" w:eastAsia="宋体" w:cs="宋体"/>
                <w:color w:val="auto"/>
                <w:sz w:val="21"/>
                <w:szCs w:val="21"/>
                <w:highlight w:val="none"/>
              </w:rPr>
            </w:pPr>
          </w:p>
        </w:tc>
      </w:tr>
      <w:tr w14:paraId="5785F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7" w:hRule="atLeast"/>
        </w:trPr>
        <w:tc>
          <w:tcPr>
            <w:tcW w:w="844" w:type="dxa"/>
            <w:vAlign w:val="center"/>
          </w:tcPr>
          <w:p w14:paraId="7D1857C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10</w:t>
            </w:r>
          </w:p>
        </w:tc>
        <w:tc>
          <w:tcPr>
            <w:tcW w:w="1860" w:type="dxa"/>
            <w:vAlign w:val="center"/>
          </w:tcPr>
          <w:p w14:paraId="7FF893D2">
            <w:pPr>
              <w:pStyle w:val="51"/>
              <w:jc w:val="center"/>
              <w:rPr>
                <w:rFonts w:hint="eastAsia" w:ascii="宋体" w:hAnsi="宋体" w:eastAsia="宋体" w:cs="宋体"/>
                <w:color w:val="auto"/>
                <w:sz w:val="21"/>
                <w:szCs w:val="21"/>
                <w:highlight w:val="none"/>
              </w:rPr>
            </w:pPr>
          </w:p>
        </w:tc>
        <w:tc>
          <w:tcPr>
            <w:tcW w:w="1431" w:type="dxa"/>
            <w:tcBorders>
              <w:left w:val="single" w:color="auto" w:sz="4" w:space="0"/>
            </w:tcBorders>
            <w:vAlign w:val="center"/>
          </w:tcPr>
          <w:p w14:paraId="6BFFBF97">
            <w:pPr>
              <w:pStyle w:val="51"/>
              <w:jc w:val="center"/>
              <w:rPr>
                <w:rFonts w:hint="eastAsia" w:ascii="宋体" w:hAnsi="宋体" w:eastAsia="宋体" w:cs="宋体"/>
                <w:color w:val="auto"/>
                <w:sz w:val="21"/>
                <w:szCs w:val="21"/>
                <w:highlight w:val="none"/>
              </w:rPr>
            </w:pPr>
          </w:p>
        </w:tc>
        <w:tc>
          <w:tcPr>
            <w:tcW w:w="1736" w:type="dxa"/>
            <w:tcBorders>
              <w:left w:val="single" w:color="auto" w:sz="4" w:space="0"/>
            </w:tcBorders>
            <w:vAlign w:val="center"/>
          </w:tcPr>
          <w:p w14:paraId="1F477D23">
            <w:pPr>
              <w:pStyle w:val="51"/>
              <w:jc w:val="center"/>
              <w:rPr>
                <w:rFonts w:hint="eastAsia" w:ascii="宋体" w:hAnsi="宋体" w:eastAsia="宋体" w:cs="宋体"/>
                <w:color w:val="auto"/>
                <w:sz w:val="21"/>
                <w:szCs w:val="21"/>
                <w:highlight w:val="none"/>
              </w:rPr>
            </w:pPr>
          </w:p>
        </w:tc>
        <w:tc>
          <w:tcPr>
            <w:tcW w:w="1394" w:type="dxa"/>
            <w:tcBorders>
              <w:left w:val="single" w:color="auto" w:sz="4" w:space="0"/>
            </w:tcBorders>
            <w:vAlign w:val="center"/>
          </w:tcPr>
          <w:p w14:paraId="11484EA1">
            <w:pPr>
              <w:pStyle w:val="51"/>
              <w:jc w:val="center"/>
              <w:rPr>
                <w:rFonts w:hint="eastAsia" w:ascii="宋体" w:hAnsi="宋体" w:eastAsia="宋体" w:cs="宋体"/>
                <w:color w:val="auto"/>
                <w:sz w:val="21"/>
                <w:szCs w:val="21"/>
                <w:highlight w:val="none"/>
              </w:rPr>
            </w:pPr>
          </w:p>
        </w:tc>
        <w:tc>
          <w:tcPr>
            <w:tcW w:w="1953" w:type="dxa"/>
            <w:vAlign w:val="center"/>
          </w:tcPr>
          <w:p w14:paraId="35D5EEFD">
            <w:pPr>
              <w:pStyle w:val="51"/>
              <w:jc w:val="center"/>
              <w:rPr>
                <w:rFonts w:hint="eastAsia" w:ascii="宋体" w:hAnsi="宋体" w:eastAsia="宋体" w:cs="宋体"/>
                <w:color w:val="auto"/>
                <w:sz w:val="21"/>
                <w:szCs w:val="21"/>
                <w:highlight w:val="none"/>
              </w:rPr>
            </w:pPr>
          </w:p>
        </w:tc>
      </w:tr>
    </w:tbl>
    <w:p w14:paraId="761B9CA8">
      <w:pPr>
        <w:rPr>
          <w:color w:val="auto"/>
          <w:highlight w:val="none"/>
        </w:rPr>
      </w:pPr>
    </w:p>
    <w:p w14:paraId="5AB7075C">
      <w:pPr>
        <w:rPr>
          <w:rFonts w:cs="仿宋_GB2312"/>
          <w:color w:val="auto"/>
          <w:sz w:val="21"/>
          <w:szCs w:val="21"/>
          <w:highlight w:val="none"/>
        </w:rPr>
      </w:pPr>
      <w:r>
        <w:rPr>
          <w:rFonts w:hint="eastAsia" w:cs="仿宋_GB2312"/>
          <w:color w:val="auto"/>
          <w:sz w:val="21"/>
          <w:szCs w:val="21"/>
          <w:highlight w:val="none"/>
        </w:rPr>
        <w:t>注：投标人须按</w:t>
      </w:r>
      <w:r>
        <w:rPr>
          <w:rFonts w:hint="eastAsia" w:cs="仿宋_GB2312"/>
          <w:color w:val="auto"/>
          <w:sz w:val="21"/>
          <w:szCs w:val="21"/>
          <w:highlight w:val="none"/>
          <w:lang w:val="en-US" w:eastAsia="zh-CN"/>
        </w:rPr>
        <w:t>相关要求</w:t>
      </w:r>
      <w:r>
        <w:rPr>
          <w:rFonts w:hint="eastAsia" w:cs="仿宋_GB2312"/>
          <w:color w:val="auto"/>
          <w:sz w:val="21"/>
          <w:szCs w:val="21"/>
          <w:highlight w:val="none"/>
        </w:rPr>
        <w:t>提供相应的</w:t>
      </w:r>
      <w:r>
        <w:rPr>
          <w:rFonts w:hint="eastAsia" w:cs="仿宋_GB2312"/>
          <w:color w:val="auto"/>
          <w:sz w:val="21"/>
          <w:szCs w:val="21"/>
          <w:highlight w:val="none"/>
          <w:lang w:val="en-US" w:eastAsia="zh-CN"/>
        </w:rPr>
        <w:t>设备</w:t>
      </w:r>
      <w:r>
        <w:rPr>
          <w:rFonts w:hint="eastAsia" w:cs="仿宋_GB2312"/>
          <w:color w:val="auto"/>
          <w:sz w:val="21"/>
          <w:szCs w:val="21"/>
          <w:highlight w:val="none"/>
        </w:rPr>
        <w:t>证明资料。</w:t>
      </w:r>
    </w:p>
    <w:p w14:paraId="767DC29C">
      <w:pPr>
        <w:pStyle w:val="23"/>
        <w:rPr>
          <w:color w:val="auto"/>
          <w:highlight w:val="none"/>
        </w:rPr>
      </w:pPr>
    </w:p>
    <w:p w14:paraId="51ED7B0D">
      <w:pPr>
        <w:rPr>
          <w:color w:val="auto"/>
          <w:highlight w:val="none"/>
        </w:rPr>
      </w:pPr>
      <w:r>
        <w:rPr>
          <w:color w:val="auto"/>
          <w:highlight w:val="none"/>
        </w:rPr>
        <w:br w:type="page"/>
      </w:r>
    </w:p>
    <w:p w14:paraId="1358285E">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728" w:name="_Toc13380"/>
      <w:r>
        <w:rPr>
          <w:rFonts w:hint="eastAsia" w:cstheme="majorBidi"/>
          <w:b/>
          <w:bCs/>
          <w:color w:val="auto"/>
          <w:kern w:val="2"/>
          <w:sz w:val="32"/>
          <w:szCs w:val="32"/>
          <w:highlight w:val="none"/>
          <w:lang w:val="en-US" w:eastAsia="zh-CN" w:bidi="ar-SA"/>
        </w:rPr>
        <w:t>十</w:t>
      </w:r>
      <w:r>
        <w:rPr>
          <w:rFonts w:hint="eastAsia" w:eastAsia="宋体" w:asciiTheme="majorHAnsi" w:hAnsiTheme="majorHAnsi" w:cstheme="majorBidi"/>
          <w:b/>
          <w:bCs/>
          <w:color w:val="auto"/>
          <w:kern w:val="2"/>
          <w:sz w:val="32"/>
          <w:szCs w:val="32"/>
          <w:highlight w:val="none"/>
          <w:lang w:val="en-US" w:eastAsia="zh-CN" w:bidi="ar-SA"/>
        </w:rPr>
        <w:t>、技术响应偏离表</w:t>
      </w:r>
      <w:bookmarkEnd w:id="728"/>
    </w:p>
    <w:p w14:paraId="7EE50E6A">
      <w:pPr>
        <w:rPr>
          <w:rFonts w:cs="仿宋_GB2312"/>
          <w:color w:val="auto"/>
          <w:szCs w:val="24"/>
          <w:highlight w:val="none"/>
        </w:rPr>
      </w:pPr>
      <w:r>
        <w:rPr>
          <w:rFonts w:hint="eastAsia" w:cs="仿宋_GB2312"/>
          <w:color w:val="auto"/>
          <w:szCs w:val="24"/>
          <w:highlight w:val="none"/>
        </w:rPr>
        <w:t xml:space="preserve">项目名称：                                         </w:t>
      </w:r>
    </w:p>
    <w:p w14:paraId="3BECE8B1">
      <w:pPr>
        <w:rPr>
          <w:rFonts w:cs="仿宋_GB2312"/>
          <w:color w:val="auto"/>
          <w:szCs w:val="24"/>
          <w:highlight w:val="none"/>
        </w:rPr>
      </w:pPr>
      <w:r>
        <w:rPr>
          <w:rFonts w:hint="eastAsia" w:cs="仿宋_GB2312"/>
          <w:color w:val="auto"/>
          <w:szCs w:val="24"/>
          <w:highlight w:val="none"/>
        </w:rPr>
        <w:t xml:space="preserve">项目编号：         </w:t>
      </w:r>
    </w:p>
    <w:tbl>
      <w:tblPr>
        <w:tblStyle w:val="31"/>
        <w:tblW w:w="491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9"/>
        <w:gridCol w:w="2684"/>
        <w:gridCol w:w="2389"/>
        <w:gridCol w:w="2931"/>
      </w:tblGrid>
      <w:tr w14:paraId="764463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25" w:type="pct"/>
            <w:vAlign w:val="center"/>
          </w:tcPr>
          <w:p w14:paraId="0FCCCEAC">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1500" w:type="pct"/>
            <w:vAlign w:val="center"/>
          </w:tcPr>
          <w:p w14:paraId="71DD4B6D">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招标文件技术要求条款</w:t>
            </w:r>
          </w:p>
        </w:tc>
        <w:tc>
          <w:tcPr>
            <w:tcW w:w="1335" w:type="pct"/>
            <w:vAlign w:val="center"/>
          </w:tcPr>
          <w:p w14:paraId="1F49E79F">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投标文件的响应内容</w:t>
            </w:r>
          </w:p>
        </w:tc>
        <w:tc>
          <w:tcPr>
            <w:tcW w:w="1638" w:type="pct"/>
            <w:vAlign w:val="center"/>
          </w:tcPr>
          <w:p w14:paraId="3F1EB795">
            <w:pPr>
              <w:pStyle w:val="51"/>
              <w:jc w:val="center"/>
              <w:rPr>
                <w:rFonts w:hint="default" w:ascii="宋体" w:hAnsi="宋体" w:eastAsia="宋体" w:cs="宋体"/>
                <w:color w:val="auto"/>
                <w:sz w:val="21"/>
                <w:szCs w:val="21"/>
                <w:highlight w:val="none"/>
                <w:lang w:val="en-US" w:eastAsia="zh-CN"/>
              </w:rPr>
            </w:pPr>
            <w:r>
              <w:rPr>
                <w:rFonts w:hint="eastAsia" w:cs="宋体"/>
                <w:color w:val="auto"/>
                <w:sz w:val="21"/>
                <w:szCs w:val="21"/>
                <w:highlight w:val="none"/>
                <w:lang w:val="en-US" w:eastAsia="zh-CN"/>
              </w:rPr>
              <w:t>偏离说明</w:t>
            </w:r>
          </w:p>
        </w:tc>
      </w:tr>
      <w:tr w14:paraId="7F921B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25" w:type="pct"/>
            <w:vAlign w:val="center"/>
          </w:tcPr>
          <w:p w14:paraId="1390C611">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w:t>
            </w:r>
          </w:p>
        </w:tc>
        <w:tc>
          <w:tcPr>
            <w:tcW w:w="1500" w:type="pct"/>
            <w:vAlign w:val="center"/>
          </w:tcPr>
          <w:p w14:paraId="23DD6440">
            <w:pPr>
              <w:pStyle w:val="51"/>
              <w:jc w:val="center"/>
              <w:rPr>
                <w:rFonts w:hint="eastAsia" w:ascii="宋体" w:hAnsi="宋体" w:eastAsia="宋体" w:cs="宋体"/>
                <w:color w:val="auto"/>
                <w:sz w:val="21"/>
                <w:szCs w:val="21"/>
                <w:highlight w:val="none"/>
              </w:rPr>
            </w:pPr>
          </w:p>
        </w:tc>
        <w:tc>
          <w:tcPr>
            <w:tcW w:w="1335" w:type="pct"/>
            <w:vAlign w:val="center"/>
          </w:tcPr>
          <w:p w14:paraId="24669278">
            <w:pPr>
              <w:pStyle w:val="51"/>
              <w:jc w:val="center"/>
              <w:rPr>
                <w:rFonts w:hint="eastAsia" w:ascii="宋体" w:hAnsi="宋体" w:eastAsia="宋体" w:cs="宋体"/>
                <w:color w:val="auto"/>
                <w:sz w:val="21"/>
                <w:szCs w:val="21"/>
                <w:highlight w:val="none"/>
              </w:rPr>
            </w:pPr>
          </w:p>
        </w:tc>
        <w:tc>
          <w:tcPr>
            <w:tcW w:w="1638" w:type="pct"/>
            <w:vAlign w:val="center"/>
          </w:tcPr>
          <w:p w14:paraId="5C5A608D">
            <w:pPr>
              <w:pStyle w:val="51"/>
              <w:jc w:val="center"/>
              <w:rPr>
                <w:rFonts w:hint="eastAsia" w:ascii="宋体" w:hAnsi="宋体" w:eastAsia="宋体" w:cs="宋体"/>
                <w:color w:val="auto"/>
                <w:sz w:val="21"/>
                <w:szCs w:val="21"/>
                <w:highlight w:val="none"/>
              </w:rPr>
            </w:pPr>
          </w:p>
        </w:tc>
      </w:tr>
      <w:tr w14:paraId="16FF8C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525" w:type="pct"/>
            <w:vAlign w:val="center"/>
          </w:tcPr>
          <w:p w14:paraId="681E1A24">
            <w:pPr>
              <w:pStyle w:val="51"/>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2</w:t>
            </w:r>
          </w:p>
        </w:tc>
        <w:tc>
          <w:tcPr>
            <w:tcW w:w="1500" w:type="pct"/>
            <w:vAlign w:val="center"/>
          </w:tcPr>
          <w:p w14:paraId="1B1CC670">
            <w:pPr>
              <w:pStyle w:val="51"/>
              <w:jc w:val="center"/>
              <w:rPr>
                <w:rFonts w:hint="eastAsia" w:ascii="宋体" w:hAnsi="宋体" w:eastAsia="宋体" w:cs="宋体"/>
                <w:color w:val="auto"/>
                <w:sz w:val="21"/>
                <w:szCs w:val="21"/>
                <w:highlight w:val="none"/>
              </w:rPr>
            </w:pPr>
          </w:p>
        </w:tc>
        <w:tc>
          <w:tcPr>
            <w:tcW w:w="1335" w:type="pct"/>
            <w:vAlign w:val="center"/>
          </w:tcPr>
          <w:p w14:paraId="3CDA8454">
            <w:pPr>
              <w:pStyle w:val="51"/>
              <w:jc w:val="center"/>
              <w:rPr>
                <w:rFonts w:hint="eastAsia" w:ascii="宋体" w:hAnsi="宋体" w:eastAsia="宋体" w:cs="宋体"/>
                <w:color w:val="auto"/>
                <w:sz w:val="21"/>
                <w:szCs w:val="21"/>
                <w:highlight w:val="none"/>
              </w:rPr>
            </w:pPr>
          </w:p>
        </w:tc>
        <w:tc>
          <w:tcPr>
            <w:tcW w:w="1638" w:type="pct"/>
            <w:vAlign w:val="center"/>
          </w:tcPr>
          <w:p w14:paraId="17532297">
            <w:pPr>
              <w:pStyle w:val="51"/>
              <w:jc w:val="center"/>
              <w:rPr>
                <w:rFonts w:hint="eastAsia" w:ascii="宋体" w:hAnsi="宋体" w:eastAsia="宋体" w:cs="宋体"/>
                <w:color w:val="auto"/>
                <w:sz w:val="21"/>
                <w:szCs w:val="21"/>
                <w:highlight w:val="none"/>
              </w:rPr>
            </w:pPr>
          </w:p>
        </w:tc>
      </w:tr>
      <w:tr w14:paraId="33466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5" w:type="pct"/>
            <w:vAlign w:val="center"/>
          </w:tcPr>
          <w:p w14:paraId="4CADFE13">
            <w:pPr>
              <w:pStyle w:val="51"/>
              <w:jc w:val="center"/>
              <w:rPr>
                <w:rFonts w:hint="eastAsia" w:ascii="宋体" w:hAnsi="宋体" w:eastAsia="宋体" w:cs="宋体"/>
                <w:color w:val="auto"/>
                <w:sz w:val="21"/>
                <w:szCs w:val="21"/>
                <w:highlight w:val="none"/>
              </w:rPr>
            </w:pPr>
          </w:p>
        </w:tc>
        <w:tc>
          <w:tcPr>
            <w:tcW w:w="1500" w:type="pct"/>
            <w:vAlign w:val="center"/>
          </w:tcPr>
          <w:p w14:paraId="7EAC22E8">
            <w:pPr>
              <w:pStyle w:val="51"/>
              <w:jc w:val="center"/>
              <w:rPr>
                <w:rFonts w:hint="eastAsia" w:ascii="宋体" w:hAnsi="宋体" w:eastAsia="宋体" w:cs="宋体"/>
                <w:color w:val="auto"/>
                <w:sz w:val="21"/>
                <w:szCs w:val="21"/>
                <w:highlight w:val="none"/>
              </w:rPr>
            </w:pPr>
          </w:p>
        </w:tc>
        <w:tc>
          <w:tcPr>
            <w:tcW w:w="1335" w:type="pct"/>
            <w:vAlign w:val="center"/>
          </w:tcPr>
          <w:p w14:paraId="1261D841">
            <w:pPr>
              <w:pStyle w:val="51"/>
              <w:jc w:val="center"/>
              <w:rPr>
                <w:rFonts w:hint="eastAsia" w:ascii="宋体" w:hAnsi="宋体" w:eastAsia="宋体" w:cs="宋体"/>
                <w:color w:val="auto"/>
                <w:sz w:val="21"/>
                <w:szCs w:val="21"/>
                <w:highlight w:val="none"/>
              </w:rPr>
            </w:pPr>
          </w:p>
        </w:tc>
        <w:tc>
          <w:tcPr>
            <w:tcW w:w="1638" w:type="pct"/>
            <w:vAlign w:val="center"/>
          </w:tcPr>
          <w:p w14:paraId="21AB0CEA">
            <w:pPr>
              <w:pStyle w:val="51"/>
              <w:jc w:val="center"/>
              <w:rPr>
                <w:rFonts w:hint="eastAsia" w:ascii="宋体" w:hAnsi="宋体" w:eastAsia="宋体" w:cs="宋体"/>
                <w:color w:val="auto"/>
                <w:sz w:val="21"/>
                <w:szCs w:val="21"/>
                <w:highlight w:val="none"/>
              </w:rPr>
            </w:pPr>
          </w:p>
        </w:tc>
      </w:tr>
      <w:tr w14:paraId="547EF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5" w:type="pct"/>
            <w:vAlign w:val="center"/>
          </w:tcPr>
          <w:p w14:paraId="2615990F">
            <w:pPr>
              <w:pStyle w:val="51"/>
              <w:jc w:val="center"/>
              <w:rPr>
                <w:rFonts w:hint="eastAsia" w:ascii="宋体" w:hAnsi="宋体" w:eastAsia="宋体" w:cs="宋体"/>
                <w:color w:val="auto"/>
                <w:sz w:val="21"/>
                <w:szCs w:val="21"/>
                <w:highlight w:val="none"/>
              </w:rPr>
            </w:pPr>
          </w:p>
        </w:tc>
        <w:tc>
          <w:tcPr>
            <w:tcW w:w="1500" w:type="pct"/>
            <w:vAlign w:val="center"/>
          </w:tcPr>
          <w:p w14:paraId="4EFDD3F7">
            <w:pPr>
              <w:pStyle w:val="51"/>
              <w:jc w:val="center"/>
              <w:rPr>
                <w:rFonts w:hint="eastAsia" w:ascii="宋体" w:hAnsi="宋体" w:eastAsia="宋体" w:cs="宋体"/>
                <w:color w:val="auto"/>
                <w:sz w:val="21"/>
                <w:szCs w:val="21"/>
                <w:highlight w:val="none"/>
              </w:rPr>
            </w:pPr>
          </w:p>
        </w:tc>
        <w:tc>
          <w:tcPr>
            <w:tcW w:w="1335" w:type="pct"/>
            <w:vAlign w:val="center"/>
          </w:tcPr>
          <w:p w14:paraId="6F3FE338">
            <w:pPr>
              <w:pStyle w:val="51"/>
              <w:jc w:val="center"/>
              <w:rPr>
                <w:rFonts w:hint="eastAsia" w:ascii="宋体" w:hAnsi="宋体" w:eastAsia="宋体" w:cs="宋体"/>
                <w:color w:val="auto"/>
                <w:sz w:val="21"/>
                <w:szCs w:val="21"/>
                <w:highlight w:val="none"/>
              </w:rPr>
            </w:pPr>
          </w:p>
        </w:tc>
        <w:tc>
          <w:tcPr>
            <w:tcW w:w="1638" w:type="pct"/>
            <w:vAlign w:val="center"/>
          </w:tcPr>
          <w:p w14:paraId="1DE7F15C">
            <w:pPr>
              <w:pStyle w:val="51"/>
              <w:jc w:val="center"/>
              <w:rPr>
                <w:rFonts w:hint="eastAsia" w:ascii="宋体" w:hAnsi="宋体" w:eastAsia="宋体" w:cs="宋体"/>
                <w:color w:val="auto"/>
                <w:sz w:val="21"/>
                <w:szCs w:val="21"/>
                <w:highlight w:val="none"/>
              </w:rPr>
            </w:pPr>
          </w:p>
        </w:tc>
      </w:tr>
      <w:tr w14:paraId="054E57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5" w:type="pct"/>
            <w:vAlign w:val="center"/>
          </w:tcPr>
          <w:p w14:paraId="21914A14">
            <w:pPr>
              <w:pStyle w:val="51"/>
              <w:jc w:val="center"/>
              <w:rPr>
                <w:rFonts w:hint="eastAsia" w:ascii="宋体" w:hAnsi="宋体" w:eastAsia="宋体" w:cs="宋体"/>
                <w:color w:val="auto"/>
                <w:sz w:val="21"/>
                <w:szCs w:val="21"/>
                <w:highlight w:val="none"/>
              </w:rPr>
            </w:pPr>
          </w:p>
        </w:tc>
        <w:tc>
          <w:tcPr>
            <w:tcW w:w="1500" w:type="pct"/>
            <w:vAlign w:val="center"/>
          </w:tcPr>
          <w:p w14:paraId="01FAF6FF">
            <w:pPr>
              <w:pStyle w:val="51"/>
              <w:jc w:val="center"/>
              <w:rPr>
                <w:rFonts w:hint="eastAsia" w:ascii="宋体" w:hAnsi="宋体" w:eastAsia="宋体" w:cs="宋体"/>
                <w:color w:val="auto"/>
                <w:sz w:val="21"/>
                <w:szCs w:val="21"/>
                <w:highlight w:val="none"/>
              </w:rPr>
            </w:pPr>
          </w:p>
        </w:tc>
        <w:tc>
          <w:tcPr>
            <w:tcW w:w="1335" w:type="pct"/>
            <w:vAlign w:val="center"/>
          </w:tcPr>
          <w:p w14:paraId="7C7F56A7">
            <w:pPr>
              <w:pStyle w:val="51"/>
              <w:jc w:val="center"/>
              <w:rPr>
                <w:rFonts w:hint="eastAsia" w:ascii="宋体" w:hAnsi="宋体" w:eastAsia="宋体" w:cs="宋体"/>
                <w:color w:val="auto"/>
                <w:sz w:val="21"/>
                <w:szCs w:val="21"/>
                <w:highlight w:val="none"/>
              </w:rPr>
            </w:pPr>
          </w:p>
        </w:tc>
        <w:tc>
          <w:tcPr>
            <w:tcW w:w="1638" w:type="pct"/>
            <w:vAlign w:val="center"/>
          </w:tcPr>
          <w:p w14:paraId="611127F1">
            <w:pPr>
              <w:pStyle w:val="51"/>
              <w:jc w:val="center"/>
              <w:rPr>
                <w:rFonts w:hint="eastAsia" w:ascii="宋体" w:hAnsi="宋体" w:eastAsia="宋体" w:cs="宋体"/>
                <w:color w:val="auto"/>
                <w:sz w:val="21"/>
                <w:szCs w:val="21"/>
                <w:highlight w:val="none"/>
              </w:rPr>
            </w:pPr>
          </w:p>
        </w:tc>
      </w:tr>
      <w:tr w14:paraId="6E8D3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5" w:type="pct"/>
            <w:vAlign w:val="center"/>
          </w:tcPr>
          <w:p w14:paraId="30C5ED4E">
            <w:pPr>
              <w:pStyle w:val="51"/>
              <w:jc w:val="center"/>
              <w:rPr>
                <w:rFonts w:hint="eastAsia" w:ascii="宋体" w:hAnsi="宋体" w:eastAsia="宋体" w:cs="宋体"/>
                <w:color w:val="auto"/>
                <w:sz w:val="21"/>
                <w:szCs w:val="21"/>
                <w:highlight w:val="none"/>
              </w:rPr>
            </w:pPr>
          </w:p>
        </w:tc>
        <w:tc>
          <w:tcPr>
            <w:tcW w:w="1500" w:type="pct"/>
            <w:vAlign w:val="center"/>
          </w:tcPr>
          <w:p w14:paraId="5C4DD07B">
            <w:pPr>
              <w:pStyle w:val="51"/>
              <w:jc w:val="center"/>
              <w:rPr>
                <w:rFonts w:hint="eastAsia" w:ascii="宋体" w:hAnsi="宋体" w:eastAsia="宋体" w:cs="宋体"/>
                <w:color w:val="auto"/>
                <w:sz w:val="21"/>
                <w:szCs w:val="21"/>
                <w:highlight w:val="none"/>
              </w:rPr>
            </w:pPr>
          </w:p>
        </w:tc>
        <w:tc>
          <w:tcPr>
            <w:tcW w:w="1335" w:type="pct"/>
            <w:vAlign w:val="center"/>
          </w:tcPr>
          <w:p w14:paraId="26683DD4">
            <w:pPr>
              <w:pStyle w:val="51"/>
              <w:jc w:val="center"/>
              <w:rPr>
                <w:rFonts w:hint="eastAsia" w:ascii="宋体" w:hAnsi="宋体" w:eastAsia="宋体" w:cs="宋体"/>
                <w:color w:val="auto"/>
                <w:sz w:val="21"/>
                <w:szCs w:val="21"/>
                <w:highlight w:val="none"/>
              </w:rPr>
            </w:pPr>
          </w:p>
        </w:tc>
        <w:tc>
          <w:tcPr>
            <w:tcW w:w="1638" w:type="pct"/>
            <w:vAlign w:val="center"/>
          </w:tcPr>
          <w:p w14:paraId="4D8C3BA1">
            <w:pPr>
              <w:pStyle w:val="51"/>
              <w:jc w:val="center"/>
              <w:rPr>
                <w:rFonts w:hint="eastAsia" w:ascii="宋体" w:hAnsi="宋体" w:eastAsia="宋体" w:cs="宋体"/>
                <w:color w:val="auto"/>
                <w:sz w:val="21"/>
                <w:szCs w:val="21"/>
                <w:highlight w:val="none"/>
              </w:rPr>
            </w:pPr>
          </w:p>
        </w:tc>
      </w:tr>
      <w:tr w14:paraId="2B100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5" w:type="pct"/>
            <w:vAlign w:val="center"/>
          </w:tcPr>
          <w:p w14:paraId="0EE038ED">
            <w:pPr>
              <w:pStyle w:val="51"/>
              <w:jc w:val="center"/>
              <w:rPr>
                <w:rFonts w:hint="eastAsia" w:ascii="宋体" w:hAnsi="宋体" w:eastAsia="宋体" w:cs="宋体"/>
                <w:color w:val="auto"/>
                <w:sz w:val="21"/>
                <w:szCs w:val="21"/>
                <w:highlight w:val="none"/>
              </w:rPr>
            </w:pPr>
          </w:p>
        </w:tc>
        <w:tc>
          <w:tcPr>
            <w:tcW w:w="1500" w:type="pct"/>
            <w:vAlign w:val="center"/>
          </w:tcPr>
          <w:p w14:paraId="1568BE63">
            <w:pPr>
              <w:pStyle w:val="51"/>
              <w:jc w:val="center"/>
              <w:rPr>
                <w:rFonts w:hint="eastAsia" w:ascii="宋体" w:hAnsi="宋体" w:eastAsia="宋体" w:cs="宋体"/>
                <w:color w:val="auto"/>
                <w:sz w:val="21"/>
                <w:szCs w:val="21"/>
                <w:highlight w:val="none"/>
              </w:rPr>
            </w:pPr>
          </w:p>
        </w:tc>
        <w:tc>
          <w:tcPr>
            <w:tcW w:w="1335" w:type="pct"/>
            <w:vAlign w:val="center"/>
          </w:tcPr>
          <w:p w14:paraId="73EB38B3">
            <w:pPr>
              <w:pStyle w:val="51"/>
              <w:jc w:val="center"/>
              <w:rPr>
                <w:rFonts w:hint="eastAsia" w:ascii="宋体" w:hAnsi="宋体" w:eastAsia="宋体" w:cs="宋体"/>
                <w:color w:val="auto"/>
                <w:sz w:val="21"/>
                <w:szCs w:val="21"/>
                <w:highlight w:val="none"/>
              </w:rPr>
            </w:pPr>
          </w:p>
        </w:tc>
        <w:tc>
          <w:tcPr>
            <w:tcW w:w="1638" w:type="pct"/>
            <w:vAlign w:val="center"/>
          </w:tcPr>
          <w:p w14:paraId="75F9A705">
            <w:pPr>
              <w:pStyle w:val="51"/>
              <w:jc w:val="center"/>
              <w:rPr>
                <w:rFonts w:hint="eastAsia" w:ascii="宋体" w:hAnsi="宋体" w:eastAsia="宋体" w:cs="宋体"/>
                <w:color w:val="auto"/>
                <w:sz w:val="21"/>
                <w:szCs w:val="21"/>
                <w:highlight w:val="none"/>
              </w:rPr>
            </w:pPr>
          </w:p>
        </w:tc>
      </w:tr>
      <w:tr w14:paraId="5B46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5" w:type="pct"/>
            <w:vAlign w:val="center"/>
          </w:tcPr>
          <w:p w14:paraId="7A9FD9CF">
            <w:pPr>
              <w:pStyle w:val="51"/>
              <w:jc w:val="center"/>
              <w:rPr>
                <w:rFonts w:hint="eastAsia" w:ascii="宋体" w:hAnsi="宋体" w:eastAsia="宋体" w:cs="宋体"/>
                <w:color w:val="auto"/>
                <w:sz w:val="21"/>
                <w:szCs w:val="21"/>
                <w:highlight w:val="none"/>
              </w:rPr>
            </w:pPr>
          </w:p>
        </w:tc>
        <w:tc>
          <w:tcPr>
            <w:tcW w:w="1500" w:type="pct"/>
            <w:vAlign w:val="center"/>
          </w:tcPr>
          <w:p w14:paraId="3873E5B8">
            <w:pPr>
              <w:pStyle w:val="51"/>
              <w:jc w:val="center"/>
              <w:rPr>
                <w:rFonts w:hint="eastAsia" w:ascii="宋体" w:hAnsi="宋体" w:eastAsia="宋体" w:cs="宋体"/>
                <w:color w:val="auto"/>
                <w:sz w:val="21"/>
                <w:szCs w:val="21"/>
                <w:highlight w:val="none"/>
              </w:rPr>
            </w:pPr>
          </w:p>
        </w:tc>
        <w:tc>
          <w:tcPr>
            <w:tcW w:w="1335" w:type="pct"/>
            <w:vAlign w:val="center"/>
          </w:tcPr>
          <w:p w14:paraId="4BFC552A">
            <w:pPr>
              <w:pStyle w:val="51"/>
              <w:jc w:val="center"/>
              <w:rPr>
                <w:rFonts w:hint="eastAsia" w:ascii="宋体" w:hAnsi="宋体" w:eastAsia="宋体" w:cs="宋体"/>
                <w:color w:val="auto"/>
                <w:sz w:val="21"/>
                <w:szCs w:val="21"/>
                <w:highlight w:val="none"/>
              </w:rPr>
            </w:pPr>
          </w:p>
        </w:tc>
        <w:tc>
          <w:tcPr>
            <w:tcW w:w="1638" w:type="pct"/>
            <w:vAlign w:val="center"/>
          </w:tcPr>
          <w:p w14:paraId="6752E62F">
            <w:pPr>
              <w:pStyle w:val="51"/>
              <w:jc w:val="center"/>
              <w:rPr>
                <w:rFonts w:hint="eastAsia" w:ascii="宋体" w:hAnsi="宋体" w:eastAsia="宋体" w:cs="宋体"/>
                <w:color w:val="auto"/>
                <w:sz w:val="21"/>
                <w:szCs w:val="21"/>
                <w:highlight w:val="none"/>
              </w:rPr>
            </w:pPr>
          </w:p>
        </w:tc>
      </w:tr>
      <w:tr w14:paraId="1A2AA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5" w:type="pct"/>
            <w:vAlign w:val="center"/>
          </w:tcPr>
          <w:p w14:paraId="45F4BFC8">
            <w:pPr>
              <w:pStyle w:val="51"/>
              <w:jc w:val="center"/>
              <w:rPr>
                <w:rFonts w:hint="eastAsia" w:ascii="宋体" w:hAnsi="宋体" w:eastAsia="宋体" w:cs="宋体"/>
                <w:color w:val="auto"/>
                <w:sz w:val="21"/>
                <w:szCs w:val="21"/>
                <w:highlight w:val="none"/>
              </w:rPr>
            </w:pPr>
          </w:p>
        </w:tc>
        <w:tc>
          <w:tcPr>
            <w:tcW w:w="1500" w:type="pct"/>
            <w:vAlign w:val="center"/>
          </w:tcPr>
          <w:p w14:paraId="63890973">
            <w:pPr>
              <w:pStyle w:val="51"/>
              <w:jc w:val="center"/>
              <w:rPr>
                <w:rFonts w:hint="eastAsia" w:ascii="宋体" w:hAnsi="宋体" w:eastAsia="宋体" w:cs="宋体"/>
                <w:color w:val="auto"/>
                <w:sz w:val="21"/>
                <w:szCs w:val="21"/>
                <w:highlight w:val="none"/>
              </w:rPr>
            </w:pPr>
          </w:p>
        </w:tc>
        <w:tc>
          <w:tcPr>
            <w:tcW w:w="1335" w:type="pct"/>
            <w:vAlign w:val="center"/>
          </w:tcPr>
          <w:p w14:paraId="09F5DB10">
            <w:pPr>
              <w:pStyle w:val="51"/>
              <w:jc w:val="center"/>
              <w:rPr>
                <w:rFonts w:hint="eastAsia" w:ascii="宋体" w:hAnsi="宋体" w:eastAsia="宋体" w:cs="宋体"/>
                <w:color w:val="auto"/>
                <w:sz w:val="21"/>
                <w:szCs w:val="21"/>
                <w:highlight w:val="none"/>
              </w:rPr>
            </w:pPr>
          </w:p>
        </w:tc>
        <w:tc>
          <w:tcPr>
            <w:tcW w:w="1638" w:type="pct"/>
            <w:vAlign w:val="center"/>
          </w:tcPr>
          <w:p w14:paraId="59B50D42">
            <w:pPr>
              <w:pStyle w:val="51"/>
              <w:jc w:val="center"/>
              <w:rPr>
                <w:rFonts w:hint="eastAsia" w:ascii="宋体" w:hAnsi="宋体" w:eastAsia="宋体" w:cs="宋体"/>
                <w:color w:val="auto"/>
                <w:sz w:val="21"/>
                <w:szCs w:val="21"/>
                <w:highlight w:val="none"/>
              </w:rPr>
            </w:pPr>
          </w:p>
        </w:tc>
      </w:tr>
      <w:tr w14:paraId="361F6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525" w:type="pct"/>
            <w:vAlign w:val="center"/>
          </w:tcPr>
          <w:p w14:paraId="1F51D1EA">
            <w:pPr>
              <w:pStyle w:val="51"/>
              <w:jc w:val="center"/>
              <w:rPr>
                <w:rFonts w:hint="eastAsia" w:ascii="宋体" w:hAnsi="宋体" w:eastAsia="宋体" w:cs="宋体"/>
                <w:color w:val="auto"/>
                <w:sz w:val="21"/>
                <w:szCs w:val="21"/>
                <w:highlight w:val="none"/>
              </w:rPr>
            </w:pPr>
          </w:p>
        </w:tc>
        <w:tc>
          <w:tcPr>
            <w:tcW w:w="1500" w:type="pct"/>
            <w:vAlign w:val="center"/>
          </w:tcPr>
          <w:p w14:paraId="1204324D">
            <w:pPr>
              <w:pStyle w:val="51"/>
              <w:jc w:val="center"/>
              <w:rPr>
                <w:rFonts w:hint="eastAsia" w:ascii="宋体" w:hAnsi="宋体" w:eastAsia="宋体" w:cs="宋体"/>
                <w:color w:val="auto"/>
                <w:sz w:val="21"/>
                <w:szCs w:val="21"/>
                <w:highlight w:val="none"/>
              </w:rPr>
            </w:pPr>
          </w:p>
        </w:tc>
        <w:tc>
          <w:tcPr>
            <w:tcW w:w="1335" w:type="pct"/>
            <w:vAlign w:val="center"/>
          </w:tcPr>
          <w:p w14:paraId="36FD0F55">
            <w:pPr>
              <w:pStyle w:val="51"/>
              <w:jc w:val="center"/>
              <w:rPr>
                <w:rFonts w:hint="eastAsia" w:ascii="宋体" w:hAnsi="宋体" w:eastAsia="宋体" w:cs="宋体"/>
                <w:color w:val="auto"/>
                <w:sz w:val="21"/>
                <w:szCs w:val="21"/>
                <w:highlight w:val="none"/>
              </w:rPr>
            </w:pPr>
          </w:p>
        </w:tc>
        <w:tc>
          <w:tcPr>
            <w:tcW w:w="1638" w:type="pct"/>
            <w:vAlign w:val="center"/>
          </w:tcPr>
          <w:p w14:paraId="6D3AA7E1">
            <w:pPr>
              <w:pStyle w:val="51"/>
              <w:jc w:val="center"/>
              <w:rPr>
                <w:rFonts w:hint="eastAsia" w:ascii="宋体" w:hAnsi="宋体" w:eastAsia="宋体" w:cs="宋体"/>
                <w:color w:val="auto"/>
                <w:sz w:val="21"/>
                <w:szCs w:val="21"/>
                <w:highlight w:val="none"/>
              </w:rPr>
            </w:pPr>
          </w:p>
        </w:tc>
      </w:tr>
    </w:tbl>
    <w:p w14:paraId="7A96DC4C">
      <w:pPr>
        <w:ind w:firstLine="420" w:firstLineChars="200"/>
        <w:rPr>
          <w:rFonts w:hint="eastAsia" w:cs="仿宋_GB2312"/>
          <w:color w:val="auto"/>
          <w:sz w:val="21"/>
          <w:szCs w:val="21"/>
          <w:highlight w:val="none"/>
        </w:rPr>
      </w:pPr>
    </w:p>
    <w:p w14:paraId="4366A341">
      <w:pPr>
        <w:rPr>
          <w:rFonts w:hint="eastAsia" w:cs="仿宋_GB2312"/>
          <w:color w:val="auto"/>
          <w:sz w:val="21"/>
          <w:szCs w:val="21"/>
          <w:highlight w:val="none"/>
        </w:rPr>
      </w:pPr>
      <w:r>
        <w:rPr>
          <w:rFonts w:hint="eastAsia" w:cs="仿宋_GB2312"/>
          <w:color w:val="auto"/>
          <w:sz w:val="21"/>
          <w:szCs w:val="21"/>
          <w:highlight w:val="none"/>
        </w:rPr>
        <w:t>说明：1、有偏离的</w:t>
      </w:r>
      <w:r>
        <w:rPr>
          <w:rFonts w:hint="eastAsia" w:cs="仿宋_GB2312"/>
          <w:color w:val="auto"/>
          <w:sz w:val="21"/>
          <w:szCs w:val="21"/>
          <w:highlight w:val="none"/>
          <w:lang w:val="en-US" w:eastAsia="zh-CN"/>
        </w:rPr>
        <w:t>技术</w:t>
      </w:r>
      <w:r>
        <w:rPr>
          <w:rFonts w:hint="eastAsia" w:cs="仿宋_GB2312"/>
          <w:color w:val="auto"/>
          <w:sz w:val="21"/>
          <w:szCs w:val="21"/>
          <w:highlight w:val="none"/>
        </w:rPr>
        <w:t>条款须在该表中逐一列明，并在在“偏离说明”中说明偏离具体情形。若</w:t>
      </w:r>
      <w:r>
        <w:rPr>
          <w:rFonts w:hint="eastAsia" w:cs="仿宋_GB2312"/>
          <w:color w:val="auto"/>
          <w:sz w:val="21"/>
          <w:szCs w:val="21"/>
          <w:highlight w:val="none"/>
          <w:lang w:val="en-US" w:eastAsia="zh-CN"/>
        </w:rPr>
        <w:t>无</w:t>
      </w:r>
      <w:r>
        <w:rPr>
          <w:rFonts w:hint="eastAsia" w:cs="仿宋_GB2312"/>
          <w:color w:val="auto"/>
          <w:sz w:val="21"/>
          <w:szCs w:val="21"/>
          <w:highlight w:val="none"/>
        </w:rPr>
        <w:t>偏离请在“偏离说明”中填写“无偏离”。</w:t>
      </w:r>
    </w:p>
    <w:p w14:paraId="5F80B86D">
      <w:pPr>
        <w:rPr>
          <w:rFonts w:hint="eastAsia" w:cs="仿宋_GB2312"/>
          <w:color w:val="auto"/>
          <w:sz w:val="21"/>
          <w:szCs w:val="21"/>
          <w:highlight w:val="none"/>
        </w:rPr>
      </w:pPr>
      <w:r>
        <w:rPr>
          <w:rFonts w:hint="eastAsia" w:cs="仿宋_GB2312"/>
          <w:color w:val="auto"/>
          <w:sz w:val="21"/>
          <w:szCs w:val="21"/>
          <w:highlight w:val="none"/>
        </w:rPr>
        <w:t>2、未声明部分将被视为已接受</w:t>
      </w:r>
      <w:r>
        <w:rPr>
          <w:rFonts w:hint="eastAsia" w:cs="仿宋_GB2312"/>
          <w:color w:val="auto"/>
          <w:sz w:val="21"/>
          <w:szCs w:val="21"/>
          <w:highlight w:val="none"/>
          <w:lang w:val="en-US" w:eastAsia="zh-CN"/>
        </w:rPr>
        <w:t>招标</w:t>
      </w:r>
      <w:r>
        <w:rPr>
          <w:rFonts w:hint="eastAsia" w:cs="仿宋_GB2312"/>
          <w:color w:val="auto"/>
          <w:sz w:val="21"/>
          <w:szCs w:val="21"/>
          <w:highlight w:val="none"/>
        </w:rPr>
        <w:t>文件要求，签约时未经采购方同意不得改变。</w:t>
      </w:r>
    </w:p>
    <w:p w14:paraId="25906E47">
      <w:pPr>
        <w:rPr>
          <w:rFonts w:hint="eastAsia" w:eastAsia="宋体" w:cs="仿宋_GB2312"/>
          <w:color w:val="auto"/>
          <w:sz w:val="21"/>
          <w:szCs w:val="21"/>
          <w:highlight w:val="none"/>
          <w:lang w:eastAsia="zh-CN"/>
        </w:rPr>
      </w:pPr>
      <w:r>
        <w:rPr>
          <w:rFonts w:hint="eastAsia" w:cs="仿宋_GB2312"/>
          <w:color w:val="auto"/>
          <w:sz w:val="21"/>
          <w:szCs w:val="21"/>
          <w:highlight w:val="none"/>
        </w:rPr>
        <w:t>3、供应商可根据其响应内容进一步细化上述表格，并可增添其它表格或说明以便进一步明确响应内容</w:t>
      </w:r>
      <w:r>
        <w:rPr>
          <w:rFonts w:hint="eastAsia" w:cs="仿宋_GB2312"/>
          <w:color w:val="auto"/>
          <w:sz w:val="21"/>
          <w:szCs w:val="21"/>
          <w:highlight w:val="none"/>
          <w:lang w:eastAsia="zh-CN"/>
        </w:rPr>
        <w:t>。</w:t>
      </w:r>
    </w:p>
    <w:p w14:paraId="307E9E09">
      <w:pPr>
        <w:ind w:firstLine="480" w:firstLineChars="200"/>
        <w:rPr>
          <w:rFonts w:hint="eastAsia" w:cs="仿宋_GB2312"/>
          <w:color w:val="auto"/>
          <w:szCs w:val="24"/>
          <w:highlight w:val="none"/>
        </w:rPr>
      </w:pPr>
    </w:p>
    <w:p w14:paraId="53059121">
      <w:pPr>
        <w:ind w:firstLine="480" w:firstLineChars="200"/>
        <w:rPr>
          <w:rFonts w:cs="仿宋_GB2312"/>
          <w:color w:val="auto"/>
          <w:szCs w:val="24"/>
          <w:highlight w:val="none"/>
        </w:rPr>
      </w:pPr>
      <w:r>
        <w:rPr>
          <w:rFonts w:hint="eastAsia" w:cs="仿宋_GB2312"/>
          <w:color w:val="auto"/>
          <w:szCs w:val="24"/>
          <w:highlight w:val="none"/>
        </w:rPr>
        <w:t>投标人名称</w:t>
      </w:r>
      <w:r>
        <w:rPr>
          <w:rFonts w:hint="eastAsia" w:cs="仿宋_GB2312"/>
          <w:color w:val="auto"/>
          <w:szCs w:val="24"/>
          <w:highlight w:val="none"/>
          <w:lang w:eastAsia="zh-CN"/>
        </w:rPr>
        <w:t>（</w:t>
      </w:r>
      <w:r>
        <w:rPr>
          <w:rFonts w:hint="eastAsia" w:cs="宋体"/>
          <w:color w:val="auto"/>
          <w:kern w:val="0"/>
          <w:sz w:val="24"/>
          <w:szCs w:val="24"/>
          <w:highlight w:val="none"/>
          <w:lang w:val="en-US" w:eastAsia="zh-CN"/>
        </w:rPr>
        <w:t>公</w:t>
      </w:r>
      <w:r>
        <w:rPr>
          <w:rFonts w:hint="eastAsia" w:ascii="宋体" w:hAnsi="宋体" w:eastAsia="宋体" w:cs="宋体"/>
          <w:color w:val="auto"/>
          <w:kern w:val="0"/>
          <w:sz w:val="24"/>
          <w:szCs w:val="24"/>
          <w:highlight w:val="none"/>
          <w:lang w:eastAsia="zh-CN"/>
        </w:rPr>
        <w:t>章</w:t>
      </w:r>
      <w:r>
        <w:rPr>
          <w:rFonts w:hint="eastAsia" w:ascii="宋体" w:hAnsi="宋体" w:cs="宋体"/>
          <w:color w:val="auto"/>
          <w:kern w:val="0"/>
          <w:sz w:val="24"/>
          <w:highlight w:val="none"/>
          <w:lang w:val="zh-CN"/>
        </w:rPr>
        <w:t>)</w:t>
      </w:r>
      <w:r>
        <w:rPr>
          <w:rFonts w:hint="eastAsia" w:cs="仿宋_GB2312"/>
          <w:color w:val="auto"/>
          <w:szCs w:val="24"/>
          <w:highlight w:val="none"/>
        </w:rPr>
        <w:t>：</w:t>
      </w:r>
    </w:p>
    <w:p w14:paraId="27EF6D84">
      <w:pPr>
        <w:ind w:firstLine="420"/>
        <w:rPr>
          <w:rFonts w:cs="仿宋_GB2312"/>
          <w:color w:val="auto"/>
          <w:szCs w:val="24"/>
          <w:highlight w:val="none"/>
        </w:rPr>
      </w:pPr>
      <w:r>
        <w:rPr>
          <w:rFonts w:hint="eastAsia" w:cs="仿宋_GB2312"/>
          <w:color w:val="auto"/>
          <w:szCs w:val="24"/>
          <w:highlight w:val="none"/>
        </w:rPr>
        <w:t>日      期：</w:t>
      </w:r>
    </w:p>
    <w:p w14:paraId="1685FB85">
      <w:pPr>
        <w:ind w:firstLine="420"/>
        <w:rPr>
          <w:rFonts w:cs="仿宋_GB2312"/>
          <w:color w:val="auto"/>
          <w:szCs w:val="24"/>
          <w:highlight w:val="none"/>
        </w:rPr>
      </w:pPr>
    </w:p>
    <w:p w14:paraId="3095974B">
      <w:pPr>
        <w:ind w:firstLine="420"/>
        <w:rPr>
          <w:rFonts w:cs="仿宋_GB2312"/>
          <w:color w:val="auto"/>
          <w:szCs w:val="24"/>
          <w:highlight w:val="none"/>
        </w:rPr>
      </w:pPr>
    </w:p>
    <w:p w14:paraId="49A1A5E5">
      <w:pPr>
        <w:ind w:firstLine="420"/>
        <w:rPr>
          <w:rFonts w:cs="仿宋_GB2312"/>
          <w:color w:val="auto"/>
          <w:szCs w:val="24"/>
          <w:highlight w:val="none"/>
        </w:rPr>
      </w:pPr>
      <w:r>
        <w:rPr>
          <w:rFonts w:cs="仿宋_GB2312"/>
          <w:color w:val="auto"/>
          <w:szCs w:val="24"/>
          <w:highlight w:val="none"/>
        </w:rPr>
        <w:br w:type="page"/>
      </w:r>
    </w:p>
    <w:p w14:paraId="06C98EB9">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729" w:name="_Toc11375"/>
      <w:r>
        <w:rPr>
          <w:rFonts w:hint="eastAsia" w:cstheme="majorBidi"/>
          <w:b/>
          <w:bCs/>
          <w:color w:val="auto"/>
          <w:kern w:val="2"/>
          <w:sz w:val="32"/>
          <w:szCs w:val="32"/>
          <w:highlight w:val="none"/>
          <w:lang w:val="en-US" w:eastAsia="zh-CN" w:bidi="ar-SA"/>
        </w:rPr>
        <w:t>十一</w:t>
      </w:r>
      <w:r>
        <w:rPr>
          <w:rFonts w:hint="eastAsia" w:eastAsia="宋体" w:asciiTheme="majorHAnsi" w:hAnsiTheme="majorHAnsi" w:cstheme="majorBidi"/>
          <w:b/>
          <w:bCs/>
          <w:color w:val="auto"/>
          <w:kern w:val="2"/>
          <w:sz w:val="32"/>
          <w:szCs w:val="32"/>
          <w:highlight w:val="none"/>
          <w:lang w:val="en-US" w:eastAsia="zh-CN" w:bidi="ar-SA"/>
        </w:rPr>
        <w:t>、技术方案</w:t>
      </w:r>
      <w:bookmarkEnd w:id="729"/>
    </w:p>
    <w:p w14:paraId="7078B366">
      <w:pPr>
        <w:pStyle w:val="39"/>
        <w:rPr>
          <w:rFonts w:hint="eastAsia"/>
          <w:color w:val="auto"/>
          <w:highlight w:val="none"/>
        </w:rPr>
      </w:pPr>
      <w:r>
        <w:rPr>
          <w:rFonts w:hint="eastAsia"/>
          <w:color w:val="auto"/>
          <w:highlight w:val="none"/>
        </w:rPr>
        <w:t>投标人应按照招标文件的要求，提供详细的服务方案，包括文字描述或图表显示。格式自拟。</w:t>
      </w:r>
    </w:p>
    <w:p w14:paraId="7EE77353">
      <w:pPr>
        <w:pStyle w:val="39"/>
        <w:rPr>
          <w:color w:val="auto"/>
          <w:highlight w:val="none"/>
        </w:rPr>
      </w:pPr>
      <w:r>
        <w:rPr>
          <w:color w:val="auto"/>
          <w:highlight w:val="none"/>
        </w:rPr>
        <w:br w:type="page"/>
      </w:r>
    </w:p>
    <w:p w14:paraId="01EB5657">
      <w:pPr>
        <w:ind w:firstLine="420"/>
        <w:rPr>
          <w:rFonts w:hint="eastAsia" w:cs="仿宋_GB2312"/>
          <w:color w:val="auto"/>
          <w:sz w:val="21"/>
          <w:szCs w:val="21"/>
          <w:highlight w:val="none"/>
          <w:lang w:val="en-US" w:eastAsia="zh-CN"/>
        </w:rPr>
      </w:pPr>
    </w:p>
    <w:p w14:paraId="3D755871">
      <w:pPr>
        <w:pStyle w:val="3"/>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eastAsia="宋体" w:asciiTheme="majorHAnsi" w:hAnsiTheme="majorHAnsi" w:cstheme="majorBidi"/>
          <w:b/>
          <w:bCs/>
          <w:color w:val="auto"/>
          <w:kern w:val="2"/>
          <w:sz w:val="32"/>
          <w:szCs w:val="32"/>
          <w:highlight w:val="none"/>
          <w:lang w:val="en-US" w:eastAsia="zh-CN" w:bidi="ar-SA"/>
        </w:rPr>
      </w:pPr>
      <w:bookmarkStart w:id="730" w:name="_Toc8999"/>
      <w:r>
        <w:rPr>
          <w:rFonts w:hint="eastAsia" w:eastAsia="宋体" w:asciiTheme="majorHAnsi" w:hAnsiTheme="majorHAnsi" w:cstheme="majorBidi"/>
          <w:b/>
          <w:bCs/>
          <w:color w:val="auto"/>
          <w:kern w:val="2"/>
          <w:sz w:val="32"/>
          <w:szCs w:val="32"/>
          <w:highlight w:val="none"/>
          <w:lang w:val="en-US" w:eastAsia="zh-CN" w:bidi="ar-SA"/>
        </w:rPr>
        <w:t>十</w:t>
      </w:r>
      <w:r>
        <w:rPr>
          <w:rFonts w:hint="eastAsia" w:cstheme="majorBidi"/>
          <w:b/>
          <w:bCs/>
          <w:color w:val="auto"/>
          <w:kern w:val="2"/>
          <w:sz w:val="32"/>
          <w:szCs w:val="32"/>
          <w:highlight w:val="none"/>
          <w:lang w:val="en-US" w:eastAsia="zh-CN" w:bidi="ar-SA"/>
        </w:rPr>
        <w:t>二</w:t>
      </w:r>
      <w:r>
        <w:rPr>
          <w:rFonts w:hint="eastAsia" w:eastAsia="宋体" w:asciiTheme="majorHAnsi" w:hAnsiTheme="majorHAnsi" w:cstheme="majorBidi"/>
          <w:b/>
          <w:bCs/>
          <w:color w:val="auto"/>
          <w:kern w:val="2"/>
          <w:sz w:val="32"/>
          <w:szCs w:val="32"/>
          <w:highlight w:val="none"/>
          <w:lang w:val="en-US" w:eastAsia="zh-CN" w:bidi="ar-SA"/>
        </w:rPr>
        <w:t>、其他文件</w:t>
      </w:r>
      <w:bookmarkEnd w:id="730"/>
    </w:p>
    <w:p w14:paraId="6EF40482">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一）</w:t>
      </w:r>
      <w:r>
        <w:rPr>
          <w:rFonts w:hint="eastAsia"/>
          <w:b/>
          <w:bCs/>
          <w:color w:val="auto"/>
          <w:sz w:val="24"/>
          <w:szCs w:val="24"/>
          <w:highlight w:val="none"/>
        </w:rPr>
        <w:t>招标文件要求提供的其它商务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技术资料和证明材料；</w:t>
      </w:r>
    </w:p>
    <w:p w14:paraId="45C8EB48">
      <w:pPr>
        <w:pStyle w:val="39"/>
        <w:ind w:left="0" w:leftChars="0" w:firstLine="0" w:firstLineChars="0"/>
        <w:rPr>
          <w:rFonts w:hint="eastAsia"/>
          <w:b/>
          <w:bCs/>
          <w:color w:val="auto"/>
          <w:sz w:val="21"/>
          <w:szCs w:val="21"/>
          <w:highlight w:val="none"/>
          <w:lang w:val="en-US" w:eastAsia="zh-CN"/>
        </w:rPr>
      </w:pPr>
      <w:r>
        <w:rPr>
          <w:rFonts w:hint="eastAsia"/>
          <w:b/>
          <w:bCs/>
          <w:color w:val="auto"/>
          <w:sz w:val="21"/>
          <w:szCs w:val="21"/>
          <w:highlight w:val="none"/>
          <w:lang w:val="en-US" w:eastAsia="zh-CN"/>
        </w:rPr>
        <w:t>1.保证金缴纳凭证</w:t>
      </w:r>
    </w:p>
    <w:p w14:paraId="08179365">
      <w:pPr>
        <w:pStyle w:val="5"/>
        <w:keepNext w:val="0"/>
        <w:keepLines w:val="0"/>
        <w:pageBreakBefore w:val="0"/>
        <w:widowControl w:val="0"/>
        <w:numPr>
          <w:ilvl w:val="0"/>
          <w:numId w:val="0"/>
        </w:numPr>
        <w:kinsoku/>
        <w:wordWrap/>
        <w:overflowPunct/>
        <w:topLinePunct w:val="0"/>
        <w:autoSpaceDE/>
        <w:autoSpaceDN/>
        <w:bidi w:val="0"/>
        <w:adjustRightInd/>
        <w:snapToGrid/>
        <w:spacing w:before="80" w:after="60" w:line="240" w:lineRule="auto"/>
        <w:ind w:left="420" w:leftChars="0" w:hanging="420" w:firstLineChars="0"/>
        <w:textAlignment w:val="auto"/>
        <w:rPr>
          <w:rFonts w:hint="default" w:ascii="宋体" w:hAnsi="宋体" w:eastAsia="宋体" w:cs="宋体"/>
          <w:b w:val="0"/>
          <w:bCs w:val="0"/>
          <w:color w:val="auto"/>
          <w:kern w:val="2"/>
          <w:sz w:val="21"/>
          <w:szCs w:val="21"/>
          <w:highlight w:val="none"/>
          <w:lang w:val="en-US" w:eastAsia="zh-CN" w:bidi="ar-SA"/>
        </w:rPr>
      </w:pPr>
      <w:bookmarkStart w:id="731" w:name="_Toc30467"/>
      <w:bookmarkStart w:id="732" w:name="_Toc18120"/>
      <w:bookmarkStart w:id="733" w:name="_Toc8496"/>
      <w:r>
        <w:rPr>
          <w:rFonts w:hint="eastAsia" w:ascii="宋体" w:hAnsi="宋体" w:cs="宋体"/>
          <w:b w:val="0"/>
          <w:bCs w:val="0"/>
          <w:color w:val="auto"/>
          <w:kern w:val="2"/>
          <w:sz w:val="21"/>
          <w:szCs w:val="21"/>
          <w:highlight w:val="none"/>
          <w:lang w:val="en-US" w:eastAsia="zh-CN" w:bidi="ar-SA"/>
        </w:rPr>
        <w:t>注：按招标文件第二章</w:t>
      </w:r>
      <w:r>
        <w:rPr>
          <w:rFonts w:hint="eastAsia" w:ascii="宋体" w:hAnsi="宋体" w:eastAsia="宋体" w:cs="宋体"/>
          <w:b w:val="0"/>
          <w:bCs w:val="0"/>
          <w:color w:val="auto"/>
          <w:kern w:val="2"/>
          <w:sz w:val="21"/>
          <w:szCs w:val="21"/>
          <w:highlight w:val="none"/>
          <w:lang w:val="en-US" w:eastAsia="zh-CN" w:bidi="ar-SA"/>
        </w:rPr>
        <w:t>17.投标保证金</w:t>
      </w:r>
      <w:r>
        <w:rPr>
          <w:rFonts w:hint="eastAsia" w:ascii="宋体" w:hAnsi="宋体" w:cs="宋体"/>
          <w:b w:val="0"/>
          <w:bCs w:val="0"/>
          <w:color w:val="auto"/>
          <w:kern w:val="2"/>
          <w:sz w:val="21"/>
          <w:szCs w:val="21"/>
          <w:highlight w:val="none"/>
          <w:lang w:val="en-US" w:eastAsia="zh-CN" w:bidi="ar-SA"/>
        </w:rPr>
        <w:t>要求提供缴纳凭证</w:t>
      </w:r>
      <w:bookmarkEnd w:id="731"/>
      <w:bookmarkEnd w:id="732"/>
      <w:bookmarkEnd w:id="733"/>
    </w:p>
    <w:p w14:paraId="1FEFA5AC">
      <w:pPr>
        <w:pStyle w:val="39"/>
        <w:ind w:left="0" w:leftChars="0" w:firstLine="0" w:firstLineChars="0"/>
        <w:rPr>
          <w:rFonts w:hint="default"/>
          <w:b/>
          <w:bCs/>
          <w:color w:val="auto"/>
          <w:sz w:val="24"/>
          <w:szCs w:val="24"/>
          <w:highlight w:val="none"/>
          <w:lang w:val="en-US" w:eastAsia="zh-CN"/>
        </w:rPr>
      </w:pPr>
    </w:p>
    <w:p w14:paraId="626D28B2">
      <w:pPr>
        <w:pStyle w:val="39"/>
        <w:ind w:left="0" w:leftChars="0" w:firstLine="0" w:firstLineChars="0"/>
        <w:rPr>
          <w:rFonts w:hint="default"/>
          <w:b/>
          <w:bCs/>
          <w:color w:val="auto"/>
          <w:sz w:val="24"/>
          <w:szCs w:val="24"/>
          <w:highlight w:val="none"/>
          <w:lang w:val="en-US" w:eastAsia="zh-CN"/>
        </w:rPr>
      </w:pPr>
    </w:p>
    <w:p w14:paraId="7DF13FE9">
      <w:pPr>
        <w:pStyle w:val="39"/>
        <w:ind w:left="0" w:leftChars="0" w:firstLine="0" w:firstLineChars="0"/>
        <w:rPr>
          <w:rFonts w:hint="eastAsia"/>
          <w:b/>
          <w:bCs/>
          <w:color w:val="auto"/>
          <w:sz w:val="24"/>
          <w:szCs w:val="24"/>
          <w:highlight w:val="none"/>
        </w:rPr>
      </w:pPr>
      <w:r>
        <w:rPr>
          <w:rFonts w:hint="eastAsia"/>
          <w:b/>
          <w:bCs/>
          <w:color w:val="auto"/>
          <w:sz w:val="24"/>
          <w:szCs w:val="24"/>
          <w:highlight w:val="none"/>
          <w:lang w:eastAsia="zh-CN"/>
        </w:rPr>
        <w:t>（</w:t>
      </w:r>
      <w:r>
        <w:rPr>
          <w:rFonts w:hint="eastAsia"/>
          <w:b/>
          <w:bCs/>
          <w:color w:val="auto"/>
          <w:sz w:val="24"/>
          <w:szCs w:val="24"/>
          <w:highlight w:val="none"/>
          <w:lang w:val="en-US" w:eastAsia="zh-CN"/>
        </w:rPr>
        <w:t>二）</w:t>
      </w:r>
      <w:r>
        <w:rPr>
          <w:rFonts w:hint="eastAsia"/>
          <w:b/>
          <w:bCs/>
          <w:color w:val="auto"/>
          <w:sz w:val="24"/>
          <w:szCs w:val="24"/>
          <w:highlight w:val="none"/>
        </w:rPr>
        <w:t>投标人认为需要提供的其它商务</w:t>
      </w:r>
      <w:r>
        <w:rPr>
          <w:rFonts w:hint="eastAsia"/>
          <w:b/>
          <w:bCs/>
          <w:color w:val="auto"/>
          <w:sz w:val="24"/>
          <w:szCs w:val="24"/>
          <w:highlight w:val="none"/>
          <w:lang w:eastAsia="zh-CN"/>
        </w:rPr>
        <w:t>、</w:t>
      </w:r>
      <w:r>
        <w:rPr>
          <w:rFonts w:hint="eastAsia"/>
          <w:b/>
          <w:bCs/>
          <w:color w:val="auto"/>
          <w:sz w:val="24"/>
          <w:szCs w:val="24"/>
          <w:highlight w:val="none"/>
        </w:rPr>
        <w:t>技术资料和说明。</w:t>
      </w:r>
    </w:p>
    <w:p w14:paraId="6DA29BFF">
      <w:pPr>
        <w:pStyle w:val="39"/>
        <w:rPr>
          <w:rFonts w:hint="eastAsia"/>
          <w:color w:val="auto"/>
          <w:highlight w:val="none"/>
        </w:rPr>
      </w:pPr>
    </w:p>
    <w:p w14:paraId="4AFCF4AF">
      <w:pPr>
        <w:rPr>
          <w:color w:val="auto"/>
          <w:highlight w:val="none"/>
        </w:rPr>
      </w:pPr>
    </w:p>
    <w:sectPr>
      <w:footerReference r:id="rId10" w:type="default"/>
      <w:pgSz w:w="11906" w:h="16838"/>
      <w:pgMar w:top="1440" w:right="1226" w:bottom="1440" w:left="1800" w:header="851" w:footer="992" w:gutter="0"/>
      <w:pgBorders>
        <w:top w:val="none" w:sz="0" w:space="0"/>
        <w:left w:val="none" w:sz="0" w:space="0"/>
        <w:bottom w:val="none" w:sz="0" w:space="0"/>
        <w:right w:val="none" w:sz="0" w:space="0"/>
      </w:pgBorders>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1BBBF39D-6B0E-4059-9CD2-78C2397AC2FD}"/>
  </w:font>
  <w:font w:name="黑体">
    <w:panose1 w:val="02010609060101010101"/>
    <w:charset w:val="86"/>
    <w:family w:val="auto"/>
    <w:pitch w:val="default"/>
    <w:sig w:usb0="800002BF" w:usb1="38CF7CFA" w:usb2="00000016" w:usb3="00000000" w:csb0="00040001" w:csb1="00000000"/>
    <w:embedRegular r:id="rId2" w:fontKey="{D26BAC30-6BCD-44C9-9E32-ED156421ECEC}"/>
  </w:font>
  <w:font w:name="Courier New">
    <w:panose1 w:val="02070309020205020404"/>
    <w:charset w:val="01"/>
    <w:family w:val="modern"/>
    <w:pitch w:val="default"/>
    <w:sig w:usb0="E0002EFF" w:usb1="C0007843" w:usb2="00000009" w:usb3="00000000" w:csb0="400001FF" w:csb1="FFFF0000"/>
    <w:embedRegular r:id="rId3" w:fontKey="{493F292B-C94E-4AFC-8859-1372D1DA2122}"/>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4" w:fontKey="{077664EE-95AA-4107-B608-EDAFF5D9BA99}"/>
  </w:font>
  <w:font w:name="等线 Light">
    <w:panose1 w:val="02010600030101010101"/>
    <w:charset w:val="86"/>
    <w:family w:val="auto"/>
    <w:pitch w:val="default"/>
    <w:sig w:usb0="A00002BF" w:usb1="38CF7CFA" w:usb2="00000016" w:usb3="00000000" w:csb0="0004000F" w:csb1="00000000"/>
    <w:embedRegular r:id="rId5" w:fontKey="{E876666F-489A-4470-AB81-3B7D6002E62E}"/>
  </w:font>
  <w:font w:name="仿宋">
    <w:panose1 w:val="02010609060101010101"/>
    <w:charset w:val="86"/>
    <w:family w:val="auto"/>
    <w:pitch w:val="default"/>
    <w:sig w:usb0="800002BF" w:usb1="38CF7CFA" w:usb2="00000016" w:usb3="00000000" w:csb0="00040001" w:csb1="00000000"/>
    <w:embedRegular r:id="rId6" w:fontKey="{78CCDDD1-C892-4DB4-A354-54109DEDABF3}"/>
  </w:font>
  <w:font w:name="等线">
    <w:panose1 w:val="02010600030101010101"/>
    <w:charset w:val="86"/>
    <w:family w:val="auto"/>
    <w:pitch w:val="default"/>
    <w:sig w:usb0="A00002BF" w:usb1="38CF7CFA" w:usb2="00000016" w:usb3="00000000" w:csb0="0004000F" w:csb1="00000000"/>
    <w:embedRegular r:id="rId7" w:fontKey="{ADCFF617-5592-40B2-B4DC-2A22F6D0EFC3}"/>
  </w:font>
  <w:font w:name="仿宋_GB2312">
    <w:altName w:val="仿宋"/>
    <w:panose1 w:val="02010609030101010101"/>
    <w:charset w:val="86"/>
    <w:family w:val="modern"/>
    <w:pitch w:val="default"/>
    <w:sig w:usb0="00000000" w:usb1="00000000" w:usb2="00000000" w:usb3="00000000" w:csb0="00040000" w:csb1="00000000"/>
    <w:embedRegular r:id="rId8" w:fontKey="{4A6B67E1-E246-4DF0-9528-3F27C77C5CE4}"/>
  </w:font>
  <w:font w:name="华文楷体">
    <w:panose1 w:val="02010600040101010101"/>
    <w:charset w:val="86"/>
    <w:family w:val="auto"/>
    <w:pitch w:val="default"/>
    <w:sig w:usb0="00000287" w:usb1="080F0000" w:usb2="00000000" w:usb3="00000000" w:csb0="0004009F" w:csb1="DFD70000"/>
  </w:font>
  <w:font w:name="方正小标宋简体">
    <w:altName w:val="黑体"/>
    <w:panose1 w:val="03000509000000000000"/>
    <w:charset w:val="86"/>
    <w:family w:val="auto"/>
    <w:pitch w:val="default"/>
    <w:sig w:usb0="00000000" w:usb1="00000000" w:usb2="00000000" w:usb3="00000000" w:csb0="00040000" w:csb1="00000000"/>
    <w:embedRegular r:id="rId9" w:fontKey="{E53566A8-A4F4-4E3F-913E-533C45B92C23}"/>
  </w:font>
  <w:font w:name="微软雅黑">
    <w:panose1 w:val="020B0503020204020204"/>
    <w:charset w:val="86"/>
    <w:family w:val="auto"/>
    <w:pitch w:val="default"/>
    <w:sig w:usb0="80000287" w:usb1="2ACF3C50" w:usb2="00000016" w:usb3="00000000" w:csb0="0004001F" w:csb1="00000000"/>
    <w:embedRegular r:id="rId10" w:fontKey="{78FB5A82-4528-48D6-9A1D-9796A03DAAA2}"/>
  </w:font>
  <w:font w:name="华文仿宋">
    <w:panose1 w:val="02010600040101010101"/>
    <w:charset w:val="86"/>
    <w:family w:val="auto"/>
    <w:pitch w:val="default"/>
    <w:sig w:usb0="00000287" w:usb1="080F0000" w:usb2="00000000" w:usb3="00000000" w:csb0="0004009F" w:csb1="DFD70000"/>
    <w:embedRegular r:id="rId11" w:fontKey="{0DD3E443-7CDB-486A-BF8E-FE66E730D801}"/>
  </w:font>
  <w:font w:name="Wingdings 2">
    <w:panose1 w:val="05020102010507070707"/>
    <w:charset w:val="00"/>
    <w:family w:val="auto"/>
    <w:pitch w:val="default"/>
    <w:sig w:usb0="00000000" w:usb1="00000000" w:usb2="00000000" w:usb3="00000000" w:csb0="80000000" w:csb1="00000000"/>
    <w:embedRegular r:id="rId12" w:fontKey="{C322BF2B-8833-49E5-8D1B-CF5F12147B48}"/>
  </w:font>
  <w:font w:name="Helvetica">
    <w:panose1 w:val="020B0504020202030204"/>
    <w:charset w:val="00"/>
    <w:family w:val="swiss"/>
    <w:pitch w:val="default"/>
    <w:sig w:usb0="00000007" w:usb1="00000000" w:usb2="00000000" w:usb3="00000000" w:csb0="00000093" w:csb1="00000000"/>
    <w:embedRegular r:id="rId13" w:fontKey="{6781EA90-6012-41EC-AA79-85AB21AA82AD}"/>
  </w:font>
  <w:font w:name="方正仿宋_GB2312">
    <w:panose1 w:val="02000000000000000000"/>
    <w:charset w:val="86"/>
    <w:family w:val="auto"/>
    <w:pitch w:val="default"/>
    <w:sig w:usb0="A00002BF" w:usb1="184F6CFA" w:usb2="00000012" w:usb3="00000000" w:csb0="00040001" w:csb1="00000000"/>
    <w:embedRegular r:id="rId14" w:fontKey="{45319DBB-B707-46E6-8945-B96A823B6131}"/>
  </w:font>
  <w:font w:name="方正小标宋_GBK">
    <w:altName w:val="微软雅黑"/>
    <w:panose1 w:val="03000509000000000000"/>
    <w:charset w:val="86"/>
    <w:family w:val="auto"/>
    <w:pitch w:val="default"/>
    <w:sig w:usb0="00000000" w:usb1="00000000" w:usb2="00000000" w:usb3="00000000" w:csb0="00040000" w:csb1="00000000"/>
    <w:embedRegular r:id="rId15" w:fontKey="{1EF1821C-3A76-4687-84A4-3ACB3C9A42DB}"/>
  </w:font>
  <w:font w:name="DejaVuSans">
    <w:altName w:val="Segoe Print"/>
    <w:panose1 w:val="00000000000000000000"/>
    <w:charset w:val="00"/>
    <w:family w:val="auto"/>
    <w:pitch w:val="default"/>
    <w:sig w:usb0="00000000" w:usb1="00000000" w:usb2="00000000" w:usb3="00000000" w:csb0="00000000" w:csb1="00000000"/>
    <w:embedRegular r:id="rId16" w:fontKey="{6D6B01CF-3668-4374-A63D-2F3C3498A6D3}"/>
  </w:font>
  <w:font w:name="Segoe Print">
    <w:panose1 w:val="02000600000000000000"/>
    <w:charset w:val="00"/>
    <w:family w:val="auto"/>
    <w:pitch w:val="default"/>
    <w:sig w:usb0="0000028F" w:usb1="00000000" w:usb2="00000000" w:usb3="00000000" w:csb0="2000009F" w:csb1="47010000"/>
  </w:font>
  <w:font w:name="KSOF439EEF50">
    <w:panose1 w:val="02010609060101010101"/>
    <w:charset w:val="86"/>
    <w:family w:val="auto"/>
    <w:pitch w:val="default"/>
    <w:sig w:usb0="00000001" w:usb1="00000000" w:usb2="00000000" w:usb3="00000000" w:csb0="00040001" w:csb1="00000000"/>
  </w:font>
  <w:font w:name="KSOFE44F9426">
    <w:panose1 w:val="02010609060101010101"/>
    <w:charset w:val="86"/>
    <w:family w:val="auto"/>
    <w:pitch w:val="default"/>
    <w:sig w:usb0="00000001" w:usb1="00000000" w:usb2="00000000"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4FEEBB">
    <w:pPr>
      <w:pStyle w:val="19"/>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692C40C">
                          <w:pPr>
                            <w:pStyle w:val="19"/>
                            <w:keepNext w:val="0"/>
                            <w:keepLines w:val="0"/>
                            <w:pageBreakBefore w:val="0"/>
                            <w:widowControl w:val="0"/>
                            <w:kinsoku/>
                            <w:wordWrap/>
                            <w:overflowPunct/>
                            <w:topLinePunct w:val="0"/>
                            <w:bidi w:val="0"/>
                            <w:adjustRightInd/>
                            <w:snapToGrid w:val="0"/>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5692C40C">
                    <w:pPr>
                      <w:pStyle w:val="19"/>
                      <w:keepNext w:val="0"/>
                      <w:keepLines w:val="0"/>
                      <w:pageBreakBefore w:val="0"/>
                      <w:widowControl w:val="0"/>
                      <w:kinsoku/>
                      <w:wordWrap/>
                      <w:overflowPunct/>
                      <w:topLinePunct w:val="0"/>
                      <w:bidi w:val="0"/>
                      <w:adjustRightInd/>
                      <w:snapToGrid w:val="0"/>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1</w:t>
                    </w:r>
                    <w:r>
                      <w:rPr>
                        <w:sz w:val="21"/>
                        <w:szCs w:val="21"/>
                      </w:rPr>
                      <w:fldChar w:fldCharType="end"/>
                    </w:r>
                  </w:p>
                </w:txbxContent>
              </v:textbox>
            </v:shape>
          </w:pict>
        </mc:Fallback>
      </mc:AlternateContent>
    </w: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80416"/>
                            <w:showingPlcHdr/>
                          </w:sdtPr>
                          <w:sdtContent>
                            <w:p w14:paraId="5178AC84">
                              <w:pPr>
                                <w:pStyle w:val="19"/>
                                <w:jc w:val="center"/>
                              </w:pPr>
                              <w:r>
                                <w:rPr>
                                  <w:rFonts w:hint="eastAsia"/>
                                  <w:lang w:eastAsia="zh-CN"/>
                                </w:rPr>
                                <w:t xml:space="preserve">     </w:t>
                              </w:r>
                            </w:p>
                          </w:sdtContent>
                        </w:sdt>
                        <w:p w14:paraId="1172ED4B"/>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sdt>
                    <w:sdtPr>
                      <w:id w:val="147480416"/>
                      <w:showingPlcHdr/>
                    </w:sdtPr>
                    <w:sdtContent>
                      <w:p w14:paraId="5178AC84">
                        <w:pPr>
                          <w:pStyle w:val="19"/>
                          <w:jc w:val="center"/>
                        </w:pPr>
                        <w:r>
                          <w:rPr>
                            <w:rFonts w:hint="eastAsia"/>
                            <w:lang w:eastAsia="zh-CN"/>
                          </w:rPr>
                          <w:t xml:space="preserve">     </w:t>
                        </w:r>
                      </w:p>
                    </w:sdtContent>
                  </w:sdt>
                  <w:p w14:paraId="1172ED4B"/>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FFD85">
    <w:pPr>
      <w:pStyle w:val="19"/>
      <w:jc w:val="cente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1548"/>
                          </w:sdtPr>
                          <w:sdtContent>
                            <w:p w14:paraId="4AE1F8CD">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0EF235DF"/>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sdt>
                    <w:sdtPr>
                      <w:id w:val="147461548"/>
                    </w:sdtPr>
                    <w:sdtContent>
                      <w:p w14:paraId="4AE1F8CD">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0EF235DF"/>
                </w:txbxContent>
              </v:textbox>
            </v:shape>
          </w:pict>
        </mc:Fallback>
      </mc:AlternateContent>
    </w:r>
  </w:p>
  <w:p w14:paraId="23975237">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19"/>
      <w:keepNext w:val="0"/>
      <w:keepLines w:val="0"/>
      <w:pageBreakBefore w:val="0"/>
      <w:widowControl w:val="0"/>
      <w:kinsoku/>
      <w:wordWrap/>
      <w:overflowPunct/>
      <w:topLinePunct w:val="0"/>
      <w:bidi w:val="0"/>
      <w:adjustRightInd/>
      <w:snapToGrid w:val="0"/>
      <w:textAlignment w:val="auto"/>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13757FD">
                          <w:pPr>
                            <w:pStyle w:val="19"/>
                          </w:pPr>
                          <w:r>
                            <w:fldChar w:fldCharType="begin"/>
                          </w:r>
                          <w:r>
                            <w:instrText xml:space="preserve"> PAGE  \* MERGEFORMAT </w:instrText>
                          </w:r>
                          <w:r>
                            <w:fldChar w:fldCharType="separate"/>
                          </w:r>
                          <w:r>
                            <w:t>67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13757FD">
                    <w:pPr>
                      <w:pStyle w:val="19"/>
                    </w:pPr>
                    <w:r>
                      <w:fldChar w:fldCharType="begin"/>
                    </w:r>
                    <w:r>
                      <w:instrText xml:space="preserve"> PAGE  \* MERGEFORMAT </w:instrText>
                    </w:r>
                    <w:r>
                      <w:fldChar w:fldCharType="separate"/>
                    </w:r>
                    <w:r>
                      <w:t>67</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41052">
    <w:pPr>
      <w:pStyle w:val="19"/>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78428888"/>
                          </w:sdtPr>
                          <w:sdtContent>
                            <w:p w14:paraId="1087FA9B">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sdt>
                    <w:sdtPr>
                      <w:id w:val="-178428888"/>
                    </w:sdtPr>
                    <w:sdtContent>
                      <w:p w14:paraId="1087FA9B">
                        <w:pPr>
                          <w:pStyle w:val="19"/>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14:paraId="448A7938"/>
                </w:txbxContent>
              </v:textbox>
            </v:shape>
          </w:pict>
        </mc:Fallback>
      </mc:AlternateContent>
    </w:r>
  </w:p>
  <w:p w14:paraId="4005E617">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01E85C">
    <w:pPr>
      <w:pStyle w:val="20"/>
      <w:keepNext w:val="0"/>
      <w:keepLines w:val="0"/>
      <w:pageBreakBefore w:val="0"/>
      <w:widowControl w:val="0"/>
      <w:kinsoku/>
      <w:wordWrap/>
      <w:overflowPunct/>
      <w:topLinePunct w:val="0"/>
      <w:bidi w:val="0"/>
      <w:adjustRightInd/>
      <w:snapToGrid w:val="0"/>
      <w:spacing w:line="240" w:lineRule="auto"/>
      <w:textAlignment w:val="auto"/>
    </w:pPr>
    <w:r>
      <w:rPr>
        <w:rFonts w:hint="eastAsia" w:ascii="宋体" w:hAnsi="宋体"/>
        <w:bCs/>
        <w:sz w:val="24"/>
        <w:szCs w:val="24"/>
      </w:rPr>
      <w:drawing>
        <wp:anchor distT="0" distB="0" distL="114300" distR="114300" simplePos="0" relativeHeight="251665408" behindDoc="0" locked="0" layoutInCell="1" allowOverlap="1">
          <wp:simplePos x="0" y="0"/>
          <wp:positionH relativeFrom="column">
            <wp:posOffset>-43815</wp:posOffset>
          </wp:positionH>
          <wp:positionV relativeFrom="paragraph">
            <wp:posOffset>-72390</wp:posOffset>
          </wp:positionV>
          <wp:extent cx="1783715" cy="269875"/>
          <wp:effectExtent l="0" t="0" r="6985" b="15875"/>
          <wp:wrapNone/>
          <wp:docPr id="1" name="图片 1069" descr="web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069" descr="web1-1_01"/>
                  <pic:cNvPicPr>
                    <a:picLocks noChangeAspect="1"/>
                  </pic:cNvPicPr>
                </pic:nvPicPr>
                <pic:blipFill>
                  <a:blip r:embed="rId1"/>
                  <a:stretch>
                    <a:fillRect/>
                  </a:stretch>
                </pic:blipFill>
                <pic:spPr>
                  <a:xfrm>
                    <a:off x="0" y="0"/>
                    <a:ext cx="1783715" cy="269875"/>
                  </a:xfrm>
                  <a:prstGeom prst="rect">
                    <a:avLst/>
                  </a:prstGeom>
                  <a:noFill/>
                  <a:ln>
                    <a:noFill/>
                  </a:ln>
                </pic:spPr>
              </pic:pic>
            </a:graphicData>
          </a:graphic>
        </wp:anchor>
      </w:drawing>
    </w:r>
    <w:r>
      <w:rPr>
        <w:rFonts w:hint="eastAsia" w:ascii="宋体" w:hAnsi="宋体"/>
        <w:bCs/>
        <w:sz w:val="24"/>
        <w:szCs w:val="24"/>
        <w:lang w:val="en-US" w:eastAsia="zh-CN"/>
      </w:rPr>
      <w:t xml:space="preserve">                                                       招标</w:t>
    </w:r>
    <w:r>
      <w:rPr>
        <w:rFonts w:hint="eastAsia" w:ascii="宋体" w:hAnsi="宋体"/>
        <w:bCs/>
        <w:sz w:val="24"/>
        <w:szCs w:val="24"/>
      </w:rPr>
      <w:t>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0AF3DC">
    <w:pPr>
      <w:pStyle w:val="20"/>
      <w:keepNext w:val="0"/>
      <w:keepLines w:val="0"/>
      <w:pageBreakBefore w:val="0"/>
      <w:widowControl w:val="0"/>
      <w:kinsoku/>
      <w:wordWrap/>
      <w:overflowPunct/>
      <w:topLinePunct w:val="0"/>
      <w:bidi w:val="0"/>
      <w:adjustRightInd/>
      <w:snapToGrid w:val="0"/>
      <w:spacing w:line="240" w:lineRule="auto"/>
      <w:textAlignment w:val="auto"/>
    </w:pPr>
    <w:r>
      <w:rPr>
        <w:rFonts w:hint="eastAsia" w:ascii="宋体" w:hAnsi="宋体"/>
        <w:bCs/>
        <w:sz w:val="24"/>
        <w:szCs w:val="24"/>
      </w:rPr>
      <w:drawing>
        <wp:anchor distT="0" distB="0" distL="114300" distR="114300" simplePos="0" relativeHeight="251666432" behindDoc="0" locked="0" layoutInCell="1" allowOverlap="1">
          <wp:simplePos x="0" y="0"/>
          <wp:positionH relativeFrom="column">
            <wp:posOffset>-43815</wp:posOffset>
          </wp:positionH>
          <wp:positionV relativeFrom="paragraph">
            <wp:posOffset>-72390</wp:posOffset>
          </wp:positionV>
          <wp:extent cx="1783715" cy="269875"/>
          <wp:effectExtent l="0" t="0" r="6985" b="15875"/>
          <wp:wrapNone/>
          <wp:docPr id="2" name="图片 1069" descr="web1-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69" descr="web1-1_01"/>
                  <pic:cNvPicPr>
                    <a:picLocks noChangeAspect="1"/>
                  </pic:cNvPicPr>
                </pic:nvPicPr>
                <pic:blipFill>
                  <a:blip r:embed="rId1"/>
                  <a:stretch>
                    <a:fillRect/>
                  </a:stretch>
                </pic:blipFill>
                <pic:spPr>
                  <a:xfrm>
                    <a:off x="0" y="0"/>
                    <a:ext cx="1783715" cy="269875"/>
                  </a:xfrm>
                  <a:prstGeom prst="rect">
                    <a:avLst/>
                  </a:prstGeom>
                  <a:noFill/>
                  <a:ln>
                    <a:noFill/>
                  </a:ln>
                </pic:spPr>
              </pic:pic>
            </a:graphicData>
          </a:graphic>
        </wp:anchor>
      </w:drawing>
    </w:r>
    <w:r>
      <w:rPr>
        <w:rFonts w:hint="eastAsia" w:ascii="宋体" w:hAnsi="宋体"/>
        <w:bCs/>
        <w:sz w:val="24"/>
        <w:szCs w:val="24"/>
        <w:lang w:val="en-US" w:eastAsia="zh-CN"/>
      </w:rPr>
      <w:t xml:space="preserve">                                                       招标</w:t>
    </w:r>
    <w:r>
      <w:rPr>
        <w:rFonts w:hint="eastAsia" w:ascii="宋体" w:hAnsi="宋体"/>
        <w:bCs/>
        <w:sz w:val="24"/>
        <w:szCs w:val="24"/>
      </w:rPr>
      <w:t>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F71768"/>
    <w:multiLevelType w:val="singleLevel"/>
    <w:tmpl w:val="98F71768"/>
    <w:lvl w:ilvl="0" w:tentative="0">
      <w:start w:val="2"/>
      <w:numFmt w:val="chineseCounting"/>
      <w:suff w:val="nothing"/>
      <w:lvlText w:val="（%1）"/>
      <w:lvlJc w:val="left"/>
      <w:rPr>
        <w:rFonts w:hint="eastAsia"/>
      </w:rPr>
    </w:lvl>
  </w:abstractNum>
  <w:abstractNum w:abstractNumId="1">
    <w:nsid w:val="9C070575"/>
    <w:multiLevelType w:val="singleLevel"/>
    <w:tmpl w:val="9C070575"/>
    <w:lvl w:ilvl="0" w:tentative="0">
      <w:start w:val="1"/>
      <w:numFmt w:val="decimal"/>
      <w:pStyle w:val="7"/>
      <w:lvlText w:val="%1."/>
      <w:lvlJc w:val="left"/>
      <w:pPr>
        <w:tabs>
          <w:tab w:val="left" w:pos="780"/>
        </w:tabs>
        <w:ind w:left="780" w:hanging="360"/>
      </w:pPr>
    </w:lvl>
  </w:abstractNum>
  <w:abstractNum w:abstractNumId="2">
    <w:nsid w:val="CF32EB0E"/>
    <w:multiLevelType w:val="singleLevel"/>
    <w:tmpl w:val="CF32EB0E"/>
    <w:lvl w:ilvl="0" w:tentative="0">
      <w:start w:val="1"/>
      <w:numFmt w:val="decimal"/>
      <w:suff w:val="nothing"/>
      <w:lvlText w:val="%1）"/>
      <w:lvlJc w:val="left"/>
    </w:lvl>
  </w:abstractNum>
  <w:abstractNum w:abstractNumId="3">
    <w:nsid w:val="F884C653"/>
    <w:multiLevelType w:val="singleLevel"/>
    <w:tmpl w:val="F884C653"/>
    <w:lvl w:ilvl="0" w:tentative="0">
      <w:start w:val="1"/>
      <w:numFmt w:val="decimal"/>
      <w:lvlText w:val="%1."/>
      <w:lvlJc w:val="left"/>
      <w:pPr>
        <w:tabs>
          <w:tab w:val="left" w:pos="312"/>
        </w:tabs>
      </w:pPr>
    </w:lvl>
  </w:abstractNum>
  <w:abstractNum w:abstractNumId="4">
    <w:nsid w:val="447B6378"/>
    <w:multiLevelType w:val="multilevel"/>
    <w:tmpl w:val="447B6378"/>
    <w:lvl w:ilvl="0" w:tentative="0">
      <w:start w:val="1"/>
      <w:numFmt w:val="decimal"/>
      <w:pStyle w:val="41"/>
      <w:suff w:val="nothing"/>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5397CEAC"/>
    <w:multiLevelType w:val="singleLevel"/>
    <w:tmpl w:val="5397CEAC"/>
    <w:lvl w:ilvl="0" w:tentative="0">
      <w:start w:val="5"/>
      <w:numFmt w:val="decimal"/>
      <w:lvlText w:val="%1."/>
      <w:lvlJc w:val="left"/>
      <w:pPr>
        <w:tabs>
          <w:tab w:val="left" w:pos="312"/>
        </w:tabs>
      </w:pPr>
    </w:lvl>
  </w:abstractNum>
  <w:num w:numId="1">
    <w:abstractNumId w:val="1"/>
  </w:num>
  <w:num w:numId="2">
    <w:abstractNumId w:val="4"/>
  </w:num>
  <w:num w:numId="3">
    <w:abstractNumId w:val="5"/>
  </w:num>
  <w:num w:numId="4">
    <w:abstractNumId w:val="3"/>
  </w:num>
  <w:num w:numId="5">
    <w:abstractNumId w:val="2"/>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JkNTg1OTJkZTA1ZDVhNGYzMmVkNzJiZGI5ZmNhNzAifQ=="/>
  </w:docVars>
  <w:rsids>
    <w:rsidRoot w:val="00172A27"/>
    <w:rsid w:val="0000366A"/>
    <w:rsid w:val="00006F7F"/>
    <w:rsid w:val="00007003"/>
    <w:rsid w:val="000075B7"/>
    <w:rsid w:val="000237EA"/>
    <w:rsid w:val="00027CD2"/>
    <w:rsid w:val="00031E0C"/>
    <w:rsid w:val="00040832"/>
    <w:rsid w:val="00040D23"/>
    <w:rsid w:val="000439DA"/>
    <w:rsid w:val="00063604"/>
    <w:rsid w:val="0006370A"/>
    <w:rsid w:val="00066832"/>
    <w:rsid w:val="00067934"/>
    <w:rsid w:val="000720BF"/>
    <w:rsid w:val="0008641D"/>
    <w:rsid w:val="000B39A0"/>
    <w:rsid w:val="000C3E03"/>
    <w:rsid w:val="000C488D"/>
    <w:rsid w:val="000C52EC"/>
    <w:rsid w:val="000D0230"/>
    <w:rsid w:val="000D0AD3"/>
    <w:rsid w:val="000E45BD"/>
    <w:rsid w:val="000E4E33"/>
    <w:rsid w:val="000E67CF"/>
    <w:rsid w:val="000F20FD"/>
    <w:rsid w:val="000F39B0"/>
    <w:rsid w:val="001008D8"/>
    <w:rsid w:val="001022A4"/>
    <w:rsid w:val="00115EF7"/>
    <w:rsid w:val="0013642D"/>
    <w:rsid w:val="00146410"/>
    <w:rsid w:val="00150D67"/>
    <w:rsid w:val="00156600"/>
    <w:rsid w:val="00160E9C"/>
    <w:rsid w:val="00172190"/>
    <w:rsid w:val="00173480"/>
    <w:rsid w:val="00181988"/>
    <w:rsid w:val="00182557"/>
    <w:rsid w:val="0018304A"/>
    <w:rsid w:val="001904E9"/>
    <w:rsid w:val="001A77DE"/>
    <w:rsid w:val="001B36EC"/>
    <w:rsid w:val="001D7B23"/>
    <w:rsid w:val="001E2F56"/>
    <w:rsid w:val="002062E6"/>
    <w:rsid w:val="00207131"/>
    <w:rsid w:val="0022214D"/>
    <w:rsid w:val="00223585"/>
    <w:rsid w:val="002235CA"/>
    <w:rsid w:val="002317DB"/>
    <w:rsid w:val="00232245"/>
    <w:rsid w:val="0023265E"/>
    <w:rsid w:val="00235B5A"/>
    <w:rsid w:val="00251060"/>
    <w:rsid w:val="002514A3"/>
    <w:rsid w:val="00256B32"/>
    <w:rsid w:val="00256D01"/>
    <w:rsid w:val="002706F2"/>
    <w:rsid w:val="00271135"/>
    <w:rsid w:val="00285E30"/>
    <w:rsid w:val="002A1AEC"/>
    <w:rsid w:val="002A1BCB"/>
    <w:rsid w:val="002A5262"/>
    <w:rsid w:val="002A6484"/>
    <w:rsid w:val="002A79C6"/>
    <w:rsid w:val="002C06B9"/>
    <w:rsid w:val="002C0FDD"/>
    <w:rsid w:val="002C5E37"/>
    <w:rsid w:val="002D11F7"/>
    <w:rsid w:val="002D48C5"/>
    <w:rsid w:val="002E0B52"/>
    <w:rsid w:val="002E1CF4"/>
    <w:rsid w:val="002E5FED"/>
    <w:rsid w:val="002F0DA9"/>
    <w:rsid w:val="003113C1"/>
    <w:rsid w:val="00312C3A"/>
    <w:rsid w:val="0031353D"/>
    <w:rsid w:val="0032200D"/>
    <w:rsid w:val="00333B37"/>
    <w:rsid w:val="0034487B"/>
    <w:rsid w:val="00347CC6"/>
    <w:rsid w:val="00347D88"/>
    <w:rsid w:val="00350BCD"/>
    <w:rsid w:val="0035643C"/>
    <w:rsid w:val="00366226"/>
    <w:rsid w:val="003746B0"/>
    <w:rsid w:val="00374A6B"/>
    <w:rsid w:val="00383E1C"/>
    <w:rsid w:val="0039029A"/>
    <w:rsid w:val="00390D4A"/>
    <w:rsid w:val="0039222E"/>
    <w:rsid w:val="0039288A"/>
    <w:rsid w:val="00393395"/>
    <w:rsid w:val="0039372E"/>
    <w:rsid w:val="00394AF5"/>
    <w:rsid w:val="003A19A4"/>
    <w:rsid w:val="003A1A1B"/>
    <w:rsid w:val="003A4485"/>
    <w:rsid w:val="003A4878"/>
    <w:rsid w:val="003B4310"/>
    <w:rsid w:val="003B60A6"/>
    <w:rsid w:val="003C5883"/>
    <w:rsid w:val="003C7C49"/>
    <w:rsid w:val="003D3327"/>
    <w:rsid w:val="003D6656"/>
    <w:rsid w:val="003E057C"/>
    <w:rsid w:val="003E2B14"/>
    <w:rsid w:val="003E314B"/>
    <w:rsid w:val="003F5655"/>
    <w:rsid w:val="003F5BC6"/>
    <w:rsid w:val="004021C6"/>
    <w:rsid w:val="00406BEF"/>
    <w:rsid w:val="00410595"/>
    <w:rsid w:val="00420F7C"/>
    <w:rsid w:val="0043307A"/>
    <w:rsid w:val="00433514"/>
    <w:rsid w:val="00446BB3"/>
    <w:rsid w:val="0045353D"/>
    <w:rsid w:val="004771C7"/>
    <w:rsid w:val="00481C3A"/>
    <w:rsid w:val="004851CA"/>
    <w:rsid w:val="0048656E"/>
    <w:rsid w:val="00493221"/>
    <w:rsid w:val="004A302C"/>
    <w:rsid w:val="004B539D"/>
    <w:rsid w:val="004C1FA1"/>
    <w:rsid w:val="004C3DCC"/>
    <w:rsid w:val="004E0BF9"/>
    <w:rsid w:val="004E0CF9"/>
    <w:rsid w:val="004F3FDD"/>
    <w:rsid w:val="004F46AB"/>
    <w:rsid w:val="00501A4A"/>
    <w:rsid w:val="00501E05"/>
    <w:rsid w:val="005032B9"/>
    <w:rsid w:val="005100F2"/>
    <w:rsid w:val="00510300"/>
    <w:rsid w:val="00511D7B"/>
    <w:rsid w:val="00513AD5"/>
    <w:rsid w:val="00523D37"/>
    <w:rsid w:val="00524831"/>
    <w:rsid w:val="0052616B"/>
    <w:rsid w:val="00532F25"/>
    <w:rsid w:val="00541D90"/>
    <w:rsid w:val="00542258"/>
    <w:rsid w:val="0054547C"/>
    <w:rsid w:val="0054632A"/>
    <w:rsid w:val="00551EDC"/>
    <w:rsid w:val="005544D1"/>
    <w:rsid w:val="00554509"/>
    <w:rsid w:val="00561523"/>
    <w:rsid w:val="00561527"/>
    <w:rsid w:val="005714C6"/>
    <w:rsid w:val="00594E7A"/>
    <w:rsid w:val="005A146E"/>
    <w:rsid w:val="005A7208"/>
    <w:rsid w:val="005A7987"/>
    <w:rsid w:val="005B5936"/>
    <w:rsid w:val="005C0D20"/>
    <w:rsid w:val="005D050C"/>
    <w:rsid w:val="005F7A46"/>
    <w:rsid w:val="00611383"/>
    <w:rsid w:val="00620B1C"/>
    <w:rsid w:val="00626E33"/>
    <w:rsid w:val="006407ED"/>
    <w:rsid w:val="0064251F"/>
    <w:rsid w:val="00643F74"/>
    <w:rsid w:val="006503AE"/>
    <w:rsid w:val="00651EE4"/>
    <w:rsid w:val="00654524"/>
    <w:rsid w:val="00654BCF"/>
    <w:rsid w:val="0066052B"/>
    <w:rsid w:val="006630EF"/>
    <w:rsid w:val="0066446E"/>
    <w:rsid w:val="0066601A"/>
    <w:rsid w:val="006662AB"/>
    <w:rsid w:val="00674212"/>
    <w:rsid w:val="0067621A"/>
    <w:rsid w:val="006815D1"/>
    <w:rsid w:val="00687DD5"/>
    <w:rsid w:val="006923C3"/>
    <w:rsid w:val="006937E9"/>
    <w:rsid w:val="00693EF9"/>
    <w:rsid w:val="006947A5"/>
    <w:rsid w:val="006A1A11"/>
    <w:rsid w:val="006A2C75"/>
    <w:rsid w:val="006A4105"/>
    <w:rsid w:val="006B0C84"/>
    <w:rsid w:val="006B543B"/>
    <w:rsid w:val="006B7E54"/>
    <w:rsid w:val="006C0BD1"/>
    <w:rsid w:val="006C30C8"/>
    <w:rsid w:val="006C5139"/>
    <w:rsid w:val="006C69FC"/>
    <w:rsid w:val="006D069F"/>
    <w:rsid w:val="006D2C95"/>
    <w:rsid w:val="006D5F8F"/>
    <w:rsid w:val="006D6CEA"/>
    <w:rsid w:val="006E3B5C"/>
    <w:rsid w:val="006E3EB8"/>
    <w:rsid w:val="00707B1D"/>
    <w:rsid w:val="00710909"/>
    <w:rsid w:val="00716369"/>
    <w:rsid w:val="00723649"/>
    <w:rsid w:val="007265C3"/>
    <w:rsid w:val="00735F23"/>
    <w:rsid w:val="00740CEF"/>
    <w:rsid w:val="00742261"/>
    <w:rsid w:val="00752C5E"/>
    <w:rsid w:val="007531F9"/>
    <w:rsid w:val="00764378"/>
    <w:rsid w:val="0076591F"/>
    <w:rsid w:val="00766F0F"/>
    <w:rsid w:val="00773B9A"/>
    <w:rsid w:val="0077582F"/>
    <w:rsid w:val="007862C9"/>
    <w:rsid w:val="0079007B"/>
    <w:rsid w:val="007A0F22"/>
    <w:rsid w:val="007B5C1A"/>
    <w:rsid w:val="007C03A0"/>
    <w:rsid w:val="007C2BEF"/>
    <w:rsid w:val="007D3D77"/>
    <w:rsid w:val="007E157B"/>
    <w:rsid w:val="007E2EF7"/>
    <w:rsid w:val="007E4818"/>
    <w:rsid w:val="007E6A7E"/>
    <w:rsid w:val="007F33F3"/>
    <w:rsid w:val="007F6124"/>
    <w:rsid w:val="00801BDF"/>
    <w:rsid w:val="00802B86"/>
    <w:rsid w:val="0082514B"/>
    <w:rsid w:val="00830599"/>
    <w:rsid w:val="008334B0"/>
    <w:rsid w:val="0083496F"/>
    <w:rsid w:val="0083530F"/>
    <w:rsid w:val="00836468"/>
    <w:rsid w:val="00843492"/>
    <w:rsid w:val="00845F16"/>
    <w:rsid w:val="00852AF3"/>
    <w:rsid w:val="00856D2D"/>
    <w:rsid w:val="00856F2E"/>
    <w:rsid w:val="00867FFD"/>
    <w:rsid w:val="00871560"/>
    <w:rsid w:val="00872D54"/>
    <w:rsid w:val="00872F2D"/>
    <w:rsid w:val="0087585D"/>
    <w:rsid w:val="00880E22"/>
    <w:rsid w:val="00882B6F"/>
    <w:rsid w:val="008834AE"/>
    <w:rsid w:val="00885F4D"/>
    <w:rsid w:val="008962E2"/>
    <w:rsid w:val="008A74EF"/>
    <w:rsid w:val="008B0539"/>
    <w:rsid w:val="008B1C98"/>
    <w:rsid w:val="008B5ADF"/>
    <w:rsid w:val="008D0B3B"/>
    <w:rsid w:val="008D1450"/>
    <w:rsid w:val="008D2E66"/>
    <w:rsid w:val="008D56A5"/>
    <w:rsid w:val="008E1546"/>
    <w:rsid w:val="008E189F"/>
    <w:rsid w:val="008E24ED"/>
    <w:rsid w:val="008E40FE"/>
    <w:rsid w:val="008E57AC"/>
    <w:rsid w:val="008E6D3B"/>
    <w:rsid w:val="00906396"/>
    <w:rsid w:val="0090770A"/>
    <w:rsid w:val="00916E4D"/>
    <w:rsid w:val="00917A63"/>
    <w:rsid w:val="00923C36"/>
    <w:rsid w:val="00924B8E"/>
    <w:rsid w:val="00930024"/>
    <w:rsid w:val="009344DE"/>
    <w:rsid w:val="009357E5"/>
    <w:rsid w:val="00936087"/>
    <w:rsid w:val="00945D17"/>
    <w:rsid w:val="00965FBF"/>
    <w:rsid w:val="00973941"/>
    <w:rsid w:val="0097751F"/>
    <w:rsid w:val="00980255"/>
    <w:rsid w:val="009804FA"/>
    <w:rsid w:val="00985B78"/>
    <w:rsid w:val="0098649F"/>
    <w:rsid w:val="00993AFA"/>
    <w:rsid w:val="0099686E"/>
    <w:rsid w:val="00996DF2"/>
    <w:rsid w:val="009A41B0"/>
    <w:rsid w:val="009A4756"/>
    <w:rsid w:val="009A4C46"/>
    <w:rsid w:val="009A4DBF"/>
    <w:rsid w:val="009B3513"/>
    <w:rsid w:val="009B39EA"/>
    <w:rsid w:val="009D3FC3"/>
    <w:rsid w:val="009D433D"/>
    <w:rsid w:val="009D4484"/>
    <w:rsid w:val="009D5889"/>
    <w:rsid w:val="009D7755"/>
    <w:rsid w:val="009F1D20"/>
    <w:rsid w:val="00A00548"/>
    <w:rsid w:val="00A00713"/>
    <w:rsid w:val="00A00731"/>
    <w:rsid w:val="00A11A5C"/>
    <w:rsid w:val="00A22235"/>
    <w:rsid w:val="00A22F7B"/>
    <w:rsid w:val="00A23801"/>
    <w:rsid w:val="00A2554C"/>
    <w:rsid w:val="00A33652"/>
    <w:rsid w:val="00A3798C"/>
    <w:rsid w:val="00A42866"/>
    <w:rsid w:val="00A461C1"/>
    <w:rsid w:val="00A46B5C"/>
    <w:rsid w:val="00A50D6E"/>
    <w:rsid w:val="00A51DD8"/>
    <w:rsid w:val="00A647EA"/>
    <w:rsid w:val="00A736C6"/>
    <w:rsid w:val="00A82472"/>
    <w:rsid w:val="00A83F1F"/>
    <w:rsid w:val="00A8416F"/>
    <w:rsid w:val="00AA0223"/>
    <w:rsid w:val="00AB28B8"/>
    <w:rsid w:val="00AB3B77"/>
    <w:rsid w:val="00AC57B7"/>
    <w:rsid w:val="00AC73C5"/>
    <w:rsid w:val="00AC755C"/>
    <w:rsid w:val="00AD0E13"/>
    <w:rsid w:val="00AD5ABF"/>
    <w:rsid w:val="00AF45C5"/>
    <w:rsid w:val="00AF5667"/>
    <w:rsid w:val="00B05DD5"/>
    <w:rsid w:val="00B12477"/>
    <w:rsid w:val="00B13343"/>
    <w:rsid w:val="00B1354B"/>
    <w:rsid w:val="00B220B2"/>
    <w:rsid w:val="00B23942"/>
    <w:rsid w:val="00B32474"/>
    <w:rsid w:val="00B4327E"/>
    <w:rsid w:val="00B467A4"/>
    <w:rsid w:val="00B5286D"/>
    <w:rsid w:val="00B545BC"/>
    <w:rsid w:val="00B61032"/>
    <w:rsid w:val="00B61D2E"/>
    <w:rsid w:val="00B71854"/>
    <w:rsid w:val="00B71DA4"/>
    <w:rsid w:val="00B7235B"/>
    <w:rsid w:val="00B76348"/>
    <w:rsid w:val="00B81261"/>
    <w:rsid w:val="00B82556"/>
    <w:rsid w:val="00B87655"/>
    <w:rsid w:val="00B87801"/>
    <w:rsid w:val="00B92871"/>
    <w:rsid w:val="00B928DA"/>
    <w:rsid w:val="00BA5AC3"/>
    <w:rsid w:val="00BA630D"/>
    <w:rsid w:val="00BB06B4"/>
    <w:rsid w:val="00BB2551"/>
    <w:rsid w:val="00BB4892"/>
    <w:rsid w:val="00BB5E9B"/>
    <w:rsid w:val="00BC1A44"/>
    <w:rsid w:val="00BC5C37"/>
    <w:rsid w:val="00BC757B"/>
    <w:rsid w:val="00BC7ED2"/>
    <w:rsid w:val="00BD0190"/>
    <w:rsid w:val="00BE212E"/>
    <w:rsid w:val="00BE4AAB"/>
    <w:rsid w:val="00BE5086"/>
    <w:rsid w:val="00BF4971"/>
    <w:rsid w:val="00C07F40"/>
    <w:rsid w:val="00C12E85"/>
    <w:rsid w:val="00C16A79"/>
    <w:rsid w:val="00C20278"/>
    <w:rsid w:val="00C22791"/>
    <w:rsid w:val="00C236DC"/>
    <w:rsid w:val="00C31B7F"/>
    <w:rsid w:val="00C32F79"/>
    <w:rsid w:val="00C33FD2"/>
    <w:rsid w:val="00C35271"/>
    <w:rsid w:val="00C4036A"/>
    <w:rsid w:val="00C50E28"/>
    <w:rsid w:val="00C60564"/>
    <w:rsid w:val="00C62934"/>
    <w:rsid w:val="00C64428"/>
    <w:rsid w:val="00C74D6F"/>
    <w:rsid w:val="00C842DE"/>
    <w:rsid w:val="00C902FB"/>
    <w:rsid w:val="00C965AE"/>
    <w:rsid w:val="00CA0AED"/>
    <w:rsid w:val="00CA66E6"/>
    <w:rsid w:val="00CC29DE"/>
    <w:rsid w:val="00CC3B64"/>
    <w:rsid w:val="00CD37C6"/>
    <w:rsid w:val="00CD3BA4"/>
    <w:rsid w:val="00CD41AA"/>
    <w:rsid w:val="00CD6943"/>
    <w:rsid w:val="00CE6C2F"/>
    <w:rsid w:val="00CE73CC"/>
    <w:rsid w:val="00CE7E9C"/>
    <w:rsid w:val="00CF2EF3"/>
    <w:rsid w:val="00CF3298"/>
    <w:rsid w:val="00D02F3B"/>
    <w:rsid w:val="00D0657B"/>
    <w:rsid w:val="00D129CB"/>
    <w:rsid w:val="00D16A04"/>
    <w:rsid w:val="00D27C17"/>
    <w:rsid w:val="00D41B89"/>
    <w:rsid w:val="00D47F27"/>
    <w:rsid w:val="00D5541F"/>
    <w:rsid w:val="00D57923"/>
    <w:rsid w:val="00D66387"/>
    <w:rsid w:val="00D741B6"/>
    <w:rsid w:val="00D74BD0"/>
    <w:rsid w:val="00D74FED"/>
    <w:rsid w:val="00D75A81"/>
    <w:rsid w:val="00D7761F"/>
    <w:rsid w:val="00D86806"/>
    <w:rsid w:val="00D86C35"/>
    <w:rsid w:val="00DB04FB"/>
    <w:rsid w:val="00DB6DFF"/>
    <w:rsid w:val="00DC003F"/>
    <w:rsid w:val="00DE72B3"/>
    <w:rsid w:val="00DF4668"/>
    <w:rsid w:val="00E00172"/>
    <w:rsid w:val="00E0533A"/>
    <w:rsid w:val="00E0701A"/>
    <w:rsid w:val="00E12A34"/>
    <w:rsid w:val="00E131D1"/>
    <w:rsid w:val="00E17AA0"/>
    <w:rsid w:val="00E2655B"/>
    <w:rsid w:val="00E311AB"/>
    <w:rsid w:val="00E358BF"/>
    <w:rsid w:val="00E36EC8"/>
    <w:rsid w:val="00E51146"/>
    <w:rsid w:val="00E512A9"/>
    <w:rsid w:val="00E54AF9"/>
    <w:rsid w:val="00E5624E"/>
    <w:rsid w:val="00E601D4"/>
    <w:rsid w:val="00E64C88"/>
    <w:rsid w:val="00E7179D"/>
    <w:rsid w:val="00E74832"/>
    <w:rsid w:val="00E81B04"/>
    <w:rsid w:val="00E820C5"/>
    <w:rsid w:val="00E87550"/>
    <w:rsid w:val="00E9413F"/>
    <w:rsid w:val="00E973D2"/>
    <w:rsid w:val="00EC7C64"/>
    <w:rsid w:val="00ED00D6"/>
    <w:rsid w:val="00EE26DC"/>
    <w:rsid w:val="00EE3FF1"/>
    <w:rsid w:val="00EE5816"/>
    <w:rsid w:val="00EF3D7E"/>
    <w:rsid w:val="00F03292"/>
    <w:rsid w:val="00F03DCE"/>
    <w:rsid w:val="00F0565C"/>
    <w:rsid w:val="00F121AE"/>
    <w:rsid w:val="00F15852"/>
    <w:rsid w:val="00F23F4B"/>
    <w:rsid w:val="00F46C50"/>
    <w:rsid w:val="00F56CD7"/>
    <w:rsid w:val="00F60B61"/>
    <w:rsid w:val="00F66E89"/>
    <w:rsid w:val="00F67822"/>
    <w:rsid w:val="00F70621"/>
    <w:rsid w:val="00F74182"/>
    <w:rsid w:val="00F7607A"/>
    <w:rsid w:val="00F8517B"/>
    <w:rsid w:val="00F90250"/>
    <w:rsid w:val="00F91395"/>
    <w:rsid w:val="00F961D7"/>
    <w:rsid w:val="00F97A2B"/>
    <w:rsid w:val="00FA0CA3"/>
    <w:rsid w:val="00FA3BC5"/>
    <w:rsid w:val="00FA40FE"/>
    <w:rsid w:val="00FB08DC"/>
    <w:rsid w:val="00FB0D30"/>
    <w:rsid w:val="00FB1AE0"/>
    <w:rsid w:val="00FB34C2"/>
    <w:rsid w:val="00FB42F5"/>
    <w:rsid w:val="00FD76E1"/>
    <w:rsid w:val="00FE0970"/>
    <w:rsid w:val="00FF3F3A"/>
    <w:rsid w:val="00FF400F"/>
    <w:rsid w:val="01064C9A"/>
    <w:rsid w:val="013E61E2"/>
    <w:rsid w:val="0140448D"/>
    <w:rsid w:val="014F4893"/>
    <w:rsid w:val="01541EA9"/>
    <w:rsid w:val="01580C56"/>
    <w:rsid w:val="015F7633"/>
    <w:rsid w:val="01781929"/>
    <w:rsid w:val="01877B89"/>
    <w:rsid w:val="019E3125"/>
    <w:rsid w:val="01D0068D"/>
    <w:rsid w:val="01D775B9"/>
    <w:rsid w:val="02026E30"/>
    <w:rsid w:val="020B6A0C"/>
    <w:rsid w:val="02132174"/>
    <w:rsid w:val="02186A33"/>
    <w:rsid w:val="0224187C"/>
    <w:rsid w:val="023130F5"/>
    <w:rsid w:val="024737BC"/>
    <w:rsid w:val="024C2B81"/>
    <w:rsid w:val="028604AE"/>
    <w:rsid w:val="029844DC"/>
    <w:rsid w:val="029D33DC"/>
    <w:rsid w:val="02AD3196"/>
    <w:rsid w:val="02AE1145"/>
    <w:rsid w:val="02C44E0D"/>
    <w:rsid w:val="02DA63DE"/>
    <w:rsid w:val="02ED7EC0"/>
    <w:rsid w:val="03200295"/>
    <w:rsid w:val="03280EF8"/>
    <w:rsid w:val="035E2B6B"/>
    <w:rsid w:val="0361440A"/>
    <w:rsid w:val="036D7252"/>
    <w:rsid w:val="03773C2D"/>
    <w:rsid w:val="03922815"/>
    <w:rsid w:val="03C350C4"/>
    <w:rsid w:val="03E2554B"/>
    <w:rsid w:val="03EA08A3"/>
    <w:rsid w:val="03F51722"/>
    <w:rsid w:val="03F62DA4"/>
    <w:rsid w:val="04066E90"/>
    <w:rsid w:val="045126D0"/>
    <w:rsid w:val="045D72C7"/>
    <w:rsid w:val="047A5783"/>
    <w:rsid w:val="047A71D0"/>
    <w:rsid w:val="04820ADC"/>
    <w:rsid w:val="0487418D"/>
    <w:rsid w:val="04893C18"/>
    <w:rsid w:val="04A173AB"/>
    <w:rsid w:val="04B14F1D"/>
    <w:rsid w:val="04C17856"/>
    <w:rsid w:val="04F01EE9"/>
    <w:rsid w:val="04F574FF"/>
    <w:rsid w:val="04F72882"/>
    <w:rsid w:val="04FF212C"/>
    <w:rsid w:val="05235E1B"/>
    <w:rsid w:val="052D0A47"/>
    <w:rsid w:val="052E656D"/>
    <w:rsid w:val="053242A6"/>
    <w:rsid w:val="053E0EA6"/>
    <w:rsid w:val="053F247C"/>
    <w:rsid w:val="05595CE0"/>
    <w:rsid w:val="057C377D"/>
    <w:rsid w:val="05812B41"/>
    <w:rsid w:val="058733BB"/>
    <w:rsid w:val="058805B9"/>
    <w:rsid w:val="058C5460"/>
    <w:rsid w:val="05AA653C"/>
    <w:rsid w:val="05C72C4A"/>
    <w:rsid w:val="05CB2336"/>
    <w:rsid w:val="05D15877"/>
    <w:rsid w:val="05D215EF"/>
    <w:rsid w:val="05D2339D"/>
    <w:rsid w:val="05D37841"/>
    <w:rsid w:val="05DB04A3"/>
    <w:rsid w:val="05E530D0"/>
    <w:rsid w:val="06127C3D"/>
    <w:rsid w:val="061A4B24"/>
    <w:rsid w:val="06231E4A"/>
    <w:rsid w:val="06253E14"/>
    <w:rsid w:val="0633208D"/>
    <w:rsid w:val="06587D46"/>
    <w:rsid w:val="067032E2"/>
    <w:rsid w:val="067E3A29"/>
    <w:rsid w:val="06856661"/>
    <w:rsid w:val="069114AA"/>
    <w:rsid w:val="06AE7966"/>
    <w:rsid w:val="06B07B82"/>
    <w:rsid w:val="06D00B5B"/>
    <w:rsid w:val="06DD649D"/>
    <w:rsid w:val="06EC66E0"/>
    <w:rsid w:val="06F04422"/>
    <w:rsid w:val="07020C1A"/>
    <w:rsid w:val="0709089A"/>
    <w:rsid w:val="071C5217"/>
    <w:rsid w:val="071D4AEC"/>
    <w:rsid w:val="07210A39"/>
    <w:rsid w:val="072242D3"/>
    <w:rsid w:val="072440CC"/>
    <w:rsid w:val="0737795B"/>
    <w:rsid w:val="073F4A62"/>
    <w:rsid w:val="07442078"/>
    <w:rsid w:val="076C53FA"/>
    <w:rsid w:val="076D22AC"/>
    <w:rsid w:val="0784404A"/>
    <w:rsid w:val="078608E3"/>
    <w:rsid w:val="07941252"/>
    <w:rsid w:val="07A25DD3"/>
    <w:rsid w:val="07A64AE1"/>
    <w:rsid w:val="07B55348"/>
    <w:rsid w:val="07EA70C4"/>
    <w:rsid w:val="07F0083A"/>
    <w:rsid w:val="08687FE8"/>
    <w:rsid w:val="08762705"/>
    <w:rsid w:val="08935065"/>
    <w:rsid w:val="08997D8A"/>
    <w:rsid w:val="08A76D63"/>
    <w:rsid w:val="08AD2074"/>
    <w:rsid w:val="08BB45BC"/>
    <w:rsid w:val="08C6368D"/>
    <w:rsid w:val="08D306C7"/>
    <w:rsid w:val="08D538D0"/>
    <w:rsid w:val="08D77648"/>
    <w:rsid w:val="08E04023"/>
    <w:rsid w:val="08EE4992"/>
    <w:rsid w:val="09077801"/>
    <w:rsid w:val="09115ABB"/>
    <w:rsid w:val="091C32AD"/>
    <w:rsid w:val="09212671"/>
    <w:rsid w:val="0926010A"/>
    <w:rsid w:val="09664528"/>
    <w:rsid w:val="09970B85"/>
    <w:rsid w:val="09975029"/>
    <w:rsid w:val="09AC1C5B"/>
    <w:rsid w:val="09AD03A9"/>
    <w:rsid w:val="09CE174C"/>
    <w:rsid w:val="09E613EC"/>
    <w:rsid w:val="09EA6F07"/>
    <w:rsid w:val="09F23B8C"/>
    <w:rsid w:val="09FE29B2"/>
    <w:rsid w:val="0A1C108A"/>
    <w:rsid w:val="0A2148F3"/>
    <w:rsid w:val="0A391C3C"/>
    <w:rsid w:val="0A3D172D"/>
    <w:rsid w:val="0A3E680D"/>
    <w:rsid w:val="0A74049D"/>
    <w:rsid w:val="0A831432"/>
    <w:rsid w:val="0A9B6453"/>
    <w:rsid w:val="0AAB338B"/>
    <w:rsid w:val="0AAF1EFF"/>
    <w:rsid w:val="0ABF0394"/>
    <w:rsid w:val="0AD84599"/>
    <w:rsid w:val="0B05734A"/>
    <w:rsid w:val="0B0E131B"/>
    <w:rsid w:val="0B115FB9"/>
    <w:rsid w:val="0B1A381C"/>
    <w:rsid w:val="0B352404"/>
    <w:rsid w:val="0B386398"/>
    <w:rsid w:val="0B536D2E"/>
    <w:rsid w:val="0B5C2086"/>
    <w:rsid w:val="0B6727D9"/>
    <w:rsid w:val="0B674587"/>
    <w:rsid w:val="0B6B4077"/>
    <w:rsid w:val="0B6D4294"/>
    <w:rsid w:val="0B6E5916"/>
    <w:rsid w:val="0B745622"/>
    <w:rsid w:val="0B76679F"/>
    <w:rsid w:val="0B7F5D75"/>
    <w:rsid w:val="0BB24C22"/>
    <w:rsid w:val="0BE45BD8"/>
    <w:rsid w:val="0BF202F5"/>
    <w:rsid w:val="0BFE313E"/>
    <w:rsid w:val="0C02649C"/>
    <w:rsid w:val="0C0A3890"/>
    <w:rsid w:val="0C1E6205"/>
    <w:rsid w:val="0C28640C"/>
    <w:rsid w:val="0C3C5A14"/>
    <w:rsid w:val="0C41302A"/>
    <w:rsid w:val="0C5A4DAC"/>
    <w:rsid w:val="0C874EE1"/>
    <w:rsid w:val="0C88488C"/>
    <w:rsid w:val="0C8A677F"/>
    <w:rsid w:val="0C99680B"/>
    <w:rsid w:val="0CC04897"/>
    <w:rsid w:val="0CD520F0"/>
    <w:rsid w:val="0CD67C16"/>
    <w:rsid w:val="0CD81BE1"/>
    <w:rsid w:val="0D0C53E6"/>
    <w:rsid w:val="0D1C7D1F"/>
    <w:rsid w:val="0D1E6705"/>
    <w:rsid w:val="0D2210AE"/>
    <w:rsid w:val="0D2766C4"/>
    <w:rsid w:val="0D6B6E82"/>
    <w:rsid w:val="0D9D0734"/>
    <w:rsid w:val="0DA90E87"/>
    <w:rsid w:val="0DAF0B93"/>
    <w:rsid w:val="0DB241E0"/>
    <w:rsid w:val="0DB74AC1"/>
    <w:rsid w:val="0DC14423"/>
    <w:rsid w:val="0DC83A03"/>
    <w:rsid w:val="0DCD1019"/>
    <w:rsid w:val="0DDE2DEC"/>
    <w:rsid w:val="0DE10B00"/>
    <w:rsid w:val="0DEF71E2"/>
    <w:rsid w:val="0E0913A3"/>
    <w:rsid w:val="0E0D58BA"/>
    <w:rsid w:val="0E0F1632"/>
    <w:rsid w:val="0E342E47"/>
    <w:rsid w:val="0E460DCC"/>
    <w:rsid w:val="0E464928"/>
    <w:rsid w:val="0E651252"/>
    <w:rsid w:val="0E653000"/>
    <w:rsid w:val="0E6D45AA"/>
    <w:rsid w:val="0E72396F"/>
    <w:rsid w:val="0E796AAB"/>
    <w:rsid w:val="0E7C0027"/>
    <w:rsid w:val="0E7F6315"/>
    <w:rsid w:val="0E9543D1"/>
    <w:rsid w:val="0EA33B28"/>
    <w:rsid w:val="0EB208AB"/>
    <w:rsid w:val="0EB36461"/>
    <w:rsid w:val="0EB45D35"/>
    <w:rsid w:val="0EBD75FE"/>
    <w:rsid w:val="0EC817E1"/>
    <w:rsid w:val="0ECA5559"/>
    <w:rsid w:val="0ED53B2A"/>
    <w:rsid w:val="0ED95D07"/>
    <w:rsid w:val="0EF600FC"/>
    <w:rsid w:val="0F096081"/>
    <w:rsid w:val="0F1B5913"/>
    <w:rsid w:val="0F2442A2"/>
    <w:rsid w:val="0F3D21CF"/>
    <w:rsid w:val="0F4C0664"/>
    <w:rsid w:val="0F5A5835"/>
    <w:rsid w:val="0F6E78D0"/>
    <w:rsid w:val="0F9526C5"/>
    <w:rsid w:val="0F9D4A1B"/>
    <w:rsid w:val="0FA638D0"/>
    <w:rsid w:val="0FAB538A"/>
    <w:rsid w:val="0FD33C3D"/>
    <w:rsid w:val="0FE8213B"/>
    <w:rsid w:val="0FF52AA9"/>
    <w:rsid w:val="10047D52"/>
    <w:rsid w:val="10150A56"/>
    <w:rsid w:val="10240C99"/>
    <w:rsid w:val="102723E9"/>
    <w:rsid w:val="102B64CB"/>
    <w:rsid w:val="107439CE"/>
    <w:rsid w:val="1090632E"/>
    <w:rsid w:val="109220A6"/>
    <w:rsid w:val="109B71AD"/>
    <w:rsid w:val="10A92DD3"/>
    <w:rsid w:val="10AF4A06"/>
    <w:rsid w:val="10BD54A5"/>
    <w:rsid w:val="10C55FD8"/>
    <w:rsid w:val="10C85AC8"/>
    <w:rsid w:val="10FF2329"/>
    <w:rsid w:val="11036B00"/>
    <w:rsid w:val="11082369"/>
    <w:rsid w:val="11357D2A"/>
    <w:rsid w:val="113849FC"/>
    <w:rsid w:val="113A4C18"/>
    <w:rsid w:val="11457119"/>
    <w:rsid w:val="1147614B"/>
    <w:rsid w:val="116E48C1"/>
    <w:rsid w:val="11785740"/>
    <w:rsid w:val="11845E93"/>
    <w:rsid w:val="11867E5D"/>
    <w:rsid w:val="11A2456B"/>
    <w:rsid w:val="11AE5258"/>
    <w:rsid w:val="11B30526"/>
    <w:rsid w:val="11DA1F57"/>
    <w:rsid w:val="11DF30C9"/>
    <w:rsid w:val="11FA6155"/>
    <w:rsid w:val="12130FC5"/>
    <w:rsid w:val="12371157"/>
    <w:rsid w:val="12483364"/>
    <w:rsid w:val="1257773F"/>
    <w:rsid w:val="127001C5"/>
    <w:rsid w:val="12771554"/>
    <w:rsid w:val="127759F8"/>
    <w:rsid w:val="127A0C92"/>
    <w:rsid w:val="127F48AC"/>
    <w:rsid w:val="129E4D32"/>
    <w:rsid w:val="12AD766B"/>
    <w:rsid w:val="12B91B6C"/>
    <w:rsid w:val="12BA7692"/>
    <w:rsid w:val="12BC165D"/>
    <w:rsid w:val="12CC5D44"/>
    <w:rsid w:val="12DE7825"/>
    <w:rsid w:val="12E3308D"/>
    <w:rsid w:val="12EF558E"/>
    <w:rsid w:val="13021765"/>
    <w:rsid w:val="13037AFF"/>
    <w:rsid w:val="13453400"/>
    <w:rsid w:val="13456351"/>
    <w:rsid w:val="134C0C32"/>
    <w:rsid w:val="137B79E1"/>
    <w:rsid w:val="137D0DEC"/>
    <w:rsid w:val="13833F28"/>
    <w:rsid w:val="13A03104"/>
    <w:rsid w:val="13CE5A4C"/>
    <w:rsid w:val="13D44784"/>
    <w:rsid w:val="13E62E35"/>
    <w:rsid w:val="14065285"/>
    <w:rsid w:val="143F42F3"/>
    <w:rsid w:val="144731A8"/>
    <w:rsid w:val="1457788F"/>
    <w:rsid w:val="146959FE"/>
    <w:rsid w:val="14717C9A"/>
    <w:rsid w:val="147F2942"/>
    <w:rsid w:val="149A413B"/>
    <w:rsid w:val="14AF7789"/>
    <w:rsid w:val="14BF5434"/>
    <w:rsid w:val="14CB5B87"/>
    <w:rsid w:val="14D50D33"/>
    <w:rsid w:val="14EF1875"/>
    <w:rsid w:val="14F50E56"/>
    <w:rsid w:val="151E65FF"/>
    <w:rsid w:val="152030DE"/>
    <w:rsid w:val="1537321C"/>
    <w:rsid w:val="154020D1"/>
    <w:rsid w:val="154261AA"/>
    <w:rsid w:val="158C543B"/>
    <w:rsid w:val="15A840F3"/>
    <w:rsid w:val="15C9656A"/>
    <w:rsid w:val="15FB249C"/>
    <w:rsid w:val="15FF3D3A"/>
    <w:rsid w:val="1602382A"/>
    <w:rsid w:val="16565924"/>
    <w:rsid w:val="16640041"/>
    <w:rsid w:val="16646293"/>
    <w:rsid w:val="16685D83"/>
    <w:rsid w:val="167C182F"/>
    <w:rsid w:val="167D1103"/>
    <w:rsid w:val="167D2FDD"/>
    <w:rsid w:val="168B406D"/>
    <w:rsid w:val="169052DA"/>
    <w:rsid w:val="169B1805"/>
    <w:rsid w:val="16A013DF"/>
    <w:rsid w:val="16AE5760"/>
    <w:rsid w:val="16AE750E"/>
    <w:rsid w:val="16B40FC8"/>
    <w:rsid w:val="16BE3BF5"/>
    <w:rsid w:val="16C46D32"/>
    <w:rsid w:val="16D84122"/>
    <w:rsid w:val="16E1737A"/>
    <w:rsid w:val="16E3540A"/>
    <w:rsid w:val="16E442B3"/>
    <w:rsid w:val="1711641B"/>
    <w:rsid w:val="1719707D"/>
    <w:rsid w:val="17215F32"/>
    <w:rsid w:val="172872C1"/>
    <w:rsid w:val="17457E73"/>
    <w:rsid w:val="174C1201"/>
    <w:rsid w:val="174F6F43"/>
    <w:rsid w:val="176821F4"/>
    <w:rsid w:val="17710C68"/>
    <w:rsid w:val="177C760C"/>
    <w:rsid w:val="177E1C86"/>
    <w:rsid w:val="179B7A92"/>
    <w:rsid w:val="17AD77C6"/>
    <w:rsid w:val="17B8521E"/>
    <w:rsid w:val="17CB7119"/>
    <w:rsid w:val="17D2722C"/>
    <w:rsid w:val="17FB49D5"/>
    <w:rsid w:val="18041ADC"/>
    <w:rsid w:val="182E6B59"/>
    <w:rsid w:val="187C5B16"/>
    <w:rsid w:val="189246B5"/>
    <w:rsid w:val="18A706B9"/>
    <w:rsid w:val="18A97C39"/>
    <w:rsid w:val="18C272A1"/>
    <w:rsid w:val="18CB43A7"/>
    <w:rsid w:val="18DA283C"/>
    <w:rsid w:val="18F733EE"/>
    <w:rsid w:val="18F90F15"/>
    <w:rsid w:val="19197809"/>
    <w:rsid w:val="192D6E10"/>
    <w:rsid w:val="1934019F"/>
    <w:rsid w:val="19373862"/>
    <w:rsid w:val="19520625"/>
    <w:rsid w:val="19526877"/>
    <w:rsid w:val="195E2798"/>
    <w:rsid w:val="19D2300F"/>
    <w:rsid w:val="19E95C61"/>
    <w:rsid w:val="1A0214BE"/>
    <w:rsid w:val="1A0E5C74"/>
    <w:rsid w:val="1A197394"/>
    <w:rsid w:val="1A352420"/>
    <w:rsid w:val="1A512FD2"/>
    <w:rsid w:val="1A5D54D3"/>
    <w:rsid w:val="1A5F124B"/>
    <w:rsid w:val="1A6124EF"/>
    <w:rsid w:val="1A710493"/>
    <w:rsid w:val="1A753095"/>
    <w:rsid w:val="1AB33908"/>
    <w:rsid w:val="1ADA2FC8"/>
    <w:rsid w:val="1AE259D8"/>
    <w:rsid w:val="1AE35507"/>
    <w:rsid w:val="1AE81EAB"/>
    <w:rsid w:val="1AEB2ADF"/>
    <w:rsid w:val="1B0E3099"/>
    <w:rsid w:val="1B3E3557"/>
    <w:rsid w:val="1B636B19"/>
    <w:rsid w:val="1B6805D3"/>
    <w:rsid w:val="1B7E1468"/>
    <w:rsid w:val="1B825739"/>
    <w:rsid w:val="1B83540D"/>
    <w:rsid w:val="1BC17CE4"/>
    <w:rsid w:val="1BCC0B62"/>
    <w:rsid w:val="1BDD4B1E"/>
    <w:rsid w:val="1BE718C7"/>
    <w:rsid w:val="1C146065"/>
    <w:rsid w:val="1C4032FE"/>
    <w:rsid w:val="1C406E5A"/>
    <w:rsid w:val="1C495921"/>
    <w:rsid w:val="1C744D56"/>
    <w:rsid w:val="1C7A6810"/>
    <w:rsid w:val="1C7B7E93"/>
    <w:rsid w:val="1C9C6787"/>
    <w:rsid w:val="1CA05B4B"/>
    <w:rsid w:val="1CA90EA4"/>
    <w:rsid w:val="1CAA6093"/>
    <w:rsid w:val="1CD770EC"/>
    <w:rsid w:val="1CE43C8A"/>
    <w:rsid w:val="1CF73A39"/>
    <w:rsid w:val="1D183933"/>
    <w:rsid w:val="1D1B3B0E"/>
    <w:rsid w:val="1D210A3A"/>
    <w:rsid w:val="1D214EDE"/>
    <w:rsid w:val="1D4A4435"/>
    <w:rsid w:val="1D524C10"/>
    <w:rsid w:val="1D61177E"/>
    <w:rsid w:val="1D7E7C3A"/>
    <w:rsid w:val="1D8D4321"/>
    <w:rsid w:val="1D9C27B6"/>
    <w:rsid w:val="1DAA4ED3"/>
    <w:rsid w:val="1DC53ABB"/>
    <w:rsid w:val="1DC835AB"/>
    <w:rsid w:val="1DE2466D"/>
    <w:rsid w:val="1E206F43"/>
    <w:rsid w:val="1E2F7187"/>
    <w:rsid w:val="1E340C41"/>
    <w:rsid w:val="1E401394"/>
    <w:rsid w:val="1E4E3AB1"/>
    <w:rsid w:val="1E51534F"/>
    <w:rsid w:val="1E5310C7"/>
    <w:rsid w:val="1E6908EA"/>
    <w:rsid w:val="1E766B63"/>
    <w:rsid w:val="1E9B2A6E"/>
    <w:rsid w:val="1EAC07D7"/>
    <w:rsid w:val="1EBA1146"/>
    <w:rsid w:val="1EBF4A85"/>
    <w:rsid w:val="1EC45B21"/>
    <w:rsid w:val="1EC73863"/>
    <w:rsid w:val="1ED63AA6"/>
    <w:rsid w:val="1EDF295B"/>
    <w:rsid w:val="1F046865"/>
    <w:rsid w:val="1F0A70F1"/>
    <w:rsid w:val="1F1D16D5"/>
    <w:rsid w:val="1F4536E0"/>
    <w:rsid w:val="1F525822"/>
    <w:rsid w:val="1F58270D"/>
    <w:rsid w:val="1F5D7D23"/>
    <w:rsid w:val="1F5F1CED"/>
    <w:rsid w:val="1F7237CF"/>
    <w:rsid w:val="1F770DE5"/>
    <w:rsid w:val="1F8D0609"/>
    <w:rsid w:val="1FA96FA3"/>
    <w:rsid w:val="1FB82BC8"/>
    <w:rsid w:val="1FE31481"/>
    <w:rsid w:val="1FE8673D"/>
    <w:rsid w:val="1FF468DA"/>
    <w:rsid w:val="200B6E05"/>
    <w:rsid w:val="200F101E"/>
    <w:rsid w:val="200F54C2"/>
    <w:rsid w:val="201B5C14"/>
    <w:rsid w:val="202D1DEC"/>
    <w:rsid w:val="2039253E"/>
    <w:rsid w:val="204607B7"/>
    <w:rsid w:val="204A02A8"/>
    <w:rsid w:val="204D7D98"/>
    <w:rsid w:val="205B4263"/>
    <w:rsid w:val="20690166"/>
    <w:rsid w:val="20712378"/>
    <w:rsid w:val="207B2DC6"/>
    <w:rsid w:val="20803CC9"/>
    <w:rsid w:val="209239FD"/>
    <w:rsid w:val="20B47E17"/>
    <w:rsid w:val="20DA3F99"/>
    <w:rsid w:val="20E37EB8"/>
    <w:rsid w:val="20E71F9A"/>
    <w:rsid w:val="20E97AC1"/>
    <w:rsid w:val="20EA2A65"/>
    <w:rsid w:val="20EF2BFD"/>
    <w:rsid w:val="210112AE"/>
    <w:rsid w:val="212F12B7"/>
    <w:rsid w:val="214E2A84"/>
    <w:rsid w:val="21817CF9"/>
    <w:rsid w:val="21884BA0"/>
    <w:rsid w:val="219519F6"/>
    <w:rsid w:val="2197576F"/>
    <w:rsid w:val="21A659B2"/>
    <w:rsid w:val="21B55BF5"/>
    <w:rsid w:val="21C31DF7"/>
    <w:rsid w:val="21DE15EF"/>
    <w:rsid w:val="22105521"/>
    <w:rsid w:val="2217240B"/>
    <w:rsid w:val="222039B6"/>
    <w:rsid w:val="2228094B"/>
    <w:rsid w:val="222B5EB7"/>
    <w:rsid w:val="222D7967"/>
    <w:rsid w:val="224A27E1"/>
    <w:rsid w:val="227635D6"/>
    <w:rsid w:val="22794E74"/>
    <w:rsid w:val="22AF6B26"/>
    <w:rsid w:val="22BB723B"/>
    <w:rsid w:val="22C87E24"/>
    <w:rsid w:val="22C95DFC"/>
    <w:rsid w:val="22E419F7"/>
    <w:rsid w:val="22EE06E2"/>
    <w:rsid w:val="22F84FC6"/>
    <w:rsid w:val="22FD3CF7"/>
    <w:rsid w:val="23072480"/>
    <w:rsid w:val="23250B58"/>
    <w:rsid w:val="23411E36"/>
    <w:rsid w:val="234D0B5D"/>
    <w:rsid w:val="235C6C70"/>
    <w:rsid w:val="23614286"/>
    <w:rsid w:val="23CC5B62"/>
    <w:rsid w:val="23CD510E"/>
    <w:rsid w:val="24170DE9"/>
    <w:rsid w:val="243472A5"/>
    <w:rsid w:val="2440076D"/>
    <w:rsid w:val="24A45F95"/>
    <w:rsid w:val="24A563F4"/>
    <w:rsid w:val="24B228BF"/>
    <w:rsid w:val="24C15199"/>
    <w:rsid w:val="24CE288D"/>
    <w:rsid w:val="24EF7670"/>
    <w:rsid w:val="24F46A34"/>
    <w:rsid w:val="25034EC9"/>
    <w:rsid w:val="251946ED"/>
    <w:rsid w:val="251C728F"/>
    <w:rsid w:val="25777D91"/>
    <w:rsid w:val="25781413"/>
    <w:rsid w:val="257858B7"/>
    <w:rsid w:val="258506D6"/>
    <w:rsid w:val="258B383C"/>
    <w:rsid w:val="259455FA"/>
    <w:rsid w:val="259719F3"/>
    <w:rsid w:val="25AB17E9"/>
    <w:rsid w:val="25AD5EB4"/>
    <w:rsid w:val="25BF5294"/>
    <w:rsid w:val="25C2759F"/>
    <w:rsid w:val="25C63DCF"/>
    <w:rsid w:val="25C74149"/>
    <w:rsid w:val="25DC7BF4"/>
    <w:rsid w:val="25DE267C"/>
    <w:rsid w:val="25E46AA9"/>
    <w:rsid w:val="25E66CC5"/>
    <w:rsid w:val="25FA62CC"/>
    <w:rsid w:val="260447C1"/>
    <w:rsid w:val="26143832"/>
    <w:rsid w:val="262275D1"/>
    <w:rsid w:val="263712CE"/>
    <w:rsid w:val="264B4D7A"/>
    <w:rsid w:val="264D6D44"/>
    <w:rsid w:val="26644EA7"/>
    <w:rsid w:val="266A3452"/>
    <w:rsid w:val="268D292B"/>
    <w:rsid w:val="26977FBF"/>
    <w:rsid w:val="26AF355A"/>
    <w:rsid w:val="26B50445"/>
    <w:rsid w:val="26B658F1"/>
    <w:rsid w:val="26D161A1"/>
    <w:rsid w:val="26DA55FB"/>
    <w:rsid w:val="26DC11F6"/>
    <w:rsid w:val="26EC191F"/>
    <w:rsid w:val="26F251F5"/>
    <w:rsid w:val="270C62B7"/>
    <w:rsid w:val="271E5FEA"/>
    <w:rsid w:val="272F7095"/>
    <w:rsid w:val="273870AC"/>
    <w:rsid w:val="276B56D3"/>
    <w:rsid w:val="276E687B"/>
    <w:rsid w:val="27802801"/>
    <w:rsid w:val="278A123C"/>
    <w:rsid w:val="279F537D"/>
    <w:rsid w:val="27CB7F20"/>
    <w:rsid w:val="27D52B4D"/>
    <w:rsid w:val="27D843EB"/>
    <w:rsid w:val="27EE00B2"/>
    <w:rsid w:val="27FC457D"/>
    <w:rsid w:val="2802590C"/>
    <w:rsid w:val="280451E0"/>
    <w:rsid w:val="280E7BD2"/>
    <w:rsid w:val="28153891"/>
    <w:rsid w:val="28177609"/>
    <w:rsid w:val="281C077C"/>
    <w:rsid w:val="28245427"/>
    <w:rsid w:val="28247630"/>
    <w:rsid w:val="282615FA"/>
    <w:rsid w:val="283E4B96"/>
    <w:rsid w:val="28414686"/>
    <w:rsid w:val="2849353B"/>
    <w:rsid w:val="284D6B87"/>
    <w:rsid w:val="28550131"/>
    <w:rsid w:val="28612632"/>
    <w:rsid w:val="28757E8C"/>
    <w:rsid w:val="28795BAF"/>
    <w:rsid w:val="287E4F92"/>
    <w:rsid w:val="28887BBF"/>
    <w:rsid w:val="28AB1AFF"/>
    <w:rsid w:val="28CB21A2"/>
    <w:rsid w:val="28D02BDD"/>
    <w:rsid w:val="28E62B38"/>
    <w:rsid w:val="28F96D0F"/>
    <w:rsid w:val="290B7A2E"/>
    <w:rsid w:val="292A6EC8"/>
    <w:rsid w:val="293B10D5"/>
    <w:rsid w:val="2944442E"/>
    <w:rsid w:val="294550C5"/>
    <w:rsid w:val="29493E9D"/>
    <w:rsid w:val="294F2293"/>
    <w:rsid w:val="29606D8E"/>
    <w:rsid w:val="2964062C"/>
    <w:rsid w:val="29787C34"/>
    <w:rsid w:val="29927747"/>
    <w:rsid w:val="29A749BD"/>
    <w:rsid w:val="29C9048F"/>
    <w:rsid w:val="29CB06AB"/>
    <w:rsid w:val="2A0108B7"/>
    <w:rsid w:val="2A04596B"/>
    <w:rsid w:val="2A0E67EA"/>
    <w:rsid w:val="2A133E00"/>
    <w:rsid w:val="2A1536D4"/>
    <w:rsid w:val="2A1A0CEB"/>
    <w:rsid w:val="2A202079"/>
    <w:rsid w:val="2A30050E"/>
    <w:rsid w:val="2A3B6D1B"/>
    <w:rsid w:val="2A411154"/>
    <w:rsid w:val="2A506E02"/>
    <w:rsid w:val="2A526D38"/>
    <w:rsid w:val="2A88659C"/>
    <w:rsid w:val="2A954815"/>
    <w:rsid w:val="2AD0584D"/>
    <w:rsid w:val="2AEE4B12"/>
    <w:rsid w:val="2AEF731C"/>
    <w:rsid w:val="2AFE685E"/>
    <w:rsid w:val="2B027774"/>
    <w:rsid w:val="2B0D0850"/>
    <w:rsid w:val="2B116592"/>
    <w:rsid w:val="2B122D8D"/>
    <w:rsid w:val="2B193698"/>
    <w:rsid w:val="2B1C4F36"/>
    <w:rsid w:val="2B2160A9"/>
    <w:rsid w:val="2B3202B6"/>
    <w:rsid w:val="2B361B54"/>
    <w:rsid w:val="2B367DA6"/>
    <w:rsid w:val="2B400C25"/>
    <w:rsid w:val="2B4714A0"/>
    <w:rsid w:val="2B606BD1"/>
    <w:rsid w:val="2B6C5576"/>
    <w:rsid w:val="2B717030"/>
    <w:rsid w:val="2B74267D"/>
    <w:rsid w:val="2B93739B"/>
    <w:rsid w:val="2B994370"/>
    <w:rsid w:val="2BA50A88"/>
    <w:rsid w:val="2BB60EE7"/>
    <w:rsid w:val="2BC034DB"/>
    <w:rsid w:val="2BEF4305"/>
    <w:rsid w:val="2C077995"/>
    <w:rsid w:val="2C1253C9"/>
    <w:rsid w:val="2C235EB7"/>
    <w:rsid w:val="2C2B5431"/>
    <w:rsid w:val="2C3C763E"/>
    <w:rsid w:val="2C467645"/>
    <w:rsid w:val="2C610E53"/>
    <w:rsid w:val="2C646B95"/>
    <w:rsid w:val="2C6646BB"/>
    <w:rsid w:val="2C83526D"/>
    <w:rsid w:val="2C9A0B92"/>
    <w:rsid w:val="2C9F3729"/>
    <w:rsid w:val="2CB73169"/>
    <w:rsid w:val="2CE47D2A"/>
    <w:rsid w:val="2CED0939"/>
    <w:rsid w:val="2CED6B8B"/>
    <w:rsid w:val="2CF27CFD"/>
    <w:rsid w:val="2CFA3055"/>
    <w:rsid w:val="2D012636"/>
    <w:rsid w:val="2D016C6B"/>
    <w:rsid w:val="2D0B5263"/>
    <w:rsid w:val="2D0D2D89"/>
    <w:rsid w:val="2D2B1461"/>
    <w:rsid w:val="2D2D1B91"/>
    <w:rsid w:val="2D3A7B18"/>
    <w:rsid w:val="2D404F0C"/>
    <w:rsid w:val="2D5B3AF4"/>
    <w:rsid w:val="2D8D7A26"/>
    <w:rsid w:val="2DA2135E"/>
    <w:rsid w:val="2DB9081B"/>
    <w:rsid w:val="2DCB70CE"/>
    <w:rsid w:val="2DCE2518"/>
    <w:rsid w:val="2DD218DC"/>
    <w:rsid w:val="2DDB69E3"/>
    <w:rsid w:val="2DEF7457"/>
    <w:rsid w:val="2E045F3A"/>
    <w:rsid w:val="2E093AD9"/>
    <w:rsid w:val="2E2A34C6"/>
    <w:rsid w:val="2E426A62"/>
    <w:rsid w:val="2E6C48D9"/>
    <w:rsid w:val="2E786928"/>
    <w:rsid w:val="2E8F4F19"/>
    <w:rsid w:val="2EA63495"/>
    <w:rsid w:val="2EB57234"/>
    <w:rsid w:val="2EB86D24"/>
    <w:rsid w:val="2ED7364E"/>
    <w:rsid w:val="2EF35FAE"/>
    <w:rsid w:val="2EFA6A37"/>
    <w:rsid w:val="2F167CA6"/>
    <w:rsid w:val="2F1A353B"/>
    <w:rsid w:val="2F452CAE"/>
    <w:rsid w:val="2F5D70AC"/>
    <w:rsid w:val="2F8B61E7"/>
    <w:rsid w:val="2FA36C75"/>
    <w:rsid w:val="2FBE036A"/>
    <w:rsid w:val="30006C40"/>
    <w:rsid w:val="302428C3"/>
    <w:rsid w:val="30297EDA"/>
    <w:rsid w:val="302C5C1C"/>
    <w:rsid w:val="303074BA"/>
    <w:rsid w:val="30405223"/>
    <w:rsid w:val="304124AE"/>
    <w:rsid w:val="30451A18"/>
    <w:rsid w:val="306929CC"/>
    <w:rsid w:val="306B405E"/>
    <w:rsid w:val="30832D34"/>
    <w:rsid w:val="30872E52"/>
    <w:rsid w:val="308C4B30"/>
    <w:rsid w:val="30A75681"/>
    <w:rsid w:val="30C714A1"/>
    <w:rsid w:val="30F21137"/>
    <w:rsid w:val="30F41419"/>
    <w:rsid w:val="30FC114A"/>
    <w:rsid w:val="310D77FB"/>
    <w:rsid w:val="310E0E7D"/>
    <w:rsid w:val="314A68DF"/>
    <w:rsid w:val="314F277C"/>
    <w:rsid w:val="315620B8"/>
    <w:rsid w:val="317F1D7B"/>
    <w:rsid w:val="31841AC8"/>
    <w:rsid w:val="31A737AC"/>
    <w:rsid w:val="31A87524"/>
    <w:rsid w:val="31B00187"/>
    <w:rsid w:val="31CB6D6E"/>
    <w:rsid w:val="31D200FD"/>
    <w:rsid w:val="31E64732"/>
    <w:rsid w:val="31EA5447"/>
    <w:rsid w:val="320C360F"/>
    <w:rsid w:val="32140715"/>
    <w:rsid w:val="32230959"/>
    <w:rsid w:val="324059AE"/>
    <w:rsid w:val="326351F9"/>
    <w:rsid w:val="327D078A"/>
    <w:rsid w:val="3284589B"/>
    <w:rsid w:val="32933D30"/>
    <w:rsid w:val="32B31CDC"/>
    <w:rsid w:val="32B859FE"/>
    <w:rsid w:val="32C75788"/>
    <w:rsid w:val="32CC7242"/>
    <w:rsid w:val="32E165BD"/>
    <w:rsid w:val="32EF385E"/>
    <w:rsid w:val="32FA3DAF"/>
    <w:rsid w:val="331E67DE"/>
    <w:rsid w:val="334F40FB"/>
    <w:rsid w:val="33641229"/>
    <w:rsid w:val="337B243F"/>
    <w:rsid w:val="338673F1"/>
    <w:rsid w:val="339D48A3"/>
    <w:rsid w:val="33BF2903"/>
    <w:rsid w:val="33CF6FEA"/>
    <w:rsid w:val="33EA3E24"/>
    <w:rsid w:val="33F64577"/>
    <w:rsid w:val="33FB1B8D"/>
    <w:rsid w:val="34056568"/>
    <w:rsid w:val="344D6526"/>
    <w:rsid w:val="34525525"/>
    <w:rsid w:val="346040E6"/>
    <w:rsid w:val="34945B3E"/>
    <w:rsid w:val="34A0589E"/>
    <w:rsid w:val="34A67F96"/>
    <w:rsid w:val="34AF1B39"/>
    <w:rsid w:val="34B0508B"/>
    <w:rsid w:val="34B1049E"/>
    <w:rsid w:val="34DF440A"/>
    <w:rsid w:val="34E502E4"/>
    <w:rsid w:val="34F53B0B"/>
    <w:rsid w:val="34F605A6"/>
    <w:rsid w:val="350031D3"/>
    <w:rsid w:val="350A581B"/>
    <w:rsid w:val="352275ED"/>
    <w:rsid w:val="352E7D40"/>
    <w:rsid w:val="35426A60"/>
    <w:rsid w:val="35571045"/>
    <w:rsid w:val="35586B6B"/>
    <w:rsid w:val="355A1520"/>
    <w:rsid w:val="355E7319"/>
    <w:rsid w:val="35690D78"/>
    <w:rsid w:val="35C75110"/>
    <w:rsid w:val="35CE6E2D"/>
    <w:rsid w:val="35DB7EC8"/>
    <w:rsid w:val="35EE2046"/>
    <w:rsid w:val="35F41640"/>
    <w:rsid w:val="362A0508"/>
    <w:rsid w:val="36394BEF"/>
    <w:rsid w:val="364652E8"/>
    <w:rsid w:val="36603F29"/>
    <w:rsid w:val="36653C36"/>
    <w:rsid w:val="366A4DA8"/>
    <w:rsid w:val="36897924"/>
    <w:rsid w:val="369116D0"/>
    <w:rsid w:val="36941E25"/>
    <w:rsid w:val="3699568D"/>
    <w:rsid w:val="369F7E9A"/>
    <w:rsid w:val="36B67FED"/>
    <w:rsid w:val="36C46BAE"/>
    <w:rsid w:val="36CC15BF"/>
    <w:rsid w:val="36DB7A54"/>
    <w:rsid w:val="370E607B"/>
    <w:rsid w:val="37112969"/>
    <w:rsid w:val="37180CA8"/>
    <w:rsid w:val="372907BF"/>
    <w:rsid w:val="37294C63"/>
    <w:rsid w:val="373830F8"/>
    <w:rsid w:val="374D6BA3"/>
    <w:rsid w:val="375647D6"/>
    <w:rsid w:val="376564AC"/>
    <w:rsid w:val="377A726D"/>
    <w:rsid w:val="377E4FAF"/>
    <w:rsid w:val="37893954"/>
    <w:rsid w:val="37971BCD"/>
    <w:rsid w:val="37A75B88"/>
    <w:rsid w:val="37D921E5"/>
    <w:rsid w:val="37F92887"/>
    <w:rsid w:val="37FC2378"/>
    <w:rsid w:val="380C2A2C"/>
    <w:rsid w:val="38454AF6"/>
    <w:rsid w:val="384B2884"/>
    <w:rsid w:val="384B3FA8"/>
    <w:rsid w:val="3854528C"/>
    <w:rsid w:val="38565141"/>
    <w:rsid w:val="38602906"/>
    <w:rsid w:val="38880B04"/>
    <w:rsid w:val="389F176C"/>
    <w:rsid w:val="38A00F55"/>
    <w:rsid w:val="38B95B73"/>
    <w:rsid w:val="38C509BB"/>
    <w:rsid w:val="38CF183A"/>
    <w:rsid w:val="38E30E42"/>
    <w:rsid w:val="38EF5A38"/>
    <w:rsid w:val="39036257"/>
    <w:rsid w:val="390F1199"/>
    <w:rsid w:val="39367F12"/>
    <w:rsid w:val="394538AA"/>
    <w:rsid w:val="39495149"/>
    <w:rsid w:val="394D5E49"/>
    <w:rsid w:val="39553AED"/>
    <w:rsid w:val="3986014B"/>
    <w:rsid w:val="39993E51"/>
    <w:rsid w:val="39AD02F7"/>
    <w:rsid w:val="39B5458C"/>
    <w:rsid w:val="39B60304"/>
    <w:rsid w:val="39DA2245"/>
    <w:rsid w:val="39DA3FF3"/>
    <w:rsid w:val="39DF3CFF"/>
    <w:rsid w:val="39E81075"/>
    <w:rsid w:val="39F71049"/>
    <w:rsid w:val="3A013C75"/>
    <w:rsid w:val="3A12378C"/>
    <w:rsid w:val="3A2B6F44"/>
    <w:rsid w:val="3A322081"/>
    <w:rsid w:val="3A331955"/>
    <w:rsid w:val="3A361B71"/>
    <w:rsid w:val="3A456E52"/>
    <w:rsid w:val="3A463AB7"/>
    <w:rsid w:val="3A4B6C9E"/>
    <w:rsid w:val="3A4E32AE"/>
    <w:rsid w:val="3A631110"/>
    <w:rsid w:val="3A7C32FC"/>
    <w:rsid w:val="3AC7034A"/>
    <w:rsid w:val="3AC70A1B"/>
    <w:rsid w:val="3AD66EB0"/>
    <w:rsid w:val="3AEA64B7"/>
    <w:rsid w:val="3AF92B9E"/>
    <w:rsid w:val="3AFA0DF0"/>
    <w:rsid w:val="3B236ECD"/>
    <w:rsid w:val="3B324D24"/>
    <w:rsid w:val="3B337E5E"/>
    <w:rsid w:val="3B343BD6"/>
    <w:rsid w:val="3B3C653D"/>
    <w:rsid w:val="3B497682"/>
    <w:rsid w:val="3B49769C"/>
    <w:rsid w:val="3B53405D"/>
    <w:rsid w:val="3B613094"/>
    <w:rsid w:val="3B691AD2"/>
    <w:rsid w:val="3B6E533A"/>
    <w:rsid w:val="3B7F30A4"/>
    <w:rsid w:val="3B8561E0"/>
    <w:rsid w:val="3B8B1A48"/>
    <w:rsid w:val="3B9A415A"/>
    <w:rsid w:val="3BA2244B"/>
    <w:rsid w:val="3BB07701"/>
    <w:rsid w:val="3BB2349B"/>
    <w:rsid w:val="3BB865B6"/>
    <w:rsid w:val="3BBF7944"/>
    <w:rsid w:val="3BC82C9D"/>
    <w:rsid w:val="3BEE1F9C"/>
    <w:rsid w:val="3C0D4B53"/>
    <w:rsid w:val="3C2105FF"/>
    <w:rsid w:val="3C372D23"/>
    <w:rsid w:val="3C447E49"/>
    <w:rsid w:val="3C4B380F"/>
    <w:rsid w:val="3C4F6F1A"/>
    <w:rsid w:val="3C511E12"/>
    <w:rsid w:val="3C5F2ED5"/>
    <w:rsid w:val="3C97441D"/>
    <w:rsid w:val="3CA408E8"/>
    <w:rsid w:val="3CA64660"/>
    <w:rsid w:val="3CBD0327"/>
    <w:rsid w:val="3CC14C1F"/>
    <w:rsid w:val="3CD0758C"/>
    <w:rsid w:val="3CDE6FFD"/>
    <w:rsid w:val="3CE55188"/>
    <w:rsid w:val="3CF56BC9"/>
    <w:rsid w:val="3D0A4BEF"/>
    <w:rsid w:val="3D1F37E4"/>
    <w:rsid w:val="3D211F38"/>
    <w:rsid w:val="3D235CB1"/>
    <w:rsid w:val="3D31113A"/>
    <w:rsid w:val="3D37175C"/>
    <w:rsid w:val="3D695DB9"/>
    <w:rsid w:val="3D762284"/>
    <w:rsid w:val="3D864BBD"/>
    <w:rsid w:val="3DDD67A7"/>
    <w:rsid w:val="3DE23DBE"/>
    <w:rsid w:val="3E1A70B4"/>
    <w:rsid w:val="3E330175"/>
    <w:rsid w:val="3E4A17D4"/>
    <w:rsid w:val="3E655E3A"/>
    <w:rsid w:val="3E667746"/>
    <w:rsid w:val="3E885B96"/>
    <w:rsid w:val="3E8E35FE"/>
    <w:rsid w:val="3EB43064"/>
    <w:rsid w:val="3EB92D70"/>
    <w:rsid w:val="3ECD4126"/>
    <w:rsid w:val="3EF1250A"/>
    <w:rsid w:val="3F0C66A8"/>
    <w:rsid w:val="3F163D1F"/>
    <w:rsid w:val="3F281CA4"/>
    <w:rsid w:val="3F2B709E"/>
    <w:rsid w:val="3F4500E9"/>
    <w:rsid w:val="3F450160"/>
    <w:rsid w:val="3F4C14EF"/>
    <w:rsid w:val="3F606EC9"/>
    <w:rsid w:val="3F692622"/>
    <w:rsid w:val="3F7153F9"/>
    <w:rsid w:val="3F720A50"/>
    <w:rsid w:val="3F917849"/>
    <w:rsid w:val="3F9B0612"/>
    <w:rsid w:val="3F9D1D4A"/>
    <w:rsid w:val="3FA241A2"/>
    <w:rsid w:val="3FAA4467"/>
    <w:rsid w:val="3FAC01DF"/>
    <w:rsid w:val="3FB4343D"/>
    <w:rsid w:val="3FD85478"/>
    <w:rsid w:val="40155D85"/>
    <w:rsid w:val="403A57EB"/>
    <w:rsid w:val="404B3E9C"/>
    <w:rsid w:val="4061546E"/>
    <w:rsid w:val="4079067E"/>
    <w:rsid w:val="4093139F"/>
    <w:rsid w:val="409343AF"/>
    <w:rsid w:val="409A0980"/>
    <w:rsid w:val="40AC655D"/>
    <w:rsid w:val="40D75730"/>
    <w:rsid w:val="40E63BC5"/>
    <w:rsid w:val="40FA4F7A"/>
    <w:rsid w:val="41362456"/>
    <w:rsid w:val="413C37E5"/>
    <w:rsid w:val="41487F61"/>
    <w:rsid w:val="414A122C"/>
    <w:rsid w:val="414A5F02"/>
    <w:rsid w:val="415648A7"/>
    <w:rsid w:val="415A71E1"/>
    <w:rsid w:val="41630D72"/>
    <w:rsid w:val="419B675D"/>
    <w:rsid w:val="419F484B"/>
    <w:rsid w:val="41AA69A0"/>
    <w:rsid w:val="41B15F81"/>
    <w:rsid w:val="41C31810"/>
    <w:rsid w:val="41E225DE"/>
    <w:rsid w:val="41F8595E"/>
    <w:rsid w:val="420C600C"/>
    <w:rsid w:val="42100EF9"/>
    <w:rsid w:val="4214206C"/>
    <w:rsid w:val="421B164C"/>
    <w:rsid w:val="422246E7"/>
    <w:rsid w:val="422B5D33"/>
    <w:rsid w:val="42312D26"/>
    <w:rsid w:val="4241671F"/>
    <w:rsid w:val="42454372"/>
    <w:rsid w:val="42573796"/>
    <w:rsid w:val="426E5C20"/>
    <w:rsid w:val="42786A9F"/>
    <w:rsid w:val="428B67D2"/>
    <w:rsid w:val="428E0070"/>
    <w:rsid w:val="42943344"/>
    <w:rsid w:val="42975177"/>
    <w:rsid w:val="42C615B8"/>
    <w:rsid w:val="42D77C69"/>
    <w:rsid w:val="42EB2B81"/>
    <w:rsid w:val="42FA018B"/>
    <w:rsid w:val="42FC322C"/>
    <w:rsid w:val="43046BE3"/>
    <w:rsid w:val="43171E14"/>
    <w:rsid w:val="4329542D"/>
    <w:rsid w:val="43484F88"/>
    <w:rsid w:val="435C1F1C"/>
    <w:rsid w:val="437216C9"/>
    <w:rsid w:val="4385588B"/>
    <w:rsid w:val="4387343D"/>
    <w:rsid w:val="43882D11"/>
    <w:rsid w:val="43884ABF"/>
    <w:rsid w:val="43911BC6"/>
    <w:rsid w:val="43972F54"/>
    <w:rsid w:val="439E42E3"/>
    <w:rsid w:val="43A124B3"/>
    <w:rsid w:val="43A538C3"/>
    <w:rsid w:val="43BB4E95"/>
    <w:rsid w:val="43C55D14"/>
    <w:rsid w:val="43D85A47"/>
    <w:rsid w:val="43DE0B83"/>
    <w:rsid w:val="43E97C54"/>
    <w:rsid w:val="43F839F3"/>
    <w:rsid w:val="44022AC4"/>
    <w:rsid w:val="44044A8E"/>
    <w:rsid w:val="44236B1E"/>
    <w:rsid w:val="44244662"/>
    <w:rsid w:val="444158E6"/>
    <w:rsid w:val="44564BBE"/>
    <w:rsid w:val="446068F2"/>
    <w:rsid w:val="44641089"/>
    <w:rsid w:val="446948F1"/>
    <w:rsid w:val="449018C1"/>
    <w:rsid w:val="44C11AA6"/>
    <w:rsid w:val="44D04970"/>
    <w:rsid w:val="44D426B2"/>
    <w:rsid w:val="44E346A3"/>
    <w:rsid w:val="44E67CEF"/>
    <w:rsid w:val="44F3240C"/>
    <w:rsid w:val="45110AAC"/>
    <w:rsid w:val="45123CB8"/>
    <w:rsid w:val="451A208F"/>
    <w:rsid w:val="45350C77"/>
    <w:rsid w:val="45415D40"/>
    <w:rsid w:val="45435142"/>
    <w:rsid w:val="45451DF1"/>
    <w:rsid w:val="45490111"/>
    <w:rsid w:val="45570447"/>
    <w:rsid w:val="455E0086"/>
    <w:rsid w:val="4565330A"/>
    <w:rsid w:val="45682DFA"/>
    <w:rsid w:val="45723C79"/>
    <w:rsid w:val="457378F7"/>
    <w:rsid w:val="45816D25"/>
    <w:rsid w:val="45DB537A"/>
    <w:rsid w:val="45DE130F"/>
    <w:rsid w:val="45E00BE3"/>
    <w:rsid w:val="45EF3280"/>
    <w:rsid w:val="45F43872"/>
    <w:rsid w:val="460D5750"/>
    <w:rsid w:val="46113492"/>
    <w:rsid w:val="461B3AA5"/>
    <w:rsid w:val="462C5BD6"/>
    <w:rsid w:val="462E5DF2"/>
    <w:rsid w:val="46362EF9"/>
    <w:rsid w:val="464C0026"/>
    <w:rsid w:val="46590D6C"/>
    <w:rsid w:val="465E4A23"/>
    <w:rsid w:val="4672304E"/>
    <w:rsid w:val="46843C64"/>
    <w:rsid w:val="469F45FA"/>
    <w:rsid w:val="46A460B4"/>
    <w:rsid w:val="46AF05B5"/>
    <w:rsid w:val="46D30747"/>
    <w:rsid w:val="46E14C12"/>
    <w:rsid w:val="470D3C59"/>
    <w:rsid w:val="472B1462"/>
    <w:rsid w:val="473B0E1B"/>
    <w:rsid w:val="473F27FF"/>
    <w:rsid w:val="476017C6"/>
    <w:rsid w:val="476B0980"/>
    <w:rsid w:val="47745A86"/>
    <w:rsid w:val="477A0BC3"/>
    <w:rsid w:val="47811F51"/>
    <w:rsid w:val="47833F1C"/>
    <w:rsid w:val="478E2D76"/>
    <w:rsid w:val="47A0327B"/>
    <w:rsid w:val="47A65E5C"/>
    <w:rsid w:val="47AB6FCE"/>
    <w:rsid w:val="47B71E17"/>
    <w:rsid w:val="47E67FE2"/>
    <w:rsid w:val="47F0014A"/>
    <w:rsid w:val="481903DC"/>
    <w:rsid w:val="486C0E54"/>
    <w:rsid w:val="48740AF8"/>
    <w:rsid w:val="487B247F"/>
    <w:rsid w:val="48907EB9"/>
    <w:rsid w:val="48B56357"/>
    <w:rsid w:val="48B955C2"/>
    <w:rsid w:val="48B9571B"/>
    <w:rsid w:val="48BA396D"/>
    <w:rsid w:val="48F30C2D"/>
    <w:rsid w:val="48F36D2B"/>
    <w:rsid w:val="48F86243"/>
    <w:rsid w:val="490177EE"/>
    <w:rsid w:val="49025314"/>
    <w:rsid w:val="490270C2"/>
    <w:rsid w:val="490D6193"/>
    <w:rsid w:val="490E1F0B"/>
    <w:rsid w:val="492B090F"/>
    <w:rsid w:val="4932003B"/>
    <w:rsid w:val="49382AE4"/>
    <w:rsid w:val="49417BEA"/>
    <w:rsid w:val="495B578A"/>
    <w:rsid w:val="4968786D"/>
    <w:rsid w:val="496F0BFB"/>
    <w:rsid w:val="49734B65"/>
    <w:rsid w:val="49843F7B"/>
    <w:rsid w:val="498E0956"/>
    <w:rsid w:val="49911DC2"/>
    <w:rsid w:val="499A718B"/>
    <w:rsid w:val="49B52386"/>
    <w:rsid w:val="49C7133D"/>
    <w:rsid w:val="49DF11B1"/>
    <w:rsid w:val="49EC3FFA"/>
    <w:rsid w:val="49F72751"/>
    <w:rsid w:val="4A1B668D"/>
    <w:rsid w:val="4A1E3C56"/>
    <w:rsid w:val="4A1E617D"/>
    <w:rsid w:val="4A280647"/>
    <w:rsid w:val="4A39021C"/>
    <w:rsid w:val="4A3B69AF"/>
    <w:rsid w:val="4A421E6C"/>
    <w:rsid w:val="4A460A14"/>
    <w:rsid w:val="4A730023"/>
    <w:rsid w:val="4A8833F8"/>
    <w:rsid w:val="4A8A619F"/>
    <w:rsid w:val="4A946745"/>
    <w:rsid w:val="4AA2290B"/>
    <w:rsid w:val="4AD46AF0"/>
    <w:rsid w:val="4ADF76BB"/>
    <w:rsid w:val="4AE1272C"/>
    <w:rsid w:val="4AE202F8"/>
    <w:rsid w:val="4AEA690F"/>
    <w:rsid w:val="4B087490"/>
    <w:rsid w:val="4B125FF6"/>
    <w:rsid w:val="4B2B2900"/>
    <w:rsid w:val="4B3F45FD"/>
    <w:rsid w:val="4B4614E8"/>
    <w:rsid w:val="4B6C4CC7"/>
    <w:rsid w:val="4B783FDA"/>
    <w:rsid w:val="4B7D0C82"/>
    <w:rsid w:val="4B8057E5"/>
    <w:rsid w:val="4B8B339F"/>
    <w:rsid w:val="4B92472D"/>
    <w:rsid w:val="4BA97CC9"/>
    <w:rsid w:val="4BD016F9"/>
    <w:rsid w:val="4BF47196"/>
    <w:rsid w:val="4C0575F5"/>
    <w:rsid w:val="4C0D46FC"/>
    <w:rsid w:val="4C2B503E"/>
    <w:rsid w:val="4C312198"/>
    <w:rsid w:val="4C3253A4"/>
    <w:rsid w:val="4C481290"/>
    <w:rsid w:val="4C5C4D3B"/>
    <w:rsid w:val="4C63273B"/>
    <w:rsid w:val="4C787DC7"/>
    <w:rsid w:val="4C8449BE"/>
    <w:rsid w:val="4C987D10"/>
    <w:rsid w:val="4CA94424"/>
    <w:rsid w:val="4CAA3CF8"/>
    <w:rsid w:val="4CBE77A4"/>
    <w:rsid w:val="4CC42453"/>
    <w:rsid w:val="4CD62D3F"/>
    <w:rsid w:val="4CE0771A"/>
    <w:rsid w:val="4CF051AC"/>
    <w:rsid w:val="4D0C050F"/>
    <w:rsid w:val="4D275349"/>
    <w:rsid w:val="4D293A2A"/>
    <w:rsid w:val="4D331F40"/>
    <w:rsid w:val="4D3B0DF4"/>
    <w:rsid w:val="4D7F6F33"/>
    <w:rsid w:val="4D8409ED"/>
    <w:rsid w:val="4D9549A9"/>
    <w:rsid w:val="4D9D16E6"/>
    <w:rsid w:val="4DB017E2"/>
    <w:rsid w:val="4DB82445"/>
    <w:rsid w:val="4DC25072"/>
    <w:rsid w:val="4DC96400"/>
    <w:rsid w:val="4DE106CB"/>
    <w:rsid w:val="4DEB281B"/>
    <w:rsid w:val="4E10402F"/>
    <w:rsid w:val="4E121B55"/>
    <w:rsid w:val="4E1E49C3"/>
    <w:rsid w:val="4E2B2C17"/>
    <w:rsid w:val="4E505C68"/>
    <w:rsid w:val="4E573A0C"/>
    <w:rsid w:val="4E5C1022"/>
    <w:rsid w:val="4E760336"/>
    <w:rsid w:val="4E7C16C5"/>
    <w:rsid w:val="4EAC6FD6"/>
    <w:rsid w:val="4EB250E6"/>
    <w:rsid w:val="4EBE1CDD"/>
    <w:rsid w:val="4EC05A55"/>
    <w:rsid w:val="4ECA0682"/>
    <w:rsid w:val="4ECD0674"/>
    <w:rsid w:val="4EE47996"/>
    <w:rsid w:val="4EE74D90"/>
    <w:rsid w:val="4EEF633A"/>
    <w:rsid w:val="4EF962DC"/>
    <w:rsid w:val="4EFB083B"/>
    <w:rsid w:val="4F1D6A04"/>
    <w:rsid w:val="4F2935FA"/>
    <w:rsid w:val="4F495A4B"/>
    <w:rsid w:val="4F525484"/>
    <w:rsid w:val="4F587A3C"/>
    <w:rsid w:val="4F6C6BDA"/>
    <w:rsid w:val="4F7E394E"/>
    <w:rsid w:val="4F7F2029"/>
    <w:rsid w:val="4F870321"/>
    <w:rsid w:val="4F9071D6"/>
    <w:rsid w:val="4F9547EC"/>
    <w:rsid w:val="4FE14ABD"/>
    <w:rsid w:val="4FE6773D"/>
    <w:rsid w:val="4FEE5126"/>
    <w:rsid w:val="4FF43AC5"/>
    <w:rsid w:val="4FF77255"/>
    <w:rsid w:val="4FFE4A87"/>
    <w:rsid w:val="50106568"/>
    <w:rsid w:val="501222E0"/>
    <w:rsid w:val="50130A4A"/>
    <w:rsid w:val="501F0559"/>
    <w:rsid w:val="5023629C"/>
    <w:rsid w:val="503A5393"/>
    <w:rsid w:val="503F29AA"/>
    <w:rsid w:val="5043249A"/>
    <w:rsid w:val="505521CD"/>
    <w:rsid w:val="507C7AD6"/>
    <w:rsid w:val="50827466"/>
    <w:rsid w:val="50983711"/>
    <w:rsid w:val="50A078EC"/>
    <w:rsid w:val="50B679A2"/>
    <w:rsid w:val="50D21A70"/>
    <w:rsid w:val="50D457E8"/>
    <w:rsid w:val="50D75B0C"/>
    <w:rsid w:val="50FB4B23"/>
    <w:rsid w:val="51163F32"/>
    <w:rsid w:val="51183927"/>
    <w:rsid w:val="51226553"/>
    <w:rsid w:val="514E7348"/>
    <w:rsid w:val="51516E38"/>
    <w:rsid w:val="519A433C"/>
    <w:rsid w:val="51AE366B"/>
    <w:rsid w:val="51D823BF"/>
    <w:rsid w:val="51DF0427"/>
    <w:rsid w:val="51E67581"/>
    <w:rsid w:val="51F83758"/>
    <w:rsid w:val="520B3E30"/>
    <w:rsid w:val="5212247C"/>
    <w:rsid w:val="521A547C"/>
    <w:rsid w:val="521F6F37"/>
    <w:rsid w:val="5246001F"/>
    <w:rsid w:val="52972F71"/>
    <w:rsid w:val="52B0193D"/>
    <w:rsid w:val="52BC29D7"/>
    <w:rsid w:val="52C8312A"/>
    <w:rsid w:val="52DB5A27"/>
    <w:rsid w:val="52DD4E28"/>
    <w:rsid w:val="52DE4AD3"/>
    <w:rsid w:val="52E70521"/>
    <w:rsid w:val="52FB52AE"/>
    <w:rsid w:val="52FE08FA"/>
    <w:rsid w:val="53187C39"/>
    <w:rsid w:val="531F04EC"/>
    <w:rsid w:val="532145E9"/>
    <w:rsid w:val="53220A8C"/>
    <w:rsid w:val="532E2213"/>
    <w:rsid w:val="533026AA"/>
    <w:rsid w:val="53487DC7"/>
    <w:rsid w:val="534C78B7"/>
    <w:rsid w:val="534D3630"/>
    <w:rsid w:val="53807561"/>
    <w:rsid w:val="5382152B"/>
    <w:rsid w:val="538708F0"/>
    <w:rsid w:val="538E7D0E"/>
    <w:rsid w:val="53A56FC8"/>
    <w:rsid w:val="53B4545D"/>
    <w:rsid w:val="53B8319F"/>
    <w:rsid w:val="53DF24DA"/>
    <w:rsid w:val="53F65A75"/>
    <w:rsid w:val="53FB308C"/>
    <w:rsid w:val="5416466D"/>
    <w:rsid w:val="541A1764"/>
    <w:rsid w:val="541E71DA"/>
    <w:rsid w:val="542F214A"/>
    <w:rsid w:val="54302D35"/>
    <w:rsid w:val="54316AAD"/>
    <w:rsid w:val="54343F40"/>
    <w:rsid w:val="543640C4"/>
    <w:rsid w:val="543A3BB4"/>
    <w:rsid w:val="54640C31"/>
    <w:rsid w:val="54661645"/>
    <w:rsid w:val="54666214"/>
    <w:rsid w:val="546F1A89"/>
    <w:rsid w:val="547F3CBD"/>
    <w:rsid w:val="548968E9"/>
    <w:rsid w:val="54AA0D3A"/>
    <w:rsid w:val="54AB6860"/>
    <w:rsid w:val="54BB2F47"/>
    <w:rsid w:val="54BE216E"/>
    <w:rsid w:val="54BF40B9"/>
    <w:rsid w:val="54D73AF9"/>
    <w:rsid w:val="54D77655"/>
    <w:rsid w:val="54D933CD"/>
    <w:rsid w:val="54DF37FA"/>
    <w:rsid w:val="550D2661"/>
    <w:rsid w:val="550F3292"/>
    <w:rsid w:val="552A3C28"/>
    <w:rsid w:val="55563AD1"/>
    <w:rsid w:val="555D2250"/>
    <w:rsid w:val="558722C8"/>
    <w:rsid w:val="55AC6D33"/>
    <w:rsid w:val="55AD03B6"/>
    <w:rsid w:val="55BD221A"/>
    <w:rsid w:val="55C027DF"/>
    <w:rsid w:val="55CE2806"/>
    <w:rsid w:val="55D63DB0"/>
    <w:rsid w:val="55DB3175"/>
    <w:rsid w:val="55EE4C56"/>
    <w:rsid w:val="55F61D5C"/>
    <w:rsid w:val="56051FA0"/>
    <w:rsid w:val="56222B52"/>
    <w:rsid w:val="562A1B91"/>
    <w:rsid w:val="562B40FC"/>
    <w:rsid w:val="562B5B9A"/>
    <w:rsid w:val="56331D5B"/>
    <w:rsid w:val="5637484F"/>
    <w:rsid w:val="563C4CD9"/>
    <w:rsid w:val="5640122A"/>
    <w:rsid w:val="56570A4D"/>
    <w:rsid w:val="565E627F"/>
    <w:rsid w:val="568A7075"/>
    <w:rsid w:val="56AB7BA5"/>
    <w:rsid w:val="56AF3861"/>
    <w:rsid w:val="56B85264"/>
    <w:rsid w:val="56CA56C3"/>
    <w:rsid w:val="56CE61DF"/>
    <w:rsid w:val="56CF0F2B"/>
    <w:rsid w:val="56DC53F6"/>
    <w:rsid w:val="571406EC"/>
    <w:rsid w:val="5714693E"/>
    <w:rsid w:val="573F67D1"/>
    <w:rsid w:val="575C2093"/>
    <w:rsid w:val="576D604E"/>
    <w:rsid w:val="57706229"/>
    <w:rsid w:val="578C2978"/>
    <w:rsid w:val="57BE4AFC"/>
    <w:rsid w:val="57C2639A"/>
    <w:rsid w:val="57CE11E3"/>
    <w:rsid w:val="57CF2865"/>
    <w:rsid w:val="57E07028"/>
    <w:rsid w:val="57E207EA"/>
    <w:rsid w:val="57EC78BB"/>
    <w:rsid w:val="57F549C2"/>
    <w:rsid w:val="58056E75"/>
    <w:rsid w:val="580764A3"/>
    <w:rsid w:val="58260F8E"/>
    <w:rsid w:val="58292253"/>
    <w:rsid w:val="582C5F09"/>
    <w:rsid w:val="586C6306"/>
    <w:rsid w:val="58737694"/>
    <w:rsid w:val="587F072F"/>
    <w:rsid w:val="58951AB6"/>
    <w:rsid w:val="58BA1767"/>
    <w:rsid w:val="59044790"/>
    <w:rsid w:val="59095CAC"/>
    <w:rsid w:val="59215342"/>
    <w:rsid w:val="5928001D"/>
    <w:rsid w:val="592941F7"/>
    <w:rsid w:val="592A3C50"/>
    <w:rsid w:val="594026BD"/>
    <w:rsid w:val="59460076"/>
    <w:rsid w:val="59515D8A"/>
    <w:rsid w:val="595C637A"/>
    <w:rsid w:val="5960477C"/>
    <w:rsid w:val="596B66F6"/>
    <w:rsid w:val="596C2A61"/>
    <w:rsid w:val="596F6178"/>
    <w:rsid w:val="597E2795"/>
    <w:rsid w:val="59A5674B"/>
    <w:rsid w:val="59AD4E28"/>
    <w:rsid w:val="59BD150F"/>
    <w:rsid w:val="59BE0DE3"/>
    <w:rsid w:val="59C53F20"/>
    <w:rsid w:val="59D535F0"/>
    <w:rsid w:val="5A0228E9"/>
    <w:rsid w:val="5A146C55"/>
    <w:rsid w:val="5A151F73"/>
    <w:rsid w:val="5A571ED0"/>
    <w:rsid w:val="5A582FE6"/>
    <w:rsid w:val="5AA77AC9"/>
    <w:rsid w:val="5AA91A93"/>
    <w:rsid w:val="5ABE4B07"/>
    <w:rsid w:val="5AC266B1"/>
    <w:rsid w:val="5AEB5EE6"/>
    <w:rsid w:val="5AEE74A6"/>
    <w:rsid w:val="5AFA409D"/>
    <w:rsid w:val="5AFA5E4B"/>
    <w:rsid w:val="5B307ABF"/>
    <w:rsid w:val="5B321A89"/>
    <w:rsid w:val="5B32273E"/>
    <w:rsid w:val="5B353327"/>
    <w:rsid w:val="5B386973"/>
    <w:rsid w:val="5B4602DF"/>
    <w:rsid w:val="5B4A6DD2"/>
    <w:rsid w:val="5B57329D"/>
    <w:rsid w:val="5B6F6839"/>
    <w:rsid w:val="5B751975"/>
    <w:rsid w:val="5B765E19"/>
    <w:rsid w:val="5B8147BE"/>
    <w:rsid w:val="5B920779"/>
    <w:rsid w:val="5B977B3E"/>
    <w:rsid w:val="5BB74B2C"/>
    <w:rsid w:val="5BBB382C"/>
    <w:rsid w:val="5BCC1E57"/>
    <w:rsid w:val="5BD41E6E"/>
    <w:rsid w:val="5BE054D8"/>
    <w:rsid w:val="5BEA2363"/>
    <w:rsid w:val="5BEA5EBF"/>
    <w:rsid w:val="5BF64864"/>
    <w:rsid w:val="5C186ED1"/>
    <w:rsid w:val="5C2C64D8"/>
    <w:rsid w:val="5C345A31"/>
    <w:rsid w:val="5C3A6E47"/>
    <w:rsid w:val="5C3B1922"/>
    <w:rsid w:val="5C537F09"/>
    <w:rsid w:val="5C5477DD"/>
    <w:rsid w:val="5C5E2B95"/>
    <w:rsid w:val="5C8969C8"/>
    <w:rsid w:val="5C9A5B38"/>
    <w:rsid w:val="5C9C18B0"/>
    <w:rsid w:val="5CA17B70"/>
    <w:rsid w:val="5CA40764"/>
    <w:rsid w:val="5CAB5170"/>
    <w:rsid w:val="5CBD5382"/>
    <w:rsid w:val="5CD32DF8"/>
    <w:rsid w:val="5CE62B2B"/>
    <w:rsid w:val="5D0C07A2"/>
    <w:rsid w:val="5D290C69"/>
    <w:rsid w:val="5DA0717E"/>
    <w:rsid w:val="5DB42C29"/>
    <w:rsid w:val="5DB46CDB"/>
    <w:rsid w:val="5DBD1FCA"/>
    <w:rsid w:val="5DD15589"/>
    <w:rsid w:val="5DEF65CC"/>
    <w:rsid w:val="5E183ECD"/>
    <w:rsid w:val="5E192A8C"/>
    <w:rsid w:val="5E1A1A16"/>
    <w:rsid w:val="5E1C432A"/>
    <w:rsid w:val="5E257683"/>
    <w:rsid w:val="5E282CCF"/>
    <w:rsid w:val="5E4D0988"/>
    <w:rsid w:val="5E510478"/>
    <w:rsid w:val="5E714676"/>
    <w:rsid w:val="5E8425FB"/>
    <w:rsid w:val="5E8C6F99"/>
    <w:rsid w:val="5E8E347A"/>
    <w:rsid w:val="5ECF75EF"/>
    <w:rsid w:val="5ED54C05"/>
    <w:rsid w:val="5EF2352E"/>
    <w:rsid w:val="5EF57055"/>
    <w:rsid w:val="5EF763C6"/>
    <w:rsid w:val="5F08322C"/>
    <w:rsid w:val="5F267BA2"/>
    <w:rsid w:val="5F28597E"/>
    <w:rsid w:val="5F4E6765"/>
    <w:rsid w:val="5F5D7160"/>
    <w:rsid w:val="5F7206A6"/>
    <w:rsid w:val="5F7408C2"/>
    <w:rsid w:val="5F887EC9"/>
    <w:rsid w:val="5F893C41"/>
    <w:rsid w:val="5F8B79B9"/>
    <w:rsid w:val="5FB23198"/>
    <w:rsid w:val="5FD70E51"/>
    <w:rsid w:val="5FE769B2"/>
    <w:rsid w:val="5FEF7F48"/>
    <w:rsid w:val="5FF217E7"/>
    <w:rsid w:val="5FF27A39"/>
    <w:rsid w:val="5FF76DFD"/>
    <w:rsid w:val="5FFE1F39"/>
    <w:rsid w:val="60060FEE"/>
    <w:rsid w:val="601A3B52"/>
    <w:rsid w:val="602A0F80"/>
    <w:rsid w:val="60462E90"/>
    <w:rsid w:val="60536729"/>
    <w:rsid w:val="608368E3"/>
    <w:rsid w:val="608F7035"/>
    <w:rsid w:val="60A30D33"/>
    <w:rsid w:val="60A96349"/>
    <w:rsid w:val="60C2740B"/>
    <w:rsid w:val="60D94755"/>
    <w:rsid w:val="60EB65BB"/>
    <w:rsid w:val="60F021CA"/>
    <w:rsid w:val="611834CF"/>
    <w:rsid w:val="61530A39"/>
    <w:rsid w:val="6183303E"/>
    <w:rsid w:val="61923281"/>
    <w:rsid w:val="61AC3CD1"/>
    <w:rsid w:val="61B054B5"/>
    <w:rsid w:val="61C0369A"/>
    <w:rsid w:val="61FA4982"/>
    <w:rsid w:val="61FE695C"/>
    <w:rsid w:val="6202038D"/>
    <w:rsid w:val="621912AD"/>
    <w:rsid w:val="621C6FEF"/>
    <w:rsid w:val="623076A4"/>
    <w:rsid w:val="62326812"/>
    <w:rsid w:val="62392C11"/>
    <w:rsid w:val="624004A9"/>
    <w:rsid w:val="62571DD5"/>
    <w:rsid w:val="625B7377"/>
    <w:rsid w:val="6278019C"/>
    <w:rsid w:val="6285420B"/>
    <w:rsid w:val="628C1A7E"/>
    <w:rsid w:val="62946775"/>
    <w:rsid w:val="629B7F14"/>
    <w:rsid w:val="62A96AD4"/>
    <w:rsid w:val="62B2525D"/>
    <w:rsid w:val="62B66AFB"/>
    <w:rsid w:val="62C0797A"/>
    <w:rsid w:val="62FB09B2"/>
    <w:rsid w:val="62FE04A2"/>
    <w:rsid w:val="6318234B"/>
    <w:rsid w:val="631D29EB"/>
    <w:rsid w:val="633C6169"/>
    <w:rsid w:val="63500CFE"/>
    <w:rsid w:val="63616745"/>
    <w:rsid w:val="637A3FCD"/>
    <w:rsid w:val="63822EAD"/>
    <w:rsid w:val="638E1826"/>
    <w:rsid w:val="63B70D7D"/>
    <w:rsid w:val="63D23E09"/>
    <w:rsid w:val="63E234B7"/>
    <w:rsid w:val="63F773CC"/>
    <w:rsid w:val="64047D3A"/>
    <w:rsid w:val="64300F47"/>
    <w:rsid w:val="64483336"/>
    <w:rsid w:val="644F0FB6"/>
    <w:rsid w:val="645E38EF"/>
    <w:rsid w:val="646C600B"/>
    <w:rsid w:val="64942E6C"/>
    <w:rsid w:val="64AC6408"/>
    <w:rsid w:val="64AE53F9"/>
    <w:rsid w:val="64D63485"/>
    <w:rsid w:val="6500647B"/>
    <w:rsid w:val="65085608"/>
    <w:rsid w:val="65091AAC"/>
    <w:rsid w:val="65110961"/>
    <w:rsid w:val="6518767F"/>
    <w:rsid w:val="65237AC1"/>
    <w:rsid w:val="653603C7"/>
    <w:rsid w:val="65362175"/>
    <w:rsid w:val="656767D3"/>
    <w:rsid w:val="65801643"/>
    <w:rsid w:val="6598698C"/>
    <w:rsid w:val="65A13CC9"/>
    <w:rsid w:val="65A77B5D"/>
    <w:rsid w:val="65E120E1"/>
    <w:rsid w:val="660D737A"/>
    <w:rsid w:val="661A38C3"/>
    <w:rsid w:val="661E2CB4"/>
    <w:rsid w:val="6632293D"/>
    <w:rsid w:val="664E603D"/>
    <w:rsid w:val="666F1DE3"/>
    <w:rsid w:val="6682775F"/>
    <w:rsid w:val="66A870A3"/>
    <w:rsid w:val="66AD46B9"/>
    <w:rsid w:val="66C1550E"/>
    <w:rsid w:val="66C739CD"/>
    <w:rsid w:val="66CD4D5B"/>
    <w:rsid w:val="66DD6797"/>
    <w:rsid w:val="66F66060"/>
    <w:rsid w:val="66F67E0E"/>
    <w:rsid w:val="670818F0"/>
    <w:rsid w:val="671D183F"/>
    <w:rsid w:val="67293782"/>
    <w:rsid w:val="673646AF"/>
    <w:rsid w:val="675114E9"/>
    <w:rsid w:val="675863D3"/>
    <w:rsid w:val="679703E1"/>
    <w:rsid w:val="67A17496"/>
    <w:rsid w:val="67A965FC"/>
    <w:rsid w:val="67D839B8"/>
    <w:rsid w:val="68182006"/>
    <w:rsid w:val="681C1AF7"/>
    <w:rsid w:val="683926A8"/>
    <w:rsid w:val="685272C6"/>
    <w:rsid w:val="68537CAF"/>
    <w:rsid w:val="685F3791"/>
    <w:rsid w:val="68725BBA"/>
    <w:rsid w:val="68757459"/>
    <w:rsid w:val="687A4A6F"/>
    <w:rsid w:val="688C5099"/>
    <w:rsid w:val="68953657"/>
    <w:rsid w:val="68B735CD"/>
    <w:rsid w:val="68C1444C"/>
    <w:rsid w:val="68E51EE8"/>
    <w:rsid w:val="68EA5751"/>
    <w:rsid w:val="68F570FB"/>
    <w:rsid w:val="69227DA0"/>
    <w:rsid w:val="69456E2B"/>
    <w:rsid w:val="69531548"/>
    <w:rsid w:val="696F3EA8"/>
    <w:rsid w:val="69731BEA"/>
    <w:rsid w:val="69765236"/>
    <w:rsid w:val="69790883"/>
    <w:rsid w:val="697A2F79"/>
    <w:rsid w:val="69935DE8"/>
    <w:rsid w:val="69A47FF6"/>
    <w:rsid w:val="69A87C65"/>
    <w:rsid w:val="69EE301F"/>
    <w:rsid w:val="69FB1963"/>
    <w:rsid w:val="6A3F35DF"/>
    <w:rsid w:val="6A5D1F52"/>
    <w:rsid w:val="6A7C062B"/>
    <w:rsid w:val="6AA25BA0"/>
    <w:rsid w:val="6AA3205B"/>
    <w:rsid w:val="6AA84736"/>
    <w:rsid w:val="6AAB0F10"/>
    <w:rsid w:val="6AAD2EDA"/>
    <w:rsid w:val="6AB8548E"/>
    <w:rsid w:val="6ABC577D"/>
    <w:rsid w:val="6ACD70D8"/>
    <w:rsid w:val="6AE12B83"/>
    <w:rsid w:val="6AE42367"/>
    <w:rsid w:val="6AFE7291"/>
    <w:rsid w:val="6B054AC4"/>
    <w:rsid w:val="6B106FC5"/>
    <w:rsid w:val="6B225676"/>
    <w:rsid w:val="6B3A462E"/>
    <w:rsid w:val="6B422808"/>
    <w:rsid w:val="6B476E8A"/>
    <w:rsid w:val="6B4B5217"/>
    <w:rsid w:val="6B680BAF"/>
    <w:rsid w:val="6B8A1717"/>
    <w:rsid w:val="6B8C6F93"/>
    <w:rsid w:val="6BC56001"/>
    <w:rsid w:val="6BCC7390"/>
    <w:rsid w:val="6BD36970"/>
    <w:rsid w:val="6BD526E8"/>
    <w:rsid w:val="6C092392"/>
    <w:rsid w:val="6C0E2CFC"/>
    <w:rsid w:val="6C17069E"/>
    <w:rsid w:val="6C2225DD"/>
    <w:rsid w:val="6C2830FF"/>
    <w:rsid w:val="6C5850C7"/>
    <w:rsid w:val="6C6B0957"/>
    <w:rsid w:val="6C832144"/>
    <w:rsid w:val="6C89702F"/>
    <w:rsid w:val="6C911BA1"/>
    <w:rsid w:val="6C9C18EB"/>
    <w:rsid w:val="6CCD7863"/>
    <w:rsid w:val="6CD504C6"/>
    <w:rsid w:val="6CD52274"/>
    <w:rsid w:val="6CDD364E"/>
    <w:rsid w:val="6CF46B9E"/>
    <w:rsid w:val="6CF92406"/>
    <w:rsid w:val="6CFC3CA5"/>
    <w:rsid w:val="6D147240"/>
    <w:rsid w:val="6D196605"/>
    <w:rsid w:val="6D21370B"/>
    <w:rsid w:val="6D3B18E0"/>
    <w:rsid w:val="6D3B18E9"/>
    <w:rsid w:val="6D57537F"/>
    <w:rsid w:val="6D6C42DF"/>
    <w:rsid w:val="6D77332B"/>
    <w:rsid w:val="6D800432"/>
    <w:rsid w:val="6D940381"/>
    <w:rsid w:val="6D9C3AFC"/>
    <w:rsid w:val="6DAC1227"/>
    <w:rsid w:val="6DBB76BC"/>
    <w:rsid w:val="6DD469CF"/>
    <w:rsid w:val="6E195E09"/>
    <w:rsid w:val="6E22773B"/>
    <w:rsid w:val="6E2A4841"/>
    <w:rsid w:val="6E443B55"/>
    <w:rsid w:val="6E4E0530"/>
    <w:rsid w:val="6E5941B9"/>
    <w:rsid w:val="6E5B2C4D"/>
    <w:rsid w:val="6E5F44EB"/>
    <w:rsid w:val="6E6164B5"/>
    <w:rsid w:val="6E6236E7"/>
    <w:rsid w:val="6E6935BC"/>
    <w:rsid w:val="6E91041D"/>
    <w:rsid w:val="6E9F4B86"/>
    <w:rsid w:val="6EAA550E"/>
    <w:rsid w:val="6EB02F99"/>
    <w:rsid w:val="6EB8556A"/>
    <w:rsid w:val="6EBC36EB"/>
    <w:rsid w:val="6EDC5B3C"/>
    <w:rsid w:val="6EDE1649"/>
    <w:rsid w:val="6EEE586F"/>
    <w:rsid w:val="6F064E06"/>
    <w:rsid w:val="6F094457"/>
    <w:rsid w:val="6F155FCF"/>
    <w:rsid w:val="6F176B74"/>
    <w:rsid w:val="6F360C58"/>
    <w:rsid w:val="6F636421"/>
    <w:rsid w:val="6F6B5112"/>
    <w:rsid w:val="6F6D4BD8"/>
    <w:rsid w:val="6F6E6EC3"/>
    <w:rsid w:val="6F7264A0"/>
    <w:rsid w:val="6F765F90"/>
    <w:rsid w:val="6F9401C4"/>
    <w:rsid w:val="6FB915A7"/>
    <w:rsid w:val="6FC14D32"/>
    <w:rsid w:val="6FCD1928"/>
    <w:rsid w:val="6FD902CD"/>
    <w:rsid w:val="6FDE58E3"/>
    <w:rsid w:val="6FE61F3E"/>
    <w:rsid w:val="6FF9428D"/>
    <w:rsid w:val="70161521"/>
    <w:rsid w:val="702F613F"/>
    <w:rsid w:val="703244E4"/>
    <w:rsid w:val="705636CC"/>
    <w:rsid w:val="706465CD"/>
    <w:rsid w:val="70A45719"/>
    <w:rsid w:val="70D31B19"/>
    <w:rsid w:val="70FD0CB3"/>
    <w:rsid w:val="711E0B5E"/>
    <w:rsid w:val="712A5284"/>
    <w:rsid w:val="7130216F"/>
    <w:rsid w:val="713C4FB8"/>
    <w:rsid w:val="71687AE4"/>
    <w:rsid w:val="718F158B"/>
    <w:rsid w:val="71A004FF"/>
    <w:rsid w:val="71C50B09"/>
    <w:rsid w:val="71C8684B"/>
    <w:rsid w:val="71DC40A5"/>
    <w:rsid w:val="71E03B95"/>
    <w:rsid w:val="71E116BB"/>
    <w:rsid w:val="71F615DC"/>
    <w:rsid w:val="71FE04BF"/>
    <w:rsid w:val="720F7FD6"/>
    <w:rsid w:val="72121874"/>
    <w:rsid w:val="7229553C"/>
    <w:rsid w:val="72323CC5"/>
    <w:rsid w:val="724B2077"/>
    <w:rsid w:val="72691DDC"/>
    <w:rsid w:val="726F4F19"/>
    <w:rsid w:val="726F7FB0"/>
    <w:rsid w:val="72A46970"/>
    <w:rsid w:val="72AE3C6B"/>
    <w:rsid w:val="72B50B7E"/>
    <w:rsid w:val="72C139C6"/>
    <w:rsid w:val="72C62D8B"/>
    <w:rsid w:val="72D57833"/>
    <w:rsid w:val="72DC25AE"/>
    <w:rsid w:val="72FC49FE"/>
    <w:rsid w:val="730E4732"/>
    <w:rsid w:val="732E0930"/>
    <w:rsid w:val="73335F46"/>
    <w:rsid w:val="73373C88"/>
    <w:rsid w:val="733E4E7F"/>
    <w:rsid w:val="7358775B"/>
    <w:rsid w:val="735C7C30"/>
    <w:rsid w:val="73634FBB"/>
    <w:rsid w:val="73661E78"/>
    <w:rsid w:val="73697BBA"/>
    <w:rsid w:val="73775E2C"/>
    <w:rsid w:val="738A025C"/>
    <w:rsid w:val="73B61051"/>
    <w:rsid w:val="73BB6668"/>
    <w:rsid w:val="73C365CB"/>
    <w:rsid w:val="73E95EE8"/>
    <w:rsid w:val="73EA4857"/>
    <w:rsid w:val="73F6144E"/>
    <w:rsid w:val="73F97190"/>
    <w:rsid w:val="74085625"/>
    <w:rsid w:val="740A4E2C"/>
    <w:rsid w:val="74185868"/>
    <w:rsid w:val="742023C5"/>
    <w:rsid w:val="744C3764"/>
    <w:rsid w:val="74534AF2"/>
    <w:rsid w:val="74766D79"/>
    <w:rsid w:val="747E57F8"/>
    <w:rsid w:val="748D1686"/>
    <w:rsid w:val="74F040EF"/>
    <w:rsid w:val="751122B7"/>
    <w:rsid w:val="75157FF9"/>
    <w:rsid w:val="75360DBC"/>
    <w:rsid w:val="75387844"/>
    <w:rsid w:val="756920F3"/>
    <w:rsid w:val="756B5E6B"/>
    <w:rsid w:val="756D0E75"/>
    <w:rsid w:val="756D573F"/>
    <w:rsid w:val="7578689B"/>
    <w:rsid w:val="75866801"/>
    <w:rsid w:val="758807CB"/>
    <w:rsid w:val="759F78C3"/>
    <w:rsid w:val="75BA64AB"/>
    <w:rsid w:val="75E35A02"/>
    <w:rsid w:val="75EA3234"/>
    <w:rsid w:val="75EE76A8"/>
    <w:rsid w:val="762027B2"/>
    <w:rsid w:val="7630676D"/>
    <w:rsid w:val="76312C11"/>
    <w:rsid w:val="763224E5"/>
    <w:rsid w:val="76361FD5"/>
    <w:rsid w:val="76505878"/>
    <w:rsid w:val="767945B8"/>
    <w:rsid w:val="76794AF8"/>
    <w:rsid w:val="76850C08"/>
    <w:rsid w:val="76BB24DB"/>
    <w:rsid w:val="76C84BF7"/>
    <w:rsid w:val="76D11CFE"/>
    <w:rsid w:val="76D67314"/>
    <w:rsid w:val="76FC6DDC"/>
    <w:rsid w:val="772E2227"/>
    <w:rsid w:val="77302EC9"/>
    <w:rsid w:val="7731279D"/>
    <w:rsid w:val="77533CC6"/>
    <w:rsid w:val="775748F9"/>
    <w:rsid w:val="7760252B"/>
    <w:rsid w:val="776058DA"/>
    <w:rsid w:val="77626DFA"/>
    <w:rsid w:val="777032C5"/>
    <w:rsid w:val="777803CC"/>
    <w:rsid w:val="777D1E86"/>
    <w:rsid w:val="779276DF"/>
    <w:rsid w:val="77B70517"/>
    <w:rsid w:val="77E043E3"/>
    <w:rsid w:val="77F40160"/>
    <w:rsid w:val="78342545"/>
    <w:rsid w:val="78412EB3"/>
    <w:rsid w:val="785030F6"/>
    <w:rsid w:val="78550E5C"/>
    <w:rsid w:val="78632E2A"/>
    <w:rsid w:val="78654DF4"/>
    <w:rsid w:val="787B0173"/>
    <w:rsid w:val="787D0429"/>
    <w:rsid w:val="78B24F5D"/>
    <w:rsid w:val="78EF46BD"/>
    <w:rsid w:val="790740FD"/>
    <w:rsid w:val="791660EE"/>
    <w:rsid w:val="791D122B"/>
    <w:rsid w:val="791F31F5"/>
    <w:rsid w:val="79265756"/>
    <w:rsid w:val="792A346F"/>
    <w:rsid w:val="793F5645"/>
    <w:rsid w:val="794511BD"/>
    <w:rsid w:val="794A5D98"/>
    <w:rsid w:val="794C38BE"/>
    <w:rsid w:val="794E7636"/>
    <w:rsid w:val="79892D64"/>
    <w:rsid w:val="798E037A"/>
    <w:rsid w:val="79960FDD"/>
    <w:rsid w:val="79997202"/>
    <w:rsid w:val="799D6543"/>
    <w:rsid w:val="799E680F"/>
    <w:rsid w:val="79EC0E93"/>
    <w:rsid w:val="7A1B3962"/>
    <w:rsid w:val="7A2111EE"/>
    <w:rsid w:val="7A2F56B9"/>
    <w:rsid w:val="7A6D48C0"/>
    <w:rsid w:val="7A7268AA"/>
    <w:rsid w:val="7A765096"/>
    <w:rsid w:val="7A974046"/>
    <w:rsid w:val="7A9C5017"/>
    <w:rsid w:val="7AAD65DE"/>
    <w:rsid w:val="7AC530B7"/>
    <w:rsid w:val="7AC53928"/>
    <w:rsid w:val="7AC878BC"/>
    <w:rsid w:val="7ACA7190"/>
    <w:rsid w:val="7AEF309B"/>
    <w:rsid w:val="7AFD2AA0"/>
    <w:rsid w:val="7AFD57B8"/>
    <w:rsid w:val="7AFE23FC"/>
    <w:rsid w:val="7AFF1FD8"/>
    <w:rsid w:val="7B007056"/>
    <w:rsid w:val="7B02692A"/>
    <w:rsid w:val="7B2368A0"/>
    <w:rsid w:val="7B627C76"/>
    <w:rsid w:val="7B705F89"/>
    <w:rsid w:val="7B735A7A"/>
    <w:rsid w:val="7B882ABB"/>
    <w:rsid w:val="7B887EC5"/>
    <w:rsid w:val="7B914152"/>
    <w:rsid w:val="7B9B1144"/>
    <w:rsid w:val="7BAE0860"/>
    <w:rsid w:val="7BB17EFC"/>
    <w:rsid w:val="7BC60184"/>
    <w:rsid w:val="7BD5403F"/>
    <w:rsid w:val="7BE349AD"/>
    <w:rsid w:val="7BE73A8B"/>
    <w:rsid w:val="7BEC3136"/>
    <w:rsid w:val="7BF471EA"/>
    <w:rsid w:val="7C011556"/>
    <w:rsid w:val="7C18217D"/>
    <w:rsid w:val="7C3C40BE"/>
    <w:rsid w:val="7C4125B9"/>
    <w:rsid w:val="7C507B69"/>
    <w:rsid w:val="7C596A1E"/>
    <w:rsid w:val="7C5E2286"/>
    <w:rsid w:val="7C701FB9"/>
    <w:rsid w:val="7C817D22"/>
    <w:rsid w:val="7CBE2881"/>
    <w:rsid w:val="7CD24A22"/>
    <w:rsid w:val="7CEA1D6C"/>
    <w:rsid w:val="7CF95D03"/>
    <w:rsid w:val="7D0C3A90"/>
    <w:rsid w:val="7D0E5A5A"/>
    <w:rsid w:val="7D226986"/>
    <w:rsid w:val="7D360B0D"/>
    <w:rsid w:val="7D406A1E"/>
    <w:rsid w:val="7D494CE4"/>
    <w:rsid w:val="7D637428"/>
    <w:rsid w:val="7D717D97"/>
    <w:rsid w:val="7D7653AD"/>
    <w:rsid w:val="7D823D52"/>
    <w:rsid w:val="7D851A94"/>
    <w:rsid w:val="7D8E1E41"/>
    <w:rsid w:val="7D9121E7"/>
    <w:rsid w:val="7D965A4F"/>
    <w:rsid w:val="7DC73E5B"/>
    <w:rsid w:val="7DCB56F9"/>
    <w:rsid w:val="7DD70929"/>
    <w:rsid w:val="7DE51208"/>
    <w:rsid w:val="7DF204D6"/>
    <w:rsid w:val="7DF34C50"/>
    <w:rsid w:val="7E0D00F2"/>
    <w:rsid w:val="7E105802"/>
    <w:rsid w:val="7E1A21DD"/>
    <w:rsid w:val="7E486D4A"/>
    <w:rsid w:val="7E5F22E5"/>
    <w:rsid w:val="7E7C7B82"/>
    <w:rsid w:val="7E960CC1"/>
    <w:rsid w:val="7EA36676"/>
    <w:rsid w:val="7EAD12A3"/>
    <w:rsid w:val="7EB702F4"/>
    <w:rsid w:val="7ED625A7"/>
    <w:rsid w:val="7EDA196C"/>
    <w:rsid w:val="7EE56707"/>
    <w:rsid w:val="7EED715E"/>
    <w:rsid w:val="7EF42A2E"/>
    <w:rsid w:val="7EF46ED2"/>
    <w:rsid w:val="7EFD7F37"/>
    <w:rsid w:val="7F003D85"/>
    <w:rsid w:val="7F2271E4"/>
    <w:rsid w:val="7F2D7CEE"/>
    <w:rsid w:val="7F313C82"/>
    <w:rsid w:val="7F4A61E1"/>
    <w:rsid w:val="7F596D35"/>
    <w:rsid w:val="7F967F89"/>
    <w:rsid w:val="7F9935D5"/>
    <w:rsid w:val="7FA51F7A"/>
    <w:rsid w:val="7FB073FA"/>
    <w:rsid w:val="7FB328E9"/>
    <w:rsid w:val="7FD30895"/>
    <w:rsid w:val="7FDD1714"/>
    <w:rsid w:val="7FE231CE"/>
    <w:rsid w:val="7FFA22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nhideWhenUsed="0" w:uiPriority="1"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qFormat="1" w:uiPriority="99" w:semiHidden="0"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qFormat="1"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qFormat="1"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pPr>
    <w:rPr>
      <w:rFonts w:ascii="宋体" w:hAnsi="宋体" w:eastAsia="宋体" w:cstheme="minorBidi"/>
      <w:kern w:val="2"/>
      <w:sz w:val="24"/>
      <w:szCs w:val="22"/>
      <w:lang w:val="en-US" w:eastAsia="zh-CN" w:bidi="ar-SA"/>
    </w:rPr>
  </w:style>
  <w:style w:type="paragraph" w:styleId="2">
    <w:name w:val="heading 1"/>
    <w:basedOn w:val="1"/>
    <w:next w:val="1"/>
    <w:link w:val="40"/>
    <w:autoRedefine/>
    <w:qFormat/>
    <w:uiPriority w:val="9"/>
    <w:pPr>
      <w:keepNext/>
      <w:keepLines/>
      <w:spacing w:before="340" w:after="330" w:line="578" w:lineRule="auto"/>
      <w:jc w:val="center"/>
      <w:outlineLvl w:val="0"/>
    </w:pPr>
    <w:rPr>
      <w:rFonts w:eastAsia="黑体"/>
      <w:b/>
      <w:bCs/>
      <w:kern w:val="44"/>
      <w:sz w:val="44"/>
      <w:szCs w:val="44"/>
    </w:rPr>
  </w:style>
  <w:style w:type="paragraph" w:styleId="3">
    <w:name w:val="heading 2"/>
    <w:basedOn w:val="1"/>
    <w:next w:val="1"/>
    <w:link w:val="44"/>
    <w:unhideWhenUsed/>
    <w:qFormat/>
    <w:uiPriority w:val="9"/>
    <w:pPr>
      <w:keepNext/>
      <w:keepLines/>
      <w:spacing w:before="260" w:after="260" w:line="416" w:lineRule="auto"/>
      <w:outlineLvl w:val="1"/>
    </w:pPr>
    <w:rPr>
      <w:rFonts w:asciiTheme="majorHAnsi" w:hAnsiTheme="majorHAnsi" w:cstheme="majorBidi"/>
      <w:b/>
      <w:bCs/>
      <w:sz w:val="32"/>
      <w:szCs w:val="32"/>
    </w:rPr>
  </w:style>
  <w:style w:type="paragraph" w:styleId="4">
    <w:name w:val="heading 3"/>
    <w:basedOn w:val="1"/>
    <w:next w:val="1"/>
    <w:link w:val="47"/>
    <w:autoRedefine/>
    <w:unhideWhenUsed/>
    <w:qFormat/>
    <w:uiPriority w:val="9"/>
    <w:pPr>
      <w:keepNext/>
      <w:keepLines/>
      <w:spacing w:before="260" w:after="260" w:line="416" w:lineRule="auto"/>
      <w:outlineLvl w:val="2"/>
    </w:pPr>
    <w:rPr>
      <w:b/>
      <w:bCs/>
      <w:sz w:val="30"/>
      <w:szCs w:val="32"/>
    </w:rPr>
  </w:style>
  <w:style w:type="paragraph" w:styleId="5">
    <w:name w:val="heading 4"/>
    <w:basedOn w:val="1"/>
    <w:next w:val="1"/>
    <w:link w:val="48"/>
    <w:autoRedefine/>
    <w:unhideWhenUsed/>
    <w:qFormat/>
    <w:uiPriority w:val="9"/>
    <w:pPr>
      <w:keepNext/>
      <w:keepLines/>
      <w:spacing w:before="280" w:after="290" w:line="376" w:lineRule="auto"/>
      <w:outlineLvl w:val="3"/>
    </w:pPr>
    <w:rPr>
      <w:rFonts w:asciiTheme="majorHAnsi" w:hAnsiTheme="majorHAnsi" w:cstheme="majorBidi"/>
      <w:b/>
      <w:bCs/>
      <w:sz w:val="28"/>
      <w:szCs w:val="28"/>
    </w:rPr>
  </w:style>
  <w:style w:type="paragraph" w:styleId="6">
    <w:name w:val="heading 5"/>
    <w:basedOn w:val="7"/>
    <w:next w:val="8"/>
    <w:autoRedefine/>
    <w:qFormat/>
    <w:uiPriority w:val="1"/>
    <w:pPr>
      <w:tabs>
        <w:tab w:val="left" w:pos="780"/>
      </w:tabs>
      <w:ind w:left="638" w:firstLine="561"/>
      <w:outlineLvl w:val="4"/>
    </w:pPr>
    <w:rPr>
      <w:rFonts w:ascii="仿宋" w:hAnsi="仿宋" w:eastAsia="仿宋" w:cs="仿宋"/>
      <w:b/>
      <w:bCs/>
      <w:kern w:val="0"/>
      <w:sz w:val="28"/>
      <w:szCs w:val="28"/>
      <w:lang w:val="zh-CN" w:bidi="zh-CN"/>
    </w:rPr>
  </w:style>
  <w:style w:type="character" w:default="1" w:styleId="33">
    <w:name w:val="Default Paragraph Font"/>
    <w:autoRedefine/>
    <w:semiHidden/>
    <w:unhideWhenUsed/>
    <w:qFormat/>
    <w:uiPriority w:val="1"/>
  </w:style>
  <w:style w:type="table" w:default="1" w:styleId="31">
    <w:name w:val="Normal Table"/>
    <w:autoRedefine/>
    <w:semiHidden/>
    <w:unhideWhenUsed/>
    <w:qFormat/>
    <w:uiPriority w:val="99"/>
    <w:tblPr>
      <w:tblCellMar>
        <w:top w:w="0" w:type="dxa"/>
        <w:left w:w="108" w:type="dxa"/>
        <w:bottom w:w="0" w:type="dxa"/>
        <w:right w:w="108" w:type="dxa"/>
      </w:tblCellMar>
    </w:tblPr>
  </w:style>
  <w:style w:type="paragraph" w:styleId="7">
    <w:name w:val="List Number 2"/>
    <w:basedOn w:val="1"/>
    <w:autoRedefine/>
    <w:semiHidden/>
    <w:unhideWhenUsed/>
    <w:qFormat/>
    <w:uiPriority w:val="99"/>
    <w:pPr>
      <w:numPr>
        <w:ilvl w:val="0"/>
        <w:numId w:val="1"/>
      </w:numPr>
    </w:pPr>
  </w:style>
  <w:style w:type="paragraph" w:styleId="8">
    <w:name w:val="Normal (Web)"/>
    <w:basedOn w:val="1"/>
    <w:autoRedefine/>
    <w:qFormat/>
    <w:uiPriority w:val="99"/>
    <w:pPr>
      <w:widowControl/>
      <w:spacing w:before="100" w:beforeAutospacing="1" w:after="100" w:afterAutospacing="1"/>
    </w:pPr>
    <w:rPr>
      <w:rFonts w:cs="宋体"/>
      <w:color w:val="000000"/>
      <w:kern w:val="0"/>
      <w:szCs w:val="24"/>
    </w:rPr>
  </w:style>
  <w:style w:type="paragraph" w:styleId="9">
    <w:name w:val="toc 7"/>
    <w:basedOn w:val="1"/>
    <w:next w:val="1"/>
    <w:autoRedefine/>
    <w:unhideWhenUsed/>
    <w:qFormat/>
    <w:uiPriority w:val="39"/>
    <w:pPr>
      <w:ind w:left="1440"/>
    </w:pPr>
    <w:rPr>
      <w:rFonts w:asciiTheme="minorHAnsi" w:eastAsiaTheme="minorHAnsi"/>
      <w:sz w:val="18"/>
      <w:szCs w:val="18"/>
    </w:rPr>
  </w:style>
  <w:style w:type="paragraph" w:styleId="10">
    <w:name w:val="Normal Indent"/>
    <w:basedOn w:val="1"/>
    <w:next w:val="1"/>
    <w:autoRedefine/>
    <w:unhideWhenUsed/>
    <w:qFormat/>
    <w:uiPriority w:val="0"/>
    <w:pPr>
      <w:ind w:firstLine="420" w:firstLineChars="200"/>
    </w:pPr>
    <w:rPr>
      <w:rFonts w:ascii="Calibri" w:hAnsi="Calibri"/>
      <w:szCs w:val="22"/>
    </w:rPr>
  </w:style>
  <w:style w:type="paragraph" w:styleId="11">
    <w:name w:val="List Bullet"/>
    <w:basedOn w:val="1"/>
    <w:autoRedefine/>
    <w:unhideWhenUsed/>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2">
    <w:name w:val="annotation text"/>
    <w:basedOn w:val="1"/>
    <w:link w:val="45"/>
    <w:autoRedefine/>
    <w:qFormat/>
    <w:uiPriority w:val="0"/>
    <w:pPr>
      <w:spacing w:line="240" w:lineRule="auto"/>
    </w:pPr>
    <w:rPr>
      <w:rFonts w:eastAsiaTheme="minorEastAsia"/>
      <w:sz w:val="21"/>
      <w:szCs w:val="24"/>
    </w:rPr>
  </w:style>
  <w:style w:type="paragraph" w:styleId="13">
    <w:name w:val="Body Text"/>
    <w:basedOn w:val="1"/>
    <w:link w:val="49"/>
    <w:autoRedefine/>
    <w:qFormat/>
    <w:uiPriority w:val="99"/>
    <w:pPr>
      <w:spacing w:after="120" w:line="240" w:lineRule="auto"/>
      <w:jc w:val="both"/>
    </w:pPr>
    <w:rPr>
      <w:rFonts w:eastAsiaTheme="minorEastAsia"/>
      <w:sz w:val="21"/>
      <w:szCs w:val="24"/>
    </w:rPr>
  </w:style>
  <w:style w:type="paragraph" w:styleId="14">
    <w:name w:val="Body Text Indent"/>
    <w:basedOn w:val="1"/>
    <w:next w:val="1"/>
    <w:autoRedefine/>
    <w:unhideWhenUsed/>
    <w:qFormat/>
    <w:uiPriority w:val="0"/>
    <w:pPr>
      <w:ind w:firstLine="630"/>
    </w:pPr>
    <w:rPr>
      <w:rFonts w:eastAsia="仿宋_GB2312"/>
      <w:kern w:val="0"/>
      <w:sz w:val="32"/>
      <w:szCs w:val="20"/>
    </w:rPr>
  </w:style>
  <w:style w:type="paragraph" w:styleId="15">
    <w:name w:val="toc 5"/>
    <w:basedOn w:val="1"/>
    <w:next w:val="1"/>
    <w:autoRedefine/>
    <w:unhideWhenUsed/>
    <w:qFormat/>
    <w:uiPriority w:val="39"/>
    <w:pPr>
      <w:ind w:left="960"/>
    </w:pPr>
    <w:rPr>
      <w:rFonts w:asciiTheme="minorHAnsi" w:eastAsiaTheme="minorHAnsi"/>
      <w:sz w:val="18"/>
      <w:szCs w:val="18"/>
    </w:rPr>
  </w:style>
  <w:style w:type="paragraph" w:styleId="16">
    <w:name w:val="toc 3"/>
    <w:basedOn w:val="1"/>
    <w:next w:val="1"/>
    <w:autoRedefine/>
    <w:unhideWhenUsed/>
    <w:qFormat/>
    <w:uiPriority w:val="39"/>
    <w:pPr>
      <w:ind w:left="480"/>
    </w:pPr>
    <w:rPr>
      <w:rFonts w:asciiTheme="minorHAnsi" w:eastAsiaTheme="minorHAnsi"/>
      <w:i/>
      <w:iCs/>
      <w:sz w:val="20"/>
      <w:szCs w:val="20"/>
    </w:rPr>
  </w:style>
  <w:style w:type="paragraph" w:styleId="17">
    <w:name w:val="Plain Text"/>
    <w:basedOn w:val="1"/>
    <w:autoRedefine/>
    <w:unhideWhenUsed/>
    <w:qFormat/>
    <w:uiPriority w:val="0"/>
    <w:rPr>
      <w:rFonts w:ascii="宋体" w:hAnsi="Courier New"/>
      <w:kern w:val="0"/>
      <w:sz w:val="20"/>
      <w:szCs w:val="20"/>
    </w:rPr>
  </w:style>
  <w:style w:type="paragraph" w:styleId="18">
    <w:name w:val="toc 8"/>
    <w:basedOn w:val="1"/>
    <w:next w:val="1"/>
    <w:autoRedefine/>
    <w:unhideWhenUsed/>
    <w:qFormat/>
    <w:uiPriority w:val="39"/>
    <w:pPr>
      <w:ind w:left="1680"/>
    </w:pPr>
    <w:rPr>
      <w:rFonts w:asciiTheme="minorHAnsi" w:eastAsiaTheme="minorHAnsi"/>
      <w:sz w:val="18"/>
      <w:szCs w:val="18"/>
    </w:rPr>
  </w:style>
  <w:style w:type="paragraph" w:styleId="19">
    <w:name w:val="footer"/>
    <w:basedOn w:val="1"/>
    <w:link w:val="43"/>
    <w:autoRedefine/>
    <w:unhideWhenUsed/>
    <w:qFormat/>
    <w:uiPriority w:val="99"/>
    <w:pPr>
      <w:tabs>
        <w:tab w:val="center" w:pos="4153"/>
        <w:tab w:val="right" w:pos="8306"/>
      </w:tabs>
      <w:snapToGrid w:val="0"/>
      <w:spacing w:line="240" w:lineRule="auto"/>
    </w:pPr>
    <w:rPr>
      <w:sz w:val="18"/>
      <w:szCs w:val="18"/>
    </w:rPr>
  </w:style>
  <w:style w:type="paragraph" w:styleId="20">
    <w:name w:val="header"/>
    <w:basedOn w:val="1"/>
    <w:link w:val="42"/>
    <w:autoRedefine/>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1">
    <w:name w:val="toc 1"/>
    <w:basedOn w:val="1"/>
    <w:next w:val="1"/>
    <w:autoRedefine/>
    <w:unhideWhenUsed/>
    <w:qFormat/>
    <w:uiPriority w:val="39"/>
    <w:pPr>
      <w:spacing w:before="120" w:after="120"/>
    </w:pPr>
    <w:rPr>
      <w:rFonts w:asciiTheme="minorHAnsi" w:eastAsiaTheme="minorHAnsi"/>
      <w:b/>
      <w:bCs/>
      <w:caps/>
      <w:sz w:val="20"/>
      <w:szCs w:val="20"/>
    </w:rPr>
  </w:style>
  <w:style w:type="paragraph" w:styleId="22">
    <w:name w:val="toc 4"/>
    <w:basedOn w:val="1"/>
    <w:next w:val="1"/>
    <w:autoRedefine/>
    <w:unhideWhenUsed/>
    <w:qFormat/>
    <w:uiPriority w:val="39"/>
    <w:pPr>
      <w:ind w:left="720"/>
    </w:pPr>
    <w:rPr>
      <w:rFonts w:asciiTheme="minorHAnsi" w:eastAsiaTheme="minorHAnsi"/>
      <w:sz w:val="18"/>
      <w:szCs w:val="18"/>
    </w:rPr>
  </w:style>
  <w:style w:type="paragraph" w:styleId="23">
    <w:name w:val="List"/>
    <w:basedOn w:val="1"/>
    <w:qFormat/>
    <w:uiPriority w:val="0"/>
    <w:pPr>
      <w:adjustRightInd w:val="0"/>
      <w:jc w:val="center"/>
      <w:textAlignment w:val="baseline"/>
    </w:pPr>
    <w:rPr>
      <w:rFonts w:ascii="宋体" w:hAnsi="宋体"/>
      <w:sz w:val="24"/>
      <w:szCs w:val="20"/>
    </w:rPr>
  </w:style>
  <w:style w:type="paragraph" w:styleId="24">
    <w:name w:val="footnote text"/>
    <w:basedOn w:val="1"/>
    <w:qFormat/>
    <w:uiPriority w:val="0"/>
    <w:pPr>
      <w:widowControl/>
      <w:jc w:val="left"/>
    </w:pPr>
    <w:rPr>
      <w:kern w:val="0"/>
      <w:sz w:val="20"/>
      <w:szCs w:val="20"/>
      <w:lang w:val="de-DE"/>
    </w:rPr>
  </w:style>
  <w:style w:type="paragraph" w:styleId="25">
    <w:name w:val="toc 6"/>
    <w:basedOn w:val="1"/>
    <w:next w:val="1"/>
    <w:autoRedefine/>
    <w:unhideWhenUsed/>
    <w:qFormat/>
    <w:uiPriority w:val="39"/>
    <w:pPr>
      <w:ind w:left="1200"/>
    </w:pPr>
    <w:rPr>
      <w:rFonts w:asciiTheme="minorHAnsi" w:eastAsiaTheme="minorHAnsi"/>
      <w:sz w:val="18"/>
      <w:szCs w:val="18"/>
    </w:rPr>
  </w:style>
  <w:style w:type="paragraph" w:styleId="26">
    <w:name w:val="toc 2"/>
    <w:basedOn w:val="1"/>
    <w:next w:val="1"/>
    <w:autoRedefine/>
    <w:unhideWhenUsed/>
    <w:qFormat/>
    <w:uiPriority w:val="39"/>
    <w:pPr>
      <w:ind w:left="240"/>
    </w:pPr>
    <w:rPr>
      <w:rFonts w:asciiTheme="minorHAnsi" w:eastAsiaTheme="minorHAnsi"/>
      <w:smallCaps/>
      <w:sz w:val="20"/>
      <w:szCs w:val="20"/>
    </w:rPr>
  </w:style>
  <w:style w:type="paragraph" w:styleId="27">
    <w:name w:val="toc 9"/>
    <w:basedOn w:val="1"/>
    <w:next w:val="1"/>
    <w:autoRedefine/>
    <w:unhideWhenUsed/>
    <w:qFormat/>
    <w:uiPriority w:val="39"/>
    <w:pPr>
      <w:ind w:left="1920"/>
    </w:pPr>
    <w:rPr>
      <w:rFonts w:asciiTheme="minorHAnsi" w:eastAsiaTheme="minorHAnsi"/>
      <w:sz w:val="18"/>
      <w:szCs w:val="18"/>
    </w:rPr>
  </w:style>
  <w:style w:type="paragraph" w:styleId="28">
    <w:name w:val="Body Text 2"/>
    <w:basedOn w:val="1"/>
    <w:qFormat/>
    <w:uiPriority w:val="0"/>
    <w:pPr>
      <w:spacing w:line="360" w:lineRule="auto"/>
    </w:pPr>
    <w:rPr>
      <w:sz w:val="24"/>
      <w:szCs w:val="20"/>
    </w:rPr>
  </w:style>
  <w:style w:type="paragraph" w:styleId="29">
    <w:name w:val="annotation subject"/>
    <w:basedOn w:val="12"/>
    <w:next w:val="12"/>
    <w:link w:val="53"/>
    <w:autoRedefine/>
    <w:semiHidden/>
    <w:unhideWhenUsed/>
    <w:qFormat/>
    <w:uiPriority w:val="99"/>
    <w:pPr>
      <w:spacing w:line="360" w:lineRule="auto"/>
    </w:pPr>
    <w:rPr>
      <w:rFonts w:eastAsia="宋体"/>
      <w:b/>
      <w:bCs/>
      <w:sz w:val="24"/>
      <w:szCs w:val="22"/>
    </w:rPr>
  </w:style>
  <w:style w:type="paragraph" w:styleId="30">
    <w:name w:val="Body Text First Indent 2"/>
    <w:basedOn w:val="14"/>
    <w:next w:val="14"/>
    <w:autoRedefine/>
    <w:qFormat/>
    <w:uiPriority w:val="0"/>
    <w:pPr>
      <w:snapToGrid/>
      <w:spacing w:after="120" w:line="240" w:lineRule="auto"/>
      <w:ind w:left="420" w:leftChars="200" w:right="0" w:firstLine="420" w:firstLineChars="200"/>
    </w:pPr>
    <w:rPr>
      <w:rFonts w:ascii="Times New Roman" w:eastAsia="宋体"/>
      <w:spacing w:val="0"/>
      <w:sz w:val="21"/>
      <w:szCs w:val="24"/>
    </w:rPr>
  </w:style>
  <w:style w:type="table" w:styleId="32">
    <w:name w:val="Table Grid"/>
    <w:basedOn w:val="31"/>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4">
    <w:name w:val="Strong"/>
    <w:autoRedefine/>
    <w:qFormat/>
    <w:uiPriority w:val="0"/>
    <w:rPr>
      <w:b/>
      <w:bCs/>
    </w:rPr>
  </w:style>
  <w:style w:type="character" w:styleId="35">
    <w:name w:val="Hyperlink"/>
    <w:basedOn w:val="33"/>
    <w:autoRedefine/>
    <w:unhideWhenUsed/>
    <w:qFormat/>
    <w:uiPriority w:val="99"/>
    <w:rPr>
      <w:color w:val="0563C1" w:themeColor="hyperlink"/>
      <w:u w:val="single"/>
      <w14:textFill>
        <w14:solidFill>
          <w14:schemeClr w14:val="hlink"/>
        </w14:solidFill>
      </w14:textFill>
    </w:rPr>
  </w:style>
  <w:style w:type="character" w:styleId="36">
    <w:name w:val="annotation reference"/>
    <w:basedOn w:val="33"/>
    <w:autoRedefine/>
    <w:qFormat/>
    <w:uiPriority w:val="0"/>
    <w:rPr>
      <w:sz w:val="21"/>
      <w:szCs w:val="21"/>
    </w:rPr>
  </w:style>
  <w:style w:type="character" w:styleId="37">
    <w:name w:val="HTML Sample"/>
    <w:basedOn w:val="33"/>
    <w:semiHidden/>
    <w:unhideWhenUsed/>
    <w:qFormat/>
    <w:uiPriority w:val="99"/>
    <w:rPr>
      <w:rFonts w:ascii="Courier New" w:hAnsi="Courier New"/>
    </w:rPr>
  </w:style>
  <w:style w:type="paragraph" w:customStyle="1" w:styleId="38">
    <w:name w:val="AONormal"/>
    <w:autoRedefine/>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39">
    <w:name w:val="正文缩进2"/>
    <w:basedOn w:val="1"/>
    <w:autoRedefine/>
    <w:qFormat/>
    <w:uiPriority w:val="0"/>
    <w:pPr>
      <w:wordWrap w:val="0"/>
      <w:ind w:firstLine="480"/>
    </w:pPr>
    <w:rPr>
      <w:iCs/>
      <w:shd w:val="clear" w:color="auto" w:fill="FFFFFF" w:themeFill="background1"/>
      <w:lang w:val="zh-CN"/>
    </w:rPr>
  </w:style>
  <w:style w:type="character" w:customStyle="1" w:styleId="40">
    <w:name w:val="标题 1 字符"/>
    <w:basedOn w:val="33"/>
    <w:link w:val="2"/>
    <w:autoRedefine/>
    <w:qFormat/>
    <w:uiPriority w:val="9"/>
    <w:rPr>
      <w:rFonts w:eastAsia="黑体"/>
      <w:b/>
      <w:bCs/>
      <w:kern w:val="44"/>
      <w:sz w:val="44"/>
      <w:szCs w:val="44"/>
    </w:rPr>
  </w:style>
  <w:style w:type="paragraph" w:styleId="41">
    <w:name w:val="List Paragraph"/>
    <w:basedOn w:val="1"/>
    <w:autoRedefine/>
    <w:qFormat/>
    <w:uiPriority w:val="34"/>
    <w:pPr>
      <w:numPr>
        <w:ilvl w:val="0"/>
        <w:numId w:val="2"/>
      </w:numPr>
    </w:pPr>
  </w:style>
  <w:style w:type="character" w:customStyle="1" w:styleId="42">
    <w:name w:val="页眉 字符"/>
    <w:basedOn w:val="33"/>
    <w:link w:val="20"/>
    <w:autoRedefine/>
    <w:qFormat/>
    <w:uiPriority w:val="99"/>
    <w:rPr>
      <w:rFonts w:eastAsia="宋体"/>
      <w:sz w:val="18"/>
      <w:szCs w:val="18"/>
    </w:rPr>
  </w:style>
  <w:style w:type="character" w:customStyle="1" w:styleId="43">
    <w:name w:val="页脚 字符"/>
    <w:basedOn w:val="33"/>
    <w:link w:val="19"/>
    <w:autoRedefine/>
    <w:qFormat/>
    <w:uiPriority w:val="99"/>
    <w:rPr>
      <w:rFonts w:eastAsia="宋体"/>
      <w:sz w:val="18"/>
      <w:szCs w:val="18"/>
    </w:rPr>
  </w:style>
  <w:style w:type="character" w:customStyle="1" w:styleId="44">
    <w:name w:val="标题 2 字符"/>
    <w:basedOn w:val="33"/>
    <w:link w:val="3"/>
    <w:autoRedefine/>
    <w:qFormat/>
    <w:uiPriority w:val="0"/>
    <w:rPr>
      <w:rFonts w:eastAsia="宋体" w:asciiTheme="majorHAnsi" w:hAnsiTheme="majorHAnsi" w:cstheme="majorBidi"/>
      <w:b/>
      <w:bCs/>
      <w:sz w:val="32"/>
      <w:szCs w:val="32"/>
    </w:rPr>
  </w:style>
  <w:style w:type="character" w:customStyle="1" w:styleId="45">
    <w:name w:val="批注文字 字符"/>
    <w:basedOn w:val="33"/>
    <w:link w:val="12"/>
    <w:autoRedefine/>
    <w:qFormat/>
    <w:uiPriority w:val="0"/>
    <w:rPr>
      <w:szCs w:val="24"/>
    </w:rPr>
  </w:style>
  <w:style w:type="paragraph" w:customStyle="1" w:styleId="46">
    <w:name w:val="Char1 Char Char Char"/>
    <w:basedOn w:val="1"/>
    <w:autoRedefine/>
    <w:qFormat/>
    <w:uiPriority w:val="0"/>
    <w:pPr>
      <w:adjustRightInd w:val="0"/>
      <w:jc w:val="both"/>
    </w:pPr>
    <w:rPr>
      <w:rFonts w:ascii="Times New Roman" w:hAnsi="Times New Roman" w:cs="Times New Roman"/>
      <w:kern w:val="0"/>
      <w:szCs w:val="20"/>
    </w:rPr>
  </w:style>
  <w:style w:type="character" w:customStyle="1" w:styleId="47">
    <w:name w:val="标题 3 字符"/>
    <w:basedOn w:val="33"/>
    <w:link w:val="4"/>
    <w:autoRedefine/>
    <w:qFormat/>
    <w:uiPriority w:val="9"/>
    <w:rPr>
      <w:rFonts w:eastAsia="宋体"/>
      <w:b/>
      <w:bCs/>
      <w:sz w:val="30"/>
      <w:szCs w:val="32"/>
    </w:rPr>
  </w:style>
  <w:style w:type="character" w:customStyle="1" w:styleId="48">
    <w:name w:val="标题 4 字符"/>
    <w:basedOn w:val="33"/>
    <w:link w:val="5"/>
    <w:autoRedefine/>
    <w:qFormat/>
    <w:uiPriority w:val="9"/>
    <w:rPr>
      <w:rFonts w:eastAsia="宋体" w:asciiTheme="majorHAnsi" w:hAnsiTheme="majorHAnsi" w:cstheme="majorBidi"/>
      <w:b/>
      <w:bCs/>
      <w:sz w:val="28"/>
      <w:szCs w:val="28"/>
    </w:rPr>
  </w:style>
  <w:style w:type="character" w:customStyle="1" w:styleId="49">
    <w:name w:val="正文文本 字符"/>
    <w:basedOn w:val="33"/>
    <w:link w:val="13"/>
    <w:autoRedefine/>
    <w:qFormat/>
    <w:uiPriority w:val="99"/>
    <w:rPr>
      <w:szCs w:val="24"/>
    </w:rPr>
  </w:style>
  <w:style w:type="paragraph" w:customStyle="1" w:styleId="50">
    <w:name w:val="样式"/>
    <w:basedOn w:val="1"/>
    <w:autoRedefine/>
    <w:qFormat/>
    <w:uiPriority w:val="0"/>
    <w:pPr>
      <w:autoSpaceDE w:val="0"/>
      <w:autoSpaceDN w:val="0"/>
      <w:snapToGrid w:val="0"/>
      <w:spacing w:before="120" w:after="120"/>
      <w:jc w:val="both"/>
    </w:pPr>
    <w:rPr>
      <w:rFonts w:hAnsi="Times New Roman" w:cs="Times New Roman"/>
      <w:kern w:val="0"/>
      <w:szCs w:val="20"/>
    </w:rPr>
  </w:style>
  <w:style w:type="paragraph" w:styleId="51">
    <w:name w:val="No Spacing"/>
    <w:autoRedefine/>
    <w:qFormat/>
    <w:uiPriority w:val="1"/>
    <w:pPr>
      <w:widowControl w:val="0"/>
    </w:pPr>
    <w:rPr>
      <w:rFonts w:ascii="宋体" w:hAnsi="宋体" w:eastAsia="宋体" w:cstheme="minorBidi"/>
      <w:kern w:val="2"/>
      <w:sz w:val="24"/>
      <w:szCs w:val="22"/>
      <w:lang w:val="en-US" w:eastAsia="zh-CN" w:bidi="ar-SA"/>
    </w:rPr>
  </w:style>
  <w:style w:type="character" w:customStyle="1" w:styleId="52">
    <w:name w:val="未处理的提及1"/>
    <w:basedOn w:val="33"/>
    <w:autoRedefine/>
    <w:semiHidden/>
    <w:unhideWhenUsed/>
    <w:qFormat/>
    <w:uiPriority w:val="99"/>
    <w:rPr>
      <w:color w:val="605E5C"/>
      <w:shd w:val="clear" w:color="auto" w:fill="E1DFDD"/>
    </w:rPr>
  </w:style>
  <w:style w:type="character" w:customStyle="1" w:styleId="53">
    <w:name w:val="批注主题 字符"/>
    <w:basedOn w:val="45"/>
    <w:link w:val="29"/>
    <w:autoRedefine/>
    <w:semiHidden/>
    <w:qFormat/>
    <w:uiPriority w:val="99"/>
    <w:rPr>
      <w:rFonts w:ascii="宋体" w:hAnsi="宋体" w:cstheme="minorBidi"/>
      <w:b/>
      <w:bCs/>
      <w:kern w:val="2"/>
      <w:sz w:val="24"/>
      <w:szCs w:val="22"/>
    </w:rPr>
  </w:style>
  <w:style w:type="character" w:customStyle="1" w:styleId="54">
    <w:name w:val="未处理的提及2"/>
    <w:basedOn w:val="33"/>
    <w:autoRedefine/>
    <w:semiHidden/>
    <w:unhideWhenUsed/>
    <w:qFormat/>
    <w:uiPriority w:val="99"/>
    <w:rPr>
      <w:color w:val="605E5C"/>
      <w:shd w:val="clear" w:color="auto" w:fill="E1DFDD"/>
    </w:rPr>
  </w:style>
  <w:style w:type="paragraph" w:customStyle="1" w:styleId="55">
    <w:name w:val="正文_2"/>
    <w:autoRedefine/>
    <w:qFormat/>
    <w:uiPriority w:val="0"/>
    <w:pPr>
      <w:widowControl w:val="0"/>
      <w:jc w:val="both"/>
    </w:pPr>
    <w:rPr>
      <w:rFonts w:ascii="Calibri" w:hAnsi="Calibri" w:eastAsia="宋体" w:cs="Times New Roman"/>
      <w:lang w:val="en-US" w:eastAsia="zh-CN" w:bidi="ar-SA"/>
    </w:rPr>
  </w:style>
  <w:style w:type="paragraph" w:customStyle="1" w:styleId="56">
    <w:name w:val="Normal"/>
    <w:autoRedefine/>
    <w:qFormat/>
    <w:uiPriority w:val="0"/>
    <w:pPr>
      <w:widowControl w:val="0"/>
      <w:jc w:val="both"/>
    </w:pPr>
    <w:rPr>
      <w:rFonts w:ascii="Times New Roman" w:hAnsi="Times New Roman" w:eastAsia="Times New Roman" w:cs="Times New Roman"/>
      <w:lang w:val="en-US" w:eastAsia="zh-CN" w:bidi="ar-SA"/>
    </w:rPr>
  </w:style>
  <w:style w:type="paragraph" w:customStyle="1" w:styleId="57">
    <w:name w:val="正文_1"/>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58">
    <w:name w:val="正文_2_0_0"/>
    <w:autoRedefine/>
    <w:qFormat/>
    <w:uiPriority w:val="99"/>
    <w:pPr>
      <w:widowControl w:val="0"/>
      <w:jc w:val="both"/>
    </w:pPr>
    <w:rPr>
      <w:rFonts w:ascii="Calibri" w:hAnsi="Calibri" w:eastAsia="宋体" w:cs="Times New Roman"/>
      <w:lang w:val="en-US" w:eastAsia="zh-CN" w:bidi="ar-SA"/>
    </w:rPr>
  </w:style>
  <w:style w:type="paragraph" w:customStyle="1" w:styleId="59">
    <w:name w:val="正文_1_1"/>
    <w:autoRedefine/>
    <w:qFormat/>
    <w:uiPriority w:val="99"/>
    <w:pPr>
      <w:widowControl w:val="0"/>
      <w:jc w:val="both"/>
    </w:pPr>
    <w:rPr>
      <w:rFonts w:ascii="Calibri" w:hAnsi="Calibri" w:eastAsia="宋体" w:cs="Times New Roman"/>
      <w:kern w:val="2"/>
      <w:sz w:val="21"/>
      <w:szCs w:val="24"/>
      <w:lang w:val="en-US" w:eastAsia="zh-CN" w:bidi="ar-SA"/>
    </w:rPr>
  </w:style>
  <w:style w:type="paragraph" w:customStyle="1" w:styleId="60">
    <w:name w:val="Normal Indent1"/>
    <w:basedOn w:val="1"/>
    <w:autoRedefine/>
    <w:qFormat/>
    <w:uiPriority w:val="0"/>
    <w:pPr>
      <w:ind w:firstLine="420" w:firstLineChars="200"/>
    </w:pPr>
  </w:style>
  <w:style w:type="paragraph" w:customStyle="1" w:styleId="61">
    <w:name w:val="LO-Normal"/>
    <w:autoRedefine/>
    <w:qFormat/>
    <w:uiPriority w:val="0"/>
    <w:pPr>
      <w:suppressAutoHyphens/>
    </w:pPr>
    <w:rPr>
      <w:rFonts w:ascii="Times New Roman" w:hAnsi="Times New Roman" w:eastAsia="宋体" w:cs="Times New Roman"/>
      <w:sz w:val="24"/>
      <w:szCs w:val="24"/>
      <w:lang w:val="en-US" w:eastAsia="zh-CN" w:bidi="ar-SA"/>
    </w:rPr>
  </w:style>
  <w:style w:type="paragraph" w:customStyle="1" w:styleId="62">
    <w:name w:val="Normal_22"/>
    <w:autoRedefine/>
    <w:qFormat/>
    <w:uiPriority w:val="0"/>
    <w:rPr>
      <w:rFonts w:ascii="Times New Roman" w:hAnsi="Times New Roman" w:eastAsia="Times New Roman" w:cs="Times New Roman"/>
      <w:sz w:val="24"/>
      <w:szCs w:val="24"/>
      <w:lang w:bidi="ar-SA"/>
    </w:rPr>
  </w:style>
  <w:style w:type="paragraph" w:customStyle="1" w:styleId="63">
    <w:name w:val="正文_6_0"/>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4">
    <w:name w:val="正文_0_0_0 Char"/>
    <w:link w:val="65"/>
    <w:autoRedefine/>
    <w:qFormat/>
    <w:locked/>
    <w:uiPriority w:val="0"/>
    <w:rPr>
      <w:rFonts w:ascii="Calibri" w:hAnsi="Calibri" w:cs="Calibri"/>
      <w:kern w:val="2"/>
      <w:sz w:val="28"/>
      <w:szCs w:val="22"/>
      <w:lang w:val="en-US" w:eastAsia="zh-CN" w:bidi="ar-SA"/>
    </w:rPr>
  </w:style>
  <w:style w:type="paragraph" w:customStyle="1" w:styleId="65">
    <w:name w:val="正文_0_0_0_0_0"/>
    <w:link w:val="64"/>
    <w:autoRedefine/>
    <w:qFormat/>
    <w:uiPriority w:val="0"/>
    <w:pPr>
      <w:spacing w:before="120" w:after="120" w:line="360" w:lineRule="auto"/>
      <w:ind w:left="1072" w:hanging="1072"/>
      <w:jc w:val="both"/>
    </w:pPr>
    <w:rPr>
      <w:rFonts w:ascii="Calibri" w:hAnsi="Calibri" w:eastAsia="宋体" w:cs="Calibri"/>
      <w:kern w:val="2"/>
      <w:sz w:val="28"/>
      <w:szCs w:val="22"/>
      <w:lang w:val="en-US" w:eastAsia="zh-CN" w:bidi="ar-SA"/>
    </w:rPr>
  </w:style>
  <w:style w:type="paragraph" w:customStyle="1" w:styleId="66">
    <w:name w:val="正文文本_0_1"/>
    <w:basedOn w:val="67"/>
    <w:autoRedefine/>
    <w:qFormat/>
    <w:uiPriority w:val="99"/>
    <w:pPr>
      <w:spacing w:after="120"/>
    </w:pPr>
    <w:rPr>
      <w:rFonts w:ascii="Calibri" w:hAnsi="Calibri" w:eastAsia="宋体"/>
      <w:kern w:val="0"/>
      <w:sz w:val="24"/>
      <w:szCs w:val="20"/>
    </w:rPr>
  </w:style>
  <w:style w:type="paragraph" w:customStyle="1" w:styleId="67">
    <w:name w:val="正文_6_0_0"/>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68">
    <w:name w:val="Table Paragraph_1"/>
    <w:basedOn w:val="67"/>
    <w:autoRedefine/>
    <w:qFormat/>
    <w:uiPriority w:val="0"/>
    <w:pPr>
      <w:jc w:val="left"/>
    </w:pPr>
    <w:rPr>
      <w:rFonts w:ascii="Calibri" w:hAnsi="Calibri" w:eastAsia="宋体"/>
      <w:kern w:val="0"/>
      <w:sz w:val="22"/>
      <w:lang w:eastAsia="en-US"/>
    </w:rPr>
  </w:style>
  <w:style w:type="paragraph" w:customStyle="1" w:styleId="69">
    <w:name w:val="正文_6"/>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70">
    <w:name w:val="正文1"/>
    <w:autoRedefine/>
    <w:qFormat/>
    <w:uiPriority w:val="0"/>
    <w:pPr>
      <w:widowControl w:val="0"/>
      <w:jc w:val="both"/>
    </w:pPr>
    <w:rPr>
      <w:rFonts w:ascii="Calibri" w:hAnsi="Calibri" w:eastAsia="宋体" w:cs="Times New Roman"/>
      <w:lang w:val="en-US" w:eastAsia="zh-CN" w:bidi="ar-SA"/>
    </w:rPr>
  </w:style>
  <w:style w:type="paragraph" w:customStyle="1" w:styleId="71">
    <w:name w:val="列出段落1"/>
    <w:basedOn w:val="1"/>
    <w:autoRedefine/>
    <w:qFormat/>
    <w:uiPriority w:val="0"/>
    <w:pPr>
      <w:ind w:firstLine="420" w:firstLineChars="200"/>
    </w:pPr>
    <w:rPr>
      <w:szCs w:val="21"/>
    </w:rPr>
  </w:style>
  <w:style w:type="paragraph" w:customStyle="1" w:styleId="72">
    <w:name w:val="xl31"/>
    <w:basedOn w:val="1"/>
    <w:autoRedefine/>
    <w:qFormat/>
    <w:uiPriority w:val="0"/>
    <w:pPr>
      <w:widowControl/>
      <w:spacing w:before="100" w:beforeAutospacing="1" w:after="100" w:afterAutospacing="1"/>
      <w:jc w:val="center"/>
    </w:pPr>
    <w:rPr>
      <w:b/>
      <w:bCs/>
      <w:kern w:val="0"/>
      <w:sz w:val="28"/>
      <w:szCs w:val="28"/>
    </w:rPr>
  </w:style>
  <w:style w:type="paragraph" w:customStyle="1" w:styleId="73">
    <w:name w:val="正文2"/>
    <w:basedOn w:val="1"/>
    <w:qFormat/>
    <w:uiPriority w:val="0"/>
    <w:pPr>
      <w:spacing w:before="156" w:line="360" w:lineRule="auto"/>
      <w:ind w:firstLine="510" w:firstLineChars="200"/>
    </w:pPr>
    <w:rPr>
      <w:sz w:val="24"/>
      <w:szCs w:val="20"/>
    </w:rPr>
  </w:style>
  <w:style w:type="paragraph" w:customStyle="1" w:styleId="74">
    <w:name w:val="Char Char Char Char Char Char Char1 Char"/>
    <w:basedOn w:val="1"/>
    <w:autoRedefine/>
    <w:qFormat/>
    <w:uiPriority w:val="0"/>
    <w:rPr>
      <w:rFonts w:ascii="Arial" w:hAnsi="Arial" w:eastAsia="宋体" w:cs="Arial"/>
      <w:sz w:val="24"/>
    </w:rPr>
  </w:style>
  <w:style w:type="paragraph" w:customStyle="1" w:styleId="75">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76">
    <w:name w:val="Table Text"/>
    <w:basedOn w:val="1"/>
    <w:semiHidden/>
    <w:qFormat/>
    <w:uiPriority w:val="0"/>
    <w:rPr>
      <w:rFonts w:ascii="宋体" w:hAnsi="宋体" w:eastAsia="宋体" w:cs="宋体"/>
      <w:sz w:val="21"/>
      <w:szCs w:val="21"/>
      <w:lang w:val="en-US" w:eastAsia="en-US" w:bidi="ar-SA"/>
    </w:rPr>
  </w:style>
  <w:style w:type="table" w:customStyle="1" w:styleId="77">
    <w:name w:val="Table Normal"/>
    <w:semiHidden/>
    <w:unhideWhenUsed/>
    <w:qFormat/>
    <w:uiPriority w:val="0"/>
    <w:tblPr>
      <w:tblCellMar>
        <w:top w:w="0" w:type="dxa"/>
        <w:left w:w="0" w:type="dxa"/>
        <w:bottom w:w="0" w:type="dxa"/>
        <w:right w:w="0" w:type="dxa"/>
      </w:tblCellMar>
    </w:tblPr>
  </w:style>
  <w:style w:type="paragraph" w:customStyle="1" w:styleId="78">
    <w:name w:val="_Style 13"/>
    <w:qFormat/>
    <w:uiPriority w:val="0"/>
    <w:pPr>
      <w:spacing w:before="120" w:after="120" w:line="288" w:lineRule="auto"/>
      <w:ind w:left="0"/>
      <w:jc w:val="left"/>
    </w:pPr>
    <w:rPr>
      <w:rFonts w:ascii="Arial" w:hAnsi="Arial" w:eastAsia="等线" w:cs="Arial"/>
      <w:sz w:val="22"/>
      <w:szCs w:val="22"/>
    </w:rPr>
  </w:style>
  <w:style w:type="character" w:customStyle="1" w:styleId="79">
    <w:name w:val="font21"/>
    <w:basedOn w:val="33"/>
    <w:qFormat/>
    <w:uiPriority w:val="0"/>
    <w:rPr>
      <w:rFonts w:hint="default" w:ascii="方正小标宋简体" w:hAnsi="方正小标宋简体" w:eastAsia="方正小标宋简体" w:cs="方正小标宋简体"/>
      <w:color w:val="000000"/>
      <w:sz w:val="32"/>
      <w:szCs w:val="32"/>
      <w:u w:val="none"/>
    </w:rPr>
  </w:style>
  <w:style w:type="character" w:customStyle="1" w:styleId="80">
    <w:name w:val="font181"/>
    <w:basedOn w:val="33"/>
    <w:qFormat/>
    <w:uiPriority w:val="0"/>
    <w:rPr>
      <w:rFonts w:hint="default" w:ascii="Times New Roman" w:hAnsi="Times New Roman" w:cs="Times New Roman"/>
      <w:color w:val="000000"/>
      <w:sz w:val="32"/>
      <w:szCs w:val="32"/>
      <w:u w:val="none"/>
    </w:rPr>
  </w:style>
  <w:style w:type="paragraph" w:customStyle="1" w:styleId="81">
    <w:name w:val="null5"/>
    <w:hidden/>
    <w:qFormat/>
    <w:uiPriority w:val="0"/>
    <w:rPr>
      <w:rFonts w:hint="eastAsia" w:ascii="仿宋_GB2312" w:hAnsi="仿宋_GB2312" w:eastAsia="仿宋_GB2312" w:cs="仿宋_GB2312"/>
      <w:sz w:val="24"/>
      <w:szCs w:val="24"/>
      <w:lang w:val="en-US" w:eastAsia="zh-CN" w:bidi="ar-SA"/>
    </w:rPr>
  </w:style>
  <w:style w:type="character" w:customStyle="1" w:styleId="82">
    <w:name w:val="font31"/>
    <w:basedOn w:val="33"/>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2.png"/><Relationship Id="rId12" Type="http://schemas.openxmlformats.org/officeDocument/2006/relationships/oleObject" Target="embeddings/oleObject1.bin"/><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186</Pages>
  <Words>15952</Words>
  <Characters>17499</Characters>
  <Lines>328</Lines>
  <Paragraphs>92</Paragraphs>
  <TotalTime>5</TotalTime>
  <ScaleCrop>false</ScaleCrop>
  <LinksUpToDate>false</LinksUpToDate>
  <CharactersWithSpaces>18239</CharactersWithSpaces>
  <Application>WPS Office_12.1.0.26375_F1E327BC-269C-435d-A152-05C5408002CA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2024-01-02T05:57:00Z</dcterms:created>
  <dc:creator>admin</dc:creator>
  <cp:lastModifiedBy>Sofio</cp:lastModifiedBy>
  <cp:lastPrinted>2024-12-28T09:34:00Z</cp:lastPrinted>
  <dcterms:modified xsi:type="dcterms:W3CDTF">2026-05-22T03:53:00Z</dcterms:modified>
  <cp:revision>425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2052-12.1.0.26375</vt:lpwstr>
  </property>
  <property fmtid="{D5CDD505-2E9C-101B-9397-08002B2CF9AE}" pid="3" name="ICV">
    <vt:lpwstr>8F05D93F838C48B39C1F11322D4615EA_13</vt:lpwstr>
  </property>
  <property fmtid="{D5CDD505-2E9C-101B-9397-08002B2CF9AE}" pid="4" name="KSOTemplateDocerSaveRecord">
    <vt:lpwstr>eyJoZGlkIjoiZDBjOWEwNzM4NjMzNjBhYzA4MWU0Y2JmNzVkY2MzODEiLCJ1c2VySWQiOiI5MjM4NTE1OTUifQ==</vt:lpwstr>
  </property>
</Properties>
</file>