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18EB9">
      <w:pPr>
        <w:spacing w:beforeLines="100" w:line="360" w:lineRule="auto"/>
        <w:jc w:val="center"/>
        <w:outlineLvl w:val="0"/>
        <w:rPr>
          <w:rFonts w:hint="eastAsia" w:ascii="宋体" w:hAnsi="宋体" w:eastAsia="宋体" w:cs="宋体"/>
          <w:b/>
          <w:color w:val="000000" w:themeColor="text1"/>
          <w:sz w:val="28"/>
          <w:szCs w:val="28"/>
          <w:lang w:val="en-US" w:eastAsia="zh-CN"/>
        </w:rPr>
      </w:pPr>
      <w:bookmarkStart w:id="0" w:name="_Toc19126"/>
      <w:r>
        <w:rPr>
          <w:rFonts w:hint="eastAsia" w:ascii="宋体" w:hAnsi="宋体" w:eastAsia="宋体" w:cs="宋体"/>
          <w:b/>
          <w:color w:val="000000" w:themeColor="text1"/>
          <w:sz w:val="28"/>
          <w:szCs w:val="28"/>
          <w:lang w:val="en-US" w:eastAsia="zh-CN"/>
        </w:rPr>
        <w:t>设计说明书</w:t>
      </w:r>
    </w:p>
    <w:p w14:paraId="369777FE">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1</w:t>
      </w:r>
      <w:r>
        <w:rPr>
          <w:rFonts w:hint="eastAsia" w:ascii="宋体" w:hAnsi="宋体" w:eastAsia="宋体" w:cs="宋体"/>
          <w:b/>
          <w:color w:val="000000" w:themeColor="text1"/>
          <w:sz w:val="28"/>
          <w:szCs w:val="28"/>
          <w:lang w:eastAsia="zh-CN"/>
        </w:rPr>
        <w:t>、</w:t>
      </w:r>
      <w:bookmarkEnd w:id="0"/>
      <w:r>
        <w:rPr>
          <w:rFonts w:hint="eastAsia" w:ascii="宋体" w:hAnsi="宋体" w:eastAsia="宋体" w:cs="宋体"/>
          <w:b/>
          <w:color w:val="000000" w:themeColor="text1"/>
          <w:sz w:val="28"/>
          <w:szCs w:val="28"/>
          <w:lang w:val="en-US" w:eastAsia="zh-CN"/>
        </w:rPr>
        <w:t>施工图设计依据</w:t>
      </w:r>
    </w:p>
    <w:p w14:paraId="35E3A895">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cs="宋体"/>
          <w:color w:val="000000" w:themeColor="text1"/>
          <w:kern w:val="0"/>
          <w:sz w:val="28"/>
          <w:szCs w:val="28"/>
          <w:lang w:val="en-US" w:eastAsia="zh-CN"/>
        </w:rPr>
        <w:t>营城子镇小桥子村2026年基础设施建设项目</w:t>
      </w:r>
      <w:r>
        <w:rPr>
          <w:rFonts w:hint="eastAsia" w:ascii="宋体" w:hAnsi="宋体" w:eastAsia="宋体" w:cs="宋体"/>
          <w:color w:val="000000" w:themeColor="text1"/>
          <w:kern w:val="0"/>
          <w:sz w:val="28"/>
          <w:szCs w:val="28"/>
        </w:rPr>
        <w:t>。</w:t>
      </w:r>
      <w:r>
        <w:rPr>
          <w:rFonts w:hint="eastAsia" w:ascii="宋体" w:hAnsi="宋体" w:eastAsia="宋体" w:cs="宋体"/>
          <w:color w:val="000000" w:themeColor="text1"/>
          <w:kern w:val="0"/>
          <w:sz w:val="28"/>
          <w:szCs w:val="28"/>
          <w:lang w:val="zh-CN"/>
        </w:rPr>
        <w:t>依据</w:t>
      </w:r>
      <w:r>
        <w:rPr>
          <w:rFonts w:hint="eastAsia" w:ascii="宋体" w:hAnsi="宋体" w:eastAsia="宋体" w:cs="宋体"/>
          <w:color w:val="000000" w:themeColor="text1"/>
          <w:kern w:val="0"/>
          <w:sz w:val="28"/>
          <w:szCs w:val="28"/>
          <w:lang w:val="en-US" w:eastAsia="zh-CN"/>
        </w:rPr>
        <w:t>伊通满族自治县</w:t>
      </w:r>
      <w:r>
        <w:rPr>
          <w:rFonts w:hint="eastAsia" w:ascii="宋体" w:hAnsi="宋体" w:cs="宋体"/>
          <w:color w:val="000000" w:themeColor="text1"/>
          <w:kern w:val="0"/>
          <w:sz w:val="28"/>
          <w:szCs w:val="28"/>
          <w:lang w:val="en-US" w:eastAsia="zh-CN"/>
        </w:rPr>
        <w:t>营城子镇</w:t>
      </w:r>
      <w:r>
        <w:rPr>
          <w:rFonts w:hint="eastAsia" w:ascii="宋体" w:hAnsi="宋体" w:eastAsia="宋体" w:cs="宋体"/>
          <w:color w:val="000000" w:themeColor="text1"/>
          <w:kern w:val="0"/>
          <w:sz w:val="28"/>
          <w:szCs w:val="28"/>
          <w:lang w:val="en-US" w:eastAsia="zh-CN"/>
        </w:rPr>
        <w:t>人民政府关于</w:t>
      </w:r>
      <w:r>
        <w:rPr>
          <w:rFonts w:hint="eastAsia" w:ascii="宋体" w:hAnsi="宋体" w:eastAsia="宋体" w:cs="宋体"/>
          <w:color w:val="000000" w:themeColor="text1"/>
          <w:kern w:val="0"/>
          <w:sz w:val="28"/>
          <w:szCs w:val="28"/>
          <w:lang w:val="zh-CN"/>
        </w:rPr>
        <w:t>《</w:t>
      </w:r>
      <w:r>
        <w:rPr>
          <w:rFonts w:hint="eastAsia" w:ascii="宋体" w:hAnsi="宋体" w:cs="宋体"/>
          <w:color w:val="000000" w:themeColor="text1"/>
          <w:kern w:val="0"/>
          <w:sz w:val="28"/>
          <w:szCs w:val="28"/>
          <w:lang w:val="en-US" w:eastAsia="zh-CN"/>
        </w:rPr>
        <w:t>营城子镇小桥子村2026年基础设施建设项目</w:t>
      </w:r>
      <w:r>
        <w:rPr>
          <w:rFonts w:hint="eastAsia" w:ascii="宋体" w:hAnsi="宋体" w:eastAsia="宋体" w:cs="宋体"/>
          <w:color w:val="000000" w:themeColor="text1"/>
          <w:kern w:val="0"/>
          <w:sz w:val="28"/>
          <w:szCs w:val="28"/>
          <w:lang w:val="zh-CN"/>
        </w:rPr>
        <w:t>》的</w:t>
      </w:r>
      <w:r>
        <w:rPr>
          <w:rFonts w:hint="eastAsia" w:ascii="宋体" w:hAnsi="宋体" w:eastAsia="宋体" w:cs="宋体"/>
          <w:color w:val="000000" w:themeColor="text1"/>
          <w:kern w:val="0"/>
          <w:sz w:val="28"/>
          <w:szCs w:val="28"/>
          <w:lang w:val="en-US" w:eastAsia="zh-CN"/>
        </w:rPr>
        <w:t>任务委托书</w:t>
      </w:r>
      <w:r>
        <w:rPr>
          <w:rFonts w:hint="eastAsia" w:ascii="宋体" w:hAnsi="宋体" w:eastAsia="宋体" w:cs="宋体"/>
          <w:color w:val="000000" w:themeColor="text1"/>
          <w:kern w:val="0"/>
          <w:sz w:val="28"/>
          <w:szCs w:val="28"/>
          <w:lang w:val="zh-CN"/>
        </w:rPr>
        <w:t>。</w:t>
      </w:r>
    </w:p>
    <w:p w14:paraId="0C628252">
      <w:pPr>
        <w:spacing w:beforeLines="100" w:line="360" w:lineRule="auto"/>
        <w:outlineLvl w:val="0"/>
        <w:rPr>
          <w:rFonts w:hint="eastAsia" w:ascii="宋体" w:hAnsi="宋体" w:eastAsia="宋体" w:cs="宋体"/>
          <w:b/>
          <w:color w:val="000000" w:themeColor="text1"/>
          <w:sz w:val="28"/>
          <w:szCs w:val="28"/>
        </w:rPr>
      </w:pPr>
      <w:r>
        <w:rPr>
          <w:rFonts w:hint="eastAsia" w:ascii="宋体" w:hAnsi="宋体" w:eastAsia="宋体" w:cs="宋体"/>
          <w:b/>
          <w:color w:val="000000" w:themeColor="text1"/>
          <w:sz w:val="28"/>
          <w:szCs w:val="28"/>
          <w:lang w:val="en-US" w:eastAsia="zh-CN"/>
        </w:rPr>
        <w:t>2、</w:t>
      </w:r>
      <w:r>
        <w:rPr>
          <w:rFonts w:hint="eastAsia" w:ascii="宋体" w:hAnsi="宋体" w:eastAsia="宋体" w:cs="宋体"/>
          <w:b/>
          <w:color w:val="000000" w:themeColor="text1"/>
          <w:sz w:val="28"/>
          <w:szCs w:val="28"/>
        </w:rPr>
        <w:t>采用的规范、规程和工程验收标准</w:t>
      </w:r>
    </w:p>
    <w:p w14:paraId="606D0FCF">
      <w:pPr>
        <w:spacing w:beforeLines="100" w:line="360" w:lineRule="auto"/>
        <w:outlineLvl w:val="0"/>
        <w:rPr>
          <w:rFonts w:hint="eastAsia" w:ascii="宋体" w:hAnsi="宋体" w:eastAsia="宋体" w:cs="宋体"/>
          <w:b/>
          <w:color w:val="000000" w:themeColor="text1"/>
          <w:sz w:val="28"/>
          <w:szCs w:val="28"/>
        </w:rPr>
      </w:pPr>
      <w:r>
        <w:rPr>
          <w:rFonts w:hint="eastAsia" w:ascii="宋体" w:hAnsi="宋体" w:eastAsia="宋体" w:cs="宋体"/>
          <w:b/>
          <w:color w:val="000000" w:themeColor="text1"/>
          <w:sz w:val="28"/>
          <w:szCs w:val="28"/>
          <w:lang w:val="en-US" w:eastAsia="zh-CN"/>
        </w:rPr>
        <w:t>2.1</w:t>
      </w:r>
      <w:r>
        <w:rPr>
          <w:rFonts w:hint="eastAsia" w:ascii="宋体" w:hAnsi="宋体" w:eastAsia="宋体" w:cs="宋体"/>
          <w:b/>
          <w:color w:val="000000" w:themeColor="text1"/>
          <w:sz w:val="28"/>
          <w:szCs w:val="28"/>
        </w:rPr>
        <w:t>设计规范、标准</w:t>
      </w:r>
    </w:p>
    <w:p w14:paraId="29EA3793">
      <w:pPr>
        <w:numPr>
          <w:ilvl w:val="0"/>
          <w:numId w:val="0"/>
        </w:numPr>
        <w:spacing w:line="360" w:lineRule="auto"/>
        <w:ind w:left="480" w:leftChars="0"/>
        <w:rPr>
          <w:rFonts w:hint="eastAsia" w:ascii="宋体" w:hAnsi="宋体" w:eastAsia="宋体" w:cs="宋体"/>
          <w:color w:val="000000" w:themeColor="text1"/>
          <w:sz w:val="28"/>
          <w:szCs w:val="28"/>
          <w:lang w:eastAsia="zh-CN"/>
        </w:rPr>
      </w:pPr>
      <w:r>
        <w:rPr>
          <w:rFonts w:hint="eastAsia" w:ascii="宋体" w:hAnsi="宋体" w:eastAsia="宋体" w:cs="宋体"/>
          <w:color w:val="000000" w:themeColor="text1"/>
          <w:sz w:val="28"/>
          <w:szCs w:val="28"/>
        </w:rPr>
        <w:t>（1）</w:t>
      </w:r>
      <w:r>
        <w:rPr>
          <w:rFonts w:hint="eastAsia" w:ascii="宋体" w:hAnsi="宋体" w:eastAsia="宋体" w:cs="宋体"/>
          <w:color w:val="000000" w:themeColor="text1"/>
          <w:sz w:val="28"/>
          <w:szCs w:val="28"/>
          <w:lang w:eastAsia="zh-CN"/>
        </w:rPr>
        <w:t>《乡村道路工程技术规范》GBT 51224-2017</w:t>
      </w:r>
    </w:p>
    <w:p w14:paraId="54C960EA">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2</w:t>
      </w:r>
      <w:r>
        <w:rPr>
          <w:rFonts w:hint="eastAsia" w:ascii="宋体" w:hAnsi="宋体" w:eastAsia="宋体" w:cs="宋体"/>
          <w:color w:val="000000" w:themeColor="text1"/>
          <w:sz w:val="28"/>
          <w:szCs w:val="28"/>
        </w:rPr>
        <w:t>）《市政公用工程设计文件编制深度规定》（2013年版）</w:t>
      </w:r>
    </w:p>
    <w:p w14:paraId="0809B26F">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3</w:t>
      </w:r>
      <w:r>
        <w:rPr>
          <w:rFonts w:hint="eastAsia" w:ascii="宋体" w:hAnsi="宋体" w:eastAsia="宋体" w:cs="宋体"/>
          <w:color w:val="000000" w:themeColor="text1"/>
          <w:sz w:val="28"/>
          <w:szCs w:val="28"/>
        </w:rPr>
        <w:t>）《镇（乡）村排水工程技术规程》（CJJ124-2008）</w:t>
      </w:r>
    </w:p>
    <w:p w14:paraId="36E0A600">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4</w:t>
      </w:r>
      <w:r>
        <w:rPr>
          <w:rFonts w:hint="eastAsia" w:ascii="宋体" w:hAnsi="宋体" w:eastAsia="宋体" w:cs="宋体"/>
          <w:color w:val="000000" w:themeColor="text1"/>
          <w:sz w:val="28"/>
          <w:szCs w:val="28"/>
        </w:rPr>
        <w:t>）《砌体结构</w:t>
      </w:r>
      <w:r>
        <w:rPr>
          <w:rFonts w:hint="eastAsia" w:ascii="宋体" w:hAnsi="宋体" w:eastAsia="宋体" w:cs="宋体"/>
          <w:color w:val="000000" w:themeColor="text1"/>
          <w:sz w:val="28"/>
          <w:szCs w:val="28"/>
          <w:lang w:val="en-US" w:eastAsia="zh-CN"/>
        </w:rPr>
        <w:t>通用</w:t>
      </w:r>
      <w:r>
        <w:rPr>
          <w:rFonts w:hint="eastAsia" w:ascii="宋体" w:hAnsi="宋体" w:eastAsia="宋体" w:cs="宋体"/>
          <w:color w:val="000000" w:themeColor="text1"/>
          <w:sz w:val="28"/>
          <w:szCs w:val="28"/>
        </w:rPr>
        <w:t>规范》（GB</w:t>
      </w:r>
      <w:r>
        <w:rPr>
          <w:rFonts w:hint="eastAsia" w:ascii="宋体" w:hAnsi="宋体" w:eastAsia="宋体" w:cs="宋体"/>
          <w:color w:val="000000" w:themeColor="text1"/>
          <w:sz w:val="28"/>
          <w:szCs w:val="28"/>
          <w:lang w:val="en-US" w:eastAsia="zh-CN"/>
        </w:rPr>
        <w:t>55007</w:t>
      </w:r>
      <w:r>
        <w:rPr>
          <w:rFonts w:hint="eastAsia" w:ascii="宋体" w:hAnsi="宋体" w:eastAsia="宋体" w:cs="宋体"/>
          <w:color w:val="000000" w:themeColor="text1"/>
          <w:sz w:val="28"/>
          <w:szCs w:val="28"/>
        </w:rPr>
        <w:t>-20</w:t>
      </w:r>
      <w:r>
        <w:rPr>
          <w:rFonts w:hint="eastAsia" w:ascii="宋体" w:hAnsi="宋体" w:eastAsia="宋体" w:cs="宋体"/>
          <w:color w:val="000000" w:themeColor="text1"/>
          <w:sz w:val="28"/>
          <w:szCs w:val="28"/>
          <w:lang w:val="en-US" w:eastAsia="zh-CN"/>
        </w:rPr>
        <w:t>2</w:t>
      </w:r>
      <w:r>
        <w:rPr>
          <w:rFonts w:hint="eastAsia" w:ascii="宋体" w:hAnsi="宋体" w:eastAsia="宋体" w:cs="宋体"/>
          <w:color w:val="000000" w:themeColor="text1"/>
          <w:sz w:val="28"/>
          <w:szCs w:val="28"/>
        </w:rPr>
        <w:t>1）</w:t>
      </w:r>
    </w:p>
    <w:p w14:paraId="5B8EB86F">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5</w:t>
      </w:r>
      <w:r>
        <w:rPr>
          <w:rFonts w:hint="eastAsia" w:ascii="宋体" w:hAnsi="宋体" w:eastAsia="宋体" w:cs="宋体"/>
          <w:color w:val="000000" w:themeColor="text1"/>
          <w:sz w:val="28"/>
          <w:szCs w:val="28"/>
        </w:rPr>
        <w:t>）《给水排水工程构筑物结构设计规范》（GB50069-2002）</w:t>
      </w:r>
    </w:p>
    <w:p w14:paraId="1EFED0A9">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6</w:t>
      </w:r>
      <w:r>
        <w:rPr>
          <w:rFonts w:hint="eastAsia" w:ascii="宋体" w:hAnsi="宋体" w:eastAsia="宋体" w:cs="宋体"/>
          <w:color w:val="000000" w:themeColor="text1"/>
          <w:sz w:val="28"/>
          <w:szCs w:val="28"/>
        </w:rPr>
        <w:t>）《公路桥涵设计通用规范》（JTG D60-2015 ）</w:t>
      </w:r>
    </w:p>
    <w:p w14:paraId="06474C98">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7</w:t>
      </w:r>
      <w:r>
        <w:rPr>
          <w:rFonts w:hint="eastAsia" w:ascii="宋体" w:hAnsi="宋体" w:eastAsia="宋体" w:cs="宋体"/>
          <w:color w:val="000000" w:themeColor="text1"/>
          <w:sz w:val="28"/>
          <w:szCs w:val="28"/>
        </w:rPr>
        <w:t>）预算依据《吉林省市政工程计价定额》JLJD-SZ-201</w:t>
      </w:r>
      <w:r>
        <w:rPr>
          <w:rFonts w:hint="eastAsia" w:ascii="宋体" w:hAnsi="宋体" w:eastAsia="宋体" w:cs="宋体"/>
          <w:color w:val="000000" w:themeColor="text1"/>
          <w:sz w:val="28"/>
          <w:szCs w:val="28"/>
          <w:lang w:val="en-US" w:eastAsia="zh-CN"/>
        </w:rPr>
        <w:t>9</w:t>
      </w:r>
    </w:p>
    <w:p w14:paraId="2676AA28">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8</w:t>
      </w:r>
      <w:r>
        <w:rPr>
          <w:rFonts w:hint="eastAsia" w:ascii="宋体" w:hAnsi="宋体" w:eastAsia="宋体" w:cs="宋体"/>
          <w:color w:val="000000" w:themeColor="text1"/>
          <w:sz w:val="28"/>
          <w:szCs w:val="28"/>
        </w:rPr>
        <w:t>）《国家建筑标准设计图集《市政排水管道工程及附属设施》06MS201</w:t>
      </w:r>
    </w:p>
    <w:p w14:paraId="58F2D1BD">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9</w:t>
      </w:r>
      <w:r>
        <w:rPr>
          <w:rFonts w:hint="eastAsia" w:ascii="宋体" w:hAnsi="宋体" w:eastAsia="宋体" w:cs="宋体"/>
          <w:color w:val="000000" w:themeColor="text1"/>
          <w:sz w:val="28"/>
          <w:szCs w:val="28"/>
        </w:rPr>
        <w:t>）《工程建设标准强制性条文》城镇建设部分(2013年版)</w:t>
      </w:r>
    </w:p>
    <w:p w14:paraId="37E71CAB">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10</w:t>
      </w:r>
      <w:r>
        <w:rPr>
          <w:rFonts w:hint="eastAsia" w:ascii="宋体" w:hAnsi="宋体" w:eastAsia="宋体" w:cs="宋体"/>
          <w:color w:val="000000" w:themeColor="text1"/>
          <w:sz w:val="28"/>
          <w:szCs w:val="28"/>
        </w:rPr>
        <w:t>）《建设部推广应用和限制禁止使用技术》公告（第218号）2004年</w:t>
      </w:r>
    </w:p>
    <w:p w14:paraId="31959474">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以及其它有关的地方性规范和标准</w:t>
      </w:r>
    </w:p>
    <w:p w14:paraId="678C9142">
      <w:pPr>
        <w:spacing w:beforeLines="100" w:line="360" w:lineRule="auto"/>
        <w:ind w:firstLine="560" w:firstLineChars="200"/>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设计基础资料</w:t>
      </w:r>
    </w:p>
    <w:p w14:paraId="47FA1944">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1</w:t>
      </w:r>
      <w:r>
        <w:rPr>
          <w:rFonts w:hint="eastAsia" w:ascii="宋体" w:hAnsi="宋体" w:eastAsia="宋体" w:cs="宋体"/>
          <w:color w:val="000000" w:themeColor="text1"/>
          <w:sz w:val="28"/>
          <w:szCs w:val="28"/>
        </w:rPr>
        <w:t>）实测1：1000地形图；</w:t>
      </w:r>
    </w:p>
    <w:p w14:paraId="5EE15E07">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2</w:t>
      </w: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eastAsia="zh-CN"/>
        </w:rPr>
        <w:t>道路纵、横断地面高程测量数据；</w:t>
      </w:r>
    </w:p>
    <w:p w14:paraId="2915DE68">
      <w:pPr>
        <w:numPr>
          <w:ilvl w:val="0"/>
          <w:numId w:val="0"/>
        </w:numPr>
        <w:spacing w:line="360" w:lineRule="auto"/>
        <w:ind w:left="480" w:left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3</w:t>
      </w:r>
      <w:r>
        <w:rPr>
          <w:rFonts w:hint="eastAsia" w:ascii="宋体" w:hAnsi="宋体" w:eastAsia="宋体" w:cs="宋体"/>
          <w:color w:val="000000" w:themeColor="text1"/>
          <w:sz w:val="28"/>
          <w:szCs w:val="28"/>
        </w:rPr>
        <w:t>）甲方提供的其他相关资料。</w:t>
      </w:r>
    </w:p>
    <w:p w14:paraId="355F74A6">
      <w:pPr>
        <w:spacing w:line="360" w:lineRule="auto"/>
        <w:outlineLvl w:val="1"/>
        <w:rPr>
          <w:rFonts w:hint="eastAsia" w:ascii="宋体" w:hAnsi="宋体" w:eastAsia="宋体" w:cs="宋体"/>
          <w:b/>
          <w:bCs/>
          <w:color w:val="000000" w:themeColor="text1"/>
          <w:sz w:val="28"/>
          <w:szCs w:val="28"/>
        </w:rPr>
      </w:pPr>
      <w:r>
        <w:rPr>
          <w:rFonts w:hint="eastAsia" w:ascii="宋体" w:hAnsi="宋体" w:eastAsia="宋体" w:cs="宋体"/>
          <w:b/>
          <w:bCs/>
          <w:color w:val="000000" w:themeColor="text1"/>
          <w:sz w:val="28"/>
          <w:szCs w:val="28"/>
        </w:rPr>
        <w:t>2.2、工程验收规范</w:t>
      </w:r>
    </w:p>
    <w:p w14:paraId="5EE028EA">
      <w:pPr>
        <w:numPr>
          <w:ilvl w:val="0"/>
          <w:numId w:val="2"/>
        </w:numPr>
        <w:spacing w:line="360" w:lineRule="auto"/>
        <w:ind w:left="0" w:leftChars="0" w:firstLine="420" w:firstLineChars="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lang w:eastAsia="zh-CN"/>
        </w:rPr>
        <w:t>《城镇道路工程施工与质量验收规范》CJJ 1-2008</w:t>
      </w:r>
    </w:p>
    <w:p w14:paraId="461D79A0">
      <w:pPr>
        <w:spacing w:beforeLines="100" w:line="360" w:lineRule="auto"/>
        <w:outlineLvl w:val="0"/>
        <w:rPr>
          <w:rFonts w:hint="eastAsia" w:ascii="宋体" w:hAnsi="宋体" w:eastAsia="宋体" w:cs="宋体"/>
          <w:b/>
          <w:color w:val="000000" w:themeColor="text1"/>
          <w:sz w:val="28"/>
          <w:szCs w:val="28"/>
          <w:lang w:val="en-US" w:eastAsia="zh-CN"/>
        </w:rPr>
      </w:pPr>
      <w:bookmarkStart w:id="1" w:name="_Toc78"/>
      <w:r>
        <w:rPr>
          <w:rFonts w:hint="eastAsia" w:ascii="宋体" w:hAnsi="宋体" w:eastAsia="宋体" w:cs="宋体"/>
          <w:b/>
          <w:color w:val="000000" w:themeColor="text1"/>
          <w:sz w:val="28"/>
          <w:szCs w:val="28"/>
          <w:lang w:val="en-US" w:eastAsia="zh-CN"/>
        </w:rPr>
        <w:t>3、测设经过</w:t>
      </w:r>
    </w:p>
    <w:p w14:paraId="419DCF21">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我公司组织专业人员进行了全线外业勘测及调查，在外业勘测前组织有关工程技术人员对本项目的工程设计方案进行了详细研究和实地踏查。</w:t>
      </w:r>
    </w:p>
    <w:p w14:paraId="63E8F02F">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外业测量中全部采用GPS（RTK）卫星定位系统进行放样，全线进行精确的</w:t>
      </w:r>
      <w:r>
        <w:rPr>
          <w:rFonts w:hint="eastAsia" w:ascii="宋体" w:hAnsi="宋体" w:eastAsia="宋体" w:cs="宋体"/>
          <w:color w:val="000000" w:themeColor="text1"/>
          <w:kern w:val="0"/>
          <w:sz w:val="28"/>
          <w:szCs w:val="28"/>
          <w:lang w:val="en-US" w:eastAsia="zh-CN"/>
        </w:rPr>
        <w:t>排水</w:t>
      </w:r>
      <w:r>
        <w:rPr>
          <w:rFonts w:hint="eastAsia" w:ascii="宋体" w:hAnsi="宋体" w:eastAsia="宋体" w:cs="宋体"/>
          <w:color w:val="000000" w:themeColor="text1"/>
          <w:kern w:val="0"/>
          <w:sz w:val="28"/>
          <w:szCs w:val="28"/>
          <w:lang w:val="zh-CN"/>
        </w:rPr>
        <w:t>路线平、纵、横测量及对各种交叉构造物的测量。对沿线居民分布、农田水利设施、建筑物、河流、沟渠、鱼塘、管线、地类及行政区划等进行了详细调查。</w:t>
      </w:r>
    </w:p>
    <w:p w14:paraId="08C4FFA2">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在勘测及设计期间公司总工办及相关技术负责人员多次亲临现场检查指导，保证了勘测设计的质量与进度。对外业资料进行整理核对后，我公司相关部门按ISO9001质量体系规定对勘测成果进行了内部验收，内部验收后确定了最终的设计方案。</w:t>
      </w:r>
    </w:p>
    <w:p w14:paraId="279AADB6">
      <w:pPr>
        <w:spacing w:beforeLines="100" w:line="360" w:lineRule="auto"/>
        <w:outlineLvl w:val="0"/>
        <w:rPr>
          <w:rFonts w:hint="eastAsia" w:ascii="宋体" w:hAnsi="宋体" w:eastAsia="宋体" w:cs="宋体"/>
          <w:color w:val="000000" w:themeColor="text1"/>
          <w:kern w:val="0"/>
          <w:sz w:val="28"/>
          <w:szCs w:val="28"/>
          <w:lang w:val="en-US"/>
        </w:rPr>
      </w:pPr>
      <w:r>
        <w:rPr>
          <w:rFonts w:hint="eastAsia" w:ascii="宋体" w:hAnsi="宋体" w:eastAsia="宋体" w:cs="宋体"/>
          <w:b/>
          <w:color w:val="000000" w:themeColor="text1"/>
          <w:sz w:val="28"/>
          <w:szCs w:val="28"/>
          <w:lang w:val="en-US" w:eastAsia="zh-CN"/>
        </w:rPr>
        <w:t>4、</w:t>
      </w:r>
      <w:bookmarkEnd w:id="1"/>
      <w:r>
        <w:rPr>
          <w:rFonts w:hint="eastAsia" w:ascii="宋体" w:hAnsi="宋体" w:eastAsia="宋体" w:cs="宋体"/>
          <w:b/>
          <w:color w:val="000000" w:themeColor="text1"/>
          <w:sz w:val="28"/>
          <w:szCs w:val="28"/>
          <w:lang w:val="en-US" w:eastAsia="zh-CN"/>
        </w:rPr>
        <w:t>建设条件</w:t>
      </w:r>
    </w:p>
    <w:p w14:paraId="73D168DF">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4.1地形地貌</w:t>
      </w:r>
    </w:p>
    <w:p w14:paraId="20F99211">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伊通地处长白山脉向松辽平原过渡的丘陵地带。东南部和西北部分属吉林哈达岭余脉和大黑山脉，多为连绵起伏的低山丘陵，占伊通满族自治县总面积的60.8%。境内最高点为河源镇青顶山，海拔611米。中部、西部为伊通河与东辽河的冲积平原和侵蚀台地，地势大致由南向北倾斜。境内地貌按成因和形态可分6种类型。</w:t>
      </w:r>
    </w:p>
    <w:p w14:paraId="289CC5CD">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根据《建筑抗震设计规范》（GB50011-2010）（2016年版）中有关建（构）筑物抗震设防烈度、设计基本地震加速度和设计地震分组的规定，及通过查《中国地震动参数区划图》（GB18306-2015）明确：抗震设防烈度为6度，设计基本地震加速度值为0.05g。</w:t>
      </w:r>
    </w:p>
    <w:p w14:paraId="75FF7294">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4.2气候水文</w:t>
      </w:r>
    </w:p>
    <w:p w14:paraId="689868E3">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bookmarkStart w:id="2" w:name="_Toc10539"/>
      <w:r>
        <w:rPr>
          <w:rFonts w:hint="eastAsia" w:ascii="宋体" w:hAnsi="宋体" w:eastAsia="宋体" w:cs="宋体"/>
          <w:color w:val="000000" w:themeColor="text1"/>
          <w:kern w:val="0"/>
          <w:sz w:val="28"/>
          <w:szCs w:val="28"/>
          <w:lang w:val="zh-CN"/>
        </w:rPr>
        <w:t>伊通满族自治县属北温带大陆性季风气候，春季干燥多风，夏季短促湿热，秋季晴冷温差较大，冬季严寒而漫长。市区内平均气温5.5摄氏度，夏季最高气温极值35.5摄氏度，冬季最低气温历史极值-40.2摄氏度，年平均降水量651.7毫米，日照时数2261小时，年平均风速为2.2米/秒，这为项目建设提供了良好的气候条件。</w:t>
      </w:r>
    </w:p>
    <w:p w14:paraId="6BD3F4CE">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4.3、</w:t>
      </w:r>
      <w:bookmarkEnd w:id="2"/>
      <w:r>
        <w:rPr>
          <w:rFonts w:hint="eastAsia" w:ascii="宋体" w:hAnsi="宋体" w:eastAsia="宋体" w:cs="宋体"/>
          <w:b/>
          <w:color w:val="000000" w:themeColor="text1"/>
          <w:sz w:val="28"/>
          <w:szCs w:val="28"/>
          <w:lang w:val="en-US" w:eastAsia="zh-CN"/>
        </w:rPr>
        <w:t>旧路概况</w:t>
      </w:r>
    </w:p>
    <w:p w14:paraId="3F32B3D6">
      <w:pPr>
        <w:spacing w:line="360" w:lineRule="auto"/>
        <w:ind w:firstLine="548" w:firstLineChars="196"/>
        <w:rPr>
          <w:rFonts w:hint="eastAsia" w:ascii="宋体" w:hAnsi="宋体" w:eastAsia="宋体" w:cs="宋体"/>
          <w:color w:val="000000" w:themeColor="text1"/>
          <w:kern w:val="0"/>
          <w:sz w:val="28"/>
          <w:szCs w:val="28"/>
        </w:rPr>
      </w:pPr>
      <w:r>
        <w:rPr>
          <w:rFonts w:hint="eastAsia" w:ascii="宋体" w:hAnsi="宋体" w:cs="宋体"/>
          <w:color w:val="000000" w:themeColor="text1"/>
          <w:kern w:val="0"/>
          <w:sz w:val="28"/>
          <w:szCs w:val="28"/>
          <w:lang w:val="en-US" w:eastAsia="zh-CN"/>
        </w:rPr>
        <w:t>营城子镇小桥子村2026年基础设施建设项目</w:t>
      </w:r>
      <w:r>
        <w:rPr>
          <w:rFonts w:hint="eastAsia" w:ascii="宋体" w:hAnsi="宋体" w:eastAsia="宋体" w:cs="宋体"/>
          <w:color w:val="000000" w:themeColor="text1"/>
          <w:kern w:val="0"/>
          <w:sz w:val="28"/>
          <w:szCs w:val="28"/>
          <w:lang w:val="en-US" w:eastAsia="zh-CN"/>
        </w:rPr>
        <w:t>是</w:t>
      </w:r>
      <w:r>
        <w:rPr>
          <w:rFonts w:hint="eastAsia" w:ascii="宋体" w:hAnsi="宋体" w:cs="宋体"/>
          <w:color w:val="000000" w:themeColor="text1"/>
          <w:kern w:val="0"/>
          <w:sz w:val="28"/>
          <w:szCs w:val="28"/>
          <w:highlight w:val="none"/>
          <w:lang w:val="en-US" w:eastAsia="zh-CN"/>
        </w:rPr>
        <w:t>小桥子村</w:t>
      </w:r>
      <w:r>
        <w:rPr>
          <w:rFonts w:hint="eastAsia" w:ascii="宋体" w:hAnsi="宋体" w:eastAsia="宋体" w:cs="宋体"/>
          <w:color w:val="000000" w:themeColor="text1"/>
          <w:kern w:val="0"/>
          <w:sz w:val="28"/>
          <w:szCs w:val="28"/>
          <w:lang w:val="en-US" w:eastAsia="zh-CN"/>
        </w:rPr>
        <w:t>内路边沟，</w:t>
      </w:r>
      <w:r>
        <w:rPr>
          <w:rFonts w:hint="eastAsia" w:ascii="宋体" w:hAnsi="宋体" w:eastAsia="宋体" w:cs="宋体"/>
          <w:color w:val="000000" w:themeColor="text1"/>
          <w:kern w:val="0"/>
          <w:sz w:val="28"/>
          <w:szCs w:val="28"/>
        </w:rPr>
        <w:t>村内现状的雨水均为自然排放，</w:t>
      </w:r>
      <w:r>
        <w:rPr>
          <w:rFonts w:hint="eastAsia" w:ascii="宋体" w:hAnsi="宋体" w:eastAsia="宋体" w:cs="宋体"/>
          <w:color w:val="000000" w:themeColor="text1"/>
          <w:kern w:val="0"/>
          <w:sz w:val="28"/>
          <w:szCs w:val="28"/>
          <w:lang w:val="en-US" w:eastAsia="zh-CN"/>
        </w:rPr>
        <w:t>部分为土质边沟，已经坍塌，一部分</w:t>
      </w:r>
      <w:r>
        <w:rPr>
          <w:rFonts w:hint="eastAsia" w:ascii="宋体" w:hAnsi="宋体" w:eastAsia="宋体" w:cs="宋体"/>
          <w:color w:val="000000" w:themeColor="text1"/>
          <w:kern w:val="0"/>
          <w:sz w:val="28"/>
          <w:szCs w:val="28"/>
        </w:rPr>
        <w:t>无边沟等排水设施，雨季时，雨水经常淹没路面，对过往的车辆及居民的出行带来极大的不便；且因雨水长时间的浸泡，对道路的路基也产生一定的破坏。</w:t>
      </w:r>
    </w:p>
    <w:p w14:paraId="0EA6E7F4">
      <w:pPr>
        <w:spacing w:line="360" w:lineRule="auto"/>
        <w:rPr>
          <w:rFonts w:hint="eastAsia" w:ascii="宋体" w:hAnsi="宋体" w:eastAsia="宋体" w:cs="宋体"/>
          <w:b/>
          <w:bCs/>
          <w:color w:val="000000" w:themeColor="text1"/>
          <w:sz w:val="28"/>
          <w:szCs w:val="28"/>
          <w:lang w:val="en-US" w:eastAsia="zh-CN"/>
        </w:rPr>
      </w:pPr>
      <w:r>
        <w:rPr>
          <w:rFonts w:hint="eastAsia" w:ascii="宋体" w:hAnsi="宋体" w:eastAsia="宋体" w:cs="宋体"/>
          <w:b/>
          <w:color w:val="000000" w:themeColor="text1"/>
          <w:sz w:val="28"/>
          <w:szCs w:val="28"/>
          <w:lang w:val="en-US" w:eastAsia="zh-CN"/>
        </w:rPr>
        <w:t>5、设计概要</w:t>
      </w:r>
    </w:p>
    <w:p w14:paraId="26CE4DA9">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5.1、工程范围、工程规模、主要工程内容</w:t>
      </w:r>
    </w:p>
    <w:p w14:paraId="7849D257">
      <w:pPr>
        <w:spacing w:line="360" w:lineRule="auto"/>
        <w:outlineLvl w:val="2"/>
        <w:rPr>
          <w:rFonts w:hint="eastAsia" w:ascii="宋体" w:hAnsi="宋体" w:eastAsia="宋体" w:cs="宋体"/>
          <w:b/>
          <w:bCs/>
          <w:color w:val="000000" w:themeColor="text1"/>
          <w:sz w:val="28"/>
          <w:szCs w:val="28"/>
        </w:rPr>
      </w:pPr>
      <w:r>
        <w:rPr>
          <w:rFonts w:hint="eastAsia" w:ascii="宋体" w:hAnsi="宋体" w:eastAsia="宋体" w:cs="宋体"/>
          <w:b/>
          <w:bCs/>
          <w:color w:val="000000" w:themeColor="text1"/>
          <w:sz w:val="28"/>
          <w:szCs w:val="28"/>
          <w:lang w:val="en-US" w:eastAsia="zh-CN"/>
        </w:rPr>
        <w:t>5</w:t>
      </w:r>
      <w:r>
        <w:rPr>
          <w:rFonts w:hint="eastAsia" w:ascii="宋体" w:hAnsi="宋体" w:eastAsia="宋体" w:cs="宋体"/>
          <w:b/>
          <w:bCs/>
          <w:color w:val="000000" w:themeColor="text1"/>
          <w:sz w:val="28"/>
          <w:szCs w:val="28"/>
        </w:rPr>
        <w:t>.1.1、工程范围</w:t>
      </w:r>
    </w:p>
    <w:p w14:paraId="5C804AF2">
      <w:pPr>
        <w:spacing w:line="360" w:lineRule="auto"/>
        <w:ind w:firstLine="560" w:firstLineChars="200"/>
        <w:jc w:val="left"/>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本项目位于</w:t>
      </w:r>
      <w:r>
        <w:rPr>
          <w:rFonts w:hint="eastAsia" w:ascii="宋体" w:hAnsi="宋体" w:eastAsia="宋体" w:cs="宋体"/>
          <w:color w:val="000000" w:themeColor="text1"/>
          <w:kern w:val="0"/>
          <w:sz w:val="28"/>
          <w:szCs w:val="28"/>
          <w:lang w:val="en-US" w:eastAsia="zh-CN"/>
        </w:rPr>
        <w:t>伊通满族自治县</w:t>
      </w:r>
      <w:r>
        <w:rPr>
          <w:rFonts w:hint="eastAsia" w:ascii="宋体" w:hAnsi="宋体" w:cs="宋体"/>
          <w:color w:val="000000" w:themeColor="text1"/>
          <w:kern w:val="0"/>
          <w:sz w:val="28"/>
          <w:szCs w:val="28"/>
          <w:lang w:val="en-US" w:eastAsia="zh-CN"/>
        </w:rPr>
        <w:t>营城子镇小桥子村</w:t>
      </w:r>
      <w:r>
        <w:rPr>
          <w:rFonts w:hint="eastAsia" w:ascii="宋体" w:hAnsi="宋体" w:eastAsia="宋体" w:cs="宋体"/>
          <w:color w:val="000000" w:themeColor="text1"/>
          <w:kern w:val="0"/>
          <w:sz w:val="28"/>
          <w:szCs w:val="28"/>
          <w:lang w:val="en-US" w:eastAsia="zh-CN"/>
        </w:rPr>
        <w:t>屯内</w:t>
      </w:r>
      <w:r>
        <w:rPr>
          <w:rFonts w:hint="eastAsia" w:ascii="宋体" w:hAnsi="宋体" w:eastAsia="宋体" w:cs="宋体"/>
          <w:color w:val="000000" w:themeColor="text1"/>
          <w:sz w:val="28"/>
          <w:szCs w:val="28"/>
        </w:rPr>
        <w:t>。</w:t>
      </w:r>
    </w:p>
    <w:p w14:paraId="09717ACB">
      <w:pPr>
        <w:spacing w:line="360" w:lineRule="auto"/>
        <w:outlineLvl w:val="2"/>
        <w:rPr>
          <w:rFonts w:hint="eastAsia" w:ascii="宋体" w:hAnsi="宋体" w:eastAsia="宋体" w:cs="宋体"/>
          <w:b/>
          <w:bCs/>
          <w:color w:val="000000" w:themeColor="text1"/>
          <w:sz w:val="28"/>
          <w:szCs w:val="28"/>
        </w:rPr>
      </w:pPr>
      <w:r>
        <w:rPr>
          <w:rFonts w:hint="eastAsia" w:ascii="宋体" w:hAnsi="宋体" w:eastAsia="宋体" w:cs="宋体"/>
          <w:b/>
          <w:bCs/>
          <w:color w:val="000000" w:themeColor="text1"/>
          <w:sz w:val="28"/>
          <w:szCs w:val="28"/>
          <w:lang w:val="en-US" w:eastAsia="zh-CN"/>
        </w:rPr>
        <w:t>5</w:t>
      </w:r>
      <w:r>
        <w:rPr>
          <w:rFonts w:hint="eastAsia" w:ascii="宋体" w:hAnsi="宋体" w:eastAsia="宋体" w:cs="宋体"/>
          <w:b/>
          <w:bCs/>
          <w:color w:val="000000" w:themeColor="text1"/>
          <w:sz w:val="28"/>
          <w:szCs w:val="28"/>
        </w:rPr>
        <w:t>.1.2、工程规模</w:t>
      </w:r>
    </w:p>
    <w:p w14:paraId="7C84447D">
      <w:pPr>
        <w:spacing w:line="360" w:lineRule="auto"/>
        <w:ind w:firstLine="560" w:firstLineChars="200"/>
        <w:jc w:val="left"/>
        <w:rPr>
          <w:rFonts w:hint="eastAsia" w:ascii="宋体" w:hAnsi="宋体" w:eastAsia="宋体" w:cs="宋体"/>
          <w:bCs/>
          <w:color w:val="000000" w:themeColor="text1"/>
          <w:sz w:val="28"/>
          <w:szCs w:val="28"/>
          <w:lang w:val="en-US" w:eastAsia="zh-CN"/>
        </w:rPr>
      </w:pPr>
      <w:r>
        <w:rPr>
          <w:rFonts w:hint="eastAsia" w:ascii="宋体" w:hAnsi="宋体" w:eastAsia="宋体" w:cs="宋体"/>
          <w:color w:val="000000" w:themeColor="text1"/>
          <w:sz w:val="28"/>
          <w:szCs w:val="28"/>
        </w:rPr>
        <w:t>本</w:t>
      </w:r>
      <w:r>
        <w:rPr>
          <w:rFonts w:hint="eastAsia" w:ascii="宋体" w:hAnsi="宋体" w:eastAsia="宋体" w:cs="宋体"/>
          <w:bCs/>
          <w:color w:val="000000" w:themeColor="text1"/>
          <w:sz w:val="28"/>
          <w:szCs w:val="28"/>
        </w:rPr>
        <w:t>工程设计内容</w:t>
      </w:r>
      <w:r>
        <w:rPr>
          <w:rFonts w:hint="eastAsia" w:ascii="宋体" w:hAnsi="宋体" w:eastAsia="宋体" w:cs="宋体"/>
          <w:bCs/>
          <w:color w:val="000000" w:themeColor="text1"/>
          <w:sz w:val="28"/>
          <w:szCs w:val="28"/>
          <w:lang w:val="en-US" w:eastAsia="zh-CN"/>
        </w:rPr>
        <w:t>排水边沟工程。</w:t>
      </w:r>
    </w:p>
    <w:p w14:paraId="7608A239">
      <w:pPr>
        <w:spacing w:line="360" w:lineRule="auto"/>
        <w:outlineLvl w:val="2"/>
        <w:rPr>
          <w:rFonts w:hint="eastAsia" w:ascii="宋体" w:hAnsi="宋体" w:eastAsia="宋体" w:cs="宋体"/>
          <w:b/>
          <w:bCs/>
          <w:color w:val="000000" w:themeColor="text1"/>
          <w:sz w:val="28"/>
          <w:szCs w:val="28"/>
        </w:rPr>
      </w:pPr>
      <w:r>
        <w:rPr>
          <w:rFonts w:hint="eastAsia" w:ascii="宋体" w:hAnsi="宋体" w:eastAsia="宋体" w:cs="宋体"/>
          <w:b/>
          <w:bCs/>
          <w:color w:val="000000" w:themeColor="text1"/>
          <w:sz w:val="28"/>
          <w:szCs w:val="28"/>
          <w:lang w:val="en-US" w:eastAsia="zh-CN"/>
        </w:rPr>
        <w:t>5</w:t>
      </w:r>
      <w:r>
        <w:rPr>
          <w:rFonts w:hint="eastAsia" w:ascii="宋体" w:hAnsi="宋体" w:eastAsia="宋体" w:cs="宋体"/>
          <w:b/>
          <w:bCs/>
          <w:color w:val="000000" w:themeColor="text1"/>
          <w:sz w:val="28"/>
          <w:szCs w:val="28"/>
        </w:rPr>
        <w:t>.1.3、主要工程内容</w:t>
      </w:r>
    </w:p>
    <w:p w14:paraId="5F49DC01">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highlight w:val="none"/>
          <w:lang w:val="en-US" w:eastAsia="zh-CN"/>
        </w:rPr>
      </w:pPr>
      <w:r>
        <w:rPr>
          <w:rFonts w:hint="eastAsia" w:ascii="宋体" w:hAnsi="宋体" w:eastAsia="宋体" w:cs="宋体"/>
          <w:color w:val="000000" w:themeColor="text1"/>
          <w:kern w:val="0"/>
          <w:sz w:val="28"/>
          <w:szCs w:val="28"/>
          <w:highlight w:val="none"/>
          <w:lang w:val="en-US" w:eastAsia="zh-CN"/>
        </w:rPr>
        <w:t>修建排水路边沟总长</w:t>
      </w:r>
      <w:r>
        <w:rPr>
          <w:rFonts w:hint="eastAsia" w:ascii="宋体" w:hAnsi="宋体" w:cs="宋体"/>
          <w:color w:val="000000" w:themeColor="text1"/>
          <w:kern w:val="0"/>
          <w:sz w:val="28"/>
          <w:szCs w:val="28"/>
          <w:highlight w:val="none"/>
          <w:lang w:val="en-US" w:eastAsia="zh-CN"/>
        </w:rPr>
        <w:t>2743.198</w:t>
      </w:r>
      <w:r>
        <w:rPr>
          <w:rFonts w:hint="eastAsia" w:ascii="宋体" w:hAnsi="宋体" w:eastAsia="宋体" w:cs="宋体"/>
          <w:color w:val="000000" w:themeColor="text1"/>
          <w:kern w:val="0"/>
          <w:sz w:val="28"/>
          <w:szCs w:val="28"/>
          <w:highlight w:val="none"/>
          <w:lang w:val="en-US" w:eastAsia="zh-CN"/>
        </w:rPr>
        <w:t>m，其中</w:t>
      </w:r>
      <w:r>
        <w:rPr>
          <w:rFonts w:hint="eastAsia" w:ascii="宋体" w:hAnsi="宋体" w:cs="宋体"/>
          <w:color w:val="000000" w:themeColor="text1"/>
          <w:kern w:val="0"/>
          <w:sz w:val="28"/>
          <w:szCs w:val="28"/>
          <w:highlight w:val="none"/>
          <w:lang w:val="en-US" w:eastAsia="zh-CN"/>
        </w:rPr>
        <w:t>浆砌石边沟2433.198</w:t>
      </w:r>
      <w:r>
        <w:rPr>
          <w:rFonts w:hint="eastAsia" w:ascii="宋体" w:hAnsi="宋体" w:eastAsia="宋体" w:cs="宋体"/>
          <w:color w:val="000000" w:themeColor="text1"/>
          <w:kern w:val="0"/>
          <w:sz w:val="28"/>
          <w:szCs w:val="28"/>
          <w:highlight w:val="none"/>
          <w:lang w:val="en-US" w:eastAsia="zh-CN"/>
        </w:rPr>
        <w:t>m,φ</w:t>
      </w:r>
      <w:r>
        <w:rPr>
          <w:rFonts w:hint="eastAsia" w:ascii="宋体" w:hAnsi="宋体" w:cs="宋体"/>
          <w:color w:val="000000" w:themeColor="text1"/>
          <w:kern w:val="0"/>
          <w:sz w:val="28"/>
          <w:szCs w:val="28"/>
          <w:highlight w:val="none"/>
          <w:lang w:val="en-US" w:eastAsia="zh-CN"/>
        </w:rPr>
        <w:t>6</w:t>
      </w:r>
      <w:r>
        <w:rPr>
          <w:rFonts w:hint="eastAsia" w:ascii="宋体" w:hAnsi="宋体" w:eastAsia="宋体" w:cs="宋体"/>
          <w:color w:val="000000" w:themeColor="text1"/>
          <w:kern w:val="0"/>
          <w:sz w:val="28"/>
          <w:szCs w:val="28"/>
          <w:highlight w:val="none"/>
          <w:lang w:val="en-US" w:eastAsia="zh-CN"/>
        </w:rPr>
        <w:t>00</w:t>
      </w:r>
      <w:r>
        <w:rPr>
          <w:rFonts w:hint="eastAsia" w:ascii="宋体" w:hAnsi="宋体" w:cs="宋体"/>
          <w:color w:val="000000" w:themeColor="text1"/>
          <w:kern w:val="0"/>
          <w:sz w:val="28"/>
          <w:szCs w:val="28"/>
          <w:highlight w:val="none"/>
          <w:lang w:val="en-US" w:eastAsia="zh-CN"/>
        </w:rPr>
        <w:t>过路</w:t>
      </w:r>
      <w:r>
        <w:rPr>
          <w:rFonts w:hint="eastAsia" w:ascii="宋体" w:hAnsi="宋体" w:eastAsia="宋体" w:cs="宋体"/>
          <w:color w:val="000000" w:themeColor="text1"/>
          <w:kern w:val="0"/>
          <w:sz w:val="28"/>
          <w:szCs w:val="28"/>
          <w:highlight w:val="none"/>
        </w:rPr>
        <w:t>管</w:t>
      </w:r>
      <w:r>
        <w:rPr>
          <w:rFonts w:hint="eastAsia" w:ascii="宋体" w:hAnsi="宋体" w:eastAsia="宋体" w:cs="宋体"/>
          <w:color w:val="000000" w:themeColor="text1"/>
          <w:kern w:val="0"/>
          <w:sz w:val="28"/>
          <w:szCs w:val="28"/>
          <w:highlight w:val="none"/>
          <w:lang w:val="en-US" w:eastAsia="zh-CN"/>
        </w:rPr>
        <w:t>涵</w:t>
      </w:r>
      <w:r>
        <w:rPr>
          <w:rFonts w:hint="eastAsia" w:ascii="宋体" w:hAnsi="宋体" w:cs="宋体"/>
          <w:color w:val="000000" w:themeColor="text1"/>
          <w:kern w:val="0"/>
          <w:sz w:val="28"/>
          <w:szCs w:val="28"/>
          <w:highlight w:val="none"/>
          <w:lang w:val="en-US" w:eastAsia="zh-CN"/>
        </w:rPr>
        <w:t>17</w:t>
      </w:r>
      <w:r>
        <w:rPr>
          <w:rFonts w:hint="eastAsia" w:ascii="宋体" w:hAnsi="宋体" w:eastAsia="宋体" w:cs="宋体"/>
          <w:color w:val="000000" w:themeColor="text1"/>
          <w:kern w:val="0"/>
          <w:sz w:val="28"/>
          <w:szCs w:val="28"/>
          <w:highlight w:val="none"/>
        </w:rPr>
        <w:t>座</w:t>
      </w:r>
      <w:r>
        <w:rPr>
          <w:rFonts w:hint="eastAsia" w:ascii="宋体" w:hAnsi="宋体" w:eastAsia="宋体" w:cs="宋体"/>
          <w:color w:val="000000" w:themeColor="text1"/>
          <w:kern w:val="0"/>
          <w:sz w:val="28"/>
          <w:szCs w:val="28"/>
          <w:highlight w:val="none"/>
          <w:lang w:eastAsia="zh-CN"/>
        </w:rPr>
        <w:t>，</w:t>
      </w:r>
      <w:r>
        <w:rPr>
          <w:rFonts w:hint="eastAsia" w:ascii="宋体" w:hAnsi="宋体" w:eastAsia="宋体" w:cs="宋体"/>
          <w:color w:val="000000" w:themeColor="text1"/>
          <w:kern w:val="0"/>
          <w:sz w:val="28"/>
          <w:szCs w:val="28"/>
          <w:highlight w:val="none"/>
          <w:lang w:val="en-US" w:eastAsia="zh-CN"/>
        </w:rPr>
        <w:t>管涵长</w:t>
      </w:r>
      <w:r>
        <w:rPr>
          <w:rFonts w:hint="eastAsia" w:ascii="宋体" w:hAnsi="宋体" w:cs="宋体"/>
          <w:color w:val="000000" w:themeColor="text1"/>
          <w:kern w:val="0"/>
          <w:sz w:val="28"/>
          <w:szCs w:val="28"/>
          <w:highlight w:val="none"/>
          <w:lang w:val="en-US" w:eastAsia="zh-CN"/>
        </w:rPr>
        <w:t>102</w:t>
      </w:r>
      <w:r>
        <w:rPr>
          <w:rFonts w:hint="eastAsia" w:ascii="宋体" w:hAnsi="宋体" w:eastAsia="宋体" w:cs="宋体"/>
          <w:color w:val="000000" w:themeColor="text1"/>
          <w:kern w:val="0"/>
          <w:sz w:val="28"/>
          <w:szCs w:val="28"/>
          <w:highlight w:val="none"/>
          <w:lang w:val="en-US" w:eastAsia="zh-CN"/>
        </w:rPr>
        <w:t>m；</w:t>
      </w:r>
      <w:bookmarkStart w:id="3" w:name="_Toc13249"/>
      <w:r>
        <w:rPr>
          <w:rFonts w:hint="eastAsia" w:ascii="宋体" w:hAnsi="宋体" w:eastAsia="宋体" w:cs="宋体"/>
          <w:color w:val="000000" w:themeColor="text1"/>
          <w:kern w:val="0"/>
          <w:sz w:val="28"/>
          <w:szCs w:val="28"/>
          <w:highlight w:val="none"/>
          <w:lang w:val="en-US" w:eastAsia="zh-CN"/>
        </w:rPr>
        <w:t>φ</w:t>
      </w:r>
      <w:r>
        <w:rPr>
          <w:rFonts w:hint="eastAsia" w:ascii="宋体" w:hAnsi="宋体" w:cs="宋体"/>
          <w:color w:val="000000" w:themeColor="text1"/>
          <w:kern w:val="0"/>
          <w:sz w:val="28"/>
          <w:szCs w:val="28"/>
          <w:highlight w:val="none"/>
          <w:lang w:val="en-US" w:eastAsia="zh-CN"/>
        </w:rPr>
        <w:t>6</w:t>
      </w:r>
      <w:r>
        <w:rPr>
          <w:rFonts w:hint="eastAsia" w:ascii="宋体" w:hAnsi="宋体" w:eastAsia="宋体" w:cs="宋体"/>
          <w:color w:val="000000" w:themeColor="text1"/>
          <w:kern w:val="0"/>
          <w:sz w:val="28"/>
          <w:szCs w:val="28"/>
          <w:highlight w:val="none"/>
          <w:lang w:val="en-US" w:eastAsia="zh-CN"/>
        </w:rPr>
        <w:t>00</w:t>
      </w:r>
      <w:r>
        <w:rPr>
          <w:rFonts w:hint="eastAsia" w:ascii="宋体" w:hAnsi="宋体" w:cs="宋体"/>
          <w:color w:val="000000" w:themeColor="text1"/>
          <w:kern w:val="0"/>
          <w:sz w:val="28"/>
          <w:szCs w:val="28"/>
          <w:highlight w:val="none"/>
          <w:lang w:val="en-US" w:eastAsia="zh-CN"/>
        </w:rPr>
        <w:t>进户</w:t>
      </w:r>
      <w:r>
        <w:rPr>
          <w:rFonts w:hint="eastAsia" w:ascii="宋体" w:hAnsi="宋体" w:eastAsia="宋体" w:cs="宋体"/>
          <w:color w:val="000000" w:themeColor="text1"/>
          <w:kern w:val="0"/>
          <w:sz w:val="28"/>
          <w:szCs w:val="28"/>
          <w:highlight w:val="none"/>
        </w:rPr>
        <w:t>管</w:t>
      </w:r>
      <w:r>
        <w:rPr>
          <w:rFonts w:hint="eastAsia" w:ascii="宋体" w:hAnsi="宋体" w:eastAsia="宋体" w:cs="宋体"/>
          <w:color w:val="000000" w:themeColor="text1"/>
          <w:kern w:val="0"/>
          <w:sz w:val="28"/>
          <w:szCs w:val="28"/>
          <w:highlight w:val="none"/>
          <w:lang w:val="en-US" w:eastAsia="zh-CN"/>
        </w:rPr>
        <w:t>涵</w:t>
      </w:r>
      <w:r>
        <w:rPr>
          <w:rFonts w:hint="eastAsia" w:ascii="宋体" w:hAnsi="宋体" w:cs="宋体"/>
          <w:color w:val="000000" w:themeColor="text1"/>
          <w:kern w:val="0"/>
          <w:sz w:val="28"/>
          <w:szCs w:val="28"/>
          <w:highlight w:val="none"/>
          <w:lang w:val="en-US" w:eastAsia="zh-CN"/>
        </w:rPr>
        <w:t>52</w:t>
      </w:r>
      <w:r>
        <w:rPr>
          <w:rFonts w:hint="eastAsia" w:ascii="宋体" w:hAnsi="宋体" w:eastAsia="宋体" w:cs="宋体"/>
          <w:color w:val="000000" w:themeColor="text1"/>
          <w:kern w:val="0"/>
          <w:sz w:val="28"/>
          <w:szCs w:val="28"/>
          <w:highlight w:val="none"/>
        </w:rPr>
        <w:t>座</w:t>
      </w:r>
      <w:r>
        <w:rPr>
          <w:rFonts w:hint="eastAsia" w:ascii="宋体" w:hAnsi="宋体" w:eastAsia="宋体" w:cs="宋体"/>
          <w:color w:val="000000" w:themeColor="text1"/>
          <w:kern w:val="0"/>
          <w:sz w:val="28"/>
          <w:szCs w:val="28"/>
          <w:highlight w:val="none"/>
          <w:lang w:eastAsia="zh-CN"/>
        </w:rPr>
        <w:t>，</w:t>
      </w:r>
      <w:r>
        <w:rPr>
          <w:rFonts w:hint="eastAsia" w:ascii="宋体" w:hAnsi="宋体" w:eastAsia="宋体" w:cs="宋体"/>
          <w:color w:val="000000" w:themeColor="text1"/>
          <w:kern w:val="0"/>
          <w:sz w:val="28"/>
          <w:szCs w:val="28"/>
          <w:highlight w:val="none"/>
          <w:lang w:val="en-US" w:eastAsia="zh-CN"/>
        </w:rPr>
        <w:t>管涵长</w:t>
      </w:r>
      <w:r>
        <w:rPr>
          <w:rFonts w:hint="eastAsia" w:ascii="宋体" w:hAnsi="宋体" w:cs="宋体"/>
          <w:color w:val="000000" w:themeColor="text1"/>
          <w:kern w:val="0"/>
          <w:sz w:val="28"/>
          <w:szCs w:val="28"/>
          <w:highlight w:val="none"/>
          <w:lang w:val="en-US" w:eastAsia="zh-CN"/>
        </w:rPr>
        <w:t>208</w:t>
      </w:r>
      <w:r>
        <w:rPr>
          <w:rFonts w:hint="eastAsia" w:ascii="宋体" w:hAnsi="宋体" w:eastAsia="宋体" w:cs="宋体"/>
          <w:color w:val="000000" w:themeColor="text1"/>
          <w:kern w:val="0"/>
          <w:sz w:val="28"/>
          <w:szCs w:val="28"/>
          <w:highlight w:val="none"/>
          <w:lang w:val="en-US" w:eastAsia="zh-CN"/>
        </w:rPr>
        <w:t>m</w:t>
      </w:r>
      <w:r>
        <w:rPr>
          <w:rFonts w:hint="eastAsia" w:ascii="宋体" w:hAnsi="宋体" w:cs="宋体"/>
          <w:color w:val="000000" w:themeColor="text1"/>
          <w:kern w:val="0"/>
          <w:sz w:val="28"/>
          <w:szCs w:val="28"/>
          <w:highlight w:val="none"/>
          <w:lang w:val="en-US" w:eastAsia="zh-CN"/>
        </w:rPr>
        <w:t>。</w:t>
      </w:r>
    </w:p>
    <w:p w14:paraId="61A6208B">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5.2排水路边沟设计原则</w:t>
      </w:r>
      <w:bookmarkEnd w:id="3"/>
    </w:p>
    <w:p w14:paraId="204168EB">
      <w:pPr>
        <w:autoSpaceDE w:val="0"/>
        <w:autoSpaceDN w:val="0"/>
        <w:adjustRightInd w:val="0"/>
        <w:spacing w:line="360" w:lineRule="auto"/>
        <w:jc w:val="left"/>
        <w:rPr>
          <w:rFonts w:hint="eastAsia" w:ascii="宋体" w:hAnsi="宋体" w:eastAsia="宋体" w:cs="宋体"/>
          <w:b/>
          <w:color w:val="000000" w:themeColor="text1"/>
          <w:sz w:val="28"/>
          <w:szCs w:val="28"/>
        </w:rPr>
      </w:pPr>
      <w:r>
        <w:rPr>
          <w:rFonts w:hint="eastAsia" w:ascii="宋体" w:hAnsi="宋体" w:eastAsia="宋体" w:cs="宋体"/>
          <w:b/>
          <w:color w:val="000000" w:themeColor="text1"/>
          <w:sz w:val="28"/>
          <w:szCs w:val="28"/>
          <w:lang w:val="en-US" w:eastAsia="zh-CN"/>
        </w:rPr>
        <w:t>5</w:t>
      </w:r>
      <w:r>
        <w:rPr>
          <w:rFonts w:hint="eastAsia" w:ascii="宋体" w:hAnsi="宋体" w:eastAsia="宋体" w:cs="宋体"/>
          <w:b/>
          <w:color w:val="000000" w:themeColor="text1"/>
          <w:sz w:val="28"/>
          <w:szCs w:val="28"/>
        </w:rPr>
        <w:t>.</w:t>
      </w:r>
      <w:r>
        <w:rPr>
          <w:rFonts w:hint="eastAsia" w:ascii="宋体" w:hAnsi="宋体" w:eastAsia="宋体" w:cs="宋体"/>
          <w:b/>
          <w:color w:val="000000" w:themeColor="text1"/>
          <w:sz w:val="28"/>
          <w:szCs w:val="28"/>
          <w:lang w:val="en-US" w:eastAsia="zh-CN"/>
        </w:rPr>
        <w:t>2</w:t>
      </w:r>
      <w:r>
        <w:rPr>
          <w:rFonts w:hint="eastAsia" w:ascii="宋体" w:hAnsi="宋体" w:eastAsia="宋体" w:cs="宋体"/>
          <w:b/>
          <w:color w:val="000000" w:themeColor="text1"/>
          <w:sz w:val="28"/>
          <w:szCs w:val="28"/>
        </w:rPr>
        <w:t>.1设计原则</w:t>
      </w:r>
    </w:p>
    <w:p w14:paraId="4E395E0F">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rPr>
      </w:pPr>
      <w:r>
        <w:rPr>
          <w:rFonts w:hint="eastAsia" w:ascii="宋体" w:hAnsi="宋体" w:eastAsia="宋体" w:cs="宋体"/>
          <w:color w:val="000000" w:themeColor="text1"/>
          <w:kern w:val="0"/>
          <w:sz w:val="28"/>
          <w:szCs w:val="28"/>
        </w:rPr>
        <w:t>（</w:t>
      </w:r>
      <w:r>
        <w:rPr>
          <w:rFonts w:hint="eastAsia" w:ascii="宋体" w:hAnsi="宋体" w:eastAsia="宋体" w:cs="宋体"/>
          <w:color w:val="000000" w:themeColor="text1"/>
          <w:kern w:val="0"/>
          <w:sz w:val="28"/>
          <w:szCs w:val="28"/>
          <w:lang w:val="en-US" w:eastAsia="zh-CN"/>
        </w:rPr>
        <w:t>1</w:t>
      </w:r>
      <w:r>
        <w:rPr>
          <w:rFonts w:hint="eastAsia" w:ascii="宋体" w:hAnsi="宋体" w:eastAsia="宋体" w:cs="宋体"/>
          <w:color w:val="000000" w:themeColor="text1"/>
          <w:kern w:val="0"/>
          <w:sz w:val="28"/>
          <w:szCs w:val="28"/>
        </w:rPr>
        <w:t>）新建排水</w:t>
      </w:r>
      <w:r>
        <w:rPr>
          <w:rFonts w:hint="eastAsia" w:ascii="宋体" w:hAnsi="宋体" w:eastAsia="宋体" w:cs="宋体"/>
          <w:color w:val="000000" w:themeColor="text1"/>
          <w:kern w:val="0"/>
          <w:sz w:val="28"/>
          <w:szCs w:val="28"/>
          <w:lang w:val="en-US" w:eastAsia="zh-CN"/>
        </w:rPr>
        <w:t>路边</w:t>
      </w:r>
      <w:r>
        <w:rPr>
          <w:rFonts w:hint="eastAsia" w:ascii="宋体" w:hAnsi="宋体" w:eastAsia="宋体" w:cs="宋体"/>
          <w:color w:val="000000" w:themeColor="text1"/>
          <w:kern w:val="0"/>
          <w:sz w:val="28"/>
          <w:szCs w:val="28"/>
        </w:rPr>
        <w:t>沟，</w:t>
      </w:r>
      <w:r>
        <w:rPr>
          <w:rFonts w:hint="eastAsia" w:ascii="宋体" w:hAnsi="宋体" w:eastAsia="宋体" w:cs="宋体"/>
          <w:color w:val="000000" w:themeColor="text1"/>
          <w:kern w:val="0"/>
          <w:sz w:val="28"/>
          <w:szCs w:val="28"/>
          <w:lang w:val="en-US" w:eastAsia="zh-CN"/>
        </w:rPr>
        <w:t>边沟排水方向</w:t>
      </w:r>
      <w:r>
        <w:rPr>
          <w:rFonts w:hint="eastAsia" w:ascii="宋体" w:hAnsi="宋体" w:eastAsia="宋体" w:cs="宋体"/>
          <w:color w:val="000000" w:themeColor="text1"/>
          <w:kern w:val="0"/>
          <w:sz w:val="28"/>
          <w:szCs w:val="28"/>
          <w:lang w:eastAsia="zh-CN"/>
        </w:rPr>
        <w:t>参照</w:t>
      </w:r>
      <w:r>
        <w:rPr>
          <w:rFonts w:hint="eastAsia" w:ascii="宋体" w:hAnsi="宋体" w:eastAsia="宋体" w:cs="宋体"/>
          <w:color w:val="000000" w:themeColor="text1"/>
          <w:kern w:val="0"/>
          <w:sz w:val="28"/>
          <w:szCs w:val="28"/>
          <w:lang w:val="en-US" w:eastAsia="zh-CN"/>
        </w:rPr>
        <w:t>现有边沟排水方向</w:t>
      </w:r>
      <w:r>
        <w:rPr>
          <w:rFonts w:hint="eastAsia" w:ascii="宋体" w:hAnsi="宋体" w:eastAsia="宋体" w:cs="宋体"/>
          <w:color w:val="000000" w:themeColor="text1"/>
          <w:kern w:val="0"/>
          <w:sz w:val="28"/>
          <w:szCs w:val="28"/>
          <w:lang w:eastAsia="zh-CN"/>
        </w:rPr>
        <w:t>，按</w:t>
      </w:r>
      <w:r>
        <w:rPr>
          <w:rFonts w:hint="eastAsia" w:ascii="宋体" w:hAnsi="宋体" w:eastAsia="宋体" w:cs="宋体"/>
          <w:color w:val="000000" w:themeColor="text1"/>
          <w:kern w:val="0"/>
          <w:sz w:val="28"/>
          <w:szCs w:val="28"/>
        </w:rPr>
        <w:t>实际情况接入原有</w:t>
      </w:r>
      <w:r>
        <w:rPr>
          <w:rFonts w:hint="eastAsia" w:ascii="宋体" w:hAnsi="宋体" w:eastAsia="宋体" w:cs="宋体"/>
          <w:color w:val="000000" w:themeColor="text1"/>
          <w:kern w:val="0"/>
          <w:sz w:val="28"/>
          <w:szCs w:val="28"/>
          <w:lang w:eastAsia="zh-CN"/>
        </w:rPr>
        <w:t>排水边沟</w:t>
      </w:r>
      <w:r>
        <w:rPr>
          <w:rFonts w:hint="eastAsia" w:ascii="宋体" w:hAnsi="宋体" w:eastAsia="宋体" w:cs="宋体"/>
          <w:color w:val="000000" w:themeColor="text1"/>
          <w:kern w:val="0"/>
          <w:sz w:val="28"/>
          <w:szCs w:val="28"/>
        </w:rPr>
        <w:t>；</w:t>
      </w:r>
    </w:p>
    <w:p w14:paraId="23340A01">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rPr>
      </w:pPr>
      <w:r>
        <w:rPr>
          <w:rFonts w:hint="eastAsia" w:ascii="宋体" w:hAnsi="宋体" w:eastAsia="宋体" w:cs="宋体"/>
          <w:color w:val="000000" w:themeColor="text1"/>
          <w:kern w:val="0"/>
          <w:sz w:val="28"/>
          <w:szCs w:val="28"/>
        </w:rPr>
        <w:t>（</w:t>
      </w:r>
      <w:r>
        <w:rPr>
          <w:rFonts w:hint="eastAsia" w:ascii="宋体" w:hAnsi="宋体" w:eastAsia="宋体" w:cs="宋体"/>
          <w:color w:val="000000" w:themeColor="text1"/>
          <w:kern w:val="0"/>
          <w:sz w:val="28"/>
          <w:szCs w:val="28"/>
          <w:lang w:val="en-US" w:eastAsia="zh-CN"/>
        </w:rPr>
        <w:t>2</w:t>
      </w:r>
      <w:r>
        <w:rPr>
          <w:rFonts w:hint="eastAsia" w:ascii="宋体" w:hAnsi="宋体" w:eastAsia="宋体" w:cs="宋体"/>
          <w:color w:val="000000" w:themeColor="text1"/>
          <w:kern w:val="0"/>
          <w:sz w:val="28"/>
          <w:szCs w:val="28"/>
        </w:rPr>
        <w:t>）结构设计、筑路材料、施工标准，均按现行国家规范标准执行。</w:t>
      </w:r>
    </w:p>
    <w:p w14:paraId="61C0AB2E">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rPr>
      </w:pPr>
      <w:r>
        <w:rPr>
          <w:rFonts w:hint="eastAsia" w:ascii="宋体" w:hAnsi="宋体" w:eastAsia="宋体" w:cs="宋体"/>
          <w:color w:val="000000" w:themeColor="text1"/>
          <w:kern w:val="0"/>
          <w:sz w:val="28"/>
          <w:szCs w:val="28"/>
        </w:rPr>
        <w:t>（</w:t>
      </w:r>
      <w:r>
        <w:rPr>
          <w:rFonts w:hint="eastAsia" w:ascii="宋体" w:hAnsi="宋体" w:eastAsia="宋体" w:cs="宋体"/>
          <w:color w:val="000000" w:themeColor="text1"/>
          <w:kern w:val="0"/>
          <w:sz w:val="28"/>
          <w:szCs w:val="28"/>
          <w:lang w:val="en-US" w:eastAsia="zh-CN"/>
        </w:rPr>
        <w:t>3</w:t>
      </w:r>
      <w:r>
        <w:rPr>
          <w:rFonts w:hint="eastAsia" w:ascii="宋体" w:hAnsi="宋体" w:eastAsia="宋体" w:cs="宋体"/>
          <w:color w:val="000000" w:themeColor="text1"/>
          <w:kern w:val="0"/>
          <w:sz w:val="28"/>
          <w:szCs w:val="28"/>
        </w:rPr>
        <w:t>）合理利用地形和当地建筑材料，降低工程造价。</w:t>
      </w:r>
    </w:p>
    <w:p w14:paraId="65F0DAA8">
      <w:pPr>
        <w:autoSpaceDE w:val="0"/>
        <w:autoSpaceDN w:val="0"/>
        <w:adjustRightInd w:val="0"/>
        <w:spacing w:line="360" w:lineRule="auto"/>
        <w:jc w:val="left"/>
        <w:rPr>
          <w:rFonts w:hint="eastAsia" w:ascii="宋体" w:hAnsi="宋体" w:eastAsia="宋体" w:cs="宋体"/>
          <w:color w:val="000000" w:themeColor="text1"/>
          <w:sz w:val="28"/>
          <w:szCs w:val="28"/>
          <w:lang w:eastAsia="zh-CN"/>
        </w:rPr>
      </w:pPr>
      <w:r>
        <w:rPr>
          <w:rFonts w:hint="eastAsia" w:ascii="宋体" w:hAnsi="宋体" w:eastAsia="宋体" w:cs="宋体"/>
          <w:b/>
          <w:color w:val="000000" w:themeColor="text1"/>
          <w:sz w:val="28"/>
          <w:szCs w:val="28"/>
          <w:lang w:val="en-US" w:eastAsia="zh-CN"/>
        </w:rPr>
        <w:t>5</w:t>
      </w:r>
      <w:r>
        <w:rPr>
          <w:rFonts w:hint="eastAsia" w:ascii="宋体" w:hAnsi="宋体" w:eastAsia="宋体" w:cs="宋体"/>
          <w:b/>
          <w:color w:val="000000" w:themeColor="text1"/>
          <w:sz w:val="28"/>
          <w:szCs w:val="28"/>
        </w:rPr>
        <w:t>.</w:t>
      </w:r>
      <w:r>
        <w:rPr>
          <w:rFonts w:hint="eastAsia" w:ascii="宋体" w:hAnsi="宋体" w:eastAsia="宋体" w:cs="宋体"/>
          <w:b/>
          <w:color w:val="000000" w:themeColor="text1"/>
          <w:sz w:val="28"/>
          <w:szCs w:val="28"/>
          <w:lang w:val="en-US" w:eastAsia="zh-CN"/>
        </w:rPr>
        <w:t>2</w:t>
      </w:r>
      <w:r>
        <w:rPr>
          <w:rFonts w:hint="eastAsia" w:ascii="宋体" w:hAnsi="宋体" w:eastAsia="宋体" w:cs="宋体"/>
          <w:b/>
          <w:color w:val="000000" w:themeColor="text1"/>
          <w:sz w:val="28"/>
          <w:szCs w:val="28"/>
        </w:rPr>
        <w:t>.</w:t>
      </w:r>
      <w:r>
        <w:rPr>
          <w:rFonts w:hint="eastAsia" w:ascii="宋体" w:hAnsi="宋体" w:eastAsia="宋体" w:cs="宋体"/>
          <w:b/>
          <w:color w:val="000000" w:themeColor="text1"/>
          <w:sz w:val="28"/>
          <w:szCs w:val="28"/>
          <w:lang w:val="en-US" w:eastAsia="zh-CN"/>
        </w:rPr>
        <w:t>2</w:t>
      </w:r>
      <w:r>
        <w:rPr>
          <w:rFonts w:hint="eastAsia" w:ascii="宋体" w:hAnsi="宋体" w:eastAsia="宋体" w:cs="宋体"/>
          <w:b/>
          <w:color w:val="000000" w:themeColor="text1"/>
          <w:sz w:val="28"/>
          <w:szCs w:val="28"/>
          <w:lang w:eastAsia="zh-CN"/>
        </w:rPr>
        <w:t>设计方案</w:t>
      </w:r>
    </w:p>
    <w:p w14:paraId="184939AD">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rPr>
      </w:pPr>
      <w:r>
        <w:rPr>
          <w:rFonts w:hint="eastAsia" w:ascii="宋体" w:hAnsi="宋体" w:eastAsia="宋体" w:cs="宋体"/>
          <w:color w:val="000000" w:themeColor="text1"/>
          <w:kern w:val="0"/>
          <w:sz w:val="28"/>
          <w:szCs w:val="28"/>
        </w:rPr>
        <w:t>为了使排水通畅，需新建</w:t>
      </w:r>
      <w:r>
        <w:rPr>
          <w:rFonts w:hint="eastAsia" w:ascii="宋体" w:hAnsi="宋体" w:eastAsia="宋体" w:cs="宋体"/>
          <w:color w:val="000000" w:themeColor="text1"/>
          <w:kern w:val="0"/>
          <w:sz w:val="28"/>
          <w:szCs w:val="28"/>
          <w:lang w:eastAsia="zh-CN"/>
        </w:rPr>
        <w:t>排水边沟</w:t>
      </w:r>
      <w:r>
        <w:rPr>
          <w:rFonts w:hint="eastAsia" w:ascii="宋体" w:hAnsi="宋体" w:eastAsia="宋体" w:cs="宋体"/>
          <w:color w:val="000000" w:themeColor="text1"/>
          <w:kern w:val="0"/>
          <w:sz w:val="28"/>
          <w:szCs w:val="28"/>
        </w:rPr>
        <w:t>、设置过道管涵以利于排水。</w:t>
      </w:r>
    </w:p>
    <w:p w14:paraId="54B6AA3E">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lang w:val="zh-CN"/>
        </w:rPr>
      </w:pPr>
      <w:r>
        <w:rPr>
          <w:rFonts w:hint="eastAsia" w:ascii="宋体" w:hAnsi="宋体" w:eastAsia="宋体" w:cs="宋体"/>
          <w:color w:val="000000" w:themeColor="text1"/>
          <w:kern w:val="0"/>
          <w:sz w:val="28"/>
          <w:szCs w:val="28"/>
          <w:lang w:val="zh-CN"/>
        </w:rPr>
        <w:t>本项目新建的边沟均位于村屯内。</w:t>
      </w:r>
    </w:p>
    <w:p w14:paraId="1671E0FA">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highlight w:val="none"/>
          <w:lang w:val="en-US" w:eastAsia="zh-CN"/>
        </w:rPr>
      </w:pPr>
      <w:bookmarkStart w:id="4" w:name="_Toc3039"/>
      <w:r>
        <w:rPr>
          <w:rFonts w:hint="eastAsia" w:ascii="宋体" w:hAnsi="宋体" w:eastAsia="宋体" w:cs="宋体"/>
          <w:color w:val="000000" w:themeColor="text1"/>
          <w:kern w:val="0"/>
          <w:sz w:val="28"/>
          <w:szCs w:val="28"/>
          <w:highlight w:val="none"/>
          <w:lang w:val="en-US" w:eastAsia="zh-CN"/>
        </w:rPr>
        <w:t>排水边沟共计</w:t>
      </w:r>
      <w:r>
        <w:rPr>
          <w:rFonts w:hint="eastAsia" w:ascii="宋体" w:hAnsi="宋体" w:cs="宋体"/>
          <w:color w:val="000000" w:themeColor="text1"/>
          <w:kern w:val="0"/>
          <w:sz w:val="28"/>
          <w:szCs w:val="28"/>
          <w:highlight w:val="none"/>
          <w:lang w:val="en-US" w:eastAsia="zh-CN"/>
        </w:rPr>
        <w:t>15</w:t>
      </w:r>
      <w:r>
        <w:rPr>
          <w:rFonts w:hint="eastAsia" w:ascii="宋体" w:hAnsi="宋体" w:eastAsia="宋体" w:cs="宋体"/>
          <w:color w:val="000000" w:themeColor="text1"/>
          <w:kern w:val="0"/>
          <w:sz w:val="28"/>
          <w:szCs w:val="28"/>
          <w:highlight w:val="none"/>
          <w:lang w:val="en-US" w:eastAsia="zh-CN"/>
        </w:rPr>
        <w:t>条，总长</w:t>
      </w:r>
      <w:r>
        <w:rPr>
          <w:rFonts w:hint="eastAsia" w:ascii="宋体" w:hAnsi="宋体" w:cs="宋体"/>
          <w:color w:val="000000" w:themeColor="text1"/>
          <w:kern w:val="0"/>
          <w:sz w:val="28"/>
          <w:szCs w:val="28"/>
          <w:highlight w:val="none"/>
          <w:lang w:val="en-US" w:eastAsia="zh-CN"/>
        </w:rPr>
        <w:t>2743.198</w:t>
      </w:r>
      <w:r>
        <w:rPr>
          <w:rFonts w:hint="eastAsia" w:ascii="宋体" w:hAnsi="宋体" w:eastAsia="宋体" w:cs="宋体"/>
          <w:color w:val="000000" w:themeColor="text1"/>
          <w:kern w:val="0"/>
          <w:sz w:val="28"/>
          <w:szCs w:val="28"/>
          <w:highlight w:val="none"/>
          <w:lang w:val="en-US" w:eastAsia="zh-CN"/>
        </w:rPr>
        <w:t>m,其中边沟结构形式均为</w:t>
      </w:r>
      <w:r>
        <w:rPr>
          <w:rFonts w:hint="eastAsia" w:ascii="宋体" w:hAnsi="宋体" w:cs="宋体"/>
          <w:color w:val="000000" w:themeColor="text1"/>
          <w:kern w:val="0"/>
          <w:sz w:val="28"/>
          <w:szCs w:val="28"/>
          <w:highlight w:val="none"/>
          <w:lang w:val="en-US" w:eastAsia="zh-CN"/>
        </w:rPr>
        <w:t>浆砌石砌筑</w:t>
      </w:r>
      <w:r>
        <w:rPr>
          <w:rFonts w:hint="eastAsia" w:ascii="宋体" w:hAnsi="宋体" w:eastAsia="宋体" w:cs="宋体"/>
          <w:color w:val="000000" w:themeColor="text1"/>
          <w:kern w:val="0"/>
          <w:sz w:val="28"/>
          <w:szCs w:val="28"/>
          <w:highlight w:val="none"/>
          <w:lang w:val="en-US" w:eastAsia="zh-CN"/>
        </w:rPr>
        <w:t>，长度</w:t>
      </w:r>
      <w:r>
        <w:rPr>
          <w:rFonts w:hint="eastAsia" w:ascii="宋体" w:hAnsi="宋体" w:cs="宋体"/>
          <w:color w:val="000000" w:themeColor="text1"/>
          <w:kern w:val="0"/>
          <w:sz w:val="28"/>
          <w:szCs w:val="28"/>
          <w:highlight w:val="none"/>
          <w:lang w:val="en-US" w:eastAsia="zh-CN"/>
        </w:rPr>
        <w:t>2433.198</w:t>
      </w:r>
      <w:r>
        <w:rPr>
          <w:rFonts w:hint="eastAsia" w:ascii="宋体" w:hAnsi="宋体" w:eastAsia="宋体" w:cs="宋体"/>
          <w:color w:val="000000" w:themeColor="text1"/>
          <w:kern w:val="0"/>
          <w:sz w:val="28"/>
          <w:szCs w:val="28"/>
          <w:highlight w:val="none"/>
          <w:lang w:val="en-US" w:eastAsia="zh-CN"/>
        </w:rPr>
        <w:t>m,</w:t>
      </w:r>
      <w:r>
        <w:rPr>
          <w:rFonts w:hint="eastAsia" w:ascii="宋体" w:hAnsi="宋体" w:cs="宋体"/>
          <w:color w:val="000000" w:themeColor="text1"/>
          <w:kern w:val="0"/>
          <w:sz w:val="28"/>
          <w:szCs w:val="28"/>
          <w:highlight w:val="none"/>
          <w:lang w:val="en-US" w:eastAsia="zh-CN"/>
        </w:rPr>
        <w:t>结构形式采用矩形边沟，净宽0.6m，深0.6m，侧墙厚0.35m,沟底厚0.30m均采用浆砌石砌筑，砂浆强度M10，沟底采用15</w:t>
      </w:r>
      <w:r>
        <w:rPr>
          <w:rFonts w:hint="eastAsia" w:ascii="宋体" w:hAnsi="宋体" w:cs="宋体"/>
          <w:color w:val="000000" w:themeColor="text1"/>
          <w:kern w:val="0"/>
          <w:sz w:val="28"/>
          <w:szCs w:val="28"/>
          <w:highlight w:val="none"/>
          <w:lang w:val="zh-CN" w:eastAsia="zh-CN"/>
        </w:rPr>
        <w:t>cm</w:t>
      </w:r>
      <w:r>
        <w:rPr>
          <w:rFonts w:hint="eastAsia" w:ascii="宋体" w:hAnsi="宋体" w:cs="宋体"/>
          <w:color w:val="000000" w:themeColor="text1"/>
          <w:kern w:val="0"/>
          <w:sz w:val="28"/>
          <w:szCs w:val="28"/>
          <w:highlight w:val="none"/>
          <w:lang w:val="en-US" w:eastAsia="zh-CN"/>
        </w:rPr>
        <w:t>厚C10混凝土垫层,边沟内侧采用2cm厚M10砂浆抹面。</w:t>
      </w:r>
      <w:r>
        <w:rPr>
          <w:rFonts w:hint="eastAsia" w:ascii="宋体" w:hAnsi="宋体" w:eastAsia="宋体" w:cs="宋体"/>
          <w:color w:val="000000" w:themeColor="text1"/>
          <w:kern w:val="0"/>
          <w:sz w:val="28"/>
          <w:szCs w:val="28"/>
          <w:highlight w:val="none"/>
          <w:lang w:val="en-US" w:eastAsia="zh-CN"/>
        </w:rPr>
        <w:t>边沟具体尺寸详见</w:t>
      </w:r>
      <w:r>
        <w:rPr>
          <w:rFonts w:hint="eastAsia" w:ascii="宋体" w:hAnsi="宋体" w:cs="宋体"/>
          <w:color w:val="000000" w:themeColor="text1"/>
          <w:kern w:val="0"/>
          <w:sz w:val="28"/>
          <w:szCs w:val="28"/>
          <w:highlight w:val="none"/>
          <w:lang w:val="en-US" w:eastAsia="zh-CN"/>
        </w:rPr>
        <w:t>浆砌石边沟</w:t>
      </w:r>
      <w:r>
        <w:rPr>
          <w:rFonts w:hint="eastAsia" w:ascii="宋体" w:hAnsi="宋体" w:eastAsia="宋体" w:cs="宋体"/>
          <w:color w:val="000000" w:themeColor="text1"/>
          <w:kern w:val="0"/>
          <w:sz w:val="28"/>
          <w:szCs w:val="28"/>
          <w:highlight w:val="none"/>
          <w:lang w:val="en-US" w:eastAsia="zh-CN"/>
        </w:rPr>
        <w:t>标准横断面图。</w:t>
      </w:r>
    </w:p>
    <w:p w14:paraId="7A052EE2">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zh-CN"/>
        </w:rPr>
        <w:t>排水边沟在交叉口处以及居民出户口处设置钢筋混凝土过道管，以便于居民的通行</w:t>
      </w:r>
      <w:r>
        <w:rPr>
          <w:rFonts w:hint="eastAsia" w:ascii="宋体" w:hAnsi="宋体" w:cs="宋体"/>
          <w:sz w:val="28"/>
          <w:szCs w:val="28"/>
          <w:lang w:val="zh-CN"/>
        </w:rPr>
        <w:t>。</w:t>
      </w:r>
      <w:bookmarkStart w:id="7" w:name="_GoBack"/>
      <w:bookmarkEnd w:id="7"/>
    </w:p>
    <w:p w14:paraId="12BD4A1D">
      <w:pPr>
        <w:spacing w:line="360" w:lineRule="auto"/>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zh-CN"/>
        </w:rPr>
        <w:t>项目共设置进户管涵、</w:t>
      </w:r>
      <w:r>
        <w:rPr>
          <w:rFonts w:hint="eastAsia" w:ascii="宋体" w:hAnsi="宋体" w:cs="宋体"/>
          <w:sz w:val="28"/>
          <w:szCs w:val="28"/>
          <w:lang w:val="en-US" w:eastAsia="zh-CN"/>
        </w:rPr>
        <w:t>过</w:t>
      </w:r>
      <w:r>
        <w:rPr>
          <w:rFonts w:hint="eastAsia" w:ascii="宋体" w:hAnsi="宋体" w:eastAsia="宋体" w:cs="宋体"/>
          <w:sz w:val="28"/>
          <w:szCs w:val="28"/>
          <w:lang w:val="zh-CN"/>
        </w:rPr>
        <w:t>道管涵</w:t>
      </w:r>
      <w:r>
        <w:rPr>
          <w:rFonts w:hint="eastAsia" w:ascii="宋体" w:hAnsi="宋体" w:cs="宋体"/>
          <w:sz w:val="28"/>
          <w:szCs w:val="28"/>
          <w:lang w:val="en-US" w:eastAsia="zh-CN"/>
        </w:rPr>
        <w:t>共计70</w:t>
      </w:r>
      <w:r>
        <w:rPr>
          <w:rFonts w:hint="eastAsia" w:ascii="宋体" w:hAnsi="宋体" w:eastAsia="宋体" w:cs="宋体"/>
          <w:sz w:val="28"/>
          <w:szCs w:val="28"/>
          <w:lang w:val="zh-CN"/>
        </w:rPr>
        <w:t>座；涵管均为单节涵管，</w:t>
      </w:r>
      <w:r>
        <w:rPr>
          <w:rFonts w:hint="eastAsia" w:ascii="宋体" w:hAnsi="宋体" w:eastAsia="宋体" w:cs="宋体"/>
          <w:sz w:val="28"/>
          <w:szCs w:val="28"/>
          <w:lang w:val="en-US" w:eastAsia="zh-CN"/>
        </w:rPr>
        <w:t>单节</w:t>
      </w:r>
      <w:r>
        <w:rPr>
          <w:rFonts w:hint="eastAsia" w:ascii="宋体" w:hAnsi="宋体" w:eastAsia="宋体" w:cs="宋体"/>
          <w:sz w:val="28"/>
          <w:szCs w:val="28"/>
          <w:lang w:val="zh-CN"/>
        </w:rPr>
        <w:t>长度为2米，</w:t>
      </w:r>
      <w:r>
        <w:rPr>
          <w:rFonts w:hint="eastAsia" w:ascii="宋体" w:hAnsi="宋体" w:cs="宋体"/>
          <w:sz w:val="28"/>
          <w:szCs w:val="28"/>
          <w:lang w:val="en-US" w:eastAsia="zh-CN"/>
        </w:rPr>
        <w:t>进户管涵采用2节涵管，进户管涵采用3节涵管，</w:t>
      </w:r>
      <w:r>
        <w:rPr>
          <w:rFonts w:hint="eastAsia" w:ascii="宋体" w:hAnsi="宋体" w:eastAsia="宋体" w:cs="宋体"/>
          <w:sz w:val="28"/>
          <w:szCs w:val="28"/>
          <w:lang w:val="zh-CN"/>
        </w:rPr>
        <w:t>涵管采用钢筋混凝土Ⅱ级管，管径</w:t>
      </w:r>
      <w:r>
        <w:rPr>
          <w:rFonts w:hint="eastAsia" w:ascii="宋体" w:hAnsi="宋体" w:eastAsia="宋体" w:cs="宋体"/>
          <w:sz w:val="28"/>
          <w:szCs w:val="28"/>
          <w:lang w:val="en-US" w:eastAsia="zh-CN"/>
        </w:rPr>
        <w:t>为</w:t>
      </w:r>
      <w:r>
        <w:rPr>
          <w:rFonts w:hint="eastAsia" w:ascii="宋体" w:hAnsi="宋体" w:cs="宋体"/>
          <w:sz w:val="28"/>
          <w:szCs w:val="28"/>
          <w:lang w:val="en-US" w:eastAsia="zh-CN"/>
        </w:rPr>
        <w:t>6</w:t>
      </w:r>
      <w:r>
        <w:rPr>
          <w:rFonts w:hint="eastAsia" w:ascii="宋体" w:hAnsi="宋体" w:eastAsia="宋体" w:cs="宋体"/>
          <w:sz w:val="28"/>
          <w:szCs w:val="28"/>
          <w:lang w:val="en-US" w:eastAsia="zh-CN"/>
        </w:rPr>
        <w:t>00mm,衔接采用</w:t>
      </w:r>
      <w:r>
        <w:rPr>
          <w:rFonts w:hint="eastAsia" w:ascii="宋体" w:hAnsi="宋体" w:eastAsia="宋体" w:cs="宋体"/>
          <w:sz w:val="28"/>
          <w:szCs w:val="28"/>
          <w:lang w:val="zh-CN"/>
        </w:rPr>
        <w:t>刚性接口，采用C25钢筋混凝土满包基础。</w:t>
      </w:r>
    </w:p>
    <w:p w14:paraId="35517070">
      <w:pPr>
        <w:spacing w:line="360" w:lineRule="auto"/>
        <w:ind w:firstLine="560" w:firstLineChars="200"/>
        <w:rPr>
          <w:rFonts w:hint="eastAsia" w:ascii="宋体" w:hAnsi="宋体" w:eastAsia="宋体" w:cs="宋体"/>
          <w:color w:val="000000" w:themeColor="text1"/>
          <w:kern w:val="0"/>
          <w:sz w:val="28"/>
          <w:szCs w:val="28"/>
          <w:lang w:val="en-US" w:eastAsia="zh-CN"/>
        </w:rPr>
      </w:pPr>
      <w:r>
        <w:rPr>
          <w:rFonts w:hint="eastAsia" w:ascii="宋体" w:hAnsi="宋体" w:eastAsia="宋体" w:cs="宋体"/>
          <w:sz w:val="28"/>
          <w:szCs w:val="28"/>
          <w:lang w:val="zh-CN"/>
        </w:rPr>
        <w:t>项目新建排水</w:t>
      </w:r>
      <w:r>
        <w:rPr>
          <w:rFonts w:hint="eastAsia" w:ascii="宋体" w:hAnsi="宋体" w:eastAsia="宋体" w:cs="宋体"/>
          <w:sz w:val="28"/>
          <w:szCs w:val="28"/>
          <w:lang w:val="en-US" w:eastAsia="zh-CN"/>
        </w:rPr>
        <w:t>路边</w:t>
      </w:r>
      <w:r>
        <w:rPr>
          <w:rFonts w:hint="eastAsia" w:ascii="宋体" w:hAnsi="宋体" w:eastAsia="宋体" w:cs="宋体"/>
          <w:sz w:val="28"/>
          <w:szCs w:val="28"/>
          <w:lang w:val="zh-CN"/>
        </w:rPr>
        <w:t>沟端部出口处能够及时排除雨水，排水沟内雨水最终排入村外自然水系内。</w:t>
      </w:r>
    </w:p>
    <w:p w14:paraId="2FEBC21C">
      <w:pPr>
        <w:pStyle w:val="15"/>
        <w:ind w:left="0" w:leftChars="0" w:firstLine="0" w:firstLineChars="0"/>
        <w:rPr>
          <w:rFonts w:hint="eastAsia" w:ascii="宋体" w:hAnsi="宋体" w:eastAsia="宋体" w:cs="宋体"/>
          <w:color w:val="000000" w:themeColor="text1"/>
          <w:sz w:val="28"/>
          <w:szCs w:val="28"/>
          <w:lang w:val="en-US" w:eastAsia="zh-CN"/>
        </w:rPr>
      </w:pPr>
      <w:r>
        <w:rPr>
          <w:rFonts w:hint="eastAsia" w:ascii="宋体" w:hAnsi="宋体" w:eastAsia="宋体" w:cs="宋体"/>
          <w:color w:val="000000" w:themeColor="text1"/>
          <w:kern w:val="0"/>
          <w:sz w:val="28"/>
          <w:szCs w:val="28"/>
          <w:lang w:val="en-US" w:eastAsia="zh-CN"/>
        </w:rPr>
        <w:t>排水边沟位置分布如下：</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6"/>
        <w:gridCol w:w="1336"/>
        <w:gridCol w:w="1336"/>
        <w:gridCol w:w="930"/>
        <w:gridCol w:w="4416"/>
        <w:gridCol w:w="1337"/>
      </w:tblGrid>
      <w:tr w14:paraId="07C0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A0E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序号</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BE0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乡镇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4CD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B84F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社</w:t>
            </w:r>
          </w:p>
        </w:tc>
        <w:tc>
          <w:tcPr>
            <w:tcW w:w="19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D1AB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沟名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1B47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长度</w:t>
            </w:r>
          </w:p>
        </w:tc>
      </w:tr>
      <w:tr w14:paraId="2D095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B4A1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PS13</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E5A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1BB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C520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139F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薛星字门前（卖店）至井房</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424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107.919 </w:t>
            </w:r>
          </w:p>
        </w:tc>
      </w:tr>
      <w:tr w14:paraId="39372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36D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PS14</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CB9D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9FF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8DA1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798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薛星字门前（卖店）至李树文门前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10D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254.339 </w:t>
            </w:r>
          </w:p>
        </w:tc>
      </w:tr>
      <w:tr w14:paraId="44AFA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896C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PS15</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03D0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333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346B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5677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广场至李凤山地头</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03C4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127.019 </w:t>
            </w:r>
          </w:p>
        </w:tc>
      </w:tr>
      <w:tr w14:paraId="7689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2F7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PS16</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1D2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87D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4E73A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6EC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广场至米长富房前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2B89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73.823 </w:t>
            </w:r>
          </w:p>
        </w:tc>
      </w:tr>
      <w:tr w14:paraId="6CCE2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BB51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PS17</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D44B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B27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A8669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206F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侯玉江房前至米长福房前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20C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223.267 </w:t>
            </w:r>
          </w:p>
        </w:tc>
      </w:tr>
      <w:tr w14:paraId="79B49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E79E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PS18</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8B2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727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BB09C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384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张立波地头至米长富房前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E06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429.188 </w:t>
            </w:r>
          </w:p>
        </w:tc>
      </w:tr>
      <w:tr w14:paraId="2375D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8D89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PS19</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7FF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9E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5C01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8AC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广场至米长福房前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77F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71.505 </w:t>
            </w:r>
          </w:p>
        </w:tc>
      </w:tr>
      <w:tr w14:paraId="7707B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C02B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PS20</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3C0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A614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A1FD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五社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7C0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广场至刘立辉房后</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2997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294.191 </w:t>
            </w:r>
          </w:p>
        </w:tc>
      </w:tr>
      <w:tr w14:paraId="296F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145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PS21</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93C0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760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1430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六社</w:t>
            </w:r>
          </w:p>
        </w:tc>
        <w:tc>
          <w:tcPr>
            <w:tcW w:w="19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11D3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孙刚门前至村部东墙</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807A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162.029 </w:t>
            </w:r>
          </w:p>
        </w:tc>
      </w:tr>
      <w:tr w14:paraId="1FD26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C342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PS22</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F6A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0C16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330B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F97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孔繁喜地头至朱云学门前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D15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130.013 </w:t>
            </w:r>
          </w:p>
        </w:tc>
      </w:tr>
      <w:tr w14:paraId="3794D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5A36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PS23</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5CFD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152E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7905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39A9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齐福军门前至朱云学门前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BA5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237.229 </w:t>
            </w:r>
          </w:p>
        </w:tc>
      </w:tr>
      <w:tr w14:paraId="0F4A0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32E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PS24</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E28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C18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63CEF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EE0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齐福军门前至李树民房后</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F30A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114.687 </w:t>
            </w:r>
          </w:p>
        </w:tc>
      </w:tr>
      <w:tr w14:paraId="215A8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C4F4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PS25</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4B9C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F29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15CE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DCA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李富房前至严玉中房前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A118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136.996 </w:t>
            </w:r>
          </w:p>
        </w:tc>
      </w:tr>
      <w:tr w14:paraId="782C7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80A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PS26</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8B3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C36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20B6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604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严玉福房前至严玉中房前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ECD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237.890 </w:t>
            </w:r>
          </w:p>
        </w:tc>
      </w:tr>
      <w:tr w14:paraId="516A6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B2B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PS27</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8E8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营城子镇</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D110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小桥子村</w:t>
            </w:r>
          </w:p>
        </w:tc>
        <w:tc>
          <w:tcPr>
            <w:tcW w:w="5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959F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七社</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D2C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严玉福房前至朱云成房前</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387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143.103 </w:t>
            </w:r>
          </w:p>
        </w:tc>
      </w:tr>
      <w:tr w14:paraId="3E780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A9D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合计</w:t>
            </w:r>
          </w:p>
        </w:tc>
        <w:tc>
          <w:tcPr>
            <w:tcW w:w="1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3936">
            <w:pPr>
              <w:jc w:val="center"/>
              <w:rPr>
                <w:rFonts w:hint="eastAsia" w:ascii="宋体" w:hAnsi="宋体" w:eastAsia="宋体" w:cs="宋体"/>
                <w:i w:val="0"/>
                <w:iCs w:val="0"/>
                <w:color w:val="000000"/>
                <w:sz w:val="28"/>
                <w:szCs w:val="28"/>
                <w:u w:val="none"/>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80C9F">
            <w:pPr>
              <w:keepNext w:val="0"/>
              <w:keepLines w:val="0"/>
              <w:widowControl/>
              <w:suppressLineNumbers w:val="0"/>
              <w:jc w:val="center"/>
              <w:textAlignment w:val="center"/>
              <w:rPr>
                <w:rFonts w:hint="default" w:ascii="宋体" w:hAnsi="宋体" w:eastAsia="宋体" w:cs="宋体"/>
                <w:i w:val="0"/>
                <w:iCs w:val="0"/>
                <w:color w:val="000000"/>
                <w:sz w:val="28"/>
                <w:szCs w:val="28"/>
                <w:u w:val="none"/>
                <w:lang w:val="en-US"/>
              </w:rPr>
            </w:pPr>
            <w:r>
              <w:rPr>
                <w:rFonts w:hint="eastAsia" w:ascii="宋体" w:hAnsi="宋体" w:cs="宋体"/>
                <w:i w:val="0"/>
                <w:iCs w:val="0"/>
                <w:color w:val="000000"/>
                <w:kern w:val="0"/>
                <w:sz w:val="28"/>
                <w:szCs w:val="28"/>
                <w:u w:val="none"/>
                <w:lang w:val="en-US" w:eastAsia="zh-CN" w:bidi="ar"/>
              </w:rPr>
              <w:t>2743.197</w:t>
            </w:r>
          </w:p>
        </w:tc>
      </w:tr>
    </w:tbl>
    <w:p w14:paraId="34E57AD5">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5.5主要材料</w:t>
      </w:r>
      <w:bookmarkEnd w:id="4"/>
    </w:p>
    <w:p w14:paraId="6CDF6DF7">
      <w:pPr>
        <w:autoSpaceDE w:val="0"/>
        <w:autoSpaceDN w:val="0"/>
        <w:adjustRightInd w:val="0"/>
        <w:spacing w:line="360" w:lineRule="auto"/>
        <w:jc w:val="left"/>
        <w:rPr>
          <w:rFonts w:hint="eastAsia" w:ascii="宋体" w:hAnsi="宋体" w:eastAsia="宋体" w:cs="宋体"/>
          <w:b/>
          <w:color w:val="000000" w:themeColor="text1"/>
          <w:kern w:val="0"/>
          <w:sz w:val="28"/>
          <w:szCs w:val="28"/>
        </w:rPr>
      </w:pPr>
      <w:r>
        <w:rPr>
          <w:rFonts w:hint="eastAsia" w:ascii="宋体" w:hAnsi="宋体" w:eastAsia="宋体" w:cs="宋体"/>
          <w:b/>
          <w:color w:val="000000" w:themeColor="text1"/>
          <w:kern w:val="0"/>
          <w:sz w:val="28"/>
          <w:szCs w:val="28"/>
          <w:lang w:val="en-US" w:eastAsia="zh-CN"/>
        </w:rPr>
        <w:t>5</w:t>
      </w:r>
      <w:r>
        <w:rPr>
          <w:rFonts w:hint="eastAsia" w:ascii="宋体" w:hAnsi="宋体" w:eastAsia="宋体" w:cs="宋体"/>
          <w:b/>
          <w:color w:val="000000" w:themeColor="text1"/>
          <w:kern w:val="0"/>
          <w:sz w:val="28"/>
          <w:szCs w:val="28"/>
        </w:rPr>
        <w:t>.</w:t>
      </w:r>
      <w:r>
        <w:rPr>
          <w:rFonts w:hint="eastAsia" w:ascii="宋体" w:hAnsi="宋体" w:eastAsia="宋体" w:cs="宋体"/>
          <w:b/>
          <w:color w:val="000000" w:themeColor="text1"/>
          <w:kern w:val="0"/>
          <w:sz w:val="28"/>
          <w:szCs w:val="28"/>
          <w:lang w:val="en-US" w:eastAsia="zh-CN"/>
        </w:rPr>
        <w:t>5</w:t>
      </w:r>
      <w:r>
        <w:rPr>
          <w:rFonts w:hint="eastAsia" w:ascii="宋体" w:hAnsi="宋体" w:eastAsia="宋体" w:cs="宋体"/>
          <w:b/>
          <w:color w:val="000000" w:themeColor="text1"/>
          <w:kern w:val="0"/>
          <w:sz w:val="28"/>
          <w:szCs w:val="28"/>
        </w:rPr>
        <w:t>.1水泥混凝土</w:t>
      </w:r>
    </w:p>
    <w:p w14:paraId="277E003D">
      <w:pPr>
        <w:autoSpaceDE w:val="0"/>
        <w:autoSpaceDN w:val="0"/>
        <w:adjustRightInd w:val="0"/>
        <w:spacing w:line="360" w:lineRule="auto"/>
        <w:ind w:firstLine="560" w:firstLineChars="200"/>
        <w:jc w:val="left"/>
        <w:rPr>
          <w:rFonts w:hint="eastAsia" w:ascii="宋体" w:hAnsi="宋体" w:eastAsia="宋体" w:cs="宋体"/>
          <w:color w:val="000000" w:themeColor="text1"/>
          <w:kern w:val="0"/>
          <w:sz w:val="28"/>
          <w:szCs w:val="28"/>
        </w:rPr>
      </w:pPr>
      <w:r>
        <w:rPr>
          <w:rFonts w:hint="eastAsia" w:ascii="宋体" w:hAnsi="宋体" w:eastAsia="宋体" w:cs="宋体"/>
          <w:color w:val="000000" w:themeColor="text1"/>
          <w:kern w:val="0"/>
          <w:sz w:val="28"/>
          <w:szCs w:val="28"/>
        </w:rPr>
        <w:t>水泥</w:t>
      </w:r>
      <w:r>
        <w:rPr>
          <w:rFonts w:hint="eastAsia" w:ascii="宋体" w:hAnsi="宋体" w:eastAsia="宋体" w:cs="宋体"/>
          <w:color w:val="000000" w:themeColor="text1"/>
          <w:kern w:val="0"/>
          <w:sz w:val="28"/>
          <w:szCs w:val="28"/>
          <w:lang w:val="en-US" w:eastAsia="zh-CN"/>
        </w:rPr>
        <w:t>标号采用42.5号硅酸盐水泥或</w:t>
      </w:r>
      <w:r>
        <w:rPr>
          <w:rFonts w:hint="eastAsia" w:ascii="宋体" w:hAnsi="宋体" w:eastAsia="宋体" w:cs="宋体"/>
          <w:color w:val="000000" w:themeColor="text1"/>
          <w:kern w:val="0"/>
          <w:sz w:val="28"/>
          <w:szCs w:val="28"/>
        </w:rPr>
        <w:t>普通硅酸盐水泥，</w:t>
      </w:r>
      <w:r>
        <w:rPr>
          <w:rFonts w:hint="eastAsia" w:ascii="宋体" w:hAnsi="宋体" w:eastAsia="宋体" w:cs="宋体"/>
          <w:color w:val="000000" w:themeColor="text1"/>
          <w:kern w:val="0"/>
          <w:sz w:val="28"/>
          <w:szCs w:val="28"/>
          <w:lang w:val="en-US" w:eastAsia="zh-CN"/>
        </w:rPr>
        <w:t>混凝土配合比应按国家标准规定进行计算和试配，以28天抗压强度为检验标准。</w:t>
      </w:r>
      <w:r>
        <w:rPr>
          <w:rFonts w:hint="eastAsia" w:ascii="宋体" w:hAnsi="宋体" w:eastAsia="宋体" w:cs="宋体"/>
          <w:color w:val="000000" w:themeColor="text1"/>
          <w:kern w:val="0"/>
          <w:sz w:val="28"/>
          <w:szCs w:val="28"/>
        </w:rPr>
        <w:t>粗集料(碎石)应符合水泥砼面层粗集料级配组成表要求。路面水泥采用42.5号普通硅酸盐水泥，水泥用量不得小于320Kg/m3，水泥混凝土的水灰比不大于0.48 ，混凝土中必须加引气剂，其用量可根据实验确定，水泥混凝土路面结构设计安全等级为三级，目标可靠度为70％，目标可靠指标为0.52，变异水平等级为中，水泥混凝土弯拉强度变异系数变化范围为：0.10＜Cv≤0.15,基层顶面当量回弹模量变异系数变化范围为0.25＜Cv≤0.35，水泥混凝土面层厚度变异系数变化范围为0.04＜Cv≤0.06，表面构造深度一般路段为0.5～0.9mm,特殊的急弯、陡坡、交叉口或组合坡度大于或等于4%的纵坡路段为0.6～1.1mm。</w:t>
      </w:r>
    </w:p>
    <w:p w14:paraId="494F4A26">
      <w:pPr>
        <w:pStyle w:val="7"/>
        <w:tabs>
          <w:tab w:val="left" w:pos="14716"/>
        </w:tabs>
        <w:ind w:firstLine="548" w:firstLineChars="196"/>
        <w:jc w:val="center"/>
        <w:rPr>
          <w:rFonts w:hint="eastAsia" w:ascii="宋体" w:hAnsi="宋体" w:eastAsia="宋体" w:cs="宋体"/>
          <w:color w:val="000000" w:themeColor="text1"/>
          <w:spacing w:val="16"/>
          <w:sz w:val="28"/>
          <w:szCs w:val="28"/>
        </w:rPr>
      </w:pPr>
      <w:r>
        <w:rPr>
          <w:rFonts w:hint="eastAsia" w:ascii="宋体" w:hAnsi="宋体" w:eastAsia="宋体" w:cs="宋体"/>
          <w:b/>
          <w:bCs/>
          <w:color w:val="000000" w:themeColor="text1"/>
          <w:sz w:val="28"/>
          <w:szCs w:val="28"/>
        </w:rPr>
        <w:t>水泥的化学成分和物理指标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97"/>
        <w:gridCol w:w="6733"/>
      </w:tblGrid>
      <w:tr w14:paraId="7651FFE6">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6F0BDF2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水泥性能</w:t>
            </w:r>
          </w:p>
        </w:tc>
        <w:tc>
          <w:tcPr>
            <w:tcW w:w="6733" w:type="dxa"/>
            <w:noWrap w:val="0"/>
            <w:vAlign w:val="center"/>
          </w:tcPr>
          <w:p w14:paraId="3DB2A1D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中、轻交通路面</w:t>
            </w:r>
          </w:p>
        </w:tc>
      </w:tr>
      <w:tr w14:paraId="1E6D7420">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5130784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铝酸三钙</w:t>
            </w:r>
          </w:p>
        </w:tc>
        <w:tc>
          <w:tcPr>
            <w:tcW w:w="6733" w:type="dxa"/>
            <w:noWrap w:val="0"/>
            <w:vAlign w:val="center"/>
          </w:tcPr>
          <w:p w14:paraId="09047EF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不宜＞9.0%</w:t>
            </w:r>
          </w:p>
        </w:tc>
      </w:tr>
      <w:tr w14:paraId="760044FB">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67A3D1A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铁铝酸四钙</w:t>
            </w:r>
          </w:p>
        </w:tc>
        <w:tc>
          <w:tcPr>
            <w:tcW w:w="6733" w:type="dxa"/>
            <w:noWrap w:val="0"/>
            <w:vAlign w:val="center"/>
          </w:tcPr>
          <w:p w14:paraId="450A80C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12.0%～20.0%</w:t>
            </w:r>
          </w:p>
        </w:tc>
      </w:tr>
      <w:tr w14:paraId="643D5E46">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6C715B8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氧化镁</w:t>
            </w:r>
          </w:p>
        </w:tc>
        <w:tc>
          <w:tcPr>
            <w:tcW w:w="6733" w:type="dxa"/>
            <w:noWrap w:val="0"/>
            <w:vAlign w:val="center"/>
          </w:tcPr>
          <w:p w14:paraId="1EC66BF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不得＞6.0%</w:t>
            </w:r>
          </w:p>
        </w:tc>
      </w:tr>
      <w:tr w14:paraId="688EFE42">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2F9D6F5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三氧化硫</w:t>
            </w:r>
          </w:p>
        </w:tc>
        <w:tc>
          <w:tcPr>
            <w:tcW w:w="6733" w:type="dxa"/>
            <w:noWrap w:val="0"/>
            <w:vAlign w:val="center"/>
          </w:tcPr>
          <w:p w14:paraId="2300853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不得＞4.0%</w:t>
            </w:r>
          </w:p>
        </w:tc>
      </w:tr>
      <w:tr w14:paraId="6EB0E94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6575593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碱含量</w:t>
            </w:r>
          </w:p>
        </w:tc>
        <w:tc>
          <w:tcPr>
            <w:tcW w:w="6733" w:type="dxa"/>
            <w:noWrap w:val="0"/>
            <w:vAlign w:val="center"/>
          </w:tcPr>
          <w:p w14:paraId="5EE6F9A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Na</w:t>
            </w:r>
            <w:r>
              <w:rPr>
                <w:rFonts w:hint="eastAsia" w:ascii="宋体" w:hAnsi="宋体" w:eastAsia="宋体" w:cs="宋体"/>
                <w:color w:val="000000" w:themeColor="text1"/>
                <w:spacing w:val="16"/>
                <w:sz w:val="28"/>
                <w:szCs w:val="28"/>
                <w:vertAlign w:val="subscript"/>
              </w:rPr>
              <w:t>2</w:t>
            </w:r>
            <w:r>
              <w:rPr>
                <w:rFonts w:hint="eastAsia" w:ascii="宋体" w:hAnsi="宋体" w:eastAsia="宋体" w:cs="宋体"/>
                <w:color w:val="000000" w:themeColor="text1"/>
                <w:spacing w:val="16"/>
                <w:sz w:val="28"/>
                <w:szCs w:val="28"/>
              </w:rPr>
              <w:t>O+0.658K</w:t>
            </w:r>
            <w:r>
              <w:rPr>
                <w:rFonts w:hint="eastAsia" w:ascii="宋体" w:hAnsi="宋体" w:eastAsia="宋体" w:cs="宋体"/>
                <w:color w:val="000000" w:themeColor="text1"/>
                <w:spacing w:val="16"/>
                <w:sz w:val="28"/>
                <w:szCs w:val="28"/>
                <w:vertAlign w:val="subscript"/>
              </w:rPr>
              <w:t>2</w:t>
            </w:r>
            <w:r>
              <w:rPr>
                <w:rFonts w:hint="eastAsia" w:ascii="宋体" w:hAnsi="宋体" w:eastAsia="宋体" w:cs="宋体"/>
                <w:color w:val="000000" w:themeColor="text1"/>
                <w:spacing w:val="16"/>
                <w:sz w:val="28"/>
                <w:szCs w:val="28"/>
              </w:rPr>
              <w:t>O≤0.6%</w:t>
            </w:r>
          </w:p>
        </w:tc>
      </w:tr>
      <w:tr w14:paraId="4C2291AC">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3E02732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混合材料种类</w:t>
            </w:r>
          </w:p>
        </w:tc>
        <w:tc>
          <w:tcPr>
            <w:tcW w:w="6733" w:type="dxa"/>
            <w:noWrap w:val="0"/>
            <w:vAlign w:val="center"/>
          </w:tcPr>
          <w:p w14:paraId="238C2C9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不得掺窑灰、煤矸石、火山灰、烧粘土、煤渣，有盐冻要求时不得掺石灰岩粉</w:t>
            </w:r>
          </w:p>
        </w:tc>
      </w:tr>
      <w:tr w14:paraId="44F99A9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0C5423F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出磨时安定性</w:t>
            </w:r>
          </w:p>
        </w:tc>
        <w:tc>
          <w:tcPr>
            <w:tcW w:w="6733" w:type="dxa"/>
            <w:noWrap w:val="0"/>
            <w:vAlign w:val="center"/>
          </w:tcPr>
          <w:p w14:paraId="5FA555F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雷氏夹或蒸煮法检验必须合格</w:t>
            </w:r>
          </w:p>
        </w:tc>
      </w:tr>
      <w:tr w14:paraId="468C5A4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5AE1A8A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标准稠度需水量</w:t>
            </w:r>
          </w:p>
        </w:tc>
        <w:tc>
          <w:tcPr>
            <w:tcW w:w="6733" w:type="dxa"/>
            <w:noWrap w:val="0"/>
            <w:vAlign w:val="center"/>
          </w:tcPr>
          <w:p w14:paraId="2A87C67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不易＞30%</w:t>
            </w:r>
          </w:p>
        </w:tc>
      </w:tr>
      <w:tr w14:paraId="3D43C2F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26C5CC5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比表面积</w:t>
            </w:r>
          </w:p>
        </w:tc>
        <w:tc>
          <w:tcPr>
            <w:tcW w:w="6733" w:type="dxa"/>
            <w:noWrap w:val="0"/>
            <w:vAlign w:val="center"/>
          </w:tcPr>
          <w:p w14:paraId="1704D728">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宜在300～450m</w:t>
            </w:r>
            <w:r>
              <w:rPr>
                <w:rFonts w:hint="eastAsia" w:ascii="宋体" w:hAnsi="宋体" w:eastAsia="宋体" w:cs="宋体"/>
                <w:color w:val="000000" w:themeColor="text1"/>
                <w:spacing w:val="16"/>
                <w:sz w:val="28"/>
                <w:szCs w:val="28"/>
                <w:vertAlign w:val="superscript"/>
              </w:rPr>
              <w:t>2</w:t>
            </w:r>
            <w:r>
              <w:rPr>
                <w:rFonts w:hint="eastAsia" w:ascii="宋体" w:hAnsi="宋体" w:eastAsia="宋体" w:cs="宋体"/>
                <w:color w:val="000000" w:themeColor="text1"/>
                <w:spacing w:val="16"/>
                <w:sz w:val="28"/>
                <w:szCs w:val="28"/>
              </w:rPr>
              <w:t>/Kg</w:t>
            </w:r>
          </w:p>
        </w:tc>
      </w:tr>
      <w:tr w14:paraId="2F9ED8E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5E3953C8">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细度(80μm)</w:t>
            </w:r>
          </w:p>
        </w:tc>
        <w:tc>
          <w:tcPr>
            <w:tcW w:w="6733" w:type="dxa"/>
            <w:noWrap w:val="0"/>
            <w:vAlign w:val="center"/>
          </w:tcPr>
          <w:p w14:paraId="3D06C24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筛余量不得＞10%</w:t>
            </w:r>
          </w:p>
        </w:tc>
      </w:tr>
      <w:tr w14:paraId="75C23FCB">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0DA8A9A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28d干缩率</w:t>
            </w:r>
          </w:p>
        </w:tc>
        <w:tc>
          <w:tcPr>
            <w:tcW w:w="6733" w:type="dxa"/>
            <w:noWrap w:val="0"/>
            <w:vAlign w:val="center"/>
          </w:tcPr>
          <w:p w14:paraId="3583BC4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不得＞0.10%</w:t>
            </w:r>
          </w:p>
        </w:tc>
      </w:tr>
      <w:tr w14:paraId="27EEE78A">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14:paraId="5D36AA9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耐磨性</w:t>
            </w:r>
          </w:p>
        </w:tc>
        <w:tc>
          <w:tcPr>
            <w:tcW w:w="6733" w:type="dxa"/>
            <w:noWrap w:val="0"/>
            <w:vAlign w:val="center"/>
          </w:tcPr>
          <w:p w14:paraId="53E4A87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不得＞3.0Kg/m</w:t>
            </w:r>
            <w:r>
              <w:rPr>
                <w:rFonts w:hint="eastAsia" w:ascii="宋体" w:hAnsi="宋体" w:eastAsia="宋体" w:cs="宋体"/>
                <w:color w:val="000000" w:themeColor="text1"/>
                <w:spacing w:val="16"/>
                <w:sz w:val="28"/>
                <w:szCs w:val="28"/>
                <w:vertAlign w:val="superscript"/>
              </w:rPr>
              <w:t>2</w:t>
            </w:r>
          </w:p>
        </w:tc>
      </w:tr>
    </w:tbl>
    <w:p w14:paraId="28CA1EEB">
      <w:pPr>
        <w:pStyle w:val="7"/>
        <w:tabs>
          <w:tab w:val="left" w:pos="14716"/>
        </w:tabs>
        <w:ind w:firstLine="611" w:firstLineChars="196"/>
        <w:jc w:val="left"/>
        <w:rPr>
          <w:rFonts w:hint="eastAsia" w:ascii="宋体" w:hAnsi="宋体" w:eastAsia="宋体" w:cs="宋体"/>
          <w:b/>
          <w:bCs/>
          <w:color w:val="000000" w:themeColor="text1"/>
          <w:spacing w:val="16"/>
          <w:sz w:val="28"/>
          <w:szCs w:val="28"/>
        </w:rPr>
      </w:pPr>
      <w:r>
        <w:rPr>
          <w:rFonts w:hint="eastAsia" w:ascii="宋体" w:hAnsi="宋体" w:eastAsia="宋体" w:cs="宋体"/>
          <w:b/>
          <w:bCs/>
          <w:color w:val="000000" w:themeColor="text1"/>
          <w:spacing w:val="16"/>
          <w:sz w:val="28"/>
          <w:szCs w:val="28"/>
          <w:lang w:val="en-US" w:eastAsia="zh-CN"/>
        </w:rPr>
        <w:t>5</w:t>
      </w:r>
      <w:r>
        <w:rPr>
          <w:rFonts w:hint="eastAsia" w:ascii="宋体" w:hAnsi="宋体" w:eastAsia="宋体" w:cs="宋体"/>
          <w:b/>
          <w:bCs/>
          <w:color w:val="000000" w:themeColor="text1"/>
          <w:spacing w:val="16"/>
          <w:sz w:val="28"/>
          <w:szCs w:val="28"/>
        </w:rPr>
        <w:t>.</w:t>
      </w:r>
      <w:r>
        <w:rPr>
          <w:rFonts w:hint="eastAsia" w:ascii="宋体" w:hAnsi="宋体" w:eastAsia="宋体" w:cs="宋体"/>
          <w:b/>
          <w:bCs/>
          <w:color w:val="000000" w:themeColor="text1"/>
          <w:spacing w:val="16"/>
          <w:sz w:val="28"/>
          <w:szCs w:val="28"/>
          <w:lang w:val="en-US" w:eastAsia="zh-CN"/>
        </w:rPr>
        <w:t>5</w:t>
      </w:r>
      <w:r>
        <w:rPr>
          <w:rFonts w:hint="eastAsia" w:ascii="宋体" w:hAnsi="宋体" w:eastAsia="宋体" w:cs="宋体"/>
          <w:b/>
          <w:bCs/>
          <w:color w:val="000000" w:themeColor="text1"/>
          <w:spacing w:val="16"/>
          <w:sz w:val="28"/>
          <w:szCs w:val="28"/>
        </w:rPr>
        <w:t>.2粗集料</w:t>
      </w:r>
    </w:p>
    <w:p w14:paraId="434F3C9D">
      <w:pPr>
        <w:pStyle w:val="7"/>
        <w:tabs>
          <w:tab w:val="left" w:pos="14716"/>
        </w:tabs>
        <w:ind w:firstLine="611" w:firstLineChars="196"/>
        <w:jc w:val="left"/>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1、粗集料应实用质地坚硬、耐久、洁净的碎石，且集料的吸水率不应大于2.0%。</w:t>
      </w:r>
    </w:p>
    <w:p w14:paraId="0AF53E3F">
      <w:pPr>
        <w:pStyle w:val="7"/>
        <w:tabs>
          <w:tab w:val="left" w:pos="14716"/>
        </w:tabs>
        <w:ind w:firstLine="548" w:firstLineChars="196"/>
        <w:jc w:val="center"/>
        <w:rPr>
          <w:rFonts w:hint="eastAsia" w:ascii="宋体" w:hAnsi="宋体" w:eastAsia="宋体" w:cs="宋体"/>
          <w:color w:val="000000" w:themeColor="text1"/>
          <w:spacing w:val="16"/>
          <w:sz w:val="28"/>
          <w:szCs w:val="28"/>
        </w:rPr>
      </w:pPr>
      <w:r>
        <w:rPr>
          <w:rFonts w:hint="eastAsia" w:ascii="宋体" w:hAnsi="宋体" w:eastAsia="宋体" w:cs="宋体"/>
          <w:b/>
          <w:bCs/>
          <w:color w:val="000000" w:themeColor="text1"/>
          <w:sz w:val="28"/>
          <w:szCs w:val="28"/>
        </w:rPr>
        <w:t>碎石技术指标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14:paraId="7B097FB5">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295E14D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碎石压碎值(%)</w:t>
            </w:r>
          </w:p>
        </w:tc>
        <w:tc>
          <w:tcPr>
            <w:tcW w:w="4631" w:type="dxa"/>
            <w:noWrap w:val="0"/>
            <w:vAlign w:val="center"/>
          </w:tcPr>
          <w:p w14:paraId="4AAE952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＜30</w:t>
            </w:r>
          </w:p>
        </w:tc>
      </w:tr>
      <w:tr w14:paraId="47AFFF9E">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8D0CAF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坚固性(按质量损失计%)</w:t>
            </w:r>
          </w:p>
        </w:tc>
        <w:tc>
          <w:tcPr>
            <w:tcW w:w="4631" w:type="dxa"/>
            <w:noWrap w:val="0"/>
            <w:vAlign w:val="center"/>
          </w:tcPr>
          <w:p w14:paraId="23B7F56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＜12</w:t>
            </w:r>
          </w:p>
        </w:tc>
      </w:tr>
      <w:tr w14:paraId="11935CE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5A76B37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针片状颗粒质量(按质量计%)</w:t>
            </w:r>
          </w:p>
        </w:tc>
        <w:tc>
          <w:tcPr>
            <w:tcW w:w="4631" w:type="dxa"/>
            <w:noWrap w:val="0"/>
            <w:vAlign w:val="center"/>
          </w:tcPr>
          <w:p w14:paraId="6C2EB72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＜20</w:t>
            </w:r>
          </w:p>
        </w:tc>
      </w:tr>
      <w:tr w14:paraId="79E00DDC">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3FE9E5D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含泥量(按质量计%)</w:t>
            </w:r>
          </w:p>
        </w:tc>
        <w:tc>
          <w:tcPr>
            <w:tcW w:w="4631" w:type="dxa"/>
            <w:noWrap w:val="0"/>
            <w:vAlign w:val="center"/>
          </w:tcPr>
          <w:p w14:paraId="32AFBB6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＜2.0</w:t>
            </w:r>
          </w:p>
        </w:tc>
      </w:tr>
      <w:tr w14:paraId="2DE6D593">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ECB742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泥块含量(按质量计%)</w:t>
            </w:r>
          </w:p>
        </w:tc>
        <w:tc>
          <w:tcPr>
            <w:tcW w:w="4631" w:type="dxa"/>
            <w:noWrap w:val="0"/>
            <w:vAlign w:val="center"/>
          </w:tcPr>
          <w:p w14:paraId="328D1F7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＜0.7</w:t>
            </w:r>
          </w:p>
        </w:tc>
      </w:tr>
      <w:tr w14:paraId="7CE9B130">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24C544D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有机物质量(比色法)</w:t>
            </w:r>
          </w:p>
        </w:tc>
        <w:tc>
          <w:tcPr>
            <w:tcW w:w="4631" w:type="dxa"/>
            <w:noWrap w:val="0"/>
            <w:vAlign w:val="center"/>
          </w:tcPr>
          <w:p w14:paraId="684E204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合格</w:t>
            </w:r>
          </w:p>
        </w:tc>
      </w:tr>
      <w:tr w14:paraId="69E3F266">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140195B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硫化物及硫酸盐(按SO</w:t>
            </w:r>
            <w:r>
              <w:rPr>
                <w:rFonts w:hint="eastAsia" w:ascii="宋体" w:hAnsi="宋体" w:eastAsia="宋体" w:cs="宋体"/>
                <w:color w:val="000000" w:themeColor="text1"/>
                <w:spacing w:val="16"/>
                <w:sz w:val="28"/>
                <w:szCs w:val="28"/>
                <w:vertAlign w:val="subscript"/>
              </w:rPr>
              <w:t>3</w:t>
            </w:r>
            <w:r>
              <w:rPr>
                <w:rFonts w:hint="eastAsia" w:ascii="宋体" w:hAnsi="宋体" w:eastAsia="宋体" w:cs="宋体"/>
                <w:color w:val="000000" w:themeColor="text1"/>
                <w:spacing w:val="16"/>
                <w:sz w:val="28"/>
                <w:szCs w:val="28"/>
              </w:rPr>
              <w:t>质量计%)</w:t>
            </w:r>
          </w:p>
        </w:tc>
        <w:tc>
          <w:tcPr>
            <w:tcW w:w="4631" w:type="dxa"/>
            <w:noWrap w:val="0"/>
            <w:vAlign w:val="center"/>
          </w:tcPr>
          <w:p w14:paraId="2F11AC1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＜1.0</w:t>
            </w:r>
          </w:p>
        </w:tc>
      </w:tr>
      <w:tr w14:paraId="070823AE">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0A03C80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岩石抗压强度</w:t>
            </w:r>
          </w:p>
        </w:tc>
        <w:tc>
          <w:tcPr>
            <w:tcW w:w="4631" w:type="dxa"/>
            <w:noWrap w:val="0"/>
            <w:vAlign w:val="center"/>
          </w:tcPr>
          <w:p w14:paraId="50EB1DE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岩浆岩大于等于100Mpa</w:t>
            </w:r>
          </w:p>
          <w:p w14:paraId="3AA5A0F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岩浆岩不应小于80Mpa</w:t>
            </w:r>
          </w:p>
          <w:p w14:paraId="19D5E73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沉积岩不应小于60Mpa</w:t>
            </w:r>
          </w:p>
        </w:tc>
      </w:tr>
      <w:tr w14:paraId="5414331C">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4CB9930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表观密度</w:t>
            </w:r>
          </w:p>
        </w:tc>
        <w:tc>
          <w:tcPr>
            <w:tcW w:w="4631" w:type="dxa"/>
            <w:noWrap w:val="0"/>
            <w:vAlign w:val="center"/>
          </w:tcPr>
          <w:p w14:paraId="1B343E5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&gt;2500kg/m</w:t>
            </w:r>
            <w:r>
              <w:rPr>
                <w:rFonts w:hint="eastAsia" w:ascii="宋体" w:hAnsi="宋体" w:eastAsia="宋体" w:cs="宋体"/>
                <w:color w:val="000000" w:themeColor="text1"/>
                <w:spacing w:val="16"/>
                <w:sz w:val="28"/>
                <w:szCs w:val="28"/>
                <w:vertAlign w:val="superscript"/>
              </w:rPr>
              <w:t>3</w:t>
            </w:r>
          </w:p>
        </w:tc>
      </w:tr>
      <w:tr w14:paraId="02D4D1B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802B9A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松散堆积密度</w:t>
            </w:r>
          </w:p>
        </w:tc>
        <w:tc>
          <w:tcPr>
            <w:tcW w:w="4631" w:type="dxa"/>
            <w:noWrap w:val="0"/>
            <w:vAlign w:val="center"/>
          </w:tcPr>
          <w:p w14:paraId="7A4E883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&gt;1350kg/m</w:t>
            </w:r>
            <w:r>
              <w:rPr>
                <w:rFonts w:hint="eastAsia" w:ascii="宋体" w:hAnsi="宋体" w:eastAsia="宋体" w:cs="宋体"/>
                <w:color w:val="000000" w:themeColor="text1"/>
                <w:spacing w:val="16"/>
                <w:sz w:val="28"/>
                <w:szCs w:val="28"/>
                <w:vertAlign w:val="superscript"/>
              </w:rPr>
              <w:t>3</w:t>
            </w:r>
          </w:p>
        </w:tc>
      </w:tr>
      <w:tr w14:paraId="247F0F59">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071ACDC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空隙率</w:t>
            </w:r>
          </w:p>
        </w:tc>
        <w:tc>
          <w:tcPr>
            <w:tcW w:w="4631" w:type="dxa"/>
            <w:noWrap w:val="0"/>
            <w:vAlign w:val="center"/>
          </w:tcPr>
          <w:p w14:paraId="3A39B38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w:t>
            </w:r>
          </w:p>
        </w:tc>
      </w:tr>
      <w:tr w14:paraId="0EE53668">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107FF85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碱集料反应</w:t>
            </w:r>
          </w:p>
        </w:tc>
        <w:tc>
          <w:tcPr>
            <w:tcW w:w="4631" w:type="dxa"/>
            <w:noWrap w:val="0"/>
            <w:vAlign w:val="center"/>
          </w:tcPr>
          <w:p w14:paraId="0280C4E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不得有碱活性反应或疑似</w:t>
            </w:r>
          </w:p>
          <w:p w14:paraId="236C379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碱活性反应</w:t>
            </w:r>
          </w:p>
        </w:tc>
      </w:tr>
    </w:tbl>
    <w:p w14:paraId="58BE6AE7">
      <w:pPr>
        <w:pStyle w:val="7"/>
        <w:numPr>
          <w:ilvl w:val="0"/>
          <w:numId w:val="3"/>
        </w:numPr>
        <w:tabs>
          <w:tab w:val="left" w:pos="14716"/>
        </w:tabs>
        <w:ind w:firstLine="611" w:firstLineChars="196"/>
        <w:jc w:val="left"/>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粗集料采用碎石，不得使用不分级的统料，应按最大公称粒径的不同，采用2～4个粒径的集料进行掺配，并应复核下列要求：碎石最大公称粒径不应大于26.5mm，</w:t>
      </w:r>
    </w:p>
    <w:p w14:paraId="6B1B9672">
      <w:pPr>
        <w:pStyle w:val="7"/>
        <w:tabs>
          <w:tab w:val="left" w:pos="14716"/>
        </w:tabs>
        <w:ind w:firstLine="548" w:firstLineChars="196"/>
        <w:jc w:val="center"/>
        <w:rPr>
          <w:rFonts w:hint="eastAsia" w:ascii="宋体" w:hAnsi="宋体" w:eastAsia="宋体" w:cs="宋体"/>
          <w:color w:val="000000" w:themeColor="text1"/>
          <w:spacing w:val="16"/>
          <w:sz w:val="28"/>
          <w:szCs w:val="28"/>
        </w:rPr>
      </w:pPr>
      <w:r>
        <w:rPr>
          <w:rFonts w:hint="eastAsia" w:ascii="宋体" w:hAnsi="宋体" w:eastAsia="宋体" w:cs="宋体"/>
          <w:b/>
          <w:color w:val="000000" w:themeColor="text1"/>
          <w:sz w:val="28"/>
          <w:szCs w:val="28"/>
        </w:rPr>
        <w:t xml:space="preserve">    </w:t>
      </w:r>
      <w:r>
        <w:rPr>
          <w:rFonts w:hint="eastAsia" w:ascii="宋体" w:hAnsi="宋体" w:eastAsia="宋体" w:cs="宋体"/>
          <w:b/>
          <w:bCs/>
          <w:color w:val="000000" w:themeColor="text1"/>
          <w:sz w:val="28"/>
          <w:szCs w:val="28"/>
        </w:rPr>
        <w:t>粗集料级配范围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500"/>
        <w:gridCol w:w="1118"/>
        <w:gridCol w:w="1117"/>
        <w:gridCol w:w="1118"/>
        <w:gridCol w:w="1117"/>
        <w:gridCol w:w="990"/>
        <w:gridCol w:w="990"/>
        <w:gridCol w:w="736"/>
      </w:tblGrid>
      <w:tr w14:paraId="61836A2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restart"/>
            <w:noWrap w:val="0"/>
            <w:vAlign w:val="top"/>
          </w:tcPr>
          <w:p w14:paraId="619C3BCA">
            <w:pPr>
              <w:pStyle w:val="7"/>
              <w:tabs>
                <w:tab w:val="left" w:pos="14716"/>
              </w:tabs>
              <w:jc w:val="center"/>
              <w:rPr>
                <w:rFonts w:hint="eastAsia" w:ascii="宋体" w:hAnsi="宋体" w:eastAsia="宋体" w:cs="宋体"/>
                <w:color w:val="000000" w:themeColor="text1"/>
                <w:spacing w:val="16"/>
                <w:sz w:val="28"/>
                <w:szCs w:val="28"/>
              </w:rPr>
            </w:pPr>
          </w:p>
          <w:p w14:paraId="4802B60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分级</w:t>
            </w:r>
          </w:p>
        </w:tc>
        <w:tc>
          <w:tcPr>
            <w:tcW w:w="7186" w:type="dxa"/>
            <w:gridSpan w:val="7"/>
            <w:noWrap w:val="0"/>
            <w:vAlign w:val="top"/>
          </w:tcPr>
          <w:p w14:paraId="6A478A5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方筛孔尺寸(mm)</w:t>
            </w:r>
          </w:p>
        </w:tc>
      </w:tr>
      <w:tr w14:paraId="3742FA9C">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14:paraId="6CA95443">
            <w:pPr>
              <w:pStyle w:val="7"/>
              <w:tabs>
                <w:tab w:val="left" w:pos="14716"/>
              </w:tabs>
              <w:jc w:val="center"/>
              <w:rPr>
                <w:rFonts w:hint="eastAsia" w:ascii="宋体" w:hAnsi="宋体" w:eastAsia="宋体" w:cs="宋体"/>
                <w:color w:val="000000" w:themeColor="text1"/>
                <w:spacing w:val="16"/>
                <w:sz w:val="28"/>
                <w:szCs w:val="28"/>
              </w:rPr>
            </w:pPr>
          </w:p>
        </w:tc>
        <w:tc>
          <w:tcPr>
            <w:tcW w:w="1118" w:type="dxa"/>
            <w:noWrap w:val="0"/>
            <w:vAlign w:val="top"/>
          </w:tcPr>
          <w:p w14:paraId="0B2EF35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2.36</w:t>
            </w:r>
          </w:p>
        </w:tc>
        <w:tc>
          <w:tcPr>
            <w:tcW w:w="1117" w:type="dxa"/>
            <w:noWrap w:val="0"/>
            <w:vAlign w:val="top"/>
          </w:tcPr>
          <w:p w14:paraId="4014F1F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w:t>
            </w:r>
          </w:p>
        </w:tc>
        <w:tc>
          <w:tcPr>
            <w:tcW w:w="1118" w:type="dxa"/>
            <w:noWrap w:val="0"/>
            <w:vAlign w:val="top"/>
          </w:tcPr>
          <w:p w14:paraId="74BBCFD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w:t>
            </w:r>
          </w:p>
        </w:tc>
        <w:tc>
          <w:tcPr>
            <w:tcW w:w="1117" w:type="dxa"/>
            <w:noWrap w:val="0"/>
            <w:vAlign w:val="top"/>
          </w:tcPr>
          <w:p w14:paraId="7C185E5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16.0</w:t>
            </w:r>
          </w:p>
        </w:tc>
        <w:tc>
          <w:tcPr>
            <w:tcW w:w="990" w:type="dxa"/>
            <w:noWrap w:val="0"/>
            <w:vAlign w:val="top"/>
          </w:tcPr>
          <w:p w14:paraId="44D157C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19.0</w:t>
            </w:r>
          </w:p>
        </w:tc>
        <w:tc>
          <w:tcPr>
            <w:tcW w:w="990" w:type="dxa"/>
            <w:noWrap w:val="0"/>
            <w:vAlign w:val="top"/>
          </w:tcPr>
          <w:p w14:paraId="5BCEDCA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26.5</w:t>
            </w:r>
          </w:p>
        </w:tc>
        <w:tc>
          <w:tcPr>
            <w:tcW w:w="736" w:type="dxa"/>
            <w:noWrap w:val="0"/>
            <w:vAlign w:val="top"/>
          </w:tcPr>
          <w:p w14:paraId="2E38D2B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31.5</w:t>
            </w:r>
          </w:p>
        </w:tc>
      </w:tr>
      <w:tr w14:paraId="4F552CF4">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14:paraId="608FA7B7">
            <w:pPr>
              <w:pStyle w:val="7"/>
              <w:tabs>
                <w:tab w:val="left" w:pos="14716"/>
              </w:tabs>
              <w:jc w:val="center"/>
              <w:rPr>
                <w:rFonts w:hint="eastAsia" w:ascii="宋体" w:hAnsi="宋体" w:eastAsia="宋体" w:cs="宋体"/>
                <w:color w:val="000000" w:themeColor="text1"/>
                <w:spacing w:val="16"/>
                <w:sz w:val="28"/>
                <w:szCs w:val="28"/>
              </w:rPr>
            </w:pPr>
          </w:p>
        </w:tc>
        <w:tc>
          <w:tcPr>
            <w:tcW w:w="7186" w:type="dxa"/>
            <w:gridSpan w:val="7"/>
            <w:noWrap w:val="0"/>
            <w:vAlign w:val="top"/>
          </w:tcPr>
          <w:p w14:paraId="70F87CF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累计筛余(以质量计)(%)</w:t>
            </w:r>
          </w:p>
        </w:tc>
      </w:tr>
      <w:tr w14:paraId="48E7411E">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14:paraId="2A1DAA2B">
            <w:pPr>
              <w:pStyle w:val="7"/>
              <w:tabs>
                <w:tab w:val="left" w:pos="14716"/>
              </w:tabs>
              <w:jc w:val="center"/>
              <w:rPr>
                <w:rFonts w:hint="eastAsia" w:ascii="宋体" w:hAnsi="宋体" w:eastAsia="宋体" w:cs="宋体"/>
                <w:color w:val="000000" w:themeColor="text1"/>
                <w:spacing w:val="16"/>
                <w:sz w:val="28"/>
                <w:szCs w:val="28"/>
              </w:rPr>
            </w:pPr>
          </w:p>
          <w:p w14:paraId="0FED927F">
            <w:pPr>
              <w:pStyle w:val="7"/>
              <w:tabs>
                <w:tab w:val="left" w:pos="14716"/>
              </w:tabs>
              <w:jc w:val="center"/>
              <w:rPr>
                <w:rFonts w:hint="eastAsia" w:ascii="宋体" w:hAnsi="宋体" w:eastAsia="宋体" w:cs="宋体"/>
                <w:color w:val="000000" w:themeColor="text1"/>
                <w:spacing w:val="16"/>
                <w:sz w:val="28"/>
                <w:szCs w:val="28"/>
              </w:rPr>
            </w:pPr>
          </w:p>
          <w:p w14:paraId="13FABFC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合成级配</w:t>
            </w:r>
          </w:p>
        </w:tc>
        <w:tc>
          <w:tcPr>
            <w:tcW w:w="1500" w:type="dxa"/>
            <w:noWrap w:val="0"/>
            <w:vAlign w:val="top"/>
          </w:tcPr>
          <w:p w14:paraId="0ECD566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4.75～16</w:t>
            </w:r>
          </w:p>
        </w:tc>
        <w:tc>
          <w:tcPr>
            <w:tcW w:w="1118" w:type="dxa"/>
            <w:noWrap w:val="0"/>
            <w:vAlign w:val="top"/>
          </w:tcPr>
          <w:p w14:paraId="502F80A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7" w:type="dxa"/>
            <w:noWrap w:val="0"/>
            <w:vAlign w:val="top"/>
          </w:tcPr>
          <w:p w14:paraId="12FF831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85～100</w:t>
            </w:r>
          </w:p>
        </w:tc>
        <w:tc>
          <w:tcPr>
            <w:tcW w:w="1118" w:type="dxa"/>
            <w:noWrap w:val="0"/>
            <w:vAlign w:val="top"/>
          </w:tcPr>
          <w:p w14:paraId="19FB0D4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40～60</w:t>
            </w:r>
          </w:p>
        </w:tc>
        <w:tc>
          <w:tcPr>
            <w:tcW w:w="1117" w:type="dxa"/>
            <w:noWrap w:val="0"/>
            <w:vAlign w:val="top"/>
          </w:tcPr>
          <w:p w14:paraId="132F818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0～10</w:t>
            </w:r>
          </w:p>
        </w:tc>
        <w:tc>
          <w:tcPr>
            <w:tcW w:w="990" w:type="dxa"/>
            <w:noWrap w:val="0"/>
            <w:vAlign w:val="top"/>
          </w:tcPr>
          <w:p w14:paraId="78C9A851">
            <w:pPr>
              <w:pStyle w:val="7"/>
              <w:tabs>
                <w:tab w:val="left" w:pos="14716"/>
              </w:tabs>
              <w:jc w:val="center"/>
              <w:rPr>
                <w:rFonts w:hint="eastAsia" w:ascii="宋体" w:hAnsi="宋体" w:eastAsia="宋体" w:cs="宋体"/>
                <w:color w:val="000000" w:themeColor="text1"/>
                <w:spacing w:val="16"/>
                <w:sz w:val="28"/>
                <w:szCs w:val="28"/>
              </w:rPr>
            </w:pPr>
          </w:p>
        </w:tc>
        <w:tc>
          <w:tcPr>
            <w:tcW w:w="990" w:type="dxa"/>
            <w:noWrap w:val="0"/>
            <w:vAlign w:val="top"/>
          </w:tcPr>
          <w:p w14:paraId="28C2903A">
            <w:pPr>
              <w:pStyle w:val="7"/>
              <w:tabs>
                <w:tab w:val="left" w:pos="14716"/>
              </w:tabs>
              <w:jc w:val="center"/>
              <w:rPr>
                <w:rFonts w:hint="eastAsia" w:ascii="宋体" w:hAnsi="宋体" w:eastAsia="宋体" w:cs="宋体"/>
                <w:color w:val="000000" w:themeColor="text1"/>
                <w:spacing w:val="16"/>
                <w:sz w:val="28"/>
                <w:szCs w:val="28"/>
              </w:rPr>
            </w:pPr>
          </w:p>
        </w:tc>
        <w:tc>
          <w:tcPr>
            <w:tcW w:w="736" w:type="dxa"/>
            <w:noWrap w:val="0"/>
            <w:vAlign w:val="top"/>
          </w:tcPr>
          <w:p w14:paraId="441A07DF">
            <w:pPr>
              <w:pStyle w:val="7"/>
              <w:tabs>
                <w:tab w:val="left" w:pos="14716"/>
              </w:tabs>
              <w:jc w:val="center"/>
              <w:rPr>
                <w:rFonts w:hint="eastAsia" w:ascii="宋体" w:hAnsi="宋体" w:eastAsia="宋体" w:cs="宋体"/>
                <w:color w:val="000000" w:themeColor="text1"/>
                <w:spacing w:val="16"/>
                <w:sz w:val="28"/>
                <w:szCs w:val="28"/>
              </w:rPr>
            </w:pPr>
          </w:p>
        </w:tc>
      </w:tr>
      <w:tr w14:paraId="45A37084">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7C926EF6">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1101480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4.75～19</w:t>
            </w:r>
          </w:p>
        </w:tc>
        <w:tc>
          <w:tcPr>
            <w:tcW w:w="1118" w:type="dxa"/>
            <w:noWrap w:val="0"/>
            <w:vAlign w:val="top"/>
          </w:tcPr>
          <w:p w14:paraId="01536CA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7" w:type="dxa"/>
            <w:noWrap w:val="0"/>
            <w:vAlign w:val="top"/>
          </w:tcPr>
          <w:p w14:paraId="42963CC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85～95</w:t>
            </w:r>
          </w:p>
        </w:tc>
        <w:tc>
          <w:tcPr>
            <w:tcW w:w="1118" w:type="dxa"/>
            <w:noWrap w:val="0"/>
            <w:vAlign w:val="top"/>
          </w:tcPr>
          <w:p w14:paraId="62A2544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60～75</w:t>
            </w:r>
          </w:p>
        </w:tc>
        <w:tc>
          <w:tcPr>
            <w:tcW w:w="1117" w:type="dxa"/>
            <w:noWrap w:val="0"/>
            <w:vAlign w:val="top"/>
          </w:tcPr>
          <w:p w14:paraId="7870D84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30～45</w:t>
            </w:r>
          </w:p>
        </w:tc>
        <w:tc>
          <w:tcPr>
            <w:tcW w:w="990" w:type="dxa"/>
            <w:noWrap w:val="0"/>
            <w:vAlign w:val="top"/>
          </w:tcPr>
          <w:p w14:paraId="5E1501E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0～5</w:t>
            </w:r>
          </w:p>
        </w:tc>
        <w:tc>
          <w:tcPr>
            <w:tcW w:w="990" w:type="dxa"/>
            <w:noWrap w:val="0"/>
            <w:vAlign w:val="top"/>
          </w:tcPr>
          <w:p w14:paraId="49C7EA9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c>
          <w:tcPr>
            <w:tcW w:w="736" w:type="dxa"/>
            <w:noWrap w:val="0"/>
            <w:vAlign w:val="top"/>
          </w:tcPr>
          <w:p w14:paraId="3674D7D1">
            <w:pPr>
              <w:pStyle w:val="7"/>
              <w:tabs>
                <w:tab w:val="left" w:pos="14716"/>
              </w:tabs>
              <w:jc w:val="center"/>
              <w:rPr>
                <w:rFonts w:hint="eastAsia" w:ascii="宋体" w:hAnsi="宋体" w:eastAsia="宋体" w:cs="宋体"/>
                <w:color w:val="000000" w:themeColor="text1"/>
                <w:spacing w:val="16"/>
                <w:sz w:val="28"/>
                <w:szCs w:val="28"/>
              </w:rPr>
            </w:pPr>
          </w:p>
        </w:tc>
      </w:tr>
      <w:tr w14:paraId="71733F2B">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12D9B44F">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12198B5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4.75～26.5</w:t>
            </w:r>
          </w:p>
        </w:tc>
        <w:tc>
          <w:tcPr>
            <w:tcW w:w="1118" w:type="dxa"/>
            <w:noWrap w:val="0"/>
            <w:vAlign w:val="top"/>
          </w:tcPr>
          <w:p w14:paraId="76B62DC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7" w:type="dxa"/>
            <w:noWrap w:val="0"/>
            <w:vAlign w:val="top"/>
          </w:tcPr>
          <w:p w14:paraId="591C21F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90～100</w:t>
            </w:r>
          </w:p>
        </w:tc>
        <w:tc>
          <w:tcPr>
            <w:tcW w:w="1118" w:type="dxa"/>
            <w:noWrap w:val="0"/>
            <w:vAlign w:val="top"/>
          </w:tcPr>
          <w:p w14:paraId="60268A9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70～90</w:t>
            </w:r>
          </w:p>
        </w:tc>
        <w:tc>
          <w:tcPr>
            <w:tcW w:w="1117" w:type="dxa"/>
            <w:noWrap w:val="0"/>
            <w:vAlign w:val="top"/>
          </w:tcPr>
          <w:p w14:paraId="6CEB023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50～70</w:t>
            </w:r>
          </w:p>
        </w:tc>
        <w:tc>
          <w:tcPr>
            <w:tcW w:w="990" w:type="dxa"/>
            <w:noWrap w:val="0"/>
            <w:vAlign w:val="top"/>
          </w:tcPr>
          <w:p w14:paraId="4B29ECC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25～40</w:t>
            </w:r>
          </w:p>
        </w:tc>
        <w:tc>
          <w:tcPr>
            <w:tcW w:w="990" w:type="dxa"/>
            <w:noWrap w:val="0"/>
            <w:vAlign w:val="top"/>
          </w:tcPr>
          <w:p w14:paraId="21F81CC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0～5</w:t>
            </w:r>
          </w:p>
        </w:tc>
        <w:tc>
          <w:tcPr>
            <w:tcW w:w="736" w:type="dxa"/>
            <w:noWrap w:val="0"/>
            <w:vAlign w:val="top"/>
          </w:tcPr>
          <w:p w14:paraId="1D62E26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r>
      <w:tr w14:paraId="413D4682">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48435EAA">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03D31AB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4.75～31.5</w:t>
            </w:r>
          </w:p>
        </w:tc>
        <w:tc>
          <w:tcPr>
            <w:tcW w:w="1118" w:type="dxa"/>
            <w:noWrap w:val="0"/>
            <w:vAlign w:val="top"/>
          </w:tcPr>
          <w:p w14:paraId="5F9A5C7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7" w:type="dxa"/>
            <w:noWrap w:val="0"/>
            <w:vAlign w:val="top"/>
          </w:tcPr>
          <w:p w14:paraId="0B693E3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90～100</w:t>
            </w:r>
          </w:p>
        </w:tc>
        <w:tc>
          <w:tcPr>
            <w:tcW w:w="1118" w:type="dxa"/>
            <w:noWrap w:val="0"/>
            <w:vAlign w:val="top"/>
          </w:tcPr>
          <w:p w14:paraId="0480595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75～90</w:t>
            </w:r>
          </w:p>
        </w:tc>
        <w:tc>
          <w:tcPr>
            <w:tcW w:w="1117" w:type="dxa"/>
            <w:noWrap w:val="0"/>
            <w:vAlign w:val="top"/>
          </w:tcPr>
          <w:p w14:paraId="3F33DDC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60～75</w:t>
            </w:r>
          </w:p>
        </w:tc>
        <w:tc>
          <w:tcPr>
            <w:tcW w:w="990" w:type="dxa"/>
            <w:noWrap w:val="0"/>
            <w:vAlign w:val="top"/>
          </w:tcPr>
          <w:p w14:paraId="17B66D4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40～60</w:t>
            </w:r>
          </w:p>
        </w:tc>
        <w:tc>
          <w:tcPr>
            <w:tcW w:w="990" w:type="dxa"/>
            <w:noWrap w:val="0"/>
            <w:vAlign w:val="top"/>
          </w:tcPr>
          <w:p w14:paraId="09E5324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20～35</w:t>
            </w:r>
          </w:p>
        </w:tc>
        <w:tc>
          <w:tcPr>
            <w:tcW w:w="736" w:type="dxa"/>
            <w:noWrap w:val="0"/>
            <w:vAlign w:val="top"/>
          </w:tcPr>
          <w:p w14:paraId="59B534D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r>
      <w:tr w14:paraId="792DB393">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14:paraId="1494733B">
            <w:pPr>
              <w:pStyle w:val="7"/>
              <w:tabs>
                <w:tab w:val="left" w:pos="14716"/>
              </w:tabs>
              <w:jc w:val="center"/>
              <w:rPr>
                <w:rFonts w:hint="eastAsia" w:ascii="宋体" w:hAnsi="宋体" w:eastAsia="宋体" w:cs="宋体"/>
                <w:color w:val="000000" w:themeColor="text1"/>
                <w:spacing w:val="16"/>
                <w:sz w:val="28"/>
                <w:szCs w:val="28"/>
              </w:rPr>
            </w:pPr>
          </w:p>
          <w:p w14:paraId="6427D9EF">
            <w:pPr>
              <w:pStyle w:val="7"/>
              <w:tabs>
                <w:tab w:val="left" w:pos="14716"/>
              </w:tabs>
              <w:jc w:val="center"/>
              <w:rPr>
                <w:rFonts w:hint="eastAsia" w:ascii="宋体" w:hAnsi="宋体" w:eastAsia="宋体" w:cs="宋体"/>
                <w:color w:val="000000" w:themeColor="text1"/>
                <w:spacing w:val="16"/>
                <w:sz w:val="28"/>
                <w:szCs w:val="28"/>
              </w:rPr>
            </w:pPr>
          </w:p>
          <w:p w14:paraId="591D6A7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粒级</w:t>
            </w:r>
          </w:p>
        </w:tc>
        <w:tc>
          <w:tcPr>
            <w:tcW w:w="1500" w:type="dxa"/>
            <w:noWrap w:val="0"/>
            <w:vAlign w:val="top"/>
          </w:tcPr>
          <w:p w14:paraId="31E4FAF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4.75～9.5</w:t>
            </w:r>
          </w:p>
        </w:tc>
        <w:tc>
          <w:tcPr>
            <w:tcW w:w="1118" w:type="dxa"/>
            <w:noWrap w:val="0"/>
            <w:vAlign w:val="top"/>
          </w:tcPr>
          <w:p w14:paraId="63D4315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7" w:type="dxa"/>
            <w:noWrap w:val="0"/>
            <w:vAlign w:val="top"/>
          </w:tcPr>
          <w:p w14:paraId="519C4EE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80～100</w:t>
            </w:r>
          </w:p>
        </w:tc>
        <w:tc>
          <w:tcPr>
            <w:tcW w:w="1118" w:type="dxa"/>
            <w:noWrap w:val="0"/>
            <w:vAlign w:val="top"/>
          </w:tcPr>
          <w:p w14:paraId="79FB0BE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c>
          <w:tcPr>
            <w:tcW w:w="1117" w:type="dxa"/>
            <w:noWrap w:val="0"/>
            <w:vAlign w:val="top"/>
          </w:tcPr>
          <w:p w14:paraId="712BC40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c>
          <w:tcPr>
            <w:tcW w:w="990" w:type="dxa"/>
            <w:noWrap w:val="0"/>
            <w:vAlign w:val="top"/>
          </w:tcPr>
          <w:p w14:paraId="1C59F981">
            <w:pPr>
              <w:pStyle w:val="7"/>
              <w:tabs>
                <w:tab w:val="left" w:pos="14716"/>
              </w:tabs>
              <w:jc w:val="center"/>
              <w:rPr>
                <w:rFonts w:hint="eastAsia" w:ascii="宋体" w:hAnsi="宋体" w:eastAsia="宋体" w:cs="宋体"/>
                <w:color w:val="000000" w:themeColor="text1"/>
                <w:spacing w:val="16"/>
                <w:sz w:val="28"/>
                <w:szCs w:val="28"/>
              </w:rPr>
            </w:pPr>
          </w:p>
        </w:tc>
        <w:tc>
          <w:tcPr>
            <w:tcW w:w="990" w:type="dxa"/>
            <w:noWrap w:val="0"/>
            <w:vAlign w:val="top"/>
          </w:tcPr>
          <w:p w14:paraId="058F211C">
            <w:pPr>
              <w:pStyle w:val="7"/>
              <w:tabs>
                <w:tab w:val="left" w:pos="14716"/>
              </w:tabs>
              <w:jc w:val="center"/>
              <w:rPr>
                <w:rFonts w:hint="eastAsia" w:ascii="宋体" w:hAnsi="宋体" w:eastAsia="宋体" w:cs="宋体"/>
                <w:color w:val="000000" w:themeColor="text1"/>
                <w:spacing w:val="16"/>
                <w:sz w:val="28"/>
                <w:szCs w:val="28"/>
              </w:rPr>
            </w:pPr>
          </w:p>
        </w:tc>
        <w:tc>
          <w:tcPr>
            <w:tcW w:w="736" w:type="dxa"/>
            <w:noWrap w:val="0"/>
            <w:vAlign w:val="top"/>
          </w:tcPr>
          <w:p w14:paraId="106D3D3E">
            <w:pPr>
              <w:pStyle w:val="7"/>
              <w:tabs>
                <w:tab w:val="left" w:pos="14716"/>
              </w:tabs>
              <w:jc w:val="center"/>
              <w:rPr>
                <w:rFonts w:hint="eastAsia" w:ascii="宋体" w:hAnsi="宋体" w:eastAsia="宋体" w:cs="宋体"/>
                <w:color w:val="000000" w:themeColor="text1"/>
                <w:spacing w:val="16"/>
                <w:sz w:val="28"/>
                <w:szCs w:val="28"/>
              </w:rPr>
            </w:pPr>
          </w:p>
        </w:tc>
      </w:tr>
      <w:tr w14:paraId="1BA6532F">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53622BAA">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792A682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9.5～16</w:t>
            </w:r>
          </w:p>
        </w:tc>
        <w:tc>
          <w:tcPr>
            <w:tcW w:w="1118" w:type="dxa"/>
            <w:noWrap w:val="0"/>
            <w:vAlign w:val="top"/>
          </w:tcPr>
          <w:p w14:paraId="1DA6742D">
            <w:pPr>
              <w:pStyle w:val="7"/>
              <w:tabs>
                <w:tab w:val="left" w:pos="14716"/>
              </w:tabs>
              <w:jc w:val="center"/>
              <w:rPr>
                <w:rFonts w:hint="eastAsia" w:ascii="宋体" w:hAnsi="宋体" w:eastAsia="宋体" w:cs="宋体"/>
                <w:color w:val="000000" w:themeColor="text1"/>
                <w:spacing w:val="16"/>
                <w:sz w:val="28"/>
                <w:szCs w:val="28"/>
              </w:rPr>
            </w:pPr>
          </w:p>
        </w:tc>
        <w:tc>
          <w:tcPr>
            <w:tcW w:w="1117" w:type="dxa"/>
            <w:noWrap w:val="0"/>
            <w:vAlign w:val="top"/>
          </w:tcPr>
          <w:p w14:paraId="0FF2A41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8" w:type="dxa"/>
            <w:noWrap w:val="0"/>
            <w:vAlign w:val="top"/>
          </w:tcPr>
          <w:p w14:paraId="122078F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0～15</w:t>
            </w:r>
          </w:p>
        </w:tc>
        <w:tc>
          <w:tcPr>
            <w:tcW w:w="1117" w:type="dxa"/>
            <w:noWrap w:val="0"/>
            <w:vAlign w:val="top"/>
          </w:tcPr>
          <w:p w14:paraId="1EA0B17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0～15</w:t>
            </w:r>
          </w:p>
        </w:tc>
        <w:tc>
          <w:tcPr>
            <w:tcW w:w="990" w:type="dxa"/>
            <w:noWrap w:val="0"/>
            <w:vAlign w:val="top"/>
          </w:tcPr>
          <w:p w14:paraId="137ED8B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c>
          <w:tcPr>
            <w:tcW w:w="990" w:type="dxa"/>
            <w:noWrap w:val="0"/>
            <w:vAlign w:val="top"/>
          </w:tcPr>
          <w:p w14:paraId="32A7E12E">
            <w:pPr>
              <w:pStyle w:val="7"/>
              <w:tabs>
                <w:tab w:val="left" w:pos="14716"/>
              </w:tabs>
              <w:jc w:val="center"/>
              <w:rPr>
                <w:rFonts w:hint="eastAsia" w:ascii="宋体" w:hAnsi="宋体" w:eastAsia="宋体" w:cs="宋体"/>
                <w:color w:val="000000" w:themeColor="text1"/>
                <w:spacing w:val="16"/>
                <w:sz w:val="28"/>
                <w:szCs w:val="28"/>
              </w:rPr>
            </w:pPr>
          </w:p>
        </w:tc>
        <w:tc>
          <w:tcPr>
            <w:tcW w:w="736" w:type="dxa"/>
            <w:noWrap w:val="0"/>
            <w:vAlign w:val="top"/>
          </w:tcPr>
          <w:p w14:paraId="0F77E89C">
            <w:pPr>
              <w:pStyle w:val="7"/>
              <w:tabs>
                <w:tab w:val="left" w:pos="14716"/>
              </w:tabs>
              <w:jc w:val="center"/>
              <w:rPr>
                <w:rFonts w:hint="eastAsia" w:ascii="宋体" w:hAnsi="宋体" w:eastAsia="宋体" w:cs="宋体"/>
                <w:color w:val="000000" w:themeColor="text1"/>
                <w:spacing w:val="16"/>
                <w:sz w:val="28"/>
                <w:szCs w:val="28"/>
              </w:rPr>
            </w:pPr>
          </w:p>
        </w:tc>
      </w:tr>
      <w:tr w14:paraId="2B815374">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5373BCDD">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47310A2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9.5～19</w:t>
            </w:r>
          </w:p>
        </w:tc>
        <w:tc>
          <w:tcPr>
            <w:tcW w:w="1118" w:type="dxa"/>
            <w:noWrap w:val="0"/>
            <w:vAlign w:val="top"/>
          </w:tcPr>
          <w:p w14:paraId="00388B1D">
            <w:pPr>
              <w:pStyle w:val="7"/>
              <w:tabs>
                <w:tab w:val="left" w:pos="14716"/>
              </w:tabs>
              <w:jc w:val="center"/>
              <w:rPr>
                <w:rFonts w:hint="eastAsia" w:ascii="宋体" w:hAnsi="宋体" w:eastAsia="宋体" w:cs="宋体"/>
                <w:color w:val="000000" w:themeColor="text1"/>
                <w:spacing w:val="16"/>
                <w:sz w:val="28"/>
                <w:szCs w:val="28"/>
              </w:rPr>
            </w:pPr>
          </w:p>
        </w:tc>
        <w:tc>
          <w:tcPr>
            <w:tcW w:w="1117" w:type="dxa"/>
            <w:noWrap w:val="0"/>
            <w:vAlign w:val="top"/>
          </w:tcPr>
          <w:p w14:paraId="66B00FD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95～100</w:t>
            </w:r>
          </w:p>
        </w:tc>
        <w:tc>
          <w:tcPr>
            <w:tcW w:w="1118" w:type="dxa"/>
            <w:noWrap w:val="0"/>
            <w:vAlign w:val="top"/>
          </w:tcPr>
          <w:p w14:paraId="413E7B0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40～60</w:t>
            </w:r>
          </w:p>
        </w:tc>
        <w:tc>
          <w:tcPr>
            <w:tcW w:w="1117" w:type="dxa"/>
            <w:noWrap w:val="0"/>
            <w:vAlign w:val="top"/>
          </w:tcPr>
          <w:p w14:paraId="66ABEE1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40～60</w:t>
            </w:r>
          </w:p>
        </w:tc>
        <w:tc>
          <w:tcPr>
            <w:tcW w:w="990" w:type="dxa"/>
            <w:noWrap w:val="0"/>
            <w:vAlign w:val="top"/>
          </w:tcPr>
          <w:p w14:paraId="5AE1658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0～15</w:t>
            </w:r>
          </w:p>
        </w:tc>
        <w:tc>
          <w:tcPr>
            <w:tcW w:w="990" w:type="dxa"/>
            <w:noWrap w:val="0"/>
            <w:vAlign w:val="top"/>
          </w:tcPr>
          <w:p w14:paraId="49EF698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c>
          <w:tcPr>
            <w:tcW w:w="736" w:type="dxa"/>
            <w:noWrap w:val="0"/>
            <w:vAlign w:val="top"/>
          </w:tcPr>
          <w:p w14:paraId="227BDAD5">
            <w:pPr>
              <w:pStyle w:val="7"/>
              <w:tabs>
                <w:tab w:val="left" w:pos="14716"/>
              </w:tabs>
              <w:jc w:val="center"/>
              <w:rPr>
                <w:rFonts w:hint="eastAsia" w:ascii="宋体" w:hAnsi="宋体" w:eastAsia="宋体" w:cs="宋体"/>
                <w:color w:val="000000" w:themeColor="text1"/>
                <w:spacing w:val="16"/>
                <w:sz w:val="28"/>
                <w:szCs w:val="28"/>
              </w:rPr>
            </w:pPr>
          </w:p>
        </w:tc>
      </w:tr>
      <w:tr w14:paraId="652DF9F2">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27B7831D">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16BAB96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16～26.5</w:t>
            </w:r>
          </w:p>
        </w:tc>
        <w:tc>
          <w:tcPr>
            <w:tcW w:w="1118" w:type="dxa"/>
            <w:noWrap w:val="0"/>
            <w:vAlign w:val="top"/>
          </w:tcPr>
          <w:p w14:paraId="690F9E75">
            <w:pPr>
              <w:pStyle w:val="7"/>
              <w:tabs>
                <w:tab w:val="left" w:pos="14716"/>
              </w:tabs>
              <w:jc w:val="center"/>
              <w:rPr>
                <w:rFonts w:hint="eastAsia" w:ascii="宋体" w:hAnsi="宋体" w:eastAsia="宋体" w:cs="宋体"/>
                <w:color w:val="000000" w:themeColor="text1"/>
                <w:spacing w:val="16"/>
                <w:sz w:val="28"/>
                <w:szCs w:val="28"/>
              </w:rPr>
            </w:pPr>
          </w:p>
        </w:tc>
        <w:tc>
          <w:tcPr>
            <w:tcW w:w="1117" w:type="dxa"/>
            <w:noWrap w:val="0"/>
            <w:vAlign w:val="top"/>
          </w:tcPr>
          <w:p w14:paraId="01787D15">
            <w:pPr>
              <w:pStyle w:val="7"/>
              <w:tabs>
                <w:tab w:val="left" w:pos="14716"/>
              </w:tabs>
              <w:jc w:val="center"/>
              <w:rPr>
                <w:rFonts w:hint="eastAsia" w:ascii="宋体" w:hAnsi="宋体" w:eastAsia="宋体" w:cs="宋体"/>
                <w:color w:val="000000" w:themeColor="text1"/>
                <w:spacing w:val="16"/>
                <w:sz w:val="28"/>
                <w:szCs w:val="28"/>
              </w:rPr>
            </w:pPr>
          </w:p>
        </w:tc>
        <w:tc>
          <w:tcPr>
            <w:tcW w:w="1118" w:type="dxa"/>
            <w:noWrap w:val="0"/>
            <w:vAlign w:val="top"/>
          </w:tcPr>
          <w:p w14:paraId="61234A2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55～70</w:t>
            </w:r>
          </w:p>
        </w:tc>
        <w:tc>
          <w:tcPr>
            <w:tcW w:w="1117" w:type="dxa"/>
            <w:noWrap w:val="0"/>
            <w:vAlign w:val="top"/>
          </w:tcPr>
          <w:p w14:paraId="66C908D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55～70</w:t>
            </w:r>
          </w:p>
        </w:tc>
        <w:tc>
          <w:tcPr>
            <w:tcW w:w="990" w:type="dxa"/>
            <w:noWrap w:val="0"/>
            <w:vAlign w:val="top"/>
          </w:tcPr>
          <w:p w14:paraId="04E07D9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25～40</w:t>
            </w:r>
          </w:p>
        </w:tc>
        <w:tc>
          <w:tcPr>
            <w:tcW w:w="990" w:type="dxa"/>
            <w:noWrap w:val="0"/>
            <w:vAlign w:val="top"/>
          </w:tcPr>
          <w:p w14:paraId="63F1AD5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0～10</w:t>
            </w:r>
          </w:p>
        </w:tc>
        <w:tc>
          <w:tcPr>
            <w:tcW w:w="736" w:type="dxa"/>
            <w:noWrap w:val="0"/>
            <w:vAlign w:val="top"/>
          </w:tcPr>
          <w:p w14:paraId="0583D36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r>
      <w:tr w14:paraId="04B14314">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14:paraId="277F70AA">
            <w:pPr>
              <w:pStyle w:val="7"/>
              <w:tabs>
                <w:tab w:val="left" w:pos="14716"/>
              </w:tabs>
              <w:jc w:val="center"/>
              <w:rPr>
                <w:rFonts w:hint="eastAsia" w:ascii="宋体" w:hAnsi="宋体" w:eastAsia="宋体" w:cs="宋体"/>
                <w:color w:val="000000" w:themeColor="text1"/>
                <w:spacing w:val="16"/>
                <w:sz w:val="28"/>
                <w:szCs w:val="28"/>
              </w:rPr>
            </w:pPr>
          </w:p>
        </w:tc>
        <w:tc>
          <w:tcPr>
            <w:tcW w:w="1500" w:type="dxa"/>
            <w:noWrap w:val="0"/>
            <w:vAlign w:val="top"/>
          </w:tcPr>
          <w:p w14:paraId="08AFFB3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16～31.5</w:t>
            </w:r>
          </w:p>
        </w:tc>
        <w:tc>
          <w:tcPr>
            <w:tcW w:w="1118" w:type="dxa"/>
            <w:noWrap w:val="0"/>
            <w:vAlign w:val="top"/>
          </w:tcPr>
          <w:p w14:paraId="66D1F09B">
            <w:pPr>
              <w:pStyle w:val="7"/>
              <w:tabs>
                <w:tab w:val="left" w:pos="14716"/>
              </w:tabs>
              <w:jc w:val="center"/>
              <w:rPr>
                <w:rFonts w:hint="eastAsia" w:ascii="宋体" w:hAnsi="宋体" w:eastAsia="宋体" w:cs="宋体"/>
                <w:color w:val="000000" w:themeColor="text1"/>
                <w:spacing w:val="16"/>
                <w:sz w:val="28"/>
                <w:szCs w:val="28"/>
              </w:rPr>
            </w:pPr>
          </w:p>
        </w:tc>
        <w:tc>
          <w:tcPr>
            <w:tcW w:w="1117" w:type="dxa"/>
            <w:noWrap w:val="0"/>
            <w:vAlign w:val="top"/>
          </w:tcPr>
          <w:p w14:paraId="09802FDA">
            <w:pPr>
              <w:pStyle w:val="7"/>
              <w:tabs>
                <w:tab w:val="left" w:pos="14716"/>
              </w:tabs>
              <w:jc w:val="center"/>
              <w:rPr>
                <w:rFonts w:hint="eastAsia" w:ascii="宋体" w:hAnsi="宋体" w:eastAsia="宋体" w:cs="宋体"/>
                <w:color w:val="000000" w:themeColor="text1"/>
                <w:spacing w:val="16"/>
                <w:sz w:val="28"/>
                <w:szCs w:val="28"/>
              </w:rPr>
            </w:pPr>
          </w:p>
        </w:tc>
        <w:tc>
          <w:tcPr>
            <w:tcW w:w="1118" w:type="dxa"/>
            <w:noWrap w:val="0"/>
            <w:vAlign w:val="top"/>
          </w:tcPr>
          <w:p w14:paraId="1E6F0AA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85～100</w:t>
            </w:r>
          </w:p>
        </w:tc>
        <w:tc>
          <w:tcPr>
            <w:tcW w:w="1117" w:type="dxa"/>
            <w:noWrap w:val="0"/>
            <w:vAlign w:val="top"/>
          </w:tcPr>
          <w:p w14:paraId="364CCA08">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85～100</w:t>
            </w:r>
          </w:p>
        </w:tc>
        <w:tc>
          <w:tcPr>
            <w:tcW w:w="990" w:type="dxa"/>
            <w:noWrap w:val="0"/>
            <w:vAlign w:val="top"/>
          </w:tcPr>
          <w:p w14:paraId="0671943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55～70</w:t>
            </w:r>
          </w:p>
        </w:tc>
        <w:tc>
          <w:tcPr>
            <w:tcW w:w="990" w:type="dxa"/>
            <w:noWrap w:val="0"/>
            <w:vAlign w:val="top"/>
          </w:tcPr>
          <w:p w14:paraId="599D740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25～40</w:t>
            </w:r>
          </w:p>
        </w:tc>
        <w:tc>
          <w:tcPr>
            <w:tcW w:w="736" w:type="dxa"/>
            <w:noWrap w:val="0"/>
            <w:vAlign w:val="top"/>
          </w:tcPr>
          <w:p w14:paraId="62E3480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w:t>
            </w:r>
          </w:p>
        </w:tc>
      </w:tr>
    </w:tbl>
    <w:p w14:paraId="6D433E5F">
      <w:pPr>
        <w:pStyle w:val="7"/>
        <w:tabs>
          <w:tab w:val="left" w:pos="14716"/>
        </w:tabs>
        <w:ind w:firstLine="611" w:firstLineChars="196"/>
        <w:jc w:val="left"/>
        <w:rPr>
          <w:rFonts w:hint="eastAsia" w:ascii="宋体" w:hAnsi="宋体" w:eastAsia="宋体" w:cs="宋体"/>
          <w:b/>
          <w:bCs/>
          <w:color w:val="000000" w:themeColor="text1"/>
          <w:spacing w:val="16"/>
          <w:sz w:val="28"/>
          <w:szCs w:val="28"/>
        </w:rPr>
      </w:pPr>
      <w:r>
        <w:rPr>
          <w:rFonts w:hint="eastAsia" w:ascii="宋体" w:hAnsi="宋体" w:eastAsia="宋体" w:cs="宋体"/>
          <w:b/>
          <w:bCs/>
          <w:color w:val="000000" w:themeColor="text1"/>
          <w:spacing w:val="16"/>
          <w:sz w:val="28"/>
          <w:szCs w:val="28"/>
          <w:lang w:val="en-US" w:eastAsia="zh-CN"/>
        </w:rPr>
        <w:t>5</w:t>
      </w:r>
      <w:r>
        <w:rPr>
          <w:rFonts w:hint="eastAsia" w:ascii="宋体" w:hAnsi="宋体" w:eastAsia="宋体" w:cs="宋体"/>
          <w:b/>
          <w:bCs/>
          <w:color w:val="000000" w:themeColor="text1"/>
          <w:spacing w:val="16"/>
          <w:sz w:val="28"/>
          <w:szCs w:val="28"/>
        </w:rPr>
        <w:t>.</w:t>
      </w:r>
      <w:r>
        <w:rPr>
          <w:rFonts w:hint="eastAsia" w:ascii="宋体" w:hAnsi="宋体" w:eastAsia="宋体" w:cs="宋体"/>
          <w:b/>
          <w:bCs/>
          <w:color w:val="000000" w:themeColor="text1"/>
          <w:spacing w:val="16"/>
          <w:sz w:val="28"/>
          <w:szCs w:val="28"/>
          <w:lang w:val="en-US" w:eastAsia="zh-CN"/>
        </w:rPr>
        <w:t>5</w:t>
      </w:r>
      <w:r>
        <w:rPr>
          <w:rFonts w:hint="eastAsia" w:ascii="宋体" w:hAnsi="宋体" w:eastAsia="宋体" w:cs="宋体"/>
          <w:b/>
          <w:bCs/>
          <w:color w:val="000000" w:themeColor="text1"/>
          <w:spacing w:val="16"/>
          <w:sz w:val="28"/>
          <w:szCs w:val="28"/>
        </w:rPr>
        <w:t>.3细集料</w:t>
      </w:r>
    </w:p>
    <w:p w14:paraId="70AC8312">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 xml:space="preserve">   1、细集料应采用质地坚硬、耐久、洁净的天然砂或机制砂，并应符合下列规定。砂的硅质含量不应低于25%。</w:t>
      </w:r>
    </w:p>
    <w:p w14:paraId="7755697A">
      <w:pPr>
        <w:pStyle w:val="7"/>
        <w:tabs>
          <w:tab w:val="left" w:pos="14716"/>
        </w:tabs>
        <w:ind w:firstLine="548" w:firstLineChars="196"/>
        <w:jc w:val="center"/>
        <w:rPr>
          <w:rFonts w:hint="eastAsia" w:ascii="宋体" w:hAnsi="宋体" w:eastAsia="宋体" w:cs="宋体"/>
          <w:color w:val="000000" w:themeColor="text1"/>
          <w:spacing w:val="16"/>
          <w:sz w:val="28"/>
          <w:szCs w:val="28"/>
        </w:rPr>
      </w:pPr>
      <w:r>
        <w:rPr>
          <w:rFonts w:hint="eastAsia" w:ascii="宋体" w:hAnsi="宋体" w:eastAsia="宋体" w:cs="宋体"/>
          <w:b/>
          <w:bCs/>
          <w:color w:val="000000" w:themeColor="text1"/>
          <w:sz w:val="28"/>
          <w:szCs w:val="28"/>
        </w:rPr>
        <w:t>细集料技术指标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14:paraId="3289BA64">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0876E5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机制砂单位级最大压碎指数(%)</w:t>
            </w:r>
          </w:p>
        </w:tc>
        <w:tc>
          <w:tcPr>
            <w:tcW w:w="4631" w:type="dxa"/>
            <w:noWrap w:val="0"/>
            <w:vAlign w:val="center"/>
          </w:tcPr>
          <w:p w14:paraId="229798D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＜30</w:t>
            </w:r>
          </w:p>
        </w:tc>
      </w:tr>
      <w:tr w14:paraId="03FA7D82">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10831B1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坚固性(按质量损失计%)</w:t>
            </w:r>
          </w:p>
        </w:tc>
        <w:tc>
          <w:tcPr>
            <w:tcW w:w="4631" w:type="dxa"/>
            <w:noWrap w:val="0"/>
            <w:vAlign w:val="center"/>
          </w:tcPr>
          <w:p w14:paraId="7A95442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＜10</w:t>
            </w:r>
          </w:p>
        </w:tc>
      </w:tr>
      <w:tr w14:paraId="50A9D239">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6789F1D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云母(按质量计%)</w:t>
            </w:r>
          </w:p>
        </w:tc>
        <w:tc>
          <w:tcPr>
            <w:tcW w:w="4631" w:type="dxa"/>
            <w:noWrap w:val="0"/>
            <w:vAlign w:val="center"/>
          </w:tcPr>
          <w:p w14:paraId="5F9D8B4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＜2.0</w:t>
            </w:r>
          </w:p>
        </w:tc>
      </w:tr>
      <w:tr w14:paraId="5A4B94D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7BE46F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天然砂、机制砂泥块含量</w:t>
            </w:r>
          </w:p>
          <w:p w14:paraId="2AC0945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(按质量计%)</w:t>
            </w:r>
          </w:p>
        </w:tc>
        <w:tc>
          <w:tcPr>
            <w:tcW w:w="4631" w:type="dxa"/>
            <w:noWrap w:val="0"/>
            <w:vAlign w:val="center"/>
          </w:tcPr>
          <w:p w14:paraId="7FDDC76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＜1.0</w:t>
            </w:r>
          </w:p>
        </w:tc>
      </w:tr>
      <w:tr w14:paraId="29543BFC">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5CBA701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机制砂MB值&lt;1.4或合格石粉含量(按质量计%)</w:t>
            </w:r>
          </w:p>
        </w:tc>
        <w:tc>
          <w:tcPr>
            <w:tcW w:w="4631" w:type="dxa"/>
            <w:noWrap w:val="0"/>
            <w:vAlign w:val="center"/>
          </w:tcPr>
          <w:p w14:paraId="731C940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＜7.0</w:t>
            </w:r>
          </w:p>
        </w:tc>
      </w:tr>
      <w:tr w14:paraId="2E02DD8F">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DCBACD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机制砂MB值≥1.4或不合格石粉含量(按质量计%)</w:t>
            </w:r>
          </w:p>
        </w:tc>
        <w:tc>
          <w:tcPr>
            <w:tcW w:w="4631" w:type="dxa"/>
            <w:noWrap w:val="0"/>
            <w:vAlign w:val="center"/>
          </w:tcPr>
          <w:p w14:paraId="7E07EE7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＜5.0</w:t>
            </w:r>
          </w:p>
        </w:tc>
      </w:tr>
      <w:tr w14:paraId="736F87C0">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14557FD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有机物含量（比色法）</w:t>
            </w:r>
          </w:p>
        </w:tc>
        <w:tc>
          <w:tcPr>
            <w:tcW w:w="4631" w:type="dxa"/>
            <w:noWrap w:val="0"/>
            <w:vAlign w:val="center"/>
          </w:tcPr>
          <w:p w14:paraId="5FD52F7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合格</w:t>
            </w:r>
          </w:p>
        </w:tc>
      </w:tr>
      <w:tr w14:paraId="0889FAD7">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5514D0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硫化物及硫酸盐(按SO</w:t>
            </w:r>
            <w:r>
              <w:rPr>
                <w:rFonts w:hint="eastAsia" w:ascii="宋体" w:hAnsi="宋体" w:eastAsia="宋体" w:cs="宋体"/>
                <w:color w:val="000000" w:themeColor="text1"/>
                <w:spacing w:val="16"/>
                <w:sz w:val="28"/>
                <w:szCs w:val="28"/>
                <w:vertAlign w:val="subscript"/>
              </w:rPr>
              <w:t>3</w:t>
            </w:r>
            <w:r>
              <w:rPr>
                <w:rFonts w:hint="eastAsia" w:ascii="宋体" w:hAnsi="宋体" w:eastAsia="宋体" w:cs="宋体"/>
                <w:color w:val="000000" w:themeColor="text1"/>
                <w:spacing w:val="16"/>
                <w:sz w:val="28"/>
                <w:szCs w:val="28"/>
              </w:rPr>
              <w:t>质量计%)</w:t>
            </w:r>
          </w:p>
        </w:tc>
        <w:tc>
          <w:tcPr>
            <w:tcW w:w="4631" w:type="dxa"/>
            <w:noWrap w:val="0"/>
            <w:vAlign w:val="center"/>
          </w:tcPr>
          <w:p w14:paraId="573F3AD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＜0.5</w:t>
            </w:r>
          </w:p>
        </w:tc>
      </w:tr>
      <w:tr w14:paraId="72925A85">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6918CBA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轻物质（按质量计%）</w:t>
            </w:r>
          </w:p>
        </w:tc>
        <w:tc>
          <w:tcPr>
            <w:tcW w:w="4631" w:type="dxa"/>
            <w:noWrap w:val="0"/>
            <w:vAlign w:val="center"/>
          </w:tcPr>
          <w:p w14:paraId="3E981C1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＜1.0</w:t>
            </w:r>
          </w:p>
        </w:tc>
      </w:tr>
      <w:tr w14:paraId="2EAF476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5D232CD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机制砂母岩抗压强度</w:t>
            </w:r>
          </w:p>
        </w:tc>
        <w:tc>
          <w:tcPr>
            <w:tcW w:w="4631" w:type="dxa"/>
            <w:noWrap w:val="0"/>
            <w:vAlign w:val="center"/>
          </w:tcPr>
          <w:p w14:paraId="1F4F572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≥300Mpa</w:t>
            </w:r>
          </w:p>
        </w:tc>
      </w:tr>
      <w:tr w14:paraId="71F390D3">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3E5F5780">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氯化物（氯离子质量计%)）</w:t>
            </w:r>
          </w:p>
        </w:tc>
        <w:tc>
          <w:tcPr>
            <w:tcW w:w="4631" w:type="dxa"/>
            <w:noWrap w:val="0"/>
            <w:vAlign w:val="center"/>
          </w:tcPr>
          <w:p w14:paraId="600D8CC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＜0.06</w:t>
            </w:r>
          </w:p>
        </w:tc>
      </w:tr>
      <w:tr w14:paraId="3E66DFC9">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1909657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表观密度</w:t>
            </w:r>
          </w:p>
        </w:tc>
        <w:tc>
          <w:tcPr>
            <w:tcW w:w="4631" w:type="dxa"/>
            <w:noWrap w:val="0"/>
            <w:vAlign w:val="center"/>
          </w:tcPr>
          <w:p w14:paraId="73A766D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&gt;2500kg/m</w:t>
            </w:r>
            <w:r>
              <w:rPr>
                <w:rFonts w:hint="eastAsia" w:ascii="宋体" w:hAnsi="宋体" w:eastAsia="宋体" w:cs="宋体"/>
                <w:color w:val="000000" w:themeColor="text1"/>
                <w:spacing w:val="16"/>
                <w:sz w:val="28"/>
                <w:szCs w:val="28"/>
                <w:vertAlign w:val="superscript"/>
              </w:rPr>
              <w:t>3</w:t>
            </w:r>
          </w:p>
        </w:tc>
      </w:tr>
      <w:tr w14:paraId="6C01C83F">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3401852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松散堆积密度</w:t>
            </w:r>
          </w:p>
        </w:tc>
        <w:tc>
          <w:tcPr>
            <w:tcW w:w="4631" w:type="dxa"/>
            <w:noWrap w:val="0"/>
            <w:vAlign w:val="center"/>
          </w:tcPr>
          <w:p w14:paraId="7EFCB22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&gt;1400kg/m</w:t>
            </w:r>
            <w:r>
              <w:rPr>
                <w:rFonts w:hint="eastAsia" w:ascii="宋体" w:hAnsi="宋体" w:eastAsia="宋体" w:cs="宋体"/>
                <w:color w:val="000000" w:themeColor="text1"/>
                <w:spacing w:val="16"/>
                <w:sz w:val="28"/>
                <w:szCs w:val="28"/>
                <w:vertAlign w:val="superscript"/>
              </w:rPr>
              <w:t>3</w:t>
            </w:r>
          </w:p>
        </w:tc>
      </w:tr>
      <w:tr w14:paraId="7DA47561">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7DC01F6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空隙率</w:t>
            </w:r>
          </w:p>
        </w:tc>
        <w:tc>
          <w:tcPr>
            <w:tcW w:w="4631" w:type="dxa"/>
            <w:noWrap w:val="0"/>
            <w:vAlign w:val="center"/>
          </w:tcPr>
          <w:p w14:paraId="47FDD9D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＜45%</w:t>
            </w:r>
          </w:p>
        </w:tc>
      </w:tr>
      <w:tr w14:paraId="14C99F6D">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14:paraId="2FF8413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碱集料反应</w:t>
            </w:r>
          </w:p>
        </w:tc>
        <w:tc>
          <w:tcPr>
            <w:tcW w:w="4631" w:type="dxa"/>
            <w:noWrap w:val="0"/>
            <w:vAlign w:val="center"/>
          </w:tcPr>
          <w:p w14:paraId="2CC0188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不得有碱活性反应或疑似</w:t>
            </w:r>
          </w:p>
          <w:p w14:paraId="4634C1C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碱活性反应</w:t>
            </w:r>
          </w:p>
        </w:tc>
      </w:tr>
    </w:tbl>
    <w:p w14:paraId="6771A9D3">
      <w:pPr>
        <w:numPr>
          <w:ilvl w:val="0"/>
          <w:numId w:val="4"/>
        </w:num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用天然砂采用细度模数在2.1～3.1之间的砂。同一配合比用砂的细度模数变化范围不应超过0.3，否则应分层堆放，并调整配合比后的砂率后使用。</w:t>
      </w:r>
    </w:p>
    <w:p w14:paraId="5AA68E51">
      <w:pPr>
        <w:pStyle w:val="7"/>
        <w:tabs>
          <w:tab w:val="left" w:pos="14716"/>
        </w:tabs>
        <w:ind w:firstLine="548" w:firstLineChars="196"/>
        <w:jc w:val="center"/>
        <w:rPr>
          <w:rFonts w:hint="eastAsia" w:ascii="宋体" w:hAnsi="宋体" w:eastAsia="宋体" w:cs="宋体"/>
          <w:color w:val="000000" w:themeColor="text1"/>
          <w:spacing w:val="16"/>
          <w:sz w:val="28"/>
          <w:szCs w:val="28"/>
        </w:rPr>
      </w:pPr>
      <w:r>
        <w:rPr>
          <w:rFonts w:hint="eastAsia" w:ascii="宋体" w:hAnsi="宋体" w:eastAsia="宋体" w:cs="宋体"/>
          <w:b/>
          <w:bCs/>
          <w:color w:val="000000" w:themeColor="text1"/>
          <w:sz w:val="28"/>
          <w:szCs w:val="28"/>
        </w:rPr>
        <w:t>细集料级配范围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1631"/>
        <w:gridCol w:w="1445"/>
        <w:gridCol w:w="1445"/>
        <w:gridCol w:w="1445"/>
        <w:gridCol w:w="1259"/>
        <w:gridCol w:w="1260"/>
      </w:tblGrid>
      <w:tr w14:paraId="29376C70">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noWrap w:val="0"/>
            <w:vAlign w:val="center"/>
          </w:tcPr>
          <w:p w14:paraId="734DF038">
            <w:pPr>
              <w:pStyle w:val="7"/>
              <w:tabs>
                <w:tab w:val="left" w:pos="14716"/>
              </w:tabs>
              <w:jc w:val="center"/>
              <w:rPr>
                <w:rFonts w:hint="eastAsia" w:ascii="宋体" w:hAnsi="宋体" w:eastAsia="宋体" w:cs="宋体"/>
                <w:color w:val="000000" w:themeColor="text1"/>
                <w:spacing w:val="16"/>
                <w:sz w:val="28"/>
                <w:szCs w:val="28"/>
              </w:rPr>
            </w:pPr>
          </w:p>
          <w:p w14:paraId="7FDDB8F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砂分级</w:t>
            </w:r>
          </w:p>
        </w:tc>
        <w:tc>
          <w:tcPr>
            <w:tcW w:w="8485" w:type="dxa"/>
            <w:gridSpan w:val="6"/>
            <w:noWrap w:val="0"/>
            <w:vAlign w:val="center"/>
          </w:tcPr>
          <w:p w14:paraId="73D15E88">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方筛孔尺寸(mm)</w:t>
            </w:r>
          </w:p>
        </w:tc>
      </w:tr>
      <w:tr w14:paraId="66EA9D19">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14:paraId="5D825E91">
            <w:pPr>
              <w:pStyle w:val="7"/>
              <w:tabs>
                <w:tab w:val="left" w:pos="14716"/>
              </w:tabs>
              <w:jc w:val="center"/>
              <w:rPr>
                <w:rFonts w:hint="eastAsia" w:ascii="宋体" w:hAnsi="宋体" w:eastAsia="宋体" w:cs="宋体"/>
                <w:color w:val="000000" w:themeColor="text1"/>
                <w:spacing w:val="16"/>
                <w:sz w:val="28"/>
                <w:szCs w:val="28"/>
              </w:rPr>
            </w:pPr>
          </w:p>
        </w:tc>
        <w:tc>
          <w:tcPr>
            <w:tcW w:w="1631" w:type="dxa"/>
            <w:noWrap w:val="0"/>
            <w:vAlign w:val="center"/>
          </w:tcPr>
          <w:p w14:paraId="11A67A4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0.15</w:t>
            </w:r>
          </w:p>
        </w:tc>
        <w:tc>
          <w:tcPr>
            <w:tcW w:w="1445" w:type="dxa"/>
            <w:noWrap w:val="0"/>
            <w:vAlign w:val="center"/>
          </w:tcPr>
          <w:p w14:paraId="06F54DF8">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0.30</w:t>
            </w:r>
          </w:p>
        </w:tc>
        <w:tc>
          <w:tcPr>
            <w:tcW w:w="1445" w:type="dxa"/>
            <w:noWrap w:val="0"/>
            <w:vAlign w:val="center"/>
          </w:tcPr>
          <w:p w14:paraId="78A6C54B">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0.60</w:t>
            </w:r>
          </w:p>
        </w:tc>
        <w:tc>
          <w:tcPr>
            <w:tcW w:w="1445" w:type="dxa"/>
            <w:noWrap w:val="0"/>
            <w:vAlign w:val="center"/>
          </w:tcPr>
          <w:p w14:paraId="642774CA">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1.18</w:t>
            </w:r>
          </w:p>
        </w:tc>
        <w:tc>
          <w:tcPr>
            <w:tcW w:w="1259" w:type="dxa"/>
            <w:noWrap w:val="0"/>
            <w:vAlign w:val="center"/>
          </w:tcPr>
          <w:p w14:paraId="43C2BA06">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2.36</w:t>
            </w:r>
          </w:p>
        </w:tc>
        <w:tc>
          <w:tcPr>
            <w:tcW w:w="1260" w:type="dxa"/>
            <w:noWrap w:val="0"/>
            <w:vAlign w:val="center"/>
          </w:tcPr>
          <w:p w14:paraId="7CCA3DE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4.75</w:t>
            </w:r>
          </w:p>
        </w:tc>
      </w:tr>
      <w:tr w14:paraId="4A2083C6">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14:paraId="71F6140F">
            <w:pPr>
              <w:pStyle w:val="7"/>
              <w:tabs>
                <w:tab w:val="left" w:pos="14716"/>
              </w:tabs>
              <w:jc w:val="center"/>
              <w:rPr>
                <w:rFonts w:hint="eastAsia" w:ascii="宋体" w:hAnsi="宋体" w:eastAsia="宋体" w:cs="宋体"/>
                <w:color w:val="000000" w:themeColor="text1"/>
                <w:spacing w:val="16"/>
                <w:sz w:val="28"/>
                <w:szCs w:val="28"/>
              </w:rPr>
            </w:pPr>
          </w:p>
        </w:tc>
        <w:tc>
          <w:tcPr>
            <w:tcW w:w="8485" w:type="dxa"/>
            <w:gridSpan w:val="6"/>
            <w:noWrap w:val="0"/>
            <w:vAlign w:val="center"/>
          </w:tcPr>
          <w:p w14:paraId="1DEC518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累计筛余(以质量计)(%)</w:t>
            </w:r>
          </w:p>
        </w:tc>
      </w:tr>
      <w:tr w14:paraId="225EF1A3">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14:paraId="142F4DE5">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粗砂</w:t>
            </w:r>
          </w:p>
        </w:tc>
        <w:tc>
          <w:tcPr>
            <w:tcW w:w="1631" w:type="dxa"/>
            <w:noWrap w:val="0"/>
            <w:vAlign w:val="center"/>
          </w:tcPr>
          <w:p w14:paraId="293D6661">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90～100</w:t>
            </w:r>
          </w:p>
        </w:tc>
        <w:tc>
          <w:tcPr>
            <w:tcW w:w="1445" w:type="dxa"/>
            <w:noWrap w:val="0"/>
            <w:vAlign w:val="center"/>
          </w:tcPr>
          <w:p w14:paraId="171C8669">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80～95</w:t>
            </w:r>
          </w:p>
        </w:tc>
        <w:tc>
          <w:tcPr>
            <w:tcW w:w="1445" w:type="dxa"/>
            <w:noWrap w:val="0"/>
            <w:vAlign w:val="center"/>
          </w:tcPr>
          <w:p w14:paraId="28070DC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71～85</w:t>
            </w:r>
          </w:p>
        </w:tc>
        <w:tc>
          <w:tcPr>
            <w:tcW w:w="1445" w:type="dxa"/>
            <w:noWrap w:val="0"/>
            <w:vAlign w:val="center"/>
          </w:tcPr>
          <w:p w14:paraId="6B268E4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35～65</w:t>
            </w:r>
          </w:p>
        </w:tc>
        <w:tc>
          <w:tcPr>
            <w:tcW w:w="1259" w:type="dxa"/>
            <w:noWrap w:val="0"/>
            <w:vAlign w:val="center"/>
          </w:tcPr>
          <w:p w14:paraId="6089FC2D">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5～35</w:t>
            </w:r>
          </w:p>
        </w:tc>
        <w:tc>
          <w:tcPr>
            <w:tcW w:w="1260" w:type="dxa"/>
            <w:noWrap w:val="0"/>
            <w:vAlign w:val="center"/>
          </w:tcPr>
          <w:p w14:paraId="20F20CD7">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0～10</w:t>
            </w:r>
          </w:p>
        </w:tc>
      </w:tr>
      <w:tr w14:paraId="78E90B3E">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14:paraId="0A167DB2">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中砂</w:t>
            </w:r>
          </w:p>
        </w:tc>
        <w:tc>
          <w:tcPr>
            <w:tcW w:w="1631" w:type="dxa"/>
            <w:noWrap w:val="0"/>
            <w:vAlign w:val="center"/>
          </w:tcPr>
          <w:p w14:paraId="645704F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90～100</w:t>
            </w:r>
          </w:p>
        </w:tc>
        <w:tc>
          <w:tcPr>
            <w:tcW w:w="1445" w:type="dxa"/>
            <w:noWrap w:val="0"/>
            <w:vAlign w:val="center"/>
          </w:tcPr>
          <w:p w14:paraId="3BD4FAF4">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70～92</w:t>
            </w:r>
          </w:p>
        </w:tc>
        <w:tc>
          <w:tcPr>
            <w:tcW w:w="1445" w:type="dxa"/>
            <w:noWrap w:val="0"/>
            <w:vAlign w:val="center"/>
          </w:tcPr>
          <w:p w14:paraId="32F44CCE">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41～70</w:t>
            </w:r>
          </w:p>
        </w:tc>
        <w:tc>
          <w:tcPr>
            <w:tcW w:w="1445" w:type="dxa"/>
            <w:noWrap w:val="0"/>
            <w:vAlign w:val="center"/>
          </w:tcPr>
          <w:p w14:paraId="5EAA9E33">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10～50</w:t>
            </w:r>
          </w:p>
        </w:tc>
        <w:tc>
          <w:tcPr>
            <w:tcW w:w="1259" w:type="dxa"/>
            <w:noWrap w:val="0"/>
            <w:vAlign w:val="center"/>
          </w:tcPr>
          <w:p w14:paraId="408E428C">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0～25</w:t>
            </w:r>
          </w:p>
        </w:tc>
        <w:tc>
          <w:tcPr>
            <w:tcW w:w="1260" w:type="dxa"/>
            <w:noWrap w:val="0"/>
            <w:vAlign w:val="center"/>
          </w:tcPr>
          <w:p w14:paraId="4DDD018F">
            <w:pPr>
              <w:pStyle w:val="7"/>
              <w:tabs>
                <w:tab w:val="left" w:pos="14716"/>
              </w:tabs>
              <w:jc w:val="center"/>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0～10</w:t>
            </w:r>
          </w:p>
        </w:tc>
      </w:tr>
    </w:tbl>
    <w:p w14:paraId="567F824F">
      <w:pPr>
        <w:pStyle w:val="7"/>
        <w:tabs>
          <w:tab w:val="left" w:pos="14716"/>
        </w:tabs>
        <w:ind w:firstLine="611" w:firstLineChars="196"/>
        <w:jc w:val="left"/>
        <w:rPr>
          <w:rFonts w:hint="eastAsia" w:ascii="宋体" w:hAnsi="宋体" w:eastAsia="宋体" w:cs="宋体"/>
          <w:b/>
          <w:bCs/>
          <w:color w:val="000000" w:themeColor="text1"/>
          <w:spacing w:val="16"/>
          <w:sz w:val="28"/>
          <w:szCs w:val="28"/>
          <w:lang w:val="en-US" w:eastAsia="zh-CN"/>
        </w:rPr>
      </w:pPr>
      <w:bookmarkStart w:id="5" w:name="_Toc32689"/>
      <w:r>
        <w:rPr>
          <w:rFonts w:hint="eastAsia" w:ascii="宋体" w:hAnsi="宋体" w:eastAsia="宋体" w:cs="宋体"/>
          <w:b/>
          <w:bCs/>
          <w:color w:val="000000" w:themeColor="text1"/>
          <w:spacing w:val="16"/>
          <w:sz w:val="28"/>
          <w:szCs w:val="28"/>
          <w:lang w:val="en-US" w:eastAsia="zh-CN"/>
        </w:rPr>
        <w:t>5.5.4浆砌石材料要求</w:t>
      </w:r>
    </w:p>
    <w:p w14:paraId="37E6E8B3">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（1）石料：砌石材料坚硬新鲜，无风化剥落层或裂纹，石材表面无污垢、水锈等杂质，用于表面的石材，应色泽均匀</w:t>
      </w:r>
      <w:r>
        <w:rPr>
          <w:rFonts w:hint="eastAsia" w:ascii="宋体" w:hAnsi="宋体" w:eastAsia="宋体" w:cs="宋体"/>
          <w:color w:val="000000" w:themeColor="text1"/>
          <w:spacing w:val="16"/>
          <w:sz w:val="28"/>
          <w:szCs w:val="28"/>
          <w:lang w:eastAsia="zh-CN"/>
        </w:rPr>
        <w:t>，</w:t>
      </w:r>
      <w:r>
        <w:rPr>
          <w:rFonts w:hint="eastAsia" w:ascii="宋体" w:hAnsi="宋体" w:eastAsia="宋体" w:cs="宋体"/>
          <w:color w:val="000000" w:themeColor="text1"/>
          <w:spacing w:val="16"/>
          <w:sz w:val="28"/>
          <w:szCs w:val="28"/>
          <w:lang w:val="en-US" w:eastAsia="zh-CN"/>
        </w:rPr>
        <w:t>强度不小于MU30</w:t>
      </w:r>
      <w:r>
        <w:rPr>
          <w:rFonts w:hint="eastAsia" w:ascii="宋体" w:hAnsi="宋体" w:eastAsia="宋体" w:cs="宋体"/>
          <w:color w:val="000000" w:themeColor="text1"/>
          <w:spacing w:val="16"/>
          <w:sz w:val="28"/>
          <w:szCs w:val="28"/>
        </w:rPr>
        <w:t>。</w:t>
      </w:r>
    </w:p>
    <w:p w14:paraId="463192DB">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（2）本次工程采用块石砌体，石料外表规格应棱角分明，各面平整其长度应大于50cm，块高大于25cm，石料容重不小于22.5KN／M3，湿抗压强度大于100Mpa。</w:t>
      </w:r>
    </w:p>
    <w:p w14:paraId="698B7079">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lang w:eastAsia="zh-CN"/>
        </w:rPr>
        <w:t>（</w:t>
      </w:r>
      <w:r>
        <w:rPr>
          <w:rFonts w:hint="eastAsia" w:ascii="宋体" w:hAnsi="宋体" w:eastAsia="宋体" w:cs="宋体"/>
          <w:color w:val="000000" w:themeColor="text1"/>
          <w:spacing w:val="16"/>
          <w:sz w:val="28"/>
          <w:szCs w:val="28"/>
          <w:lang w:val="en-US" w:eastAsia="zh-CN"/>
        </w:rPr>
        <w:t>3</w:t>
      </w:r>
      <w:r>
        <w:rPr>
          <w:rFonts w:hint="eastAsia" w:ascii="宋体" w:hAnsi="宋体" w:eastAsia="宋体" w:cs="宋体"/>
          <w:color w:val="000000" w:themeColor="text1"/>
          <w:spacing w:val="16"/>
          <w:sz w:val="28"/>
          <w:szCs w:val="28"/>
          <w:lang w:eastAsia="zh-CN"/>
        </w:rPr>
        <w:t>）</w:t>
      </w:r>
      <w:r>
        <w:rPr>
          <w:rFonts w:hint="eastAsia" w:ascii="宋体" w:hAnsi="宋体" w:eastAsia="宋体" w:cs="宋体"/>
          <w:color w:val="000000" w:themeColor="text1"/>
          <w:spacing w:val="16"/>
          <w:sz w:val="28"/>
          <w:szCs w:val="28"/>
        </w:rPr>
        <w:t xml:space="preserve"> 砂：砌筑砂浆选用中粗砂；粒径为0.15～5mm，细度模数为2.5～3.0。</w:t>
      </w:r>
    </w:p>
    <w:p w14:paraId="5CC7C34F">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（4）水泥和水：</w:t>
      </w:r>
    </w:p>
    <w:p w14:paraId="72A3A033">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①砌筑工程采用的水泥品种和标号应符合施工要求，到货的水泥应按品种、标号、出厂日期分别堆存，受潮湿结块的水泥，禁止使用。</w:t>
      </w:r>
    </w:p>
    <w:p w14:paraId="07E56B2E">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②未经处理的工业废水不得使用。对拌和及养护的水质有怀疑时，应进行砂浆强度验证，如果该水制成砂浆的抗压强度低于标准水制成的砂浆28天龄期抗压强度的90％以下时，则此水不能使用。</w:t>
      </w:r>
    </w:p>
    <w:p w14:paraId="01CA2B03">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③砂浆</w:t>
      </w:r>
    </w:p>
    <w:p w14:paraId="11C4D151">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砂浆的强度</w:t>
      </w:r>
      <w:r>
        <w:rPr>
          <w:rFonts w:hint="eastAsia" w:ascii="宋体" w:hAnsi="宋体" w:eastAsia="宋体" w:cs="宋体"/>
          <w:color w:val="000000" w:themeColor="text1"/>
          <w:spacing w:val="16"/>
          <w:sz w:val="28"/>
          <w:szCs w:val="28"/>
          <w:lang w:val="en-US" w:eastAsia="zh-CN"/>
        </w:rPr>
        <w:t>采用M10砂浆砌筑。</w:t>
      </w:r>
      <w:r>
        <w:rPr>
          <w:rFonts w:hint="eastAsia" w:ascii="宋体" w:hAnsi="宋体" w:eastAsia="宋体" w:cs="宋体"/>
          <w:color w:val="000000" w:themeColor="text1"/>
          <w:spacing w:val="16"/>
          <w:sz w:val="28"/>
          <w:szCs w:val="28"/>
        </w:rPr>
        <w:t>，配合比必须通过试验确定。拌制砂浆时，严格按照试验确定的配料单进行配料，严禁擅自更改，配料的称量允许误差应符合下列规定：</w:t>
      </w:r>
    </w:p>
    <w:p w14:paraId="4D8B9C98">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水泥为±2%；砂±3%；水±1%。</w:t>
      </w:r>
    </w:p>
    <w:p w14:paraId="58CB5137">
      <w:pPr>
        <w:ind w:firstLine="611" w:firstLineChars="196"/>
        <w:rPr>
          <w:rFonts w:hint="eastAsia" w:ascii="宋体" w:hAnsi="宋体" w:eastAsia="宋体" w:cs="宋体"/>
          <w:color w:val="000000" w:themeColor="text1"/>
          <w:spacing w:val="16"/>
          <w:sz w:val="28"/>
          <w:szCs w:val="28"/>
        </w:rPr>
      </w:pPr>
      <w:r>
        <w:rPr>
          <w:rFonts w:hint="eastAsia" w:ascii="宋体" w:hAnsi="宋体" w:eastAsia="宋体" w:cs="宋体"/>
          <w:color w:val="000000" w:themeColor="text1"/>
          <w:spacing w:val="16"/>
          <w:sz w:val="28"/>
          <w:szCs w:val="28"/>
        </w:rPr>
        <w:t>（5）砂浆拌和时间：机械拌和不少于2-3分钟，一般不允许人工拌和。局部少量的人工拌和料至少干拌三遍，再湿拌至色泽均匀，方可使用。</w:t>
      </w:r>
    </w:p>
    <w:p w14:paraId="41453958">
      <w:pPr>
        <w:ind w:firstLine="611" w:firstLineChars="196"/>
        <w:rPr>
          <w:rFonts w:hint="eastAsia" w:ascii="宋体" w:hAnsi="宋体" w:eastAsia="宋体" w:cs="宋体"/>
          <w:color w:val="000000" w:themeColor="text1"/>
          <w:spacing w:val="16"/>
          <w:sz w:val="28"/>
          <w:szCs w:val="28"/>
          <w:lang w:val="en-US" w:eastAsia="zh-CN"/>
        </w:rPr>
      </w:pPr>
      <w:r>
        <w:rPr>
          <w:rFonts w:hint="eastAsia" w:ascii="宋体" w:hAnsi="宋体" w:eastAsia="宋体" w:cs="宋体"/>
          <w:color w:val="000000" w:themeColor="text1"/>
          <w:spacing w:val="16"/>
          <w:sz w:val="28"/>
          <w:szCs w:val="28"/>
        </w:rPr>
        <w:t>（6）砂浆应随拌随用。</w:t>
      </w:r>
    </w:p>
    <w:p w14:paraId="1BA00B28">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6、施工组织计划</w:t>
      </w:r>
      <w:bookmarkEnd w:id="5"/>
    </w:p>
    <w:p w14:paraId="40380824">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施工组织、施工力量、施工工期安排</w:t>
      </w:r>
    </w:p>
    <w:p w14:paraId="1A24F141">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（1）根据本标段的工程特点，成立专门的项目管理组织机构，负责对本工程项目的建设组织、指挥、控制和协调。</w:t>
      </w:r>
    </w:p>
    <w:p w14:paraId="25CEDE7C">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（2）对本工程实行招标投标制度，本着公开、公平、公正的原则，择优选用有资质、重管理、守合同的监理工程师队伍和施工承包商，为工程质量、工期、投资规模控制打下坚实的基础。</w:t>
      </w:r>
    </w:p>
    <w:p w14:paraId="7CCC4A2A">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主要材料供应、机具设备的配置</w:t>
      </w:r>
    </w:p>
    <w:p w14:paraId="59250298">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（1）主要材料供应</w:t>
      </w:r>
    </w:p>
    <w:p w14:paraId="564FABCA">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对于外购的钢材、水泥等材料，建议统一购买，有效管理和控制材料规格、性能指标和质量，也便于有效组织交通运输。</w:t>
      </w:r>
    </w:p>
    <w:p w14:paraId="27388D0E">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（2）机具、设备配置</w:t>
      </w:r>
    </w:p>
    <w:p w14:paraId="00CDA1C4">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施工承包商应具备与承包本工程项目相应的资质、人员、技术和机具设备，本设计未详细计列。</w:t>
      </w:r>
    </w:p>
    <w:p w14:paraId="2089E824">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施工进场前期工程及临时工程</w:t>
      </w:r>
    </w:p>
    <w:p w14:paraId="786AD3F2">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（1）征地拆迁</w:t>
      </w:r>
    </w:p>
    <w:p w14:paraId="15138973">
      <w:pPr>
        <w:spacing w:line="500" w:lineRule="exact"/>
        <w:ind w:firstLine="560" w:firstLineChars="200"/>
        <w:rPr>
          <w:rFonts w:hint="eastAsia" w:ascii="宋体" w:hAnsi="宋体" w:eastAsia="宋体" w:cs="宋体"/>
          <w:color w:val="000000" w:themeColor="text1"/>
          <w:sz w:val="28"/>
          <w:szCs w:val="28"/>
          <w:lang w:eastAsia="zh-CN"/>
        </w:rPr>
      </w:pPr>
      <w:r>
        <w:rPr>
          <w:rFonts w:hint="eastAsia" w:ascii="宋体" w:hAnsi="宋体" w:eastAsia="宋体" w:cs="宋体"/>
          <w:color w:val="000000" w:themeColor="text1"/>
          <w:sz w:val="28"/>
          <w:szCs w:val="28"/>
        </w:rPr>
        <w:t>征地拆迁是一项涉及面广、政策性强的工作，本项目为</w:t>
      </w:r>
      <w:r>
        <w:rPr>
          <w:rFonts w:hint="eastAsia" w:ascii="宋体" w:hAnsi="宋体" w:eastAsia="宋体" w:cs="宋体"/>
          <w:color w:val="000000" w:themeColor="text1"/>
          <w:sz w:val="28"/>
          <w:szCs w:val="28"/>
          <w:lang w:val="en-US" w:eastAsia="zh-CN"/>
        </w:rPr>
        <w:t>修建路边沟</w:t>
      </w:r>
      <w:r>
        <w:rPr>
          <w:rFonts w:hint="eastAsia" w:ascii="宋体" w:hAnsi="宋体" w:eastAsia="宋体" w:cs="宋体"/>
          <w:color w:val="000000" w:themeColor="text1"/>
          <w:sz w:val="28"/>
          <w:szCs w:val="28"/>
        </w:rPr>
        <w:t>，</w:t>
      </w:r>
      <w:r>
        <w:rPr>
          <w:rFonts w:hint="eastAsia" w:ascii="宋体" w:hAnsi="宋体" w:eastAsia="宋体" w:cs="宋体"/>
          <w:color w:val="000000" w:themeColor="text1"/>
          <w:sz w:val="28"/>
          <w:szCs w:val="28"/>
          <w:lang w:val="en-US" w:eastAsia="zh-CN"/>
        </w:rPr>
        <w:t>不</w:t>
      </w:r>
      <w:r>
        <w:rPr>
          <w:rFonts w:hint="eastAsia" w:ascii="宋体" w:hAnsi="宋体" w:eastAsia="宋体" w:cs="宋体"/>
          <w:color w:val="000000" w:themeColor="text1"/>
          <w:sz w:val="28"/>
          <w:szCs w:val="28"/>
        </w:rPr>
        <w:t>涉及征地拆迁</w:t>
      </w:r>
      <w:r>
        <w:rPr>
          <w:rFonts w:hint="eastAsia" w:ascii="宋体" w:hAnsi="宋体" w:eastAsia="宋体" w:cs="宋体"/>
          <w:color w:val="000000" w:themeColor="text1"/>
          <w:sz w:val="28"/>
          <w:szCs w:val="28"/>
          <w:lang w:eastAsia="zh-CN"/>
        </w:rPr>
        <w:t>。</w:t>
      </w:r>
    </w:p>
    <w:p w14:paraId="11EB7858">
      <w:pPr>
        <w:spacing w:line="500" w:lineRule="exact"/>
        <w:ind w:firstLine="560" w:firstLineChars="200"/>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（2）施工用电</w:t>
      </w:r>
    </w:p>
    <w:p w14:paraId="27B92C53">
      <w:pPr>
        <w:spacing w:line="500" w:lineRule="exact"/>
        <w:ind w:firstLine="560" w:firstLineChars="200"/>
        <w:rPr>
          <w:rFonts w:hint="eastAsia" w:ascii="宋体" w:hAnsi="宋体" w:eastAsia="宋体" w:cs="宋体"/>
          <w:b/>
          <w:color w:val="000000" w:themeColor="text1"/>
          <w:sz w:val="28"/>
          <w:szCs w:val="28"/>
          <w:lang w:val="en-US" w:eastAsia="zh-CN"/>
        </w:rPr>
      </w:pPr>
      <w:r>
        <w:rPr>
          <w:rFonts w:hint="eastAsia" w:ascii="宋体" w:hAnsi="宋体" w:eastAsia="宋体" w:cs="宋体"/>
          <w:color w:val="000000" w:themeColor="text1"/>
          <w:sz w:val="28"/>
          <w:szCs w:val="28"/>
        </w:rPr>
        <w:t>生活用电可在就近乡村接线，工程用电可就近与高压电网相接，但不能私拉乱接，用电必须经过当地供电部门同意和安装后才能</w:t>
      </w:r>
      <w:r>
        <w:rPr>
          <w:rFonts w:hint="eastAsia" w:ascii="宋体" w:hAnsi="宋体" w:eastAsia="宋体" w:cs="宋体"/>
          <w:color w:val="000000" w:themeColor="text1"/>
          <w:sz w:val="28"/>
          <w:szCs w:val="28"/>
          <w:lang w:val="en-US" w:eastAsia="zh-CN"/>
        </w:rPr>
        <w:t>使用</w:t>
      </w:r>
      <w:r>
        <w:rPr>
          <w:rFonts w:hint="eastAsia" w:ascii="宋体" w:hAnsi="宋体" w:eastAsia="宋体" w:cs="宋体"/>
          <w:color w:val="000000" w:themeColor="text1"/>
          <w:sz w:val="28"/>
          <w:szCs w:val="28"/>
        </w:rPr>
        <w:t>。局部地段施工单位考虑自备柴油发电机。</w:t>
      </w:r>
      <w:bookmarkStart w:id="6" w:name="_Toc28698"/>
    </w:p>
    <w:p w14:paraId="45337ACC">
      <w:pPr>
        <w:spacing w:beforeLines="100" w:line="360" w:lineRule="auto"/>
        <w:outlineLvl w:val="0"/>
        <w:rPr>
          <w:rFonts w:hint="eastAsia" w:ascii="宋体" w:hAnsi="宋体" w:eastAsia="宋体" w:cs="宋体"/>
          <w:b/>
          <w:color w:val="000000" w:themeColor="text1"/>
          <w:sz w:val="28"/>
          <w:szCs w:val="28"/>
          <w:lang w:val="en-US" w:eastAsia="zh-CN"/>
        </w:rPr>
      </w:pPr>
      <w:r>
        <w:rPr>
          <w:rFonts w:hint="eastAsia" w:ascii="宋体" w:hAnsi="宋体" w:eastAsia="宋体" w:cs="宋体"/>
          <w:b/>
          <w:color w:val="000000" w:themeColor="text1"/>
          <w:sz w:val="28"/>
          <w:szCs w:val="28"/>
          <w:lang w:val="en-US" w:eastAsia="zh-CN"/>
        </w:rPr>
        <w:t>7、其他注意事项</w:t>
      </w:r>
      <w:bookmarkEnd w:id="6"/>
    </w:p>
    <w:p w14:paraId="1CE6662E">
      <w:pPr>
        <w:autoSpaceDE w:val="0"/>
        <w:autoSpaceDN w:val="0"/>
        <w:adjustRightInd w:val="0"/>
        <w:spacing w:line="360" w:lineRule="auto"/>
        <w:ind w:firstLine="560" w:firstLineChars="20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1</w:t>
      </w:r>
      <w:r>
        <w:rPr>
          <w:rFonts w:hint="eastAsia" w:ascii="宋体" w:hAnsi="宋体" w:eastAsia="宋体" w:cs="宋体"/>
          <w:color w:val="000000"/>
          <w:kern w:val="0"/>
          <w:sz w:val="28"/>
          <w:szCs w:val="28"/>
        </w:rPr>
        <w:t>）由于</w:t>
      </w:r>
      <w:r>
        <w:rPr>
          <w:rFonts w:hint="eastAsia" w:ascii="宋体" w:hAnsi="宋体" w:eastAsia="宋体" w:cs="宋体"/>
          <w:color w:val="000000"/>
          <w:kern w:val="0"/>
          <w:sz w:val="28"/>
          <w:szCs w:val="28"/>
          <w:lang w:val="en-US" w:eastAsia="zh-CN"/>
        </w:rPr>
        <w:t>本</w:t>
      </w:r>
      <w:r>
        <w:rPr>
          <w:rFonts w:hint="eastAsia" w:ascii="宋体" w:hAnsi="宋体" w:eastAsia="宋体" w:cs="宋体"/>
          <w:color w:val="000000"/>
          <w:kern w:val="0"/>
          <w:sz w:val="28"/>
          <w:szCs w:val="28"/>
        </w:rPr>
        <w:t>项目在村内，现状情况复杂，施工时</w:t>
      </w:r>
      <w:r>
        <w:rPr>
          <w:rFonts w:hint="eastAsia" w:ascii="宋体" w:hAnsi="宋体" w:eastAsia="宋体" w:cs="宋体"/>
          <w:color w:val="000000"/>
          <w:kern w:val="0"/>
          <w:sz w:val="28"/>
          <w:szCs w:val="28"/>
          <w:lang w:val="en-US" w:eastAsia="zh-CN"/>
        </w:rPr>
        <w:t>路边沟，管涵位置</w:t>
      </w:r>
      <w:r>
        <w:rPr>
          <w:rFonts w:hint="eastAsia" w:ascii="宋体" w:hAnsi="宋体" w:eastAsia="宋体" w:cs="宋体"/>
          <w:color w:val="000000"/>
          <w:kern w:val="0"/>
          <w:sz w:val="28"/>
          <w:szCs w:val="28"/>
        </w:rPr>
        <w:t>可根据现场情况微调。</w:t>
      </w:r>
    </w:p>
    <w:p w14:paraId="4DD28A1B">
      <w:pPr>
        <w:autoSpaceDE w:val="0"/>
        <w:autoSpaceDN w:val="0"/>
        <w:adjustRightInd w:val="0"/>
        <w:spacing w:line="360" w:lineRule="auto"/>
        <w:ind w:firstLine="560" w:firstLineChars="200"/>
        <w:jc w:val="left"/>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确保排水沟与上下游排水边沟有效衔接，保证雨水顺利排出。</w:t>
      </w:r>
    </w:p>
    <w:p w14:paraId="7F050F96">
      <w:pPr>
        <w:autoSpaceDE w:val="0"/>
        <w:autoSpaceDN w:val="0"/>
        <w:adjustRightInd w:val="0"/>
        <w:spacing w:line="360" w:lineRule="auto"/>
        <w:ind w:firstLine="560" w:firstLineChars="20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）本说明未尽事宜，请按照有关设计及施工规程、规范执行。</w:t>
      </w:r>
    </w:p>
    <w:p w14:paraId="18D04A70">
      <w:pPr>
        <w:autoSpaceDE w:val="0"/>
        <w:autoSpaceDN w:val="0"/>
        <w:adjustRightInd w:val="0"/>
        <w:spacing w:line="360" w:lineRule="auto"/>
        <w:ind w:firstLine="560" w:firstLineChars="20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）施工工序要求紧密衔接，严格控制工程质量，才能取得预期的整治效果。</w:t>
      </w:r>
    </w:p>
    <w:p w14:paraId="37243424">
      <w:pPr>
        <w:autoSpaceDE w:val="0"/>
        <w:autoSpaceDN w:val="0"/>
        <w:adjustRightInd w:val="0"/>
        <w:spacing w:line="360" w:lineRule="auto"/>
        <w:ind w:firstLine="560" w:firstLineChars="20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）在施工过程中，应严格按照国家及地方最新的安全生产许可达标标准、国家安全生产强制性条例规范实施手册中的相关规定进行操作，同时在营运过程中应加强管理，确保在建设和营运过程中的安全。</w:t>
      </w:r>
    </w:p>
    <w:p w14:paraId="5D6C36D9">
      <w:pPr>
        <w:widowControl/>
        <w:jc w:val="left"/>
        <w:rPr>
          <w:rFonts w:hint="eastAsia" w:ascii="宋体" w:hAnsi="宋体" w:eastAsia="宋体" w:cs="宋体"/>
          <w:sz w:val="28"/>
          <w:szCs w:val="28"/>
        </w:rPr>
      </w:pPr>
    </w:p>
    <w:p w14:paraId="4B177384">
      <w:pPr>
        <w:pStyle w:val="15"/>
        <w:ind w:left="0" w:leftChars="0" w:firstLine="0" w:firstLineChars="0"/>
        <w:rPr>
          <w:rFonts w:hint="eastAsia" w:ascii="宋体" w:hAnsi="宋体" w:eastAsia="宋体" w:cs="宋体"/>
          <w:b/>
          <w:color w:val="00B050"/>
          <w:sz w:val="28"/>
          <w:szCs w:val="28"/>
        </w:rPr>
      </w:pPr>
    </w:p>
    <w:p w14:paraId="702F18A6">
      <w:pPr>
        <w:pStyle w:val="15"/>
        <w:ind w:left="0" w:leftChars="0" w:firstLine="0" w:firstLineChars="0"/>
        <w:rPr>
          <w:rFonts w:hint="eastAsia" w:ascii="宋体" w:hAnsi="宋体" w:eastAsia="宋体" w:cs="宋体"/>
          <w:b/>
          <w:color w:val="00B050"/>
          <w:sz w:val="28"/>
          <w:szCs w:val="28"/>
        </w:rPr>
      </w:pPr>
    </w:p>
    <w:p w14:paraId="78389422">
      <w:pPr>
        <w:pStyle w:val="15"/>
        <w:ind w:left="2310" w:leftChars="1100" w:firstLine="0" w:firstLineChars="0"/>
        <w:rPr>
          <w:rFonts w:hint="eastAsia" w:ascii="宋体" w:hAnsi="宋体" w:eastAsia="宋体" w:cs="宋体"/>
          <w:b/>
          <w:color w:val="00B050"/>
          <w:sz w:val="28"/>
          <w:szCs w:val="28"/>
        </w:rPr>
      </w:pPr>
    </w:p>
    <w:p w14:paraId="5BBF3618">
      <w:pPr>
        <w:spacing w:beforeLines="100" w:line="360" w:lineRule="auto"/>
        <w:jc w:val="center"/>
        <w:outlineLvl w:val="0"/>
        <w:rPr>
          <w:rFonts w:hint="eastAsia" w:ascii="宋体" w:hAnsi="宋体" w:eastAsia="宋体" w:cs="宋体"/>
          <w:b/>
          <w:sz w:val="28"/>
          <w:szCs w:val="28"/>
        </w:rPr>
      </w:pPr>
    </w:p>
    <w:p w14:paraId="38D7E55A">
      <w:pPr>
        <w:spacing w:beforeLines="100" w:line="360" w:lineRule="auto"/>
        <w:jc w:val="center"/>
        <w:outlineLvl w:val="0"/>
        <w:rPr>
          <w:rFonts w:hint="eastAsia" w:ascii="宋体" w:hAnsi="宋体" w:eastAsia="宋体" w:cs="宋体"/>
          <w:b/>
          <w:sz w:val="28"/>
          <w:szCs w:val="28"/>
        </w:rPr>
      </w:pPr>
    </w:p>
    <w:p w14:paraId="602B8DD6">
      <w:pPr>
        <w:spacing w:beforeLines="100" w:line="360" w:lineRule="auto"/>
        <w:jc w:val="center"/>
        <w:outlineLvl w:val="0"/>
        <w:rPr>
          <w:rFonts w:hint="eastAsia" w:ascii="宋体" w:hAnsi="宋体" w:eastAsia="宋体" w:cs="宋体"/>
          <w:b/>
          <w:sz w:val="28"/>
          <w:szCs w:val="28"/>
        </w:rPr>
      </w:pPr>
    </w:p>
    <w:p w14:paraId="5D17BEDE">
      <w:pPr>
        <w:spacing w:beforeLines="100" w:line="360" w:lineRule="auto"/>
        <w:jc w:val="center"/>
        <w:outlineLvl w:val="0"/>
        <w:rPr>
          <w:rFonts w:hint="eastAsia" w:ascii="宋体" w:hAnsi="宋体" w:eastAsia="宋体" w:cs="宋体"/>
          <w:b/>
          <w:sz w:val="28"/>
          <w:szCs w:val="28"/>
        </w:rPr>
      </w:pPr>
    </w:p>
    <w:p w14:paraId="17A9A202">
      <w:pPr>
        <w:spacing w:beforeLines="100" w:line="360" w:lineRule="auto"/>
        <w:jc w:val="center"/>
        <w:outlineLvl w:val="0"/>
        <w:rPr>
          <w:rFonts w:hint="eastAsia" w:ascii="宋体" w:hAnsi="宋体" w:eastAsia="宋体" w:cs="宋体"/>
          <w:b/>
          <w:sz w:val="28"/>
          <w:szCs w:val="28"/>
        </w:rPr>
      </w:pPr>
    </w:p>
    <w:p w14:paraId="33282FCC">
      <w:pPr>
        <w:spacing w:beforeLines="100" w:line="360" w:lineRule="auto"/>
        <w:jc w:val="center"/>
        <w:outlineLvl w:val="0"/>
        <w:rPr>
          <w:rFonts w:hint="eastAsia" w:ascii="宋体" w:hAnsi="宋体" w:eastAsia="宋体" w:cs="宋体"/>
          <w:b/>
          <w:sz w:val="28"/>
          <w:szCs w:val="28"/>
        </w:rPr>
      </w:pPr>
    </w:p>
    <w:sectPr>
      <w:footerReference r:id="rId3" w:type="default"/>
      <w:pgSz w:w="23814" w:h="16839" w:orient="landscape"/>
      <w:pgMar w:top="1134" w:right="1418" w:bottom="2268" w:left="1418" w:header="851" w:footer="567" w:gutter="0"/>
      <w:pgNumType w:start="1"/>
      <w:cols w:space="840" w:num="2"/>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6E8CA">
    <w:pPr>
      <w:pStyle w:val="9"/>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14:paraId="70DB97CB">
                <w:pPr>
                  <w:pStyle w:val="9"/>
                </w:pPr>
                <w:r>
                  <w:fldChar w:fldCharType="begin"/>
                </w:r>
                <w:r>
                  <w:instrText xml:space="preserve"> PAGE  \* MERGEFORMAT </w:instrText>
                </w:r>
                <w:r>
                  <w:fldChar w:fldCharType="separate"/>
                </w:r>
                <w:r>
                  <w:t>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CD176"/>
    <w:multiLevelType w:val="singleLevel"/>
    <w:tmpl w:val="5A2CD176"/>
    <w:lvl w:ilvl="0" w:tentative="0">
      <w:start w:val="2"/>
      <w:numFmt w:val="decimal"/>
      <w:suff w:val="nothing"/>
      <w:lvlText w:val="%1、"/>
      <w:lvlJc w:val="left"/>
    </w:lvl>
  </w:abstractNum>
  <w:abstractNum w:abstractNumId="1">
    <w:nsid w:val="5A6AEE8D"/>
    <w:multiLevelType w:val="singleLevel"/>
    <w:tmpl w:val="5A6AEE8D"/>
    <w:lvl w:ilvl="0" w:tentative="0">
      <w:start w:val="2"/>
      <w:numFmt w:val="decimal"/>
      <w:suff w:val="nothing"/>
      <w:lvlText w:val="%1、"/>
      <w:lvlJc w:val="left"/>
    </w:lvl>
  </w:abstractNum>
  <w:abstractNum w:abstractNumId="2">
    <w:nsid w:val="60F129F0"/>
    <w:multiLevelType w:val="singleLevel"/>
    <w:tmpl w:val="60F129F0"/>
    <w:lvl w:ilvl="0" w:tentative="0">
      <w:start w:val="1"/>
      <w:numFmt w:val="decimal"/>
      <w:suff w:val="nothing"/>
      <w:lvlText w:val="%1、"/>
      <w:lvlJc w:val="left"/>
      <w:pPr>
        <w:ind w:left="0" w:firstLine="420"/>
      </w:pPr>
      <w:rPr>
        <w:rFonts w:hint="default"/>
      </w:rPr>
    </w:lvl>
  </w:abstractNum>
  <w:abstractNum w:abstractNumId="3">
    <w:nsid w:val="693D28FD"/>
    <w:multiLevelType w:val="multilevel"/>
    <w:tmpl w:val="693D28FD"/>
    <w:lvl w:ilvl="0" w:tentative="0">
      <w:start w:val="1"/>
      <w:numFmt w:val="decimal"/>
      <w:lvlText w:val="%1"/>
      <w:lvlJc w:val="left"/>
      <w:pPr>
        <w:tabs>
          <w:tab w:val="left" w:pos="432"/>
        </w:tabs>
        <w:ind w:left="432" w:hanging="432"/>
      </w:pPr>
    </w:lvl>
    <w:lvl w:ilvl="1" w:tentative="0">
      <w:start w:val="1"/>
      <w:numFmt w:val="decimal"/>
      <w:pStyle w:val="2"/>
      <w:lvlText w:val="%1.%2"/>
      <w:lvlJc w:val="left"/>
      <w:pPr>
        <w:tabs>
          <w:tab w:val="left" w:pos="576"/>
        </w:tabs>
        <w:ind w:left="576" w:hanging="576"/>
      </w:pPr>
      <w:rPr>
        <w:rFonts w:hint="default" w:ascii="Times New Roman" w:hAnsi="Times New Roman" w:eastAsia="仿宋_GB2312" w:cs="Times New Roman"/>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I3YWE0YjZkNTE3YjcyNTFhNmEyMjgxZjJjNjFkMTcifQ=="/>
  </w:docVars>
  <w:rsids>
    <w:rsidRoot w:val="00172A27"/>
    <w:rsid w:val="00016568"/>
    <w:rsid w:val="000226D1"/>
    <w:rsid w:val="000256D0"/>
    <w:rsid w:val="000275CD"/>
    <w:rsid w:val="00052ABC"/>
    <w:rsid w:val="00065593"/>
    <w:rsid w:val="000675DA"/>
    <w:rsid w:val="0008580E"/>
    <w:rsid w:val="000911C8"/>
    <w:rsid w:val="000957AE"/>
    <w:rsid w:val="000D5C23"/>
    <w:rsid w:val="000D6852"/>
    <w:rsid w:val="000E21B2"/>
    <w:rsid w:val="000E5D0A"/>
    <w:rsid w:val="000F5421"/>
    <w:rsid w:val="000F7A42"/>
    <w:rsid w:val="00105B30"/>
    <w:rsid w:val="0012365F"/>
    <w:rsid w:val="00191974"/>
    <w:rsid w:val="001955E1"/>
    <w:rsid w:val="001A37E4"/>
    <w:rsid w:val="001B302F"/>
    <w:rsid w:val="001C5C13"/>
    <w:rsid w:val="001C70C5"/>
    <w:rsid w:val="001D14EA"/>
    <w:rsid w:val="001D7D01"/>
    <w:rsid w:val="001D7F8E"/>
    <w:rsid w:val="001E5875"/>
    <w:rsid w:val="00257B7D"/>
    <w:rsid w:val="002A1726"/>
    <w:rsid w:val="002A3FCD"/>
    <w:rsid w:val="002A689E"/>
    <w:rsid w:val="002B3429"/>
    <w:rsid w:val="002D1C2A"/>
    <w:rsid w:val="002D5FB0"/>
    <w:rsid w:val="002D7E34"/>
    <w:rsid w:val="00310BC1"/>
    <w:rsid w:val="00336FE8"/>
    <w:rsid w:val="00344D1C"/>
    <w:rsid w:val="0035718D"/>
    <w:rsid w:val="0037164B"/>
    <w:rsid w:val="00384F39"/>
    <w:rsid w:val="003861C4"/>
    <w:rsid w:val="003B14F4"/>
    <w:rsid w:val="003B7635"/>
    <w:rsid w:val="003F580A"/>
    <w:rsid w:val="003F5DC5"/>
    <w:rsid w:val="00414955"/>
    <w:rsid w:val="004201E7"/>
    <w:rsid w:val="0042538E"/>
    <w:rsid w:val="00460A52"/>
    <w:rsid w:val="00467B4C"/>
    <w:rsid w:val="00471450"/>
    <w:rsid w:val="00475030"/>
    <w:rsid w:val="00482B05"/>
    <w:rsid w:val="0048523C"/>
    <w:rsid w:val="00496905"/>
    <w:rsid w:val="004C2798"/>
    <w:rsid w:val="004C6A89"/>
    <w:rsid w:val="004D0A79"/>
    <w:rsid w:val="004F4C10"/>
    <w:rsid w:val="005071D4"/>
    <w:rsid w:val="005217D5"/>
    <w:rsid w:val="00537A71"/>
    <w:rsid w:val="00542DF8"/>
    <w:rsid w:val="00573630"/>
    <w:rsid w:val="00574275"/>
    <w:rsid w:val="005811CB"/>
    <w:rsid w:val="005874D6"/>
    <w:rsid w:val="005A1C82"/>
    <w:rsid w:val="005A302D"/>
    <w:rsid w:val="005C0F40"/>
    <w:rsid w:val="005E2951"/>
    <w:rsid w:val="005E46D7"/>
    <w:rsid w:val="005F4831"/>
    <w:rsid w:val="005F69B4"/>
    <w:rsid w:val="00600794"/>
    <w:rsid w:val="00616B80"/>
    <w:rsid w:val="00624575"/>
    <w:rsid w:val="00631B4A"/>
    <w:rsid w:val="00634C3A"/>
    <w:rsid w:val="0064505B"/>
    <w:rsid w:val="00657124"/>
    <w:rsid w:val="006729E6"/>
    <w:rsid w:val="00696F22"/>
    <w:rsid w:val="006A7FF5"/>
    <w:rsid w:val="006B4123"/>
    <w:rsid w:val="006B605B"/>
    <w:rsid w:val="006B7B8D"/>
    <w:rsid w:val="006C4BC5"/>
    <w:rsid w:val="006C4F20"/>
    <w:rsid w:val="006C79B6"/>
    <w:rsid w:val="006F6D9A"/>
    <w:rsid w:val="00707CC0"/>
    <w:rsid w:val="00730EC7"/>
    <w:rsid w:val="00742858"/>
    <w:rsid w:val="00785D05"/>
    <w:rsid w:val="007A74F1"/>
    <w:rsid w:val="007C3002"/>
    <w:rsid w:val="007E0300"/>
    <w:rsid w:val="007E2344"/>
    <w:rsid w:val="007F443A"/>
    <w:rsid w:val="00810086"/>
    <w:rsid w:val="00831DE3"/>
    <w:rsid w:val="0083465F"/>
    <w:rsid w:val="00852E8E"/>
    <w:rsid w:val="00860E8F"/>
    <w:rsid w:val="00891D54"/>
    <w:rsid w:val="008D4D98"/>
    <w:rsid w:val="008E4479"/>
    <w:rsid w:val="009253FB"/>
    <w:rsid w:val="00927C32"/>
    <w:rsid w:val="00942B3D"/>
    <w:rsid w:val="00950726"/>
    <w:rsid w:val="00962EA3"/>
    <w:rsid w:val="009A61CE"/>
    <w:rsid w:val="009B43F0"/>
    <w:rsid w:val="009D0FAE"/>
    <w:rsid w:val="009D1B2C"/>
    <w:rsid w:val="009F7D9C"/>
    <w:rsid w:val="00A02D5A"/>
    <w:rsid w:val="00A0463D"/>
    <w:rsid w:val="00A1011B"/>
    <w:rsid w:val="00A22038"/>
    <w:rsid w:val="00A25C00"/>
    <w:rsid w:val="00A364B9"/>
    <w:rsid w:val="00A54407"/>
    <w:rsid w:val="00AA39B7"/>
    <w:rsid w:val="00AB5B21"/>
    <w:rsid w:val="00AB736B"/>
    <w:rsid w:val="00AC0F44"/>
    <w:rsid w:val="00AF0196"/>
    <w:rsid w:val="00AF0A2F"/>
    <w:rsid w:val="00B014C2"/>
    <w:rsid w:val="00B04180"/>
    <w:rsid w:val="00B32C5A"/>
    <w:rsid w:val="00B35874"/>
    <w:rsid w:val="00B407E9"/>
    <w:rsid w:val="00B60E6C"/>
    <w:rsid w:val="00B6401A"/>
    <w:rsid w:val="00B907C0"/>
    <w:rsid w:val="00B95770"/>
    <w:rsid w:val="00BA1F0F"/>
    <w:rsid w:val="00BB4016"/>
    <w:rsid w:val="00BC2748"/>
    <w:rsid w:val="00BC57AA"/>
    <w:rsid w:val="00BE0918"/>
    <w:rsid w:val="00BF3409"/>
    <w:rsid w:val="00C171D3"/>
    <w:rsid w:val="00C44186"/>
    <w:rsid w:val="00C53E36"/>
    <w:rsid w:val="00C93671"/>
    <w:rsid w:val="00C95554"/>
    <w:rsid w:val="00CC35BA"/>
    <w:rsid w:val="00CD6766"/>
    <w:rsid w:val="00CE3085"/>
    <w:rsid w:val="00CE6390"/>
    <w:rsid w:val="00CF0BC2"/>
    <w:rsid w:val="00D02D65"/>
    <w:rsid w:val="00D126E6"/>
    <w:rsid w:val="00D419E4"/>
    <w:rsid w:val="00D57527"/>
    <w:rsid w:val="00D608FA"/>
    <w:rsid w:val="00D674E3"/>
    <w:rsid w:val="00D90BF2"/>
    <w:rsid w:val="00D96CF3"/>
    <w:rsid w:val="00DF089A"/>
    <w:rsid w:val="00E05594"/>
    <w:rsid w:val="00E0760A"/>
    <w:rsid w:val="00E27221"/>
    <w:rsid w:val="00E43198"/>
    <w:rsid w:val="00E537C3"/>
    <w:rsid w:val="00E652E2"/>
    <w:rsid w:val="00EC0290"/>
    <w:rsid w:val="00EC40D9"/>
    <w:rsid w:val="00ED231E"/>
    <w:rsid w:val="00ED3204"/>
    <w:rsid w:val="00ED449A"/>
    <w:rsid w:val="00ED4A8F"/>
    <w:rsid w:val="00F34D48"/>
    <w:rsid w:val="00F42BDB"/>
    <w:rsid w:val="00F51723"/>
    <w:rsid w:val="00FF1BA6"/>
    <w:rsid w:val="010211F6"/>
    <w:rsid w:val="01072FD3"/>
    <w:rsid w:val="011B16BD"/>
    <w:rsid w:val="012D0462"/>
    <w:rsid w:val="014B36F7"/>
    <w:rsid w:val="0160084E"/>
    <w:rsid w:val="01A24EAB"/>
    <w:rsid w:val="01A36629"/>
    <w:rsid w:val="01E05DF9"/>
    <w:rsid w:val="01E4322D"/>
    <w:rsid w:val="01E7558B"/>
    <w:rsid w:val="01FD4EFD"/>
    <w:rsid w:val="02215CD1"/>
    <w:rsid w:val="02377801"/>
    <w:rsid w:val="028242A1"/>
    <w:rsid w:val="029C7989"/>
    <w:rsid w:val="02B84EE8"/>
    <w:rsid w:val="02C02F73"/>
    <w:rsid w:val="02C141A3"/>
    <w:rsid w:val="02F9039B"/>
    <w:rsid w:val="03061252"/>
    <w:rsid w:val="03865C34"/>
    <w:rsid w:val="038D77BD"/>
    <w:rsid w:val="03A323C4"/>
    <w:rsid w:val="04620ECD"/>
    <w:rsid w:val="04AD2D2F"/>
    <w:rsid w:val="04F35535"/>
    <w:rsid w:val="051A0943"/>
    <w:rsid w:val="05367E26"/>
    <w:rsid w:val="05941F82"/>
    <w:rsid w:val="05A4438F"/>
    <w:rsid w:val="05AD06D3"/>
    <w:rsid w:val="05B32A5F"/>
    <w:rsid w:val="05B60A3D"/>
    <w:rsid w:val="05D50EB4"/>
    <w:rsid w:val="05D8381B"/>
    <w:rsid w:val="05E61EF7"/>
    <w:rsid w:val="05F31298"/>
    <w:rsid w:val="06036691"/>
    <w:rsid w:val="06071298"/>
    <w:rsid w:val="064015DF"/>
    <w:rsid w:val="06483909"/>
    <w:rsid w:val="06701912"/>
    <w:rsid w:val="069A65B0"/>
    <w:rsid w:val="06AB2832"/>
    <w:rsid w:val="06DA3C88"/>
    <w:rsid w:val="071327A5"/>
    <w:rsid w:val="07263BAC"/>
    <w:rsid w:val="0777731F"/>
    <w:rsid w:val="0780537F"/>
    <w:rsid w:val="079532DB"/>
    <w:rsid w:val="079E219A"/>
    <w:rsid w:val="07AE01F0"/>
    <w:rsid w:val="082B0DD2"/>
    <w:rsid w:val="087150EF"/>
    <w:rsid w:val="08862091"/>
    <w:rsid w:val="088827E1"/>
    <w:rsid w:val="08A5472A"/>
    <w:rsid w:val="08C02048"/>
    <w:rsid w:val="09151756"/>
    <w:rsid w:val="09194E2A"/>
    <w:rsid w:val="091F6217"/>
    <w:rsid w:val="09256674"/>
    <w:rsid w:val="098C30E3"/>
    <w:rsid w:val="099052FE"/>
    <w:rsid w:val="09DC0C8E"/>
    <w:rsid w:val="09F55385"/>
    <w:rsid w:val="0A361D92"/>
    <w:rsid w:val="0A7E39BB"/>
    <w:rsid w:val="0A884F4A"/>
    <w:rsid w:val="0AE16B6E"/>
    <w:rsid w:val="0B244CE6"/>
    <w:rsid w:val="0B2D714C"/>
    <w:rsid w:val="0B3E2F09"/>
    <w:rsid w:val="0B9D3BC7"/>
    <w:rsid w:val="0BAC3011"/>
    <w:rsid w:val="0C295823"/>
    <w:rsid w:val="0C931AD8"/>
    <w:rsid w:val="0C937D2A"/>
    <w:rsid w:val="0D0B58E2"/>
    <w:rsid w:val="0D2772D4"/>
    <w:rsid w:val="0D282E56"/>
    <w:rsid w:val="0D442DD2"/>
    <w:rsid w:val="0D461955"/>
    <w:rsid w:val="0D4B4161"/>
    <w:rsid w:val="0D6869CB"/>
    <w:rsid w:val="0D8C3C83"/>
    <w:rsid w:val="0DA076A6"/>
    <w:rsid w:val="0DA2513F"/>
    <w:rsid w:val="0DA537DC"/>
    <w:rsid w:val="0DB04357"/>
    <w:rsid w:val="0DC406AB"/>
    <w:rsid w:val="0DC4663B"/>
    <w:rsid w:val="0DE10621"/>
    <w:rsid w:val="0E21478B"/>
    <w:rsid w:val="0E5973A2"/>
    <w:rsid w:val="0E925DBF"/>
    <w:rsid w:val="0EA94665"/>
    <w:rsid w:val="0EC71127"/>
    <w:rsid w:val="0ED6438E"/>
    <w:rsid w:val="0EF62596"/>
    <w:rsid w:val="0EF83673"/>
    <w:rsid w:val="0F167B0F"/>
    <w:rsid w:val="0F2B249C"/>
    <w:rsid w:val="0F963360"/>
    <w:rsid w:val="0FA50C3C"/>
    <w:rsid w:val="0FC041EE"/>
    <w:rsid w:val="0FC86692"/>
    <w:rsid w:val="1009271C"/>
    <w:rsid w:val="100B0596"/>
    <w:rsid w:val="102064DD"/>
    <w:rsid w:val="10387DF3"/>
    <w:rsid w:val="10A047C3"/>
    <w:rsid w:val="1102693D"/>
    <w:rsid w:val="11407FA2"/>
    <w:rsid w:val="115C2AB2"/>
    <w:rsid w:val="11654C24"/>
    <w:rsid w:val="117025B6"/>
    <w:rsid w:val="11716805"/>
    <w:rsid w:val="11793892"/>
    <w:rsid w:val="11800C15"/>
    <w:rsid w:val="1182113A"/>
    <w:rsid w:val="11A03A9A"/>
    <w:rsid w:val="11C8709D"/>
    <w:rsid w:val="11CD74AB"/>
    <w:rsid w:val="12383860"/>
    <w:rsid w:val="124459B3"/>
    <w:rsid w:val="129F1B30"/>
    <w:rsid w:val="12C84067"/>
    <w:rsid w:val="131D6E69"/>
    <w:rsid w:val="132176A3"/>
    <w:rsid w:val="136F4886"/>
    <w:rsid w:val="13E177E9"/>
    <w:rsid w:val="13E50276"/>
    <w:rsid w:val="13F6410B"/>
    <w:rsid w:val="13F74918"/>
    <w:rsid w:val="14203C50"/>
    <w:rsid w:val="1448276F"/>
    <w:rsid w:val="144E18FC"/>
    <w:rsid w:val="145A197A"/>
    <w:rsid w:val="1461070D"/>
    <w:rsid w:val="149943A3"/>
    <w:rsid w:val="14D013EF"/>
    <w:rsid w:val="14FA4817"/>
    <w:rsid w:val="15360030"/>
    <w:rsid w:val="15885B5C"/>
    <w:rsid w:val="15C9047F"/>
    <w:rsid w:val="15FA2FF1"/>
    <w:rsid w:val="15FF1F7B"/>
    <w:rsid w:val="161640D1"/>
    <w:rsid w:val="16225C7A"/>
    <w:rsid w:val="163276DE"/>
    <w:rsid w:val="16345558"/>
    <w:rsid w:val="166A03FC"/>
    <w:rsid w:val="166F0BF1"/>
    <w:rsid w:val="167D556F"/>
    <w:rsid w:val="16B575A1"/>
    <w:rsid w:val="16C375DE"/>
    <w:rsid w:val="17253C74"/>
    <w:rsid w:val="17491ECB"/>
    <w:rsid w:val="175247A8"/>
    <w:rsid w:val="178D5376"/>
    <w:rsid w:val="179318D0"/>
    <w:rsid w:val="17985129"/>
    <w:rsid w:val="179E4E78"/>
    <w:rsid w:val="17CE473A"/>
    <w:rsid w:val="17E72CD8"/>
    <w:rsid w:val="182B7B10"/>
    <w:rsid w:val="184D79C9"/>
    <w:rsid w:val="185E03A6"/>
    <w:rsid w:val="186F7AE7"/>
    <w:rsid w:val="1881137E"/>
    <w:rsid w:val="189871F2"/>
    <w:rsid w:val="18B84434"/>
    <w:rsid w:val="18FC27B3"/>
    <w:rsid w:val="19193774"/>
    <w:rsid w:val="192F64C7"/>
    <w:rsid w:val="194523F6"/>
    <w:rsid w:val="19650358"/>
    <w:rsid w:val="19AA4166"/>
    <w:rsid w:val="19CC6403"/>
    <w:rsid w:val="19F228DD"/>
    <w:rsid w:val="1A170884"/>
    <w:rsid w:val="1A3E71A7"/>
    <w:rsid w:val="1A7840BB"/>
    <w:rsid w:val="1A924EA6"/>
    <w:rsid w:val="1A951403"/>
    <w:rsid w:val="1ADB1195"/>
    <w:rsid w:val="1ADD4BFF"/>
    <w:rsid w:val="1AFA023C"/>
    <w:rsid w:val="1B9979B3"/>
    <w:rsid w:val="1BD01A43"/>
    <w:rsid w:val="1C0A12E7"/>
    <w:rsid w:val="1C456642"/>
    <w:rsid w:val="1C796ADF"/>
    <w:rsid w:val="1C987A7B"/>
    <w:rsid w:val="1CAD273F"/>
    <w:rsid w:val="1CBB5734"/>
    <w:rsid w:val="1CEB5018"/>
    <w:rsid w:val="1D110AF0"/>
    <w:rsid w:val="1D373BB6"/>
    <w:rsid w:val="1D5656CA"/>
    <w:rsid w:val="1D576541"/>
    <w:rsid w:val="1D6C2239"/>
    <w:rsid w:val="1DBF6009"/>
    <w:rsid w:val="1DF133E0"/>
    <w:rsid w:val="1E1660C5"/>
    <w:rsid w:val="1E336A7F"/>
    <w:rsid w:val="1E3D5D47"/>
    <w:rsid w:val="1E45734B"/>
    <w:rsid w:val="1E5D77F3"/>
    <w:rsid w:val="1E6D6DAC"/>
    <w:rsid w:val="1E911D1D"/>
    <w:rsid w:val="1EA54268"/>
    <w:rsid w:val="1EA61823"/>
    <w:rsid w:val="1EDB2E6A"/>
    <w:rsid w:val="1F7C0BD3"/>
    <w:rsid w:val="1F9248DA"/>
    <w:rsid w:val="1F932B6B"/>
    <w:rsid w:val="1FD94AE8"/>
    <w:rsid w:val="200B6292"/>
    <w:rsid w:val="201D3690"/>
    <w:rsid w:val="20257688"/>
    <w:rsid w:val="2051474C"/>
    <w:rsid w:val="20842A1C"/>
    <w:rsid w:val="20BF1CBF"/>
    <w:rsid w:val="20CC4D54"/>
    <w:rsid w:val="20DC510A"/>
    <w:rsid w:val="20DD5B8C"/>
    <w:rsid w:val="20EA6985"/>
    <w:rsid w:val="20F070A1"/>
    <w:rsid w:val="2120725A"/>
    <w:rsid w:val="21704AC4"/>
    <w:rsid w:val="21761FCA"/>
    <w:rsid w:val="219F6987"/>
    <w:rsid w:val="21B3269F"/>
    <w:rsid w:val="21C916A0"/>
    <w:rsid w:val="21D12A72"/>
    <w:rsid w:val="21E76AEA"/>
    <w:rsid w:val="220F1B47"/>
    <w:rsid w:val="2210706F"/>
    <w:rsid w:val="22187F72"/>
    <w:rsid w:val="2244123E"/>
    <w:rsid w:val="226E130D"/>
    <w:rsid w:val="2273527A"/>
    <w:rsid w:val="227806AE"/>
    <w:rsid w:val="22833074"/>
    <w:rsid w:val="22AB0699"/>
    <w:rsid w:val="22C2681B"/>
    <w:rsid w:val="22CA3282"/>
    <w:rsid w:val="22F671D0"/>
    <w:rsid w:val="22F84255"/>
    <w:rsid w:val="22FD0815"/>
    <w:rsid w:val="22FD149F"/>
    <w:rsid w:val="23130BCF"/>
    <w:rsid w:val="232C6117"/>
    <w:rsid w:val="23344B38"/>
    <w:rsid w:val="23411E36"/>
    <w:rsid w:val="23487C77"/>
    <w:rsid w:val="23781D14"/>
    <w:rsid w:val="23885F15"/>
    <w:rsid w:val="23AD702F"/>
    <w:rsid w:val="23BA65EB"/>
    <w:rsid w:val="23CE70D4"/>
    <w:rsid w:val="23FE6CFC"/>
    <w:rsid w:val="241217AC"/>
    <w:rsid w:val="244A331B"/>
    <w:rsid w:val="246846FA"/>
    <w:rsid w:val="24810496"/>
    <w:rsid w:val="249066B4"/>
    <w:rsid w:val="24A53903"/>
    <w:rsid w:val="24A54985"/>
    <w:rsid w:val="252B7DD7"/>
    <w:rsid w:val="257315D5"/>
    <w:rsid w:val="25B60B6B"/>
    <w:rsid w:val="25D529F8"/>
    <w:rsid w:val="25F27417"/>
    <w:rsid w:val="25FC2AB0"/>
    <w:rsid w:val="261A22C3"/>
    <w:rsid w:val="262F3FAF"/>
    <w:rsid w:val="2662215D"/>
    <w:rsid w:val="26672398"/>
    <w:rsid w:val="267907CF"/>
    <w:rsid w:val="268B338A"/>
    <w:rsid w:val="2695128E"/>
    <w:rsid w:val="26FC000E"/>
    <w:rsid w:val="27102D2D"/>
    <w:rsid w:val="27426940"/>
    <w:rsid w:val="279577A5"/>
    <w:rsid w:val="279B7D4A"/>
    <w:rsid w:val="27BC2D7F"/>
    <w:rsid w:val="27EE56A4"/>
    <w:rsid w:val="281713B7"/>
    <w:rsid w:val="28217D3B"/>
    <w:rsid w:val="28286DA5"/>
    <w:rsid w:val="2844540D"/>
    <w:rsid w:val="2853726E"/>
    <w:rsid w:val="28A377CA"/>
    <w:rsid w:val="28AB2E16"/>
    <w:rsid w:val="28DA4193"/>
    <w:rsid w:val="28F65324"/>
    <w:rsid w:val="2931435B"/>
    <w:rsid w:val="29491A44"/>
    <w:rsid w:val="29B03761"/>
    <w:rsid w:val="29C80D9C"/>
    <w:rsid w:val="2A2A03BE"/>
    <w:rsid w:val="2A332C2B"/>
    <w:rsid w:val="2A3A7521"/>
    <w:rsid w:val="2A4857F7"/>
    <w:rsid w:val="2A7228D5"/>
    <w:rsid w:val="2A79227F"/>
    <w:rsid w:val="2A9065F1"/>
    <w:rsid w:val="2ABC3BB2"/>
    <w:rsid w:val="2AD97B85"/>
    <w:rsid w:val="2AF92481"/>
    <w:rsid w:val="2B0312B4"/>
    <w:rsid w:val="2B1124AC"/>
    <w:rsid w:val="2B14398C"/>
    <w:rsid w:val="2B6D6F34"/>
    <w:rsid w:val="2BB00ADD"/>
    <w:rsid w:val="2BD33AA2"/>
    <w:rsid w:val="2C0734F1"/>
    <w:rsid w:val="2C490302"/>
    <w:rsid w:val="2C4F3123"/>
    <w:rsid w:val="2C5F0F2E"/>
    <w:rsid w:val="2C76439E"/>
    <w:rsid w:val="2C84212D"/>
    <w:rsid w:val="2C9542BA"/>
    <w:rsid w:val="2CA13205"/>
    <w:rsid w:val="2CB60EF2"/>
    <w:rsid w:val="2CC47593"/>
    <w:rsid w:val="2CD7782D"/>
    <w:rsid w:val="2D0D6CAF"/>
    <w:rsid w:val="2D161B9D"/>
    <w:rsid w:val="2D177764"/>
    <w:rsid w:val="2D2619F7"/>
    <w:rsid w:val="2D6A3CAE"/>
    <w:rsid w:val="2D8E1FA6"/>
    <w:rsid w:val="2D9A1AB9"/>
    <w:rsid w:val="2DB17BB8"/>
    <w:rsid w:val="2DE1211E"/>
    <w:rsid w:val="2DFE62D2"/>
    <w:rsid w:val="2E1B3E40"/>
    <w:rsid w:val="2E321F0C"/>
    <w:rsid w:val="2E3D589A"/>
    <w:rsid w:val="2E4B6BA5"/>
    <w:rsid w:val="2E4D5193"/>
    <w:rsid w:val="2E59197B"/>
    <w:rsid w:val="2EB15996"/>
    <w:rsid w:val="2EB943BD"/>
    <w:rsid w:val="2EE94486"/>
    <w:rsid w:val="2F161357"/>
    <w:rsid w:val="2F41632A"/>
    <w:rsid w:val="2F5846F8"/>
    <w:rsid w:val="2F783D8F"/>
    <w:rsid w:val="2F9C0F93"/>
    <w:rsid w:val="300F19EF"/>
    <w:rsid w:val="301D4F27"/>
    <w:rsid w:val="303D5733"/>
    <w:rsid w:val="3051098E"/>
    <w:rsid w:val="3081186A"/>
    <w:rsid w:val="30A05CC2"/>
    <w:rsid w:val="30AF2B91"/>
    <w:rsid w:val="30C05C4A"/>
    <w:rsid w:val="30C85091"/>
    <w:rsid w:val="30E57EA1"/>
    <w:rsid w:val="30F304E8"/>
    <w:rsid w:val="311A1007"/>
    <w:rsid w:val="31264419"/>
    <w:rsid w:val="312A65D0"/>
    <w:rsid w:val="312B460E"/>
    <w:rsid w:val="313639A5"/>
    <w:rsid w:val="31406633"/>
    <w:rsid w:val="3148438F"/>
    <w:rsid w:val="31616E93"/>
    <w:rsid w:val="318B24CE"/>
    <w:rsid w:val="31A1395E"/>
    <w:rsid w:val="31BB2CA1"/>
    <w:rsid w:val="31CC0D25"/>
    <w:rsid w:val="31D97F8E"/>
    <w:rsid w:val="31EE2A79"/>
    <w:rsid w:val="321C4EE3"/>
    <w:rsid w:val="322D4BE8"/>
    <w:rsid w:val="3239017C"/>
    <w:rsid w:val="32525504"/>
    <w:rsid w:val="325D20BC"/>
    <w:rsid w:val="32805D13"/>
    <w:rsid w:val="32A7158A"/>
    <w:rsid w:val="32CD53B1"/>
    <w:rsid w:val="32DE0C48"/>
    <w:rsid w:val="32FF1C0F"/>
    <w:rsid w:val="333A6815"/>
    <w:rsid w:val="3360064B"/>
    <w:rsid w:val="33FD3B57"/>
    <w:rsid w:val="33FD4A2B"/>
    <w:rsid w:val="34250EEA"/>
    <w:rsid w:val="34297DFA"/>
    <w:rsid w:val="343E6AAA"/>
    <w:rsid w:val="34687C68"/>
    <w:rsid w:val="34F62354"/>
    <w:rsid w:val="35041840"/>
    <w:rsid w:val="35896ED1"/>
    <w:rsid w:val="35BE2E72"/>
    <w:rsid w:val="35C5268F"/>
    <w:rsid w:val="35E9276F"/>
    <w:rsid w:val="36093A4D"/>
    <w:rsid w:val="36183207"/>
    <w:rsid w:val="364F59B0"/>
    <w:rsid w:val="36653376"/>
    <w:rsid w:val="366915B0"/>
    <w:rsid w:val="36715229"/>
    <w:rsid w:val="36E232F9"/>
    <w:rsid w:val="36E66B42"/>
    <w:rsid w:val="371446FF"/>
    <w:rsid w:val="37353608"/>
    <w:rsid w:val="37936FA0"/>
    <w:rsid w:val="379C2B74"/>
    <w:rsid w:val="37B448C8"/>
    <w:rsid w:val="37B577D3"/>
    <w:rsid w:val="37EA72CD"/>
    <w:rsid w:val="37F11D92"/>
    <w:rsid w:val="37F72BB9"/>
    <w:rsid w:val="382138C1"/>
    <w:rsid w:val="38252A67"/>
    <w:rsid w:val="38264F45"/>
    <w:rsid w:val="382F7FD7"/>
    <w:rsid w:val="386F25FA"/>
    <w:rsid w:val="3877465C"/>
    <w:rsid w:val="3880739F"/>
    <w:rsid w:val="38AC2F4A"/>
    <w:rsid w:val="38B70DC4"/>
    <w:rsid w:val="38FF7CA7"/>
    <w:rsid w:val="391F1F1E"/>
    <w:rsid w:val="3937462C"/>
    <w:rsid w:val="3942415B"/>
    <w:rsid w:val="3961510A"/>
    <w:rsid w:val="396C04A7"/>
    <w:rsid w:val="39770D0D"/>
    <w:rsid w:val="3990210D"/>
    <w:rsid w:val="39DA04CC"/>
    <w:rsid w:val="39FF404B"/>
    <w:rsid w:val="3A1B20A2"/>
    <w:rsid w:val="3A1E65D5"/>
    <w:rsid w:val="3A2A1651"/>
    <w:rsid w:val="3A451BB0"/>
    <w:rsid w:val="3A6F3782"/>
    <w:rsid w:val="3AC04F8F"/>
    <w:rsid w:val="3AF77640"/>
    <w:rsid w:val="3B053AF3"/>
    <w:rsid w:val="3B070E53"/>
    <w:rsid w:val="3B0A7DA5"/>
    <w:rsid w:val="3B120DDF"/>
    <w:rsid w:val="3B1D2EA4"/>
    <w:rsid w:val="3B1F00D5"/>
    <w:rsid w:val="3B7C61EE"/>
    <w:rsid w:val="3B8D4E09"/>
    <w:rsid w:val="3B942937"/>
    <w:rsid w:val="3BA6327B"/>
    <w:rsid w:val="3C0F40DA"/>
    <w:rsid w:val="3C2C11B0"/>
    <w:rsid w:val="3C2E584B"/>
    <w:rsid w:val="3C9A2F9C"/>
    <w:rsid w:val="3CB1546D"/>
    <w:rsid w:val="3CED7A63"/>
    <w:rsid w:val="3CF41E49"/>
    <w:rsid w:val="3CF47A85"/>
    <w:rsid w:val="3D0F7E27"/>
    <w:rsid w:val="3D2D0FD4"/>
    <w:rsid w:val="3D3F654B"/>
    <w:rsid w:val="3D4146E2"/>
    <w:rsid w:val="3D49703B"/>
    <w:rsid w:val="3D60299B"/>
    <w:rsid w:val="3D721B24"/>
    <w:rsid w:val="3D796824"/>
    <w:rsid w:val="3DCA2DB1"/>
    <w:rsid w:val="3DF45BBB"/>
    <w:rsid w:val="3E0A09CC"/>
    <w:rsid w:val="3E2C2898"/>
    <w:rsid w:val="3E3151B2"/>
    <w:rsid w:val="3E3A7756"/>
    <w:rsid w:val="3E5B7076"/>
    <w:rsid w:val="3E9018EE"/>
    <w:rsid w:val="3EC12201"/>
    <w:rsid w:val="3EE61FEC"/>
    <w:rsid w:val="3F1A7640"/>
    <w:rsid w:val="3F7C42D4"/>
    <w:rsid w:val="3FBD3BCB"/>
    <w:rsid w:val="3FCE60A5"/>
    <w:rsid w:val="3FE907AA"/>
    <w:rsid w:val="400C6ED0"/>
    <w:rsid w:val="403909D8"/>
    <w:rsid w:val="404D79EA"/>
    <w:rsid w:val="406E5485"/>
    <w:rsid w:val="407F5D72"/>
    <w:rsid w:val="40AB45C6"/>
    <w:rsid w:val="40EC17DC"/>
    <w:rsid w:val="410007EE"/>
    <w:rsid w:val="410B6E28"/>
    <w:rsid w:val="41285166"/>
    <w:rsid w:val="41B26140"/>
    <w:rsid w:val="41DB77E6"/>
    <w:rsid w:val="41F867C6"/>
    <w:rsid w:val="41FF5279"/>
    <w:rsid w:val="420820FD"/>
    <w:rsid w:val="420859AE"/>
    <w:rsid w:val="420F1DBE"/>
    <w:rsid w:val="42220C2D"/>
    <w:rsid w:val="42266218"/>
    <w:rsid w:val="42295833"/>
    <w:rsid w:val="4284685E"/>
    <w:rsid w:val="42990621"/>
    <w:rsid w:val="42AA09D2"/>
    <w:rsid w:val="42C17A73"/>
    <w:rsid w:val="42E46317"/>
    <w:rsid w:val="43034F52"/>
    <w:rsid w:val="432107CE"/>
    <w:rsid w:val="43267769"/>
    <w:rsid w:val="435C6F7C"/>
    <w:rsid w:val="43AC21F6"/>
    <w:rsid w:val="43B80221"/>
    <w:rsid w:val="43D1752D"/>
    <w:rsid w:val="43DE782A"/>
    <w:rsid w:val="43F202D8"/>
    <w:rsid w:val="441579B6"/>
    <w:rsid w:val="442C5D93"/>
    <w:rsid w:val="444202F4"/>
    <w:rsid w:val="44422F25"/>
    <w:rsid w:val="4481138F"/>
    <w:rsid w:val="449A3781"/>
    <w:rsid w:val="44DF45BC"/>
    <w:rsid w:val="44F942C4"/>
    <w:rsid w:val="44FD449E"/>
    <w:rsid w:val="45152FD5"/>
    <w:rsid w:val="45251095"/>
    <w:rsid w:val="453647A2"/>
    <w:rsid w:val="45710CC1"/>
    <w:rsid w:val="46854BCB"/>
    <w:rsid w:val="46876DFF"/>
    <w:rsid w:val="46A246CB"/>
    <w:rsid w:val="46F55CA9"/>
    <w:rsid w:val="46FB6A6A"/>
    <w:rsid w:val="4788512E"/>
    <w:rsid w:val="479B691A"/>
    <w:rsid w:val="47A71606"/>
    <w:rsid w:val="47B30038"/>
    <w:rsid w:val="47D97FDF"/>
    <w:rsid w:val="47E25602"/>
    <w:rsid w:val="481B75A4"/>
    <w:rsid w:val="481C304B"/>
    <w:rsid w:val="48246CB6"/>
    <w:rsid w:val="48256259"/>
    <w:rsid w:val="482F072B"/>
    <w:rsid w:val="48407456"/>
    <w:rsid w:val="48423EB6"/>
    <w:rsid w:val="484F711E"/>
    <w:rsid w:val="487B485A"/>
    <w:rsid w:val="48972216"/>
    <w:rsid w:val="48A66839"/>
    <w:rsid w:val="48B30E1A"/>
    <w:rsid w:val="48D16FC3"/>
    <w:rsid w:val="48E11D0D"/>
    <w:rsid w:val="48FF3A76"/>
    <w:rsid w:val="491168E0"/>
    <w:rsid w:val="491D13CF"/>
    <w:rsid w:val="49210BBC"/>
    <w:rsid w:val="49210E3B"/>
    <w:rsid w:val="494C0587"/>
    <w:rsid w:val="49845D29"/>
    <w:rsid w:val="49A563CB"/>
    <w:rsid w:val="49BF2136"/>
    <w:rsid w:val="49CE294D"/>
    <w:rsid w:val="49D15963"/>
    <w:rsid w:val="49E34EE4"/>
    <w:rsid w:val="4A3F7D50"/>
    <w:rsid w:val="4AAF3030"/>
    <w:rsid w:val="4AB26569"/>
    <w:rsid w:val="4AE1105A"/>
    <w:rsid w:val="4B582F0A"/>
    <w:rsid w:val="4B720916"/>
    <w:rsid w:val="4B8B1C5C"/>
    <w:rsid w:val="4BAB2D0D"/>
    <w:rsid w:val="4BDA36DE"/>
    <w:rsid w:val="4BE26C56"/>
    <w:rsid w:val="4BE62CCB"/>
    <w:rsid w:val="4BEB7B04"/>
    <w:rsid w:val="4BFA56C8"/>
    <w:rsid w:val="4BFD3D74"/>
    <w:rsid w:val="4C032EB6"/>
    <w:rsid w:val="4C9B1D07"/>
    <w:rsid w:val="4CB55DAF"/>
    <w:rsid w:val="4CC87B94"/>
    <w:rsid w:val="4CCB6C0A"/>
    <w:rsid w:val="4CCF0B13"/>
    <w:rsid w:val="4CFE5920"/>
    <w:rsid w:val="4DA26BAD"/>
    <w:rsid w:val="4DD4267A"/>
    <w:rsid w:val="4DEB45C9"/>
    <w:rsid w:val="4E164FDA"/>
    <w:rsid w:val="4E1B275A"/>
    <w:rsid w:val="4E5762EC"/>
    <w:rsid w:val="4E673E75"/>
    <w:rsid w:val="4E9764FE"/>
    <w:rsid w:val="4EA40B81"/>
    <w:rsid w:val="4EB011D0"/>
    <w:rsid w:val="4EB243D8"/>
    <w:rsid w:val="4EB31779"/>
    <w:rsid w:val="4ECB00BC"/>
    <w:rsid w:val="4F034535"/>
    <w:rsid w:val="4F141C48"/>
    <w:rsid w:val="4F544DCA"/>
    <w:rsid w:val="4F553463"/>
    <w:rsid w:val="4F8E752A"/>
    <w:rsid w:val="4F9E312C"/>
    <w:rsid w:val="4FC3192E"/>
    <w:rsid w:val="4FDF4FF8"/>
    <w:rsid w:val="4FEC4A28"/>
    <w:rsid w:val="4FF20345"/>
    <w:rsid w:val="4FF716CB"/>
    <w:rsid w:val="501E3B8D"/>
    <w:rsid w:val="5020283D"/>
    <w:rsid w:val="505B4F35"/>
    <w:rsid w:val="50707A06"/>
    <w:rsid w:val="508014F9"/>
    <w:rsid w:val="50C518C9"/>
    <w:rsid w:val="50CC069D"/>
    <w:rsid w:val="50CE5BA8"/>
    <w:rsid w:val="50E900A7"/>
    <w:rsid w:val="50F73806"/>
    <w:rsid w:val="5106779B"/>
    <w:rsid w:val="510908FA"/>
    <w:rsid w:val="51330760"/>
    <w:rsid w:val="515919D1"/>
    <w:rsid w:val="51D171E2"/>
    <w:rsid w:val="51DD5574"/>
    <w:rsid w:val="522D3D11"/>
    <w:rsid w:val="523C53F3"/>
    <w:rsid w:val="528058D8"/>
    <w:rsid w:val="528818DA"/>
    <w:rsid w:val="52A8547C"/>
    <w:rsid w:val="52C51C0F"/>
    <w:rsid w:val="534A5D5F"/>
    <w:rsid w:val="53656BCB"/>
    <w:rsid w:val="53804297"/>
    <w:rsid w:val="53B57096"/>
    <w:rsid w:val="53D6593A"/>
    <w:rsid w:val="53EA3D04"/>
    <w:rsid w:val="54586FFC"/>
    <w:rsid w:val="54596730"/>
    <w:rsid w:val="54AC09FB"/>
    <w:rsid w:val="54E145EC"/>
    <w:rsid w:val="54E159BE"/>
    <w:rsid w:val="54E82143"/>
    <w:rsid w:val="54EB6F3B"/>
    <w:rsid w:val="54F642FC"/>
    <w:rsid w:val="55140418"/>
    <w:rsid w:val="55AC5767"/>
    <w:rsid w:val="55EE6CB2"/>
    <w:rsid w:val="55F10BEA"/>
    <w:rsid w:val="56066443"/>
    <w:rsid w:val="563F5F8B"/>
    <w:rsid w:val="564915A3"/>
    <w:rsid w:val="56682C5A"/>
    <w:rsid w:val="56B20A20"/>
    <w:rsid w:val="56DD3D9C"/>
    <w:rsid w:val="56FB4839"/>
    <w:rsid w:val="57045914"/>
    <w:rsid w:val="574D5DD3"/>
    <w:rsid w:val="575724BB"/>
    <w:rsid w:val="57584FBD"/>
    <w:rsid w:val="57744C6A"/>
    <w:rsid w:val="57765E33"/>
    <w:rsid w:val="57F65100"/>
    <w:rsid w:val="582506ED"/>
    <w:rsid w:val="58381749"/>
    <w:rsid w:val="5849092A"/>
    <w:rsid w:val="585711D8"/>
    <w:rsid w:val="585D2567"/>
    <w:rsid w:val="587E14D8"/>
    <w:rsid w:val="58856E59"/>
    <w:rsid w:val="58A85E2A"/>
    <w:rsid w:val="5923730C"/>
    <w:rsid w:val="59314CC3"/>
    <w:rsid w:val="59370F01"/>
    <w:rsid w:val="594661A1"/>
    <w:rsid w:val="594F0101"/>
    <w:rsid w:val="59555E10"/>
    <w:rsid w:val="595E51B3"/>
    <w:rsid w:val="59731B40"/>
    <w:rsid w:val="59AB4CCF"/>
    <w:rsid w:val="59BE1E55"/>
    <w:rsid w:val="59CA4797"/>
    <w:rsid w:val="5A1F407C"/>
    <w:rsid w:val="5A390A5D"/>
    <w:rsid w:val="5A391297"/>
    <w:rsid w:val="5A5F2C6C"/>
    <w:rsid w:val="5AA86E23"/>
    <w:rsid w:val="5ADE3680"/>
    <w:rsid w:val="5B7C03CC"/>
    <w:rsid w:val="5B937FF4"/>
    <w:rsid w:val="5BAA400D"/>
    <w:rsid w:val="5BCD17B1"/>
    <w:rsid w:val="5BD5469A"/>
    <w:rsid w:val="5BDE39BF"/>
    <w:rsid w:val="5BE048D7"/>
    <w:rsid w:val="5C69202A"/>
    <w:rsid w:val="5C6F4617"/>
    <w:rsid w:val="5C6F58CE"/>
    <w:rsid w:val="5CB32897"/>
    <w:rsid w:val="5CC42BB4"/>
    <w:rsid w:val="5CC64446"/>
    <w:rsid w:val="5CC76201"/>
    <w:rsid w:val="5D072AA1"/>
    <w:rsid w:val="5D115368"/>
    <w:rsid w:val="5D5E0913"/>
    <w:rsid w:val="5D6A71D5"/>
    <w:rsid w:val="5D8B5480"/>
    <w:rsid w:val="5D8D11F8"/>
    <w:rsid w:val="5D9473ED"/>
    <w:rsid w:val="5DA13666"/>
    <w:rsid w:val="5DEB238E"/>
    <w:rsid w:val="5E0609AD"/>
    <w:rsid w:val="5E0D78C2"/>
    <w:rsid w:val="5E134288"/>
    <w:rsid w:val="5E420235"/>
    <w:rsid w:val="5E4B3858"/>
    <w:rsid w:val="5E4E3D57"/>
    <w:rsid w:val="5E5D6E1D"/>
    <w:rsid w:val="5E8F0FA0"/>
    <w:rsid w:val="5E901FC3"/>
    <w:rsid w:val="5ECD6384"/>
    <w:rsid w:val="5EF271CB"/>
    <w:rsid w:val="5EFE3124"/>
    <w:rsid w:val="5F0F31FC"/>
    <w:rsid w:val="5F355703"/>
    <w:rsid w:val="5F3A3E78"/>
    <w:rsid w:val="5F653F1A"/>
    <w:rsid w:val="5F657EF5"/>
    <w:rsid w:val="5F8F1B0F"/>
    <w:rsid w:val="5FA6383E"/>
    <w:rsid w:val="5FAA6D54"/>
    <w:rsid w:val="5FBC2290"/>
    <w:rsid w:val="5FBE7D8F"/>
    <w:rsid w:val="5FDE3F8D"/>
    <w:rsid w:val="5FF67529"/>
    <w:rsid w:val="5FFA6722"/>
    <w:rsid w:val="603B7817"/>
    <w:rsid w:val="604A2A0B"/>
    <w:rsid w:val="60E02D60"/>
    <w:rsid w:val="60E4269E"/>
    <w:rsid w:val="60F139D6"/>
    <w:rsid w:val="6112750A"/>
    <w:rsid w:val="61200FDD"/>
    <w:rsid w:val="613C2872"/>
    <w:rsid w:val="613F10CE"/>
    <w:rsid w:val="619E3662"/>
    <w:rsid w:val="61E565A7"/>
    <w:rsid w:val="62493EAB"/>
    <w:rsid w:val="624F782E"/>
    <w:rsid w:val="626F2BA7"/>
    <w:rsid w:val="62737042"/>
    <w:rsid w:val="62896A33"/>
    <w:rsid w:val="62CD7F72"/>
    <w:rsid w:val="62E40D9F"/>
    <w:rsid w:val="62E737C6"/>
    <w:rsid w:val="63031F37"/>
    <w:rsid w:val="63041006"/>
    <w:rsid w:val="631C6A69"/>
    <w:rsid w:val="632F0115"/>
    <w:rsid w:val="634B7B8C"/>
    <w:rsid w:val="634F334B"/>
    <w:rsid w:val="635A0BB0"/>
    <w:rsid w:val="63844882"/>
    <w:rsid w:val="639B551F"/>
    <w:rsid w:val="63C35974"/>
    <w:rsid w:val="644D6D5A"/>
    <w:rsid w:val="64636FDF"/>
    <w:rsid w:val="64736400"/>
    <w:rsid w:val="64892469"/>
    <w:rsid w:val="64974892"/>
    <w:rsid w:val="64A4505E"/>
    <w:rsid w:val="64B333E7"/>
    <w:rsid w:val="65013FCF"/>
    <w:rsid w:val="65414C52"/>
    <w:rsid w:val="65645C36"/>
    <w:rsid w:val="65760FF7"/>
    <w:rsid w:val="657B5DDA"/>
    <w:rsid w:val="65A447F7"/>
    <w:rsid w:val="65B723EE"/>
    <w:rsid w:val="65DF6900"/>
    <w:rsid w:val="65E240AB"/>
    <w:rsid w:val="65F00F9B"/>
    <w:rsid w:val="65F423CE"/>
    <w:rsid w:val="66531D4A"/>
    <w:rsid w:val="6673435B"/>
    <w:rsid w:val="668D1C9B"/>
    <w:rsid w:val="66E94EA6"/>
    <w:rsid w:val="673F40A8"/>
    <w:rsid w:val="6742569B"/>
    <w:rsid w:val="679927BD"/>
    <w:rsid w:val="68115E74"/>
    <w:rsid w:val="681F2B7E"/>
    <w:rsid w:val="68426537"/>
    <w:rsid w:val="68573D1B"/>
    <w:rsid w:val="686D2352"/>
    <w:rsid w:val="687519E1"/>
    <w:rsid w:val="68877DF1"/>
    <w:rsid w:val="68AA554C"/>
    <w:rsid w:val="68B255F2"/>
    <w:rsid w:val="68C36171"/>
    <w:rsid w:val="68ED2B31"/>
    <w:rsid w:val="69253498"/>
    <w:rsid w:val="693358FD"/>
    <w:rsid w:val="694703C1"/>
    <w:rsid w:val="696C7C37"/>
    <w:rsid w:val="69AF24F6"/>
    <w:rsid w:val="69D026F2"/>
    <w:rsid w:val="69D02B99"/>
    <w:rsid w:val="69E61EB4"/>
    <w:rsid w:val="69FC0FD7"/>
    <w:rsid w:val="6A5B04BC"/>
    <w:rsid w:val="6AA06FDD"/>
    <w:rsid w:val="6AF65614"/>
    <w:rsid w:val="6AF758C9"/>
    <w:rsid w:val="6B212CD0"/>
    <w:rsid w:val="6B213BD8"/>
    <w:rsid w:val="6B453112"/>
    <w:rsid w:val="6B505C9E"/>
    <w:rsid w:val="6B600BC9"/>
    <w:rsid w:val="6B770714"/>
    <w:rsid w:val="6B823505"/>
    <w:rsid w:val="6B9C3C6A"/>
    <w:rsid w:val="6BBE401E"/>
    <w:rsid w:val="6C001DE8"/>
    <w:rsid w:val="6C4C2949"/>
    <w:rsid w:val="6C690977"/>
    <w:rsid w:val="6C6E0447"/>
    <w:rsid w:val="6C9F0EA5"/>
    <w:rsid w:val="6CB15251"/>
    <w:rsid w:val="6CB965F1"/>
    <w:rsid w:val="6CBC7404"/>
    <w:rsid w:val="6CC048E3"/>
    <w:rsid w:val="6D2A7839"/>
    <w:rsid w:val="6D3562DB"/>
    <w:rsid w:val="6D3A4F88"/>
    <w:rsid w:val="6D7711CB"/>
    <w:rsid w:val="6DB271E1"/>
    <w:rsid w:val="6DB42F62"/>
    <w:rsid w:val="6DB63E53"/>
    <w:rsid w:val="6DC36570"/>
    <w:rsid w:val="6DD70E49"/>
    <w:rsid w:val="6DDD56BF"/>
    <w:rsid w:val="6DE31753"/>
    <w:rsid w:val="6E3C5E88"/>
    <w:rsid w:val="6E472727"/>
    <w:rsid w:val="6E551B6C"/>
    <w:rsid w:val="6E5C0476"/>
    <w:rsid w:val="6E75686D"/>
    <w:rsid w:val="6EC20FEE"/>
    <w:rsid w:val="6ED223D1"/>
    <w:rsid w:val="6F275723"/>
    <w:rsid w:val="6F5844D1"/>
    <w:rsid w:val="6F954681"/>
    <w:rsid w:val="6FA6768F"/>
    <w:rsid w:val="6FB17851"/>
    <w:rsid w:val="70064094"/>
    <w:rsid w:val="70221D2E"/>
    <w:rsid w:val="7074300C"/>
    <w:rsid w:val="70856844"/>
    <w:rsid w:val="70944981"/>
    <w:rsid w:val="70947E4E"/>
    <w:rsid w:val="70CE4A79"/>
    <w:rsid w:val="70E40ACE"/>
    <w:rsid w:val="71152BBA"/>
    <w:rsid w:val="716F0ABA"/>
    <w:rsid w:val="717F6C52"/>
    <w:rsid w:val="718957FC"/>
    <w:rsid w:val="71C14F86"/>
    <w:rsid w:val="71DB3A09"/>
    <w:rsid w:val="71DF6E21"/>
    <w:rsid w:val="720A469C"/>
    <w:rsid w:val="72326712"/>
    <w:rsid w:val="72C70E57"/>
    <w:rsid w:val="72CE6752"/>
    <w:rsid w:val="72E17BC5"/>
    <w:rsid w:val="72F82CAD"/>
    <w:rsid w:val="73223592"/>
    <w:rsid w:val="73261C51"/>
    <w:rsid w:val="73496A81"/>
    <w:rsid w:val="73797948"/>
    <w:rsid w:val="737D26BC"/>
    <w:rsid w:val="738B6F48"/>
    <w:rsid w:val="73990FEB"/>
    <w:rsid w:val="74520C51"/>
    <w:rsid w:val="74625C44"/>
    <w:rsid w:val="746C1A3A"/>
    <w:rsid w:val="74791AB3"/>
    <w:rsid w:val="748051BB"/>
    <w:rsid w:val="74944905"/>
    <w:rsid w:val="74BA5AD2"/>
    <w:rsid w:val="74DB3ADA"/>
    <w:rsid w:val="74E92D60"/>
    <w:rsid w:val="750C5555"/>
    <w:rsid w:val="75222256"/>
    <w:rsid w:val="753658E9"/>
    <w:rsid w:val="753E3195"/>
    <w:rsid w:val="754B3A1B"/>
    <w:rsid w:val="755A5B60"/>
    <w:rsid w:val="75635BF6"/>
    <w:rsid w:val="75FA0FD5"/>
    <w:rsid w:val="760A3DFC"/>
    <w:rsid w:val="761756AB"/>
    <w:rsid w:val="763E0E8A"/>
    <w:rsid w:val="765476A8"/>
    <w:rsid w:val="765F1C20"/>
    <w:rsid w:val="7697136B"/>
    <w:rsid w:val="76A915B1"/>
    <w:rsid w:val="76B00853"/>
    <w:rsid w:val="76FE7477"/>
    <w:rsid w:val="771959B1"/>
    <w:rsid w:val="77196819"/>
    <w:rsid w:val="77211DF4"/>
    <w:rsid w:val="77282CE7"/>
    <w:rsid w:val="772C162A"/>
    <w:rsid w:val="7739648C"/>
    <w:rsid w:val="77422E8C"/>
    <w:rsid w:val="777A4144"/>
    <w:rsid w:val="77851BE3"/>
    <w:rsid w:val="77C57893"/>
    <w:rsid w:val="77FF5B47"/>
    <w:rsid w:val="78255B9D"/>
    <w:rsid w:val="78421573"/>
    <w:rsid w:val="78575210"/>
    <w:rsid w:val="78A51694"/>
    <w:rsid w:val="78AD5880"/>
    <w:rsid w:val="78B14A5C"/>
    <w:rsid w:val="78C4478F"/>
    <w:rsid w:val="79035281"/>
    <w:rsid w:val="790A6638"/>
    <w:rsid w:val="791C5D24"/>
    <w:rsid w:val="79330A4E"/>
    <w:rsid w:val="79633672"/>
    <w:rsid w:val="79667B82"/>
    <w:rsid w:val="798D2931"/>
    <w:rsid w:val="79906F9A"/>
    <w:rsid w:val="79E248CC"/>
    <w:rsid w:val="79FE54CC"/>
    <w:rsid w:val="7A3E2FF8"/>
    <w:rsid w:val="7A641E64"/>
    <w:rsid w:val="7A6655B0"/>
    <w:rsid w:val="7A704015"/>
    <w:rsid w:val="7A811927"/>
    <w:rsid w:val="7A8F29DE"/>
    <w:rsid w:val="7A98278B"/>
    <w:rsid w:val="7AAA399E"/>
    <w:rsid w:val="7AD4029D"/>
    <w:rsid w:val="7AE9338D"/>
    <w:rsid w:val="7AF06723"/>
    <w:rsid w:val="7AF60B64"/>
    <w:rsid w:val="7B3304EA"/>
    <w:rsid w:val="7B51340D"/>
    <w:rsid w:val="7B642495"/>
    <w:rsid w:val="7BA8634B"/>
    <w:rsid w:val="7BE539FA"/>
    <w:rsid w:val="7C0D094B"/>
    <w:rsid w:val="7C0D624E"/>
    <w:rsid w:val="7C517F42"/>
    <w:rsid w:val="7C532DD4"/>
    <w:rsid w:val="7C5B1B9A"/>
    <w:rsid w:val="7C5E4034"/>
    <w:rsid w:val="7C823750"/>
    <w:rsid w:val="7CC33656"/>
    <w:rsid w:val="7CC34068"/>
    <w:rsid w:val="7CD800C5"/>
    <w:rsid w:val="7CE75161"/>
    <w:rsid w:val="7CEE2E08"/>
    <w:rsid w:val="7D0A79AE"/>
    <w:rsid w:val="7D11554A"/>
    <w:rsid w:val="7D32101D"/>
    <w:rsid w:val="7DD10F1F"/>
    <w:rsid w:val="7E2C2491"/>
    <w:rsid w:val="7E503E50"/>
    <w:rsid w:val="7E9F22F8"/>
    <w:rsid w:val="7E9F6495"/>
    <w:rsid w:val="7EBB5F5B"/>
    <w:rsid w:val="7EDB3D9B"/>
    <w:rsid w:val="7EF97EFE"/>
    <w:rsid w:val="7F0739A3"/>
    <w:rsid w:val="7F0A2251"/>
    <w:rsid w:val="7F1029E1"/>
    <w:rsid w:val="7F370CAE"/>
    <w:rsid w:val="7F5100A5"/>
    <w:rsid w:val="7F514BCE"/>
    <w:rsid w:val="7F5771C9"/>
    <w:rsid w:val="7F845C03"/>
    <w:rsid w:val="7FDA3C0A"/>
    <w:rsid w:val="7FF95A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numPr>
        <w:ilvl w:val="1"/>
        <w:numId w:val="1"/>
      </w:numPr>
      <w:spacing w:before="260" w:after="260" w:line="416" w:lineRule="auto"/>
      <w:outlineLvl w:val="1"/>
    </w:pPr>
    <w:rPr>
      <w:rFonts w:ascii="Arial" w:hAnsi="Arial"/>
      <w:b/>
      <w:bCs/>
      <w:sz w:val="30"/>
      <w:szCs w:val="32"/>
    </w:rPr>
  </w:style>
  <w:style w:type="paragraph" w:styleId="3">
    <w:name w:val="heading 3"/>
    <w:basedOn w:val="1"/>
    <w:next w:val="1"/>
    <w:qFormat/>
    <w:uiPriority w:val="0"/>
    <w:pPr>
      <w:keepNext/>
      <w:keepLines/>
      <w:spacing w:before="60" w:after="60" w:line="560" w:lineRule="exact"/>
      <w:outlineLvl w:val="2"/>
    </w:pPr>
    <w:rPr>
      <w:b/>
      <w:bCs/>
      <w:sz w:val="28"/>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link w:val="28"/>
    <w:qFormat/>
    <w:uiPriority w:val="0"/>
    <w:pPr>
      <w:ind w:firstLine="420" w:firstLineChars="200"/>
    </w:pPr>
    <w:rPr>
      <w:rFonts w:asciiTheme="minorHAnsi" w:hAnsiTheme="minorHAnsi" w:eastAsiaTheme="minorEastAsia" w:cstheme="minorBidi"/>
      <w:szCs w:val="22"/>
    </w:rPr>
  </w:style>
  <w:style w:type="paragraph" w:styleId="5">
    <w:name w:val="Body Text Indent"/>
    <w:basedOn w:val="1"/>
    <w:unhideWhenUsed/>
    <w:qFormat/>
    <w:uiPriority w:val="99"/>
    <w:pPr>
      <w:spacing w:after="120"/>
      <w:ind w:left="420" w:leftChars="200"/>
    </w:pPr>
  </w:style>
  <w:style w:type="paragraph" w:styleId="6">
    <w:name w:val="Body Text"/>
    <w:basedOn w:val="1"/>
    <w:link w:val="29"/>
    <w:qFormat/>
    <w:uiPriority w:val="0"/>
    <w:pPr>
      <w:spacing w:after="120"/>
    </w:pPr>
  </w:style>
  <w:style w:type="paragraph" w:styleId="7">
    <w:name w:val="Plain Text"/>
    <w:basedOn w:val="1"/>
    <w:qFormat/>
    <w:uiPriority w:val="0"/>
    <w:rPr>
      <w:rFonts w:ascii="宋体" w:hAnsi="Courier New" w:cs="Courier New"/>
      <w:szCs w:val="21"/>
    </w:rPr>
  </w:style>
  <w:style w:type="paragraph" w:styleId="8">
    <w:name w:val="Balloon Text"/>
    <w:basedOn w:val="1"/>
    <w:link w:val="25"/>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jc w:val="left"/>
    </w:pPr>
    <w:rPr>
      <w:rFonts w:ascii="等线"/>
      <w:b/>
      <w:bCs/>
      <w:caps/>
      <w:szCs w:val="20"/>
    </w:rPr>
  </w:style>
  <w:style w:type="paragraph" w:styleId="12">
    <w:name w:val="toc 2"/>
    <w:basedOn w:val="1"/>
    <w:next w:val="1"/>
    <w:qFormat/>
    <w:uiPriority w:val="39"/>
    <w:pPr>
      <w:ind w:left="200" w:leftChars="200"/>
      <w:jc w:val="left"/>
    </w:pPr>
    <w:rPr>
      <w:rFonts w:ascii="等线"/>
      <w:smallCaps/>
      <w:szCs w:val="20"/>
    </w:rPr>
  </w:style>
  <w:style w:type="paragraph" w:styleId="13">
    <w:name w:val="Body Text 2"/>
    <w:basedOn w:val="1"/>
    <w:qFormat/>
    <w:uiPriority w:val="0"/>
    <w:rPr>
      <w:rFonts w:ascii="宋体"/>
      <w:spacing w:val="6"/>
      <w:kern w:val="0"/>
      <w:position w:val="10"/>
      <w:sz w:val="28"/>
    </w:rPr>
  </w:style>
  <w:style w:type="paragraph" w:styleId="14">
    <w:name w:val="Normal (Web)"/>
    <w:basedOn w:val="1"/>
    <w:unhideWhenUsed/>
    <w:qFormat/>
    <w:uiPriority w:val="99"/>
    <w:pPr>
      <w:widowControl/>
      <w:spacing w:before="100" w:beforeAutospacing="1" w:after="100" w:afterAutospacing="1"/>
      <w:jc w:val="left"/>
    </w:pPr>
    <w:rPr>
      <w:rFonts w:hAnsi="宋体" w:cs="宋体"/>
      <w:kern w:val="0"/>
      <w:sz w:val="24"/>
    </w:rPr>
  </w:style>
  <w:style w:type="paragraph" w:styleId="15">
    <w:name w:val="Body Text First Indent 2"/>
    <w:basedOn w:val="5"/>
    <w:unhideWhenUsed/>
    <w:qFormat/>
    <w:uiPriority w:val="99"/>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qFormat/>
    <w:uiPriority w:val="99"/>
    <w:rPr>
      <w:color w:val="136EC2"/>
      <w:u w:val="single"/>
    </w:rPr>
  </w:style>
  <w:style w:type="paragraph" w:customStyle="1" w:styleId="20">
    <w:name w:val="xl63"/>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36"/>
      <w:szCs w:val="36"/>
    </w:rPr>
  </w:style>
  <w:style w:type="paragraph" w:customStyle="1" w:styleId="21">
    <w:name w:val="3"/>
    <w:basedOn w:val="1"/>
    <w:next w:val="4"/>
    <w:qFormat/>
    <w:uiPriority w:val="0"/>
    <w:rPr>
      <w:rFonts w:ascii="Book Antiqua" w:hAnsi="Book Antiqua"/>
      <w:kern w:val="0"/>
    </w:rPr>
  </w:style>
  <w:style w:type="paragraph" w:customStyle="1" w:styleId="22">
    <w:name w:val="2"/>
    <w:basedOn w:val="1"/>
    <w:next w:val="14"/>
    <w:qFormat/>
    <w:uiPriority w:val="0"/>
    <w:pPr>
      <w:widowControl/>
      <w:spacing w:before="100" w:beforeAutospacing="1" w:after="100" w:afterAutospacing="1"/>
      <w:ind w:firstLine="480"/>
      <w:jc w:val="left"/>
    </w:pPr>
    <w:rPr>
      <w:rFonts w:ascii="宋体" w:hAnsi="宋体"/>
      <w:kern w:val="0"/>
      <w:sz w:val="24"/>
    </w:rPr>
  </w:style>
  <w:style w:type="paragraph" w:customStyle="1" w:styleId="23">
    <w:name w:val="目录"/>
    <w:basedOn w:val="11"/>
    <w:qFormat/>
    <w:uiPriority w:val="0"/>
    <w:pPr>
      <w:tabs>
        <w:tab w:val="right" w:leader="dot" w:pos="8296"/>
      </w:tabs>
    </w:pPr>
    <w:rPr>
      <w:rFonts w:ascii="仿宋" w:hAnsi="仿宋"/>
      <w:b w:val="0"/>
      <w:bCs w:val="0"/>
      <w:caps w:val="0"/>
      <w:color w:val="000000"/>
      <w:szCs w:val="28"/>
    </w:rPr>
  </w:style>
  <w:style w:type="paragraph" w:customStyle="1" w:styleId="24">
    <w:name w:val="封面2"/>
    <w:basedOn w:val="1"/>
    <w:qFormat/>
    <w:uiPriority w:val="0"/>
    <w:pPr>
      <w:jc w:val="center"/>
    </w:pPr>
    <w:rPr>
      <w:rFonts w:ascii="黑体" w:hAnsi="黑体" w:eastAsia="黑体" w:cs="宋体"/>
      <w:sz w:val="36"/>
      <w:szCs w:val="20"/>
    </w:rPr>
  </w:style>
  <w:style w:type="character" w:customStyle="1" w:styleId="25">
    <w:name w:val="批注框文本 Char"/>
    <w:basedOn w:val="18"/>
    <w:link w:val="8"/>
    <w:qFormat/>
    <w:uiPriority w:val="0"/>
    <w:rPr>
      <w:rFonts w:ascii="Times New Roman" w:hAnsi="Times New Roman" w:eastAsia="宋体" w:cs="Times New Roman"/>
      <w:kern w:val="2"/>
      <w:sz w:val="18"/>
      <w:szCs w:val="18"/>
    </w:rPr>
  </w:style>
  <w:style w:type="paragraph" w:styleId="26">
    <w:name w:val="List Paragraph"/>
    <w:basedOn w:val="1"/>
    <w:unhideWhenUsed/>
    <w:qFormat/>
    <w:uiPriority w:val="99"/>
    <w:pPr>
      <w:ind w:firstLine="420" w:firstLineChars="200"/>
    </w:pPr>
  </w:style>
  <w:style w:type="paragraph" w:customStyle="1" w:styleId="27">
    <w:name w:val="表格"/>
    <w:basedOn w:val="1"/>
    <w:qFormat/>
    <w:uiPriority w:val="0"/>
    <w:pPr>
      <w:widowControl/>
      <w:jc w:val="center"/>
    </w:pPr>
    <w:rPr>
      <w:rFonts w:cs="宋体"/>
      <w:kern w:val="0"/>
    </w:rPr>
  </w:style>
  <w:style w:type="character" w:customStyle="1" w:styleId="28">
    <w:name w:val="正文缩进 Char"/>
    <w:link w:val="4"/>
    <w:qFormat/>
    <w:uiPriority w:val="0"/>
    <w:rPr>
      <w:rFonts w:asciiTheme="minorHAnsi" w:hAnsiTheme="minorHAnsi" w:eastAsiaTheme="minorEastAsia" w:cstheme="minorBidi"/>
      <w:kern w:val="2"/>
      <w:sz w:val="21"/>
      <w:szCs w:val="22"/>
    </w:rPr>
  </w:style>
  <w:style w:type="character" w:customStyle="1" w:styleId="29">
    <w:name w:val="正文文本 Char"/>
    <w:basedOn w:val="18"/>
    <w:link w:val="6"/>
    <w:qFormat/>
    <w:uiPriority w:val="0"/>
    <w:rPr>
      <w:rFonts w:ascii="Times New Roman" w:hAnsi="Times New Roman"/>
      <w:kern w:val="2"/>
      <w:sz w:val="21"/>
      <w:szCs w:val="24"/>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设计正文"/>
    <w:basedOn w:val="1"/>
    <w:qFormat/>
    <w:uiPriority w:val="0"/>
    <w:pPr>
      <w:adjustRightInd w:val="0"/>
      <w:spacing w:line="360" w:lineRule="auto"/>
      <w:ind w:firstLine="200" w:firstLineChars="200"/>
      <w:textAlignment w:val="baseline"/>
    </w:pPr>
    <w:rPr>
      <w:kern w:val="0"/>
      <w:sz w:val="24"/>
      <w:szCs w:val="20"/>
    </w:rPr>
  </w:style>
  <w:style w:type="paragraph" w:customStyle="1" w:styleId="32">
    <w:name w:val="表头"/>
    <w:basedOn w:val="1"/>
    <w:qFormat/>
    <w:uiPriority w:val="99"/>
    <w:pPr>
      <w:adjustRightInd/>
      <w:snapToGrid/>
      <w:spacing w:line="360" w:lineRule="auto"/>
      <w:ind w:firstLine="0"/>
      <w:jc w:val="center"/>
      <w:textAlignment w:val="auto"/>
    </w:pPr>
    <w:rPr>
      <w:rFonts w:ascii="Times New Roman" w:eastAsia="仿宋_GB2312"/>
      <w:b/>
      <w:spacing w:val="6"/>
      <w:kern w:val="28"/>
      <w:sz w:val="28"/>
    </w:rPr>
  </w:style>
  <w:style w:type="paragraph" w:customStyle="1" w:styleId="33">
    <w:name w:val="样式1"/>
    <w:basedOn w:val="1"/>
    <w:qFormat/>
    <w:uiPriority w:val="99"/>
    <w:pPr>
      <w:adjustRightInd/>
      <w:snapToGrid/>
      <w:spacing w:line="240" w:lineRule="auto"/>
      <w:ind w:firstLine="480"/>
      <w:jc w:val="both"/>
      <w:textAlignment w:val="auto"/>
    </w:pPr>
    <w:rPr>
      <w:rFonts w:ascii="仿宋_GB2312" w:eastAsia="仿宋_GB2312"/>
      <w:b/>
      <w:snapToGrid/>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4642</Words>
  <Characters>5559</Characters>
  <Lines>98</Lines>
  <Paragraphs>27</Paragraphs>
  <TotalTime>0</TotalTime>
  <ScaleCrop>false</ScaleCrop>
  <LinksUpToDate>false</LinksUpToDate>
  <CharactersWithSpaces>5587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2020-11-25T14:20:00Z</dcterms:created>
  <dc:creator>Administrator</dc:creator>
  <cp:lastModifiedBy>千里之行始于足下足下足下足下</cp:lastModifiedBy>
  <cp:lastPrinted>2021-08-09T07:20:00Z</cp:lastPrinted>
  <dcterms:modified xsi:type="dcterms:W3CDTF">2026-05-12T02:40:26Z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92223A803E564E7FBD7F125E15F76768</vt:lpwstr>
  </property>
  <property fmtid="{D5CDD505-2E9C-101B-9397-08002B2CF9AE}" pid="4" name="KSOTemplateDocerSaveRecord">
    <vt:lpwstr>eyJoZGlkIjoiYWI3YWE0YjZkNTE3YjcyNTFhNmEyMjgxZjJjNjFkMTciLCJ1c2VySWQiOiIxMDE3NzI2OTM5In0=</vt:lpwstr>
  </property>
</Properties>
</file>