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E42D7B3">
      <w:pPr>
        <w:jc w:val="both"/>
        <w:rPr>
          <w:rFonts w:hint="eastAsia" w:ascii="宋体" w:hAnsi="宋体" w:eastAsia="宋体" w:cs="宋体"/>
          <w:b/>
          <w:bCs/>
          <w:sz w:val="84"/>
          <w:highlight w:val="none"/>
        </w:rPr>
      </w:pPr>
      <w:bookmarkStart w:id="0" w:name="_Toc2403"/>
      <w:r>
        <w:rPr>
          <w:rFonts w:hint="eastAsia" w:ascii="宋体" w:hAnsi="宋体"/>
          <w:sz w:val="28"/>
          <w:szCs w:val="28"/>
          <w:highlight w:val="none"/>
        </w:rPr>
        <w:drawing>
          <wp:inline distT="0" distB="0" distL="114300" distR="114300">
            <wp:extent cx="1130300" cy="938530"/>
            <wp:effectExtent l="0" t="0" r="0" b="1270"/>
            <wp:docPr id="2" name="图片 1" descr="QAV879[C39RW~ZSOT{MBZ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AV879[C39RW~ZSOT{MBZRR"/>
                    <pic:cNvPicPr>
                      <a:picLocks noChangeAspect="1"/>
                    </pic:cNvPicPr>
                  </pic:nvPicPr>
                  <pic:blipFill>
                    <a:blip r:embed="rId20"/>
                    <a:stretch>
                      <a:fillRect/>
                    </a:stretch>
                  </pic:blipFill>
                  <pic:spPr>
                    <a:xfrm>
                      <a:off x="0" y="0"/>
                      <a:ext cx="1130300" cy="938530"/>
                    </a:xfrm>
                    <a:prstGeom prst="rect">
                      <a:avLst/>
                    </a:prstGeom>
                    <a:noFill/>
                    <a:ln>
                      <a:noFill/>
                    </a:ln>
                  </pic:spPr>
                </pic:pic>
              </a:graphicData>
            </a:graphic>
          </wp:inline>
        </w:drawing>
      </w:r>
    </w:p>
    <w:p w14:paraId="7B84E845">
      <w:pPr>
        <w:keepNext w:val="0"/>
        <w:keepLines w:val="0"/>
        <w:pageBreakBefore w:val="0"/>
        <w:widowControl w:val="0"/>
        <w:kinsoku/>
        <w:wordWrap/>
        <w:overflowPunct/>
        <w:topLinePunct w:val="0"/>
        <w:autoSpaceDE/>
        <w:autoSpaceDN/>
        <w:bidi w:val="0"/>
        <w:adjustRightInd/>
        <w:snapToGrid/>
        <w:spacing w:before="313" w:beforeLines="100" w:line="288" w:lineRule="auto"/>
        <w:jc w:val="center"/>
        <w:textAlignment w:val="auto"/>
        <w:rPr>
          <w:rFonts w:hint="eastAsia" w:ascii="宋体" w:hAnsi="宋体" w:eastAsia="宋体" w:cs="宋体"/>
          <w:b/>
          <w:bCs/>
          <w:sz w:val="56"/>
          <w:szCs w:val="20"/>
          <w:highlight w:val="none"/>
          <w:lang w:val="en-US" w:eastAsia="zh-CN"/>
        </w:rPr>
      </w:pPr>
      <w:r>
        <w:rPr>
          <w:rFonts w:hint="eastAsia" w:cs="宋体"/>
          <w:b/>
          <w:bCs/>
          <w:sz w:val="56"/>
          <w:szCs w:val="20"/>
          <w:highlight w:val="none"/>
          <w:lang w:val="en-US" w:eastAsia="zh-CN"/>
        </w:rPr>
        <w:t>巧家县公安局交通管理大队2026年科技管控建设项目</w:t>
      </w:r>
      <w:r>
        <w:rPr>
          <w:rFonts w:hint="eastAsia" w:cs="宋体"/>
          <w:b/>
          <w:bCs/>
          <w:color w:val="auto"/>
          <w:sz w:val="56"/>
          <w:szCs w:val="20"/>
          <w:highlight w:val="none"/>
          <w:lang w:val="en-US" w:eastAsia="zh-CN"/>
        </w:rPr>
        <w:t>—</w:t>
      </w:r>
      <w:r>
        <w:rPr>
          <w:rFonts w:hint="eastAsia" w:cs="宋体"/>
          <w:b/>
          <w:bCs/>
          <w:sz w:val="56"/>
          <w:szCs w:val="20"/>
          <w:highlight w:val="none"/>
          <w:lang w:val="en-US" w:eastAsia="zh-CN"/>
        </w:rPr>
        <w:t>玉屏街道岩湾安置区综合治理系统</w:t>
      </w:r>
    </w:p>
    <w:p w14:paraId="569D8913">
      <w:pPr>
        <w:jc w:val="center"/>
        <w:rPr>
          <w:rFonts w:hint="eastAsia" w:ascii="宋体" w:hAnsi="宋体" w:eastAsia="宋体" w:cs="宋体"/>
          <w:b/>
          <w:bCs/>
          <w:sz w:val="44"/>
          <w:szCs w:val="15"/>
          <w:highlight w:val="none"/>
          <w:lang w:eastAsia="zh-CN"/>
        </w:rPr>
      </w:pPr>
      <w:r>
        <w:rPr>
          <w:rFonts w:hint="eastAsia" w:ascii="宋体" w:hAnsi="宋体" w:eastAsia="宋体" w:cs="宋体"/>
          <w:b/>
          <w:bCs/>
          <w:sz w:val="44"/>
          <w:szCs w:val="15"/>
          <w:highlight w:val="none"/>
          <w:lang w:eastAsia="zh-CN"/>
        </w:rPr>
        <w:t>（</w:t>
      </w:r>
      <w:r>
        <w:rPr>
          <w:rFonts w:hint="eastAsia" w:cs="宋体"/>
          <w:b/>
          <w:bCs/>
          <w:sz w:val="44"/>
          <w:szCs w:val="15"/>
          <w:highlight w:val="none"/>
          <w:lang w:val="en-US" w:eastAsia="zh-CN"/>
        </w:rPr>
        <w:t>项目</w:t>
      </w:r>
      <w:r>
        <w:rPr>
          <w:rFonts w:hint="eastAsia" w:ascii="宋体" w:hAnsi="宋体" w:eastAsia="宋体" w:cs="宋体"/>
          <w:b/>
          <w:bCs/>
          <w:sz w:val="44"/>
          <w:szCs w:val="15"/>
          <w:highlight w:val="none"/>
        </w:rPr>
        <w:t>编号</w:t>
      </w:r>
      <w:r>
        <w:rPr>
          <w:rFonts w:hint="eastAsia" w:ascii="宋体" w:hAnsi="宋体" w:eastAsia="宋体" w:cs="宋体"/>
          <w:b/>
          <w:bCs/>
          <w:sz w:val="44"/>
          <w:szCs w:val="15"/>
          <w:highlight w:val="none"/>
          <w:lang w:eastAsia="zh-CN"/>
        </w:rPr>
        <w:t>：ZTZC2026-C1-00452-YNCY-0003</w:t>
      </w:r>
      <w:r>
        <w:rPr>
          <w:rFonts w:hint="eastAsia" w:cs="宋体"/>
          <w:b/>
          <w:bCs/>
          <w:sz w:val="44"/>
          <w:szCs w:val="15"/>
          <w:highlight w:val="none"/>
          <w:lang w:eastAsia="zh-CN"/>
        </w:rPr>
        <w:t>、</w:t>
      </w:r>
    </w:p>
    <w:p w14:paraId="0588EB38">
      <w:pPr>
        <w:jc w:val="center"/>
        <w:rPr>
          <w:rFonts w:hint="eastAsia" w:ascii="宋体" w:hAnsi="宋体" w:eastAsia="宋体" w:cs="宋体"/>
          <w:b/>
          <w:bCs/>
          <w:sz w:val="60"/>
          <w:szCs w:val="21"/>
          <w:highlight w:val="none"/>
          <w:lang w:eastAsia="zh-CN"/>
        </w:rPr>
      </w:pPr>
      <w:r>
        <w:rPr>
          <w:rFonts w:hint="eastAsia" w:cs="宋体"/>
          <w:b/>
          <w:bCs/>
          <w:sz w:val="44"/>
          <w:szCs w:val="15"/>
          <w:highlight w:val="none"/>
          <w:lang w:val="en-US" w:eastAsia="zh-CN"/>
        </w:rPr>
        <w:t>采购</w:t>
      </w:r>
      <w:r>
        <w:rPr>
          <w:rFonts w:hint="eastAsia" w:ascii="宋体" w:hAnsi="宋体" w:eastAsia="宋体" w:cs="宋体"/>
          <w:b/>
          <w:bCs/>
          <w:sz w:val="44"/>
          <w:szCs w:val="15"/>
          <w:highlight w:val="none"/>
        </w:rPr>
        <w:t>编号</w:t>
      </w:r>
      <w:r>
        <w:rPr>
          <w:rFonts w:hint="eastAsia" w:ascii="宋体" w:hAnsi="宋体" w:eastAsia="宋体" w:cs="宋体"/>
          <w:b/>
          <w:bCs/>
          <w:sz w:val="44"/>
          <w:szCs w:val="15"/>
          <w:highlight w:val="none"/>
          <w:lang w:eastAsia="zh-CN"/>
        </w:rPr>
        <w:t>：</w:t>
      </w:r>
      <w:r>
        <w:rPr>
          <w:rFonts w:hint="eastAsia" w:cs="宋体"/>
          <w:b/>
          <w:bCs/>
          <w:sz w:val="44"/>
          <w:szCs w:val="15"/>
          <w:highlight w:val="none"/>
          <w:lang w:eastAsia="zh-CN"/>
        </w:rPr>
        <w:t>YNCYZB2026046</w:t>
      </w:r>
      <w:r>
        <w:rPr>
          <w:rFonts w:hint="eastAsia" w:ascii="宋体" w:hAnsi="宋体" w:eastAsia="宋体" w:cs="宋体"/>
          <w:b/>
          <w:bCs/>
          <w:sz w:val="44"/>
          <w:szCs w:val="15"/>
          <w:highlight w:val="none"/>
          <w:lang w:eastAsia="zh-CN"/>
        </w:rPr>
        <w:t>）</w:t>
      </w:r>
    </w:p>
    <w:p w14:paraId="74513A86">
      <w:pPr>
        <w:jc w:val="center"/>
        <w:rPr>
          <w:rFonts w:hint="eastAsia" w:ascii="宋体" w:hAnsi="宋体" w:eastAsia="宋体" w:cs="宋体"/>
          <w:b/>
          <w:bCs/>
          <w:sz w:val="60"/>
          <w:szCs w:val="21"/>
          <w:highlight w:val="none"/>
          <w:lang w:eastAsia="zh-CN"/>
        </w:rPr>
      </w:pPr>
    </w:p>
    <w:p w14:paraId="701396A0">
      <w:pPr>
        <w:jc w:val="center"/>
        <w:rPr>
          <w:rFonts w:hint="eastAsia" w:ascii="宋体" w:hAnsi="宋体" w:eastAsia="宋体" w:cs="宋体"/>
          <w:b/>
          <w:bCs/>
          <w:sz w:val="84"/>
          <w:highlight w:val="none"/>
        </w:rPr>
      </w:pPr>
    </w:p>
    <w:p w14:paraId="16BA4A97">
      <w:pPr>
        <w:jc w:val="center"/>
        <w:rPr>
          <w:rFonts w:hint="eastAsia" w:ascii="宋体" w:hAnsi="宋体" w:eastAsia="宋体" w:cs="宋体"/>
          <w:b/>
          <w:bCs/>
          <w:sz w:val="84"/>
          <w:highlight w:val="none"/>
        </w:rPr>
      </w:pPr>
      <w:r>
        <w:rPr>
          <w:rFonts w:hint="eastAsia" w:ascii="宋体" w:hAnsi="宋体" w:eastAsia="宋体" w:cs="宋体"/>
          <w:b/>
          <w:bCs/>
          <w:sz w:val="84"/>
          <w:highlight w:val="none"/>
        </w:rPr>
        <w:t>竞争性磋商文件</w:t>
      </w:r>
    </w:p>
    <w:p w14:paraId="7DCF605F">
      <w:pPr>
        <w:widowControl/>
        <w:adjustRightInd w:val="0"/>
        <w:snapToGrid w:val="0"/>
        <w:spacing w:line="360" w:lineRule="auto"/>
        <w:ind w:firstLine="321" w:firstLineChars="100"/>
        <w:jc w:val="left"/>
        <w:rPr>
          <w:rFonts w:hint="eastAsia" w:ascii="宋体" w:hAnsi="宋体" w:eastAsia="宋体" w:cs="宋体"/>
          <w:b/>
          <w:kern w:val="0"/>
          <w:sz w:val="32"/>
          <w:szCs w:val="32"/>
          <w:highlight w:val="none"/>
        </w:rPr>
      </w:pPr>
    </w:p>
    <w:p w14:paraId="66B205C0">
      <w:pPr>
        <w:widowControl/>
        <w:adjustRightInd w:val="0"/>
        <w:snapToGrid w:val="0"/>
        <w:spacing w:line="360" w:lineRule="auto"/>
        <w:ind w:firstLine="321" w:firstLineChars="100"/>
        <w:jc w:val="left"/>
        <w:rPr>
          <w:rFonts w:hint="eastAsia" w:ascii="宋体" w:hAnsi="宋体" w:eastAsia="宋体" w:cs="宋体"/>
          <w:b/>
          <w:kern w:val="0"/>
          <w:sz w:val="32"/>
          <w:szCs w:val="32"/>
          <w:highlight w:val="none"/>
        </w:rPr>
      </w:pPr>
    </w:p>
    <w:p w14:paraId="07FBDA53">
      <w:pPr>
        <w:widowControl/>
        <w:adjustRightInd w:val="0"/>
        <w:snapToGrid w:val="0"/>
        <w:spacing w:line="360" w:lineRule="auto"/>
        <w:ind w:firstLine="321" w:firstLineChars="100"/>
        <w:jc w:val="left"/>
        <w:rPr>
          <w:rFonts w:hint="eastAsia" w:ascii="宋体" w:hAnsi="宋体" w:eastAsia="宋体" w:cs="宋体"/>
          <w:b/>
          <w:kern w:val="0"/>
          <w:sz w:val="32"/>
          <w:szCs w:val="32"/>
          <w:highlight w:val="none"/>
        </w:rPr>
      </w:pPr>
    </w:p>
    <w:p w14:paraId="6A4AEB2B">
      <w:pPr>
        <w:widowControl/>
        <w:adjustRightInd w:val="0"/>
        <w:snapToGrid w:val="0"/>
        <w:spacing w:line="360" w:lineRule="auto"/>
        <w:ind w:firstLine="321" w:firstLineChars="100"/>
        <w:jc w:val="left"/>
        <w:rPr>
          <w:rFonts w:hint="eastAsia" w:ascii="宋体" w:hAnsi="宋体" w:eastAsia="宋体" w:cs="宋体"/>
          <w:b/>
          <w:kern w:val="0"/>
          <w:sz w:val="32"/>
          <w:szCs w:val="32"/>
          <w:highlight w:val="none"/>
        </w:rPr>
      </w:pPr>
    </w:p>
    <w:p w14:paraId="4C12D619">
      <w:pPr>
        <w:widowControl/>
        <w:adjustRightInd w:val="0"/>
        <w:snapToGrid w:val="0"/>
        <w:spacing w:line="360" w:lineRule="auto"/>
        <w:ind w:firstLine="402" w:firstLineChars="100"/>
        <w:jc w:val="center"/>
        <w:rPr>
          <w:rFonts w:hint="eastAsia" w:ascii="宋体" w:hAnsi="宋体" w:eastAsia="宋体" w:cs="宋体"/>
          <w:b/>
          <w:kern w:val="0"/>
          <w:sz w:val="40"/>
          <w:szCs w:val="40"/>
          <w:highlight w:val="none"/>
        </w:rPr>
      </w:pPr>
    </w:p>
    <w:p w14:paraId="15356B3B">
      <w:pPr>
        <w:widowControl/>
        <w:adjustRightInd w:val="0"/>
        <w:snapToGrid w:val="0"/>
        <w:spacing w:line="360" w:lineRule="auto"/>
        <w:ind w:firstLine="402" w:firstLineChars="100"/>
        <w:jc w:val="center"/>
        <w:rPr>
          <w:rFonts w:hint="eastAsia" w:ascii="宋体" w:hAnsi="宋体" w:eastAsia="宋体" w:cs="宋体"/>
          <w:b/>
          <w:kern w:val="0"/>
          <w:sz w:val="40"/>
          <w:szCs w:val="40"/>
          <w:highlight w:val="none"/>
        </w:rPr>
      </w:pPr>
      <w:r>
        <w:rPr>
          <w:rFonts w:hint="eastAsia" w:ascii="宋体" w:hAnsi="宋体" w:eastAsia="宋体" w:cs="宋体"/>
          <w:b/>
          <w:kern w:val="0"/>
          <w:sz w:val="40"/>
          <w:szCs w:val="40"/>
          <w:highlight w:val="none"/>
        </w:rPr>
        <w:t>采购人：巧家县公安局交通</w:t>
      </w:r>
      <w:r>
        <w:rPr>
          <w:rFonts w:hint="eastAsia" w:cs="宋体"/>
          <w:b/>
          <w:kern w:val="0"/>
          <w:sz w:val="40"/>
          <w:szCs w:val="40"/>
          <w:highlight w:val="none"/>
          <w:lang w:val="en-US" w:eastAsia="zh-CN"/>
        </w:rPr>
        <w:t>管理</w:t>
      </w:r>
      <w:r>
        <w:rPr>
          <w:rFonts w:hint="eastAsia" w:ascii="宋体" w:hAnsi="宋体" w:eastAsia="宋体" w:cs="宋体"/>
          <w:b/>
          <w:kern w:val="0"/>
          <w:sz w:val="40"/>
          <w:szCs w:val="40"/>
          <w:highlight w:val="none"/>
        </w:rPr>
        <w:t>大队</w:t>
      </w:r>
    </w:p>
    <w:p w14:paraId="180CAAAB">
      <w:pPr>
        <w:widowControl/>
        <w:adjustRightInd w:val="0"/>
        <w:snapToGrid w:val="0"/>
        <w:spacing w:line="360" w:lineRule="auto"/>
        <w:ind w:firstLine="402" w:firstLineChars="100"/>
        <w:jc w:val="center"/>
        <w:rPr>
          <w:rFonts w:hint="eastAsia" w:ascii="宋体" w:hAnsi="宋体" w:eastAsia="宋体" w:cs="宋体"/>
          <w:b/>
          <w:kern w:val="0"/>
          <w:sz w:val="40"/>
          <w:szCs w:val="40"/>
          <w:highlight w:val="none"/>
        </w:rPr>
      </w:pPr>
      <w:r>
        <w:rPr>
          <w:rFonts w:hint="eastAsia" w:ascii="宋体" w:hAnsi="宋体" w:eastAsia="宋体" w:cs="宋体"/>
          <w:b/>
          <w:kern w:val="0"/>
          <w:sz w:val="40"/>
          <w:szCs w:val="40"/>
          <w:highlight w:val="none"/>
        </w:rPr>
        <w:t>采购代理机构：云南辰胤工程项目管理有限公司</w:t>
      </w:r>
    </w:p>
    <w:p w14:paraId="5F0A1537">
      <w:pPr>
        <w:spacing w:line="360" w:lineRule="auto"/>
        <w:ind w:firstLine="402" w:firstLineChars="100"/>
        <w:jc w:val="center"/>
        <w:rPr>
          <w:rFonts w:hint="eastAsia" w:ascii="宋体" w:hAnsi="宋体" w:eastAsia="宋体" w:cs="宋体"/>
          <w:b/>
          <w:kern w:val="0"/>
          <w:sz w:val="40"/>
          <w:szCs w:val="40"/>
          <w:highlight w:val="none"/>
        </w:rPr>
      </w:pPr>
      <w:r>
        <w:rPr>
          <w:rFonts w:hint="eastAsia" w:ascii="宋体" w:hAnsi="宋体" w:eastAsia="宋体" w:cs="宋体"/>
          <w:b/>
          <w:kern w:val="0"/>
          <w:sz w:val="40"/>
          <w:szCs w:val="40"/>
          <w:highlight w:val="none"/>
        </w:rPr>
        <w:t>二〇二</w:t>
      </w:r>
      <w:r>
        <w:rPr>
          <w:rFonts w:hint="eastAsia" w:cs="宋体"/>
          <w:b/>
          <w:kern w:val="0"/>
          <w:sz w:val="40"/>
          <w:szCs w:val="40"/>
          <w:highlight w:val="none"/>
          <w:lang w:val="en-US" w:eastAsia="zh-CN"/>
        </w:rPr>
        <w:t>六</w:t>
      </w:r>
      <w:r>
        <w:rPr>
          <w:rFonts w:hint="eastAsia" w:ascii="宋体" w:hAnsi="宋体" w:eastAsia="宋体" w:cs="宋体"/>
          <w:b/>
          <w:kern w:val="0"/>
          <w:sz w:val="40"/>
          <w:szCs w:val="40"/>
          <w:highlight w:val="none"/>
        </w:rPr>
        <w:t>年</w:t>
      </w:r>
      <w:r>
        <w:rPr>
          <w:rFonts w:hint="eastAsia" w:cs="宋体"/>
          <w:b/>
          <w:kern w:val="0"/>
          <w:sz w:val="40"/>
          <w:szCs w:val="40"/>
          <w:highlight w:val="none"/>
          <w:lang w:val="en-US" w:eastAsia="zh-CN"/>
        </w:rPr>
        <w:t>五</w:t>
      </w:r>
      <w:r>
        <w:rPr>
          <w:rFonts w:hint="eastAsia" w:ascii="宋体" w:hAnsi="宋体" w:eastAsia="宋体" w:cs="宋体"/>
          <w:b/>
          <w:kern w:val="0"/>
          <w:sz w:val="40"/>
          <w:szCs w:val="40"/>
          <w:highlight w:val="none"/>
        </w:rPr>
        <w:t>月</w:t>
      </w:r>
      <w:bookmarkEnd w:id="0"/>
    </w:p>
    <w:p w14:paraId="1401D680">
      <w:pPr>
        <w:pStyle w:val="2"/>
        <w:shd w:val="clear"/>
        <w:tabs>
          <w:tab w:val="left" w:pos="1440"/>
        </w:tabs>
        <w:jc w:val="both"/>
        <w:rPr>
          <w:rFonts w:hint="eastAsia" w:ascii="仿宋" w:hAnsi="仿宋" w:eastAsia="仿宋" w:cs="仿宋"/>
          <w:color w:val="auto"/>
          <w:highlight w:val="none"/>
          <w:lang w:val="en-US" w:eastAsia="zh-CN"/>
        </w:rPr>
        <w:sectPr>
          <w:headerReference r:id="rId3" w:type="default"/>
          <w:footerReference r:id="rId4" w:type="default"/>
          <w:pgSz w:w="11906" w:h="16838"/>
          <w:pgMar w:top="1417" w:right="1134" w:bottom="1417" w:left="1134" w:header="851" w:footer="850" w:gutter="0"/>
          <w:pgNumType w:fmt="decimal"/>
          <w:cols w:space="720" w:num="1"/>
          <w:docGrid w:linePitch="312" w:charSpace="0"/>
        </w:sectPr>
      </w:pPr>
    </w:p>
    <w:p w14:paraId="02014C8F">
      <w:pPr>
        <w:pStyle w:val="2"/>
        <w:keepNext w:val="0"/>
        <w:keepLines w:val="0"/>
        <w:pageBreakBefore w:val="0"/>
        <w:widowControl w:val="0"/>
        <w:shd w:val="clear"/>
        <w:tabs>
          <w:tab w:val="left" w:pos="1440"/>
        </w:tabs>
        <w:wordWrap/>
        <w:topLinePunct w:val="0"/>
        <w:bidi w:val="0"/>
        <w:adjustRightInd/>
        <w:snapToGrid/>
        <w:spacing w:before="0" w:line="360" w:lineRule="auto"/>
        <w:ind w:firstLine="723" w:firstLineChars="200"/>
        <w:jc w:val="center"/>
        <w:textAlignment w:val="auto"/>
        <w:rPr>
          <w:rFonts w:hint="eastAsia" w:ascii="宋体" w:hAnsi="宋体" w:eastAsia="宋体" w:cs="宋体"/>
          <w:b/>
          <w:bCs/>
          <w:color w:val="auto"/>
          <w:highlight w:val="none"/>
          <w:lang w:val="en-US" w:eastAsia="zh-CN"/>
        </w:rPr>
      </w:pPr>
      <w:bookmarkStart w:id="1" w:name="_Toc32648"/>
      <w:bookmarkStart w:id="2" w:name="_Toc7568"/>
      <w:bookmarkStart w:id="3" w:name="_Toc21810"/>
      <w:bookmarkStart w:id="4" w:name="_Toc32179"/>
      <w:r>
        <w:rPr>
          <w:rFonts w:hint="eastAsia" w:ascii="宋体" w:hAnsi="宋体" w:eastAsia="宋体" w:cs="宋体"/>
          <w:b/>
          <w:bCs/>
          <w:color w:val="auto"/>
          <w:highlight w:val="none"/>
          <w:lang w:val="en-US" w:eastAsia="zh-CN"/>
        </w:rPr>
        <w:t>温馨提示</w:t>
      </w:r>
      <w:bookmarkEnd w:id="1"/>
    </w:p>
    <w:p w14:paraId="7364F91E">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本项目在政采云平台电子化交易，请</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认真阅读如下电子化交易的内容： </w:t>
      </w:r>
    </w:p>
    <w:p w14:paraId="38B3097B">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1、电子采购文件的获取</w:t>
      </w:r>
    </w:p>
    <w:p w14:paraId="17AF6B5F">
      <w:pPr>
        <w:keepNext w:val="0"/>
        <w:keepLines w:val="0"/>
        <w:pageBreakBefore w:val="0"/>
        <w:widowControl w:val="0"/>
        <w:shd w:val="clear"/>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发放纸质采购文件。供应商可自行在“政采云”平台（http：//www.zcygov.cn）下载采购文件（操作路径：登录“政采云”平台-项目采购-获取采购文件-找到本项目-点击“申请获取采购文件”），电子响应文件制作需基于“政采云”平台（http：//www.zcygov.cn）获取的采购文件编制。</w:t>
      </w:r>
    </w:p>
    <w:p w14:paraId="5CA3FE7C">
      <w:pPr>
        <w:keepNext w:val="0"/>
        <w:keepLines w:val="0"/>
        <w:pageBreakBefore w:val="0"/>
        <w:widowControl w:val="0"/>
        <w:shd w:val="clear"/>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凡有意参加磋商者，须在政采云平台办理数字证书（CA），CA申领链接：https://middle.zcygov.cn/ca/apply/list?_app_=zcy.sys，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②按上述要求获取采购文件的供应商视为合法获取了本项目采购文件，具备本项目的磋商资格。</w:t>
      </w:r>
    </w:p>
    <w:p w14:paraId="187DB706">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2、电子响应文件的组成及要求</w:t>
      </w:r>
    </w:p>
    <w:p w14:paraId="698FBE60">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响应文件全部采用电子文档，应使用数字证书（CA）进行电子签名及加密上传。</w:t>
      </w:r>
    </w:p>
    <w:p w14:paraId="0FF43254">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3、电子响应文件的编制及递交</w:t>
      </w:r>
    </w:p>
    <w:p w14:paraId="463A135B">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72F46655">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（2）如供应商提交的电子标书不符合“政采云”平台要求或开标时无法读取导入或解密，其响应文件将不予受理。</w:t>
      </w:r>
    </w:p>
    <w:p w14:paraId="07C5652F">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4、电子采购文件澄清与答疑</w:t>
      </w:r>
    </w:p>
    <w:p w14:paraId="6A6A6EBE">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仔细阅读和检查采购文件的全部内容。如发现缺页或附件不全，应及时向采购人提出，以便补齐。如有疑问，应在供应商须知规定的时间前要求采购人对采购文件予以澄清。任何询问、质疑在线提交后联系采购代理机构受理，并同步发送邮箱yncy999@126.com。</w:t>
      </w:r>
    </w:p>
    <w:p w14:paraId="0C7ECC31">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5、电子采购文件的修改</w:t>
      </w:r>
    </w:p>
    <w:p w14:paraId="1BC94A71">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（1）采购人对采购文件中的涉及评审办法、评审项目等重要评审内容做出变更，将同时发布补遗文件进行说明以保证各供应商都能重新下载并用于编制电子响应文件。</w:t>
      </w:r>
    </w:p>
    <w:p w14:paraId="70B38330">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（2）供应商应在响应文件递交截止时间前及时登录“云南省政府采购网”查看有关该项目采购文件的答疑、补遗内容。否则，后果自负。</w:t>
      </w:r>
    </w:p>
    <w:p w14:paraId="29B0ED22">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（3）采购文件澄清、采购文件修改文件内容均以网上电子文件为准，当竞争性磋商文件、竞争性磋商文件澄清、竞争性磋商文件修改内容前后相互矛盾时，以最后发出的为准。</w:t>
      </w:r>
    </w:p>
    <w:p w14:paraId="137519AB">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6、电子响应文件的修改与撤回</w:t>
      </w:r>
    </w:p>
    <w:p w14:paraId="28068289">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（1）在响应文件递交截止时间前，供应商可以修改或撤回已在“政采云”平台递交的响应文件，无须书面形式通知采购人。</w:t>
      </w:r>
    </w:p>
    <w:p w14:paraId="2675151E">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（2）修改的响应文件应按照电子响应文件的递交的规定进行编制、加密和上传。</w:t>
      </w:r>
    </w:p>
    <w:p w14:paraId="3AE0C5E7">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7、电子开标及响应文件解密</w:t>
      </w:r>
    </w:p>
    <w:p w14:paraId="798B0409">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（1）远程开标的项目，建议供应商提前30分钟等候在原投标电脑前，登录“政采云”平台等候开标会启动，开标会启动后先进行项目的签到工作。</w:t>
      </w:r>
    </w:p>
    <w:p w14:paraId="42A18408">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（2）等待项目经理开启远程解密后使用加密响应文件时使用的CA进行响应文件的远程开标解密。在此过程中供应商需保证电脑网络通畅。</w:t>
      </w:r>
    </w:p>
    <w:p w14:paraId="0ADC347A">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（3）开标完成。等待采购代理机构确认并上传开标结果后，各供应商需要使用CA在开标一览表后面进行签章确认。</w:t>
      </w:r>
    </w:p>
    <w:p w14:paraId="25C8B45D">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8、注意事项</w:t>
      </w:r>
    </w:p>
    <w:p w14:paraId="2F89AA7B">
      <w:pPr>
        <w:keepNext w:val="0"/>
        <w:keepLines w:val="0"/>
        <w:pageBreakBefore w:val="0"/>
        <w:widowControl w:val="0"/>
        <w:shd w:val="clear"/>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各供应商应在开标前应确保成为政采云平台供应商，并完成CA数字证书申领。因未注册入库、未办理CA数字证书等原因造成无法参与磋商或磋商失败等后果由供应商自行承担。凡有意参加磋商的供应商，须在政采云平台办理数字证书（CA）CA申领链接：https://middle.zcygov.cn/ca/apply/list?_app_=zcy.sys，并通过政采云绑定数字证书（CA）后在网上获取采购文件及其它采购资料，数字证书（CA）详见其办理流程</w:t>
      </w:r>
      <w:r>
        <w:rPr>
          <w:rFonts w:hint="eastAsia" w:cs="宋体"/>
          <w:color w:val="auto"/>
          <w:sz w:val="24"/>
          <w:szCs w:val="24"/>
          <w:highlight w:val="none"/>
          <w:lang w:val="en-US" w:eastAsia="zh-CN"/>
        </w:rPr>
        <w:t>。</w:t>
      </w:r>
    </w:p>
    <w:p w14:paraId="53191E9D">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因供应商自身原因导致在规定时间内无法正常解密的（如：浏览器故障、未安装相关驱动、网络故障、加密CA与解密CA不一致等），采购人/代理机构不予异常处理，视为供应商自动弃标。</w:t>
      </w:r>
    </w:p>
    <w:p w14:paraId="44EBC593">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（3）本项目为不见面开标，供应商无需到达现场</w:t>
      </w:r>
      <w:r>
        <w:rPr>
          <w:rFonts w:hint="eastAsia" w:cs="宋体"/>
          <w:color w:val="auto"/>
          <w:sz w:val="24"/>
          <w:szCs w:val="24"/>
          <w:highlight w:val="none"/>
          <w:lang w:val="en-US" w:eastAsia="zh-CN"/>
        </w:rPr>
        <w:t>。</w:t>
      </w:r>
    </w:p>
    <w:p w14:paraId="3855645C">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（4）本项目实行网上投标，采用电子响应文件</w:t>
      </w:r>
      <w:r>
        <w:rPr>
          <w:rFonts w:hint="eastAsia" w:cs="宋体"/>
          <w:color w:val="auto"/>
          <w:sz w:val="24"/>
          <w:szCs w:val="24"/>
          <w:highlight w:val="none"/>
          <w:lang w:val="en-US" w:eastAsia="zh-CN"/>
        </w:rPr>
        <w:t>。</w:t>
      </w:r>
    </w:p>
    <w:p w14:paraId="00E3CD59">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9、技术支持电话：</w:t>
      </w:r>
    </w:p>
    <w:p w14:paraId="1815F330">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云南壹证通CA操作问题请致电：4000040628</w:t>
      </w:r>
    </w:p>
    <w:p w14:paraId="5E033E5C">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云南壹证通CA紧急联系方式：19988166369</w:t>
      </w:r>
    </w:p>
    <w:p w14:paraId="35F14C8B">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政采云客户服务热线：400-881-719</w:t>
      </w:r>
    </w:p>
    <w:p w14:paraId="02E9E5C4">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云南CA联系电话：4006487666；云南CA紧急联系方式：15288315056</w:t>
      </w:r>
    </w:p>
    <w:p w14:paraId="1007337D">
      <w:pPr>
        <w:keepNext w:val="0"/>
        <w:keepLines w:val="0"/>
        <w:pageBreakBefore w:val="0"/>
        <w:widowControl w:val="0"/>
        <w:shd w:val="clea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p>
    <w:p w14:paraId="6E739067">
      <w:pPr>
        <w:keepNext w:val="0"/>
        <w:keepLines w:val="0"/>
        <w:pageBreakBefore w:val="0"/>
        <w:widowControl w:val="0"/>
        <w:shd w:val="clear"/>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请各供应商自行登录“政采云”平台（http：//www.zcygov.cn）仔细查看有关要求及操作流程，提前熟悉网上开标的相关操作，任何因忽视或误解而导致响应文件未上传或已上传但未按规定的操作流程及规定的时间要求进行在线网上签到、远程解密的，由此造成的后果由供应商自行承担。</w:t>
      </w:r>
    </w:p>
    <w:p w14:paraId="64E236CE">
      <w:pPr>
        <w:pStyle w:val="13"/>
        <w:keepNext w:val="0"/>
        <w:keepLines w:val="0"/>
        <w:pageBreakBefore w:val="0"/>
        <w:widowControl w:val="0"/>
        <w:wordWrap/>
        <w:topLinePunct w:val="0"/>
        <w:bidi w:val="0"/>
        <w:adjustRightInd/>
        <w:snapToGrid/>
        <w:spacing w:line="360" w:lineRule="auto"/>
        <w:ind w:right="0"/>
        <w:textAlignment w:val="auto"/>
        <w:rPr>
          <w:rFonts w:hint="eastAsia" w:ascii="宋体" w:hAnsi="宋体" w:eastAsia="宋体" w:cs="宋体"/>
          <w:sz w:val="24"/>
          <w:szCs w:val="24"/>
          <w:highlight w:val="none"/>
          <w:lang w:val="en-US" w:eastAsia="zh-CN"/>
        </w:rPr>
        <w:sectPr>
          <w:footerReference r:id="rId5" w:type="default"/>
          <w:pgSz w:w="11906" w:h="16838"/>
          <w:pgMar w:top="1417" w:right="1134" w:bottom="1417" w:left="1134" w:header="851" w:footer="850" w:gutter="0"/>
          <w:pgNumType w:fmt="decimal"/>
          <w:cols w:space="720" w:num="1"/>
          <w:docGrid w:linePitch="312" w:charSpace="0"/>
        </w:sectPr>
      </w:pPr>
    </w:p>
    <w:sdt>
      <w:sdtPr>
        <w:rPr>
          <w:rFonts w:hint="eastAsia" w:ascii="宋体" w:hAnsi="宋体" w:eastAsia="宋体" w:cs="宋体"/>
          <w:b/>
          <w:bCs/>
          <w:sz w:val="40"/>
          <w:szCs w:val="40"/>
          <w:highlight w:val="none"/>
          <w:lang w:val="en-US" w:eastAsia="en-US" w:bidi="ar-SA"/>
        </w:rPr>
        <w:id w:val="147461220"/>
        <w15:color w:val="DBDBDB"/>
        <w:docPartObj>
          <w:docPartGallery w:val="Table of Contents"/>
          <w:docPartUnique/>
        </w:docPartObj>
      </w:sdtPr>
      <w:sdtEndPr>
        <w:rPr>
          <w:rFonts w:hint="eastAsia" w:ascii="宋体" w:hAnsi="宋体" w:eastAsia="宋体" w:cs="宋体"/>
          <w:b/>
          <w:bCs/>
          <w:sz w:val="22"/>
          <w:szCs w:val="24"/>
          <w:highlight w:val="none"/>
          <w:lang w:val="en-US" w:eastAsia="en-US" w:bidi="ar-SA"/>
        </w:rPr>
      </w:sdtEndPr>
      <w:sdtContent>
        <w:p w14:paraId="070A07F1">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40"/>
              <w:szCs w:val="40"/>
              <w:highlight w:val="none"/>
            </w:rPr>
          </w:pPr>
          <w:bookmarkStart w:id="5" w:name="_bookmark0"/>
          <w:bookmarkEnd w:id="5"/>
          <w:r>
            <w:rPr>
              <w:rFonts w:hint="eastAsia" w:ascii="宋体" w:hAnsi="宋体" w:eastAsia="宋体" w:cs="宋体"/>
              <w:b/>
              <w:bCs/>
              <w:sz w:val="40"/>
              <w:szCs w:val="40"/>
              <w:highlight w:val="none"/>
            </w:rPr>
            <w:t>目</w:t>
          </w:r>
          <w:r>
            <w:rPr>
              <w:rFonts w:hint="eastAsia" w:ascii="宋体" w:hAnsi="宋体" w:eastAsia="宋体" w:cs="宋体"/>
              <w:b/>
              <w:bCs/>
              <w:sz w:val="40"/>
              <w:szCs w:val="40"/>
              <w:highlight w:val="none"/>
              <w:lang w:val="en-US" w:eastAsia="zh-CN"/>
            </w:rPr>
            <w:t xml:space="preserve"> </w:t>
          </w:r>
          <w:r>
            <w:rPr>
              <w:rFonts w:hint="eastAsia" w:ascii="宋体" w:hAnsi="宋体" w:eastAsia="宋体" w:cs="宋体"/>
              <w:b/>
              <w:bCs/>
              <w:sz w:val="40"/>
              <w:szCs w:val="40"/>
              <w:highlight w:val="none"/>
            </w:rPr>
            <w:t>录</w:t>
          </w:r>
        </w:p>
        <w:p w14:paraId="605FE392">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TOC \o "1-1" \h \u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_Toc32648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val="en-US" w:eastAsia="zh-CN"/>
            </w:rPr>
            <w:t>温馨提示</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_Toc32648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2</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3B40D97D">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_Toc7568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eastAsia="zh-CN"/>
            </w:rPr>
            <w:t>第一章</w:t>
          </w:r>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bCs w:val="0"/>
              <w:sz w:val="28"/>
              <w:szCs w:val="28"/>
              <w:highlight w:val="none"/>
              <w:lang w:eastAsia="zh-CN"/>
            </w:rPr>
            <w:t>竞争性磋商公告</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_Toc7568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6</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35AAFBA4">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_Toc9153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eastAsia="zh-CN"/>
            </w:rPr>
            <w:t>第二章</w:t>
          </w:r>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bCs w:val="0"/>
              <w:sz w:val="28"/>
              <w:szCs w:val="28"/>
              <w:highlight w:val="none"/>
              <w:lang w:eastAsia="zh-CN"/>
            </w:rPr>
            <w:t>供应商须知</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_Toc9153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10</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0FCF252F">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_Toc4866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eastAsia="zh-CN"/>
            </w:rPr>
            <w:t>第三章</w:t>
          </w:r>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bCs w:val="0"/>
              <w:sz w:val="28"/>
              <w:szCs w:val="28"/>
              <w:highlight w:val="none"/>
              <w:lang w:eastAsia="zh-CN"/>
            </w:rPr>
            <w:t>评审方法和评审标准</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_Toc4866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27</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7477D937">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_Toc6065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eastAsia="zh-CN"/>
            </w:rPr>
            <w:t>第四章</w:t>
          </w:r>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bCs w:val="0"/>
              <w:sz w:val="28"/>
              <w:szCs w:val="28"/>
              <w:highlight w:val="none"/>
              <w:lang w:eastAsia="zh-CN"/>
            </w:rPr>
            <w:t>采购需求</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_Toc6065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41</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12999DBC">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_Toc19075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eastAsia="zh-CN"/>
            </w:rPr>
            <w:t>第五章</w:t>
          </w:r>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bCs w:val="0"/>
              <w:sz w:val="28"/>
              <w:szCs w:val="28"/>
              <w:highlight w:val="none"/>
              <w:lang w:eastAsia="zh-CN"/>
            </w:rPr>
            <w:t>合同</w:t>
          </w:r>
          <w:r>
            <w:rPr>
              <w:rFonts w:hint="eastAsia" w:ascii="宋体" w:hAnsi="宋体" w:eastAsia="宋体" w:cs="宋体"/>
              <w:b/>
              <w:bCs w:val="0"/>
              <w:sz w:val="28"/>
              <w:szCs w:val="28"/>
              <w:highlight w:val="none"/>
              <w:lang w:val="en-US" w:eastAsia="zh-CN"/>
            </w:rPr>
            <w:t>格式及</w:t>
          </w:r>
          <w:r>
            <w:rPr>
              <w:rFonts w:hint="eastAsia" w:ascii="宋体" w:hAnsi="宋体" w:eastAsia="宋体" w:cs="宋体"/>
              <w:b/>
              <w:bCs w:val="0"/>
              <w:sz w:val="28"/>
              <w:szCs w:val="28"/>
              <w:highlight w:val="none"/>
              <w:lang w:eastAsia="zh-CN"/>
            </w:rPr>
            <w:t>条款</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_Toc19075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45</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79C5084A">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_Toc1760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val="en-US" w:eastAsia="zh-CN"/>
            </w:rPr>
            <w:t>第六章  响应文件格式</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_Toc1760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59</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p w14:paraId="39324276">
          <w:pPr>
            <w:pStyle w:val="16"/>
            <w:keepNext w:val="0"/>
            <w:keepLines w:val="0"/>
            <w:pageBreakBefore w:val="0"/>
            <w:widowControl w:val="0"/>
            <w:tabs>
              <w:tab w:val="right" w:leader="dot" w:pos="9639"/>
            </w:tabs>
            <w:kinsoku/>
            <w:wordWrap/>
            <w:overflowPunct/>
            <w:topLinePunct w:val="0"/>
            <w:autoSpaceDE w:val="0"/>
            <w:autoSpaceDN w:val="0"/>
            <w:bidi w:val="0"/>
            <w:adjustRightInd/>
            <w:snapToGrid/>
            <w:spacing w:line="360" w:lineRule="auto"/>
            <w:textAlignment w:val="auto"/>
            <w:rPr>
              <w:rFonts w:ascii="宋体" w:hAnsi="宋体" w:eastAsia="宋体" w:cs="宋体"/>
              <w:bCs/>
              <w:sz w:val="22"/>
              <w:szCs w:val="24"/>
              <w:highlight w:val="none"/>
              <w:lang w:val="en-US" w:eastAsia="en-US" w:bidi="ar-SA"/>
            </w:rPr>
            <w:sectPr>
              <w:headerReference r:id="rId6" w:type="default"/>
              <w:footerReference r:id="rId7" w:type="default"/>
              <w:pgSz w:w="11907" w:h="16840"/>
              <w:pgMar w:top="1417" w:right="1134" w:bottom="1417" w:left="1134" w:header="850" w:footer="850" w:gutter="0"/>
              <w:pgNumType w:fmt="decimal"/>
              <w:cols w:space="720" w:num="1"/>
              <w:docGrid w:linePitch="286" w:charSpace="0"/>
            </w:sectPr>
          </w:pP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HYPERLINK \l _Toc19712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lang w:val="en-US" w:eastAsia="zh-CN"/>
            </w:rPr>
            <w:t>第六章  附件</w:t>
          </w:r>
          <w:r>
            <w:rPr>
              <w:rFonts w:hint="eastAsia" w:ascii="宋体" w:hAnsi="宋体" w:eastAsia="宋体" w:cs="宋体"/>
              <w:b/>
              <w:bCs w:val="0"/>
              <w:sz w:val="28"/>
              <w:szCs w:val="28"/>
              <w:highlight w:val="none"/>
            </w:rPr>
            <w:tab/>
          </w:r>
          <w:r>
            <w:rPr>
              <w:rFonts w:hint="eastAsia" w:ascii="宋体" w:hAnsi="宋体" w:eastAsia="宋体" w:cs="宋体"/>
              <w:b/>
              <w:bCs w:val="0"/>
              <w:sz w:val="28"/>
              <w:szCs w:val="28"/>
              <w:highlight w:val="none"/>
            </w:rPr>
            <w:fldChar w:fldCharType="begin"/>
          </w:r>
          <w:r>
            <w:rPr>
              <w:rFonts w:hint="eastAsia" w:ascii="宋体" w:hAnsi="宋体" w:eastAsia="宋体" w:cs="宋体"/>
              <w:b/>
              <w:bCs w:val="0"/>
              <w:sz w:val="28"/>
              <w:szCs w:val="28"/>
              <w:highlight w:val="none"/>
            </w:rPr>
            <w:instrText xml:space="preserve"> PAGEREF _Toc19712 \h </w:instrText>
          </w:r>
          <w:r>
            <w:rPr>
              <w:rFonts w:hint="eastAsia" w:ascii="宋体" w:hAnsi="宋体" w:eastAsia="宋体" w:cs="宋体"/>
              <w:b/>
              <w:bCs w:val="0"/>
              <w:sz w:val="28"/>
              <w:szCs w:val="28"/>
              <w:highlight w:val="none"/>
            </w:rPr>
            <w:fldChar w:fldCharType="separate"/>
          </w:r>
          <w:r>
            <w:rPr>
              <w:rFonts w:hint="eastAsia" w:ascii="宋体" w:hAnsi="宋体" w:eastAsia="宋体" w:cs="宋体"/>
              <w:b/>
              <w:bCs w:val="0"/>
              <w:sz w:val="28"/>
              <w:szCs w:val="28"/>
              <w:highlight w:val="none"/>
            </w:rPr>
            <w:t>85</w:t>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r>
            <w:rPr>
              <w:rFonts w:hint="eastAsia" w:ascii="宋体" w:hAnsi="宋体" w:eastAsia="宋体" w:cs="宋体"/>
              <w:b/>
              <w:bCs w:val="0"/>
              <w:sz w:val="28"/>
              <w:szCs w:val="28"/>
              <w:highlight w:val="none"/>
            </w:rPr>
            <w:fldChar w:fldCharType="end"/>
          </w:r>
        </w:p>
      </w:sdtContent>
    </w:sdt>
    <w:p w14:paraId="310C8816">
      <w:pPr>
        <w:tabs>
          <w:tab w:val="left" w:pos="1622"/>
        </w:tabs>
        <w:spacing w:before="73" w:after="240" w:afterLines="100"/>
        <w:ind w:right="28"/>
        <w:jc w:val="center"/>
        <w:outlineLvl w:val="0"/>
        <w:rPr>
          <w:rFonts w:ascii="Times New Roman" w:hAnsi="Times New Roman" w:eastAsia="宋体" w:cs="Times New Roman"/>
          <w:b/>
          <w:bCs/>
          <w:sz w:val="36"/>
          <w:highlight w:val="none"/>
          <w:lang w:eastAsia="zh-CN"/>
        </w:rPr>
      </w:pPr>
      <w:r>
        <w:rPr>
          <w:rFonts w:ascii="Times New Roman" w:hAnsi="Times New Roman" w:eastAsia="宋体" w:cs="Times New Roman"/>
          <w:b/>
          <w:bCs/>
          <w:sz w:val="36"/>
          <w:highlight w:val="none"/>
          <w:lang w:eastAsia="zh-CN"/>
        </w:rPr>
        <w:t>第一章</w:t>
      </w:r>
      <w:r>
        <w:rPr>
          <w:rFonts w:hint="eastAsia" w:ascii="Times New Roman" w:hAnsi="Times New Roman" w:eastAsia="宋体" w:cs="Times New Roman"/>
          <w:b/>
          <w:bCs/>
          <w:sz w:val="36"/>
          <w:highlight w:val="none"/>
          <w:lang w:val="en-US" w:eastAsia="zh-CN"/>
        </w:rPr>
        <w:t xml:space="preserve">  </w:t>
      </w:r>
      <w:r>
        <w:rPr>
          <w:rFonts w:ascii="Times New Roman" w:hAnsi="Times New Roman" w:eastAsia="宋体" w:cs="Times New Roman"/>
          <w:b/>
          <w:bCs/>
          <w:sz w:val="36"/>
          <w:highlight w:val="none"/>
          <w:lang w:eastAsia="zh-CN"/>
        </w:rPr>
        <w:t>竞争性磋商公告</w:t>
      </w:r>
      <w:bookmarkEnd w:id="2"/>
      <w:bookmarkEnd w:id="3"/>
      <w:bookmarkEnd w:id="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14:paraId="1D46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9617" w:type="dxa"/>
            <w:noWrap w:val="0"/>
            <w:vAlign w:val="top"/>
          </w:tcPr>
          <w:p w14:paraId="2FBA8EF0">
            <w:pPr>
              <w:pStyle w:val="7"/>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highlight w:val="none"/>
                <w:lang w:val="en-US" w:eastAsia="zh-CN"/>
              </w:rPr>
            </w:pPr>
            <w:r>
              <w:rPr>
                <w:rFonts w:hint="eastAsia"/>
                <w:highlight w:val="none"/>
                <w:lang w:val="en-US" w:eastAsia="zh-CN"/>
              </w:rPr>
              <w:t>项目概况</w:t>
            </w:r>
          </w:p>
          <w:p w14:paraId="08161CF1">
            <w:pPr>
              <w:pStyle w:val="7"/>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_GB2312" w:hAnsi="仿宋_GB2312" w:eastAsia="仿宋_GB2312" w:cs="仿宋_GB2312"/>
                <w:highlight w:val="none"/>
              </w:rPr>
            </w:pPr>
            <w:r>
              <w:rPr>
                <w:rFonts w:hint="eastAsia"/>
                <w:highlight w:val="none"/>
                <w:u w:val="single"/>
                <w:lang w:val="en-US" w:eastAsia="zh-CN"/>
              </w:rPr>
              <w:t>巧家县公安局交通管理大队2026年科技管控建设项目—玉屏街道岩湾安置区综合治理系统</w:t>
            </w:r>
            <w:r>
              <w:rPr>
                <w:rFonts w:hint="eastAsia"/>
                <w:highlight w:val="none"/>
                <w:lang w:val="en-US" w:eastAsia="zh-CN"/>
              </w:rPr>
              <w:t>的潜在供应商应在</w:t>
            </w:r>
            <w:r>
              <w:rPr>
                <w:rFonts w:hint="eastAsia"/>
                <w:highlight w:val="none"/>
                <w:u w:val="single"/>
                <w:lang w:val="en-US" w:eastAsia="zh-CN"/>
              </w:rPr>
              <w:t>“政采云”平台（https://www.zcygov.cn）线上</w:t>
            </w:r>
            <w:r>
              <w:rPr>
                <w:rFonts w:hint="eastAsia"/>
                <w:highlight w:val="none"/>
                <w:lang w:val="en-US" w:eastAsia="zh-CN"/>
              </w:rPr>
              <w:t>获取竞争性磋商文件，并于</w:t>
            </w:r>
            <w:r>
              <w:rPr>
                <w:rFonts w:hint="eastAsia"/>
                <w:highlight w:val="none"/>
                <w:u w:val="single"/>
                <w:lang w:val="en-US" w:eastAsia="zh-CN"/>
              </w:rPr>
              <w:t>2026年06月08日14点00分（北京时间）</w:t>
            </w:r>
            <w:r>
              <w:rPr>
                <w:rFonts w:hint="eastAsia"/>
                <w:highlight w:val="none"/>
                <w:lang w:val="en-US" w:eastAsia="zh-CN"/>
              </w:rPr>
              <w:t>前递交响应文件。</w:t>
            </w:r>
          </w:p>
        </w:tc>
      </w:tr>
    </w:tbl>
    <w:p w14:paraId="7BEABDA4">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144" w:beforeLines="50" w:line="360" w:lineRule="auto"/>
        <w:ind w:left="0" w:leftChars="0" w:firstLine="482" w:firstLineChars="200"/>
        <w:jc w:val="both"/>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t>一、</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项目基本情况</w:t>
      </w:r>
    </w:p>
    <w:p w14:paraId="5DD23D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p>
    <w:p w14:paraId="7359582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cs="宋体"/>
          <w:i w:val="0"/>
          <w:iCs w:val="0"/>
          <w:caps w:val="0"/>
          <w:color w:val="auto"/>
          <w:spacing w:val="0"/>
          <w:sz w:val="24"/>
          <w:szCs w:val="24"/>
          <w:highlight w:val="none"/>
          <w:shd w:val="clear" w:fill="FFFFFF"/>
          <w:lang w:eastAsia="zh-CN"/>
        </w:rPr>
        <w:t>巧家县公安局交通管理大队2026年科技管控建设项目</w:t>
      </w:r>
      <w:r>
        <w:rPr>
          <w:rFonts w:hint="eastAsia"/>
          <w:highlight w:val="none"/>
          <w:u w:val="none"/>
          <w:lang w:val="en-US" w:eastAsia="zh-CN"/>
        </w:rPr>
        <w:t>—</w:t>
      </w:r>
      <w:r>
        <w:rPr>
          <w:rFonts w:hint="eastAsia" w:cs="宋体"/>
          <w:i w:val="0"/>
          <w:iCs w:val="0"/>
          <w:caps w:val="0"/>
          <w:color w:val="auto"/>
          <w:spacing w:val="0"/>
          <w:sz w:val="24"/>
          <w:szCs w:val="24"/>
          <w:highlight w:val="none"/>
          <w:shd w:val="clear" w:fill="FFFFFF"/>
          <w:lang w:eastAsia="zh-CN"/>
        </w:rPr>
        <w:t>玉屏街道岩湾安置区综合治理系统</w:t>
      </w:r>
    </w:p>
    <w:p w14:paraId="5D82BF0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预算金额（万元）：34</w:t>
      </w:r>
      <w:r>
        <w:rPr>
          <w:rFonts w:hint="eastAsia"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198889</w:t>
      </w:r>
    </w:p>
    <w:p w14:paraId="3FBEB3F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最高限价（万元）：</w:t>
      </w:r>
      <w:r>
        <w:rPr>
          <w:rFonts w:hint="eastAsia" w:ascii="宋体" w:hAnsi="宋体" w:eastAsia="宋体" w:cs="宋体"/>
          <w:i w:val="0"/>
          <w:iCs w:val="0"/>
          <w:caps w:val="0"/>
          <w:color w:val="auto"/>
          <w:spacing w:val="0"/>
          <w:sz w:val="24"/>
          <w:szCs w:val="24"/>
          <w:highlight w:val="none"/>
          <w:shd w:val="clear" w:fill="FFFFFF"/>
        </w:rPr>
        <w:t>34</w:t>
      </w:r>
      <w:r>
        <w:rPr>
          <w:rFonts w:hint="eastAsia"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198889</w:t>
      </w:r>
    </w:p>
    <w:p w14:paraId="5987AE5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采购需求：</w:t>
      </w:r>
      <w:r>
        <w:rPr>
          <w:rFonts w:hint="eastAsia" w:cs="宋体"/>
          <w:i w:val="0"/>
          <w:iCs w:val="0"/>
          <w:caps w:val="0"/>
          <w:color w:val="auto"/>
          <w:spacing w:val="0"/>
          <w:sz w:val="24"/>
          <w:szCs w:val="24"/>
          <w:highlight w:val="none"/>
          <w:shd w:val="clear" w:fill="FFFFFF"/>
          <w:lang w:val="en-US" w:eastAsia="zh-CN"/>
        </w:rPr>
        <w:t>在</w:t>
      </w:r>
      <w:r>
        <w:rPr>
          <w:rFonts w:hint="eastAsia" w:ascii="宋体" w:hAnsi="宋体" w:eastAsia="宋体" w:cs="宋体"/>
          <w:i w:val="0"/>
          <w:iCs w:val="0"/>
          <w:caps w:val="0"/>
          <w:color w:val="auto"/>
          <w:spacing w:val="0"/>
          <w:sz w:val="24"/>
          <w:szCs w:val="24"/>
          <w:highlight w:val="none"/>
          <w:shd w:val="clear" w:fill="FFFFFF"/>
        </w:rPr>
        <w:t>玉城南路玉屏山路小区东苑路段、玉城西路与文竹巷T型路口、新华南路与玉兰巷T型路口、玉城北路绿岛幼儿园门口路段、玉城西路与画梅巷T型路口5个点位拟建违停抓拍设备，并辅以综合管理措施，改善区域及周边的交通环境</w:t>
      </w:r>
      <w:r>
        <w:rPr>
          <w:rFonts w:hint="eastAsia"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包括巧家县玉屏街道岩湾安置区市政道路交通安全科技管控项目监控前端设备，建设部分、后端设备建设部分、其他设施费的相关设备管线等。</w:t>
      </w:r>
      <w:r>
        <w:rPr>
          <w:rFonts w:hint="eastAsia" w:ascii="宋体" w:hAnsi="宋体" w:eastAsia="宋体" w:cs="宋体"/>
          <w:i w:val="0"/>
          <w:iCs w:val="0"/>
          <w:caps w:val="0"/>
          <w:color w:val="auto"/>
          <w:spacing w:val="0"/>
          <w:sz w:val="24"/>
          <w:szCs w:val="24"/>
          <w:highlight w:val="none"/>
          <w:shd w:val="clear" w:fill="FFFFFF"/>
          <w:lang w:val="en-US" w:eastAsia="zh-CN"/>
        </w:rPr>
        <w:t>具</w:t>
      </w:r>
      <w:r>
        <w:rPr>
          <w:rFonts w:hint="eastAsia" w:ascii="宋体" w:hAnsi="宋体" w:eastAsia="宋体" w:cs="宋体"/>
          <w:i w:val="0"/>
          <w:iCs w:val="0"/>
          <w:caps w:val="0"/>
          <w:color w:val="auto"/>
          <w:spacing w:val="0"/>
          <w:sz w:val="24"/>
          <w:szCs w:val="24"/>
          <w:highlight w:val="none"/>
          <w:shd w:val="clear" w:fill="FFFFFF"/>
        </w:rPr>
        <w:t>体内容详细要求详见竞争性磋商文件第四章“采购需求”。</w:t>
      </w:r>
    </w:p>
    <w:p w14:paraId="2C5E6C2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color w:val="auto"/>
          <w:spacing w:val="8"/>
          <w:sz w:val="24"/>
          <w:szCs w:val="24"/>
          <w:highlight w:val="none"/>
          <w:shd w:val="clear" w:color="auto" w:fill="FFFFFF"/>
        </w:rPr>
        <w:t>合同签订后即进入货物及服务的筹备，采购人下达交货指令及交货清单后20天内交货；各项工作（含安装、调试、人员培训等）必须确保20</w:t>
      </w:r>
      <w:r>
        <w:rPr>
          <w:rFonts w:hint="eastAsia" w:cs="宋体"/>
          <w:color w:val="auto"/>
          <w:spacing w:val="8"/>
          <w:sz w:val="24"/>
          <w:szCs w:val="24"/>
          <w:highlight w:val="none"/>
          <w:shd w:val="clear" w:color="auto" w:fill="FFFFFF"/>
          <w:lang w:val="en-US" w:eastAsia="zh-CN"/>
        </w:rPr>
        <w:t>26</w:t>
      </w:r>
      <w:r>
        <w:rPr>
          <w:rFonts w:hint="eastAsia" w:ascii="宋体" w:hAnsi="宋体" w:eastAsia="宋体" w:cs="宋体"/>
          <w:color w:val="auto"/>
          <w:spacing w:val="8"/>
          <w:sz w:val="24"/>
          <w:szCs w:val="24"/>
          <w:highlight w:val="none"/>
          <w:shd w:val="clear" w:color="auto" w:fill="FFFFFF"/>
        </w:rPr>
        <w:t>年</w:t>
      </w:r>
      <w:r>
        <w:rPr>
          <w:rFonts w:hint="eastAsia" w:cs="宋体"/>
          <w:color w:val="auto"/>
          <w:spacing w:val="8"/>
          <w:sz w:val="24"/>
          <w:szCs w:val="24"/>
          <w:highlight w:val="none"/>
          <w:shd w:val="clear" w:color="auto" w:fill="FFFFFF"/>
          <w:lang w:val="en-US" w:eastAsia="zh-CN"/>
        </w:rPr>
        <w:t>07</w:t>
      </w:r>
      <w:r>
        <w:rPr>
          <w:rFonts w:hint="eastAsia" w:ascii="宋体" w:hAnsi="宋体" w:eastAsia="宋体" w:cs="宋体"/>
          <w:color w:val="auto"/>
          <w:spacing w:val="8"/>
          <w:sz w:val="24"/>
          <w:szCs w:val="24"/>
          <w:highlight w:val="none"/>
          <w:shd w:val="clear" w:color="auto" w:fill="FFFFFF"/>
        </w:rPr>
        <w:t>月</w:t>
      </w:r>
      <w:r>
        <w:rPr>
          <w:rFonts w:hint="eastAsia" w:cs="宋体"/>
          <w:color w:val="auto"/>
          <w:spacing w:val="8"/>
          <w:sz w:val="24"/>
          <w:szCs w:val="24"/>
          <w:highlight w:val="none"/>
          <w:shd w:val="clear" w:color="auto" w:fill="FFFFFF"/>
          <w:lang w:val="en-US" w:eastAsia="zh-CN"/>
        </w:rPr>
        <w:t>06</w:t>
      </w:r>
      <w:r>
        <w:rPr>
          <w:rFonts w:hint="eastAsia" w:ascii="宋体" w:hAnsi="宋体" w:eastAsia="宋体" w:cs="宋体"/>
          <w:color w:val="auto"/>
          <w:spacing w:val="8"/>
          <w:sz w:val="24"/>
          <w:szCs w:val="24"/>
          <w:highlight w:val="none"/>
          <w:shd w:val="clear" w:color="auto" w:fill="FFFFFF"/>
        </w:rPr>
        <w:t>日以前正式投入使用，满足构建巧家县完善的交通安全防控体系的需要。</w:t>
      </w:r>
    </w:p>
    <w:p w14:paraId="3BB3251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本项目（</w:t>
      </w:r>
      <w:r>
        <w:rPr>
          <w:rFonts w:hint="eastAsia" w:ascii="宋体" w:hAnsi="宋体" w:eastAsia="宋体" w:cs="宋体"/>
          <w:i w:val="0"/>
          <w:iCs w:val="0"/>
          <w:caps w:val="0"/>
          <w:color w:val="auto"/>
          <w:spacing w:val="0"/>
          <w:sz w:val="24"/>
          <w:szCs w:val="24"/>
          <w:highlight w:val="none"/>
          <w:shd w:val="clear" w:fill="FFFFFF"/>
          <w:lang w:val="en-US" w:eastAsia="zh-CN"/>
        </w:rPr>
        <w:t>否</w:t>
      </w:r>
      <w:r>
        <w:rPr>
          <w:rFonts w:hint="eastAsia" w:ascii="宋体" w:hAnsi="宋体" w:eastAsia="宋体" w:cs="宋体"/>
          <w:i w:val="0"/>
          <w:iCs w:val="0"/>
          <w:caps w:val="0"/>
          <w:color w:val="auto"/>
          <w:spacing w:val="0"/>
          <w:sz w:val="24"/>
          <w:szCs w:val="24"/>
          <w:highlight w:val="none"/>
          <w:shd w:val="clear" w:fill="FFFFFF"/>
          <w:lang w:eastAsia="zh-CN"/>
        </w:rPr>
        <w:t>）接受联合体磋商。</w:t>
      </w:r>
    </w:p>
    <w:p w14:paraId="5AA68C4B">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二、申请人的资格要求</w:t>
      </w:r>
    </w:p>
    <w:p w14:paraId="43FD99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t>1.满足《中华人民共和国政府采购法》第二十二条规定。</w:t>
      </w:r>
    </w:p>
    <w:p w14:paraId="319C44A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t>2.落实政府采购政策需满足的资格要求：无。</w:t>
      </w:r>
    </w:p>
    <w:p w14:paraId="301A4B5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t>3.本项目的特定资格要求：</w:t>
      </w:r>
    </w:p>
    <w:p w14:paraId="0E54500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t>（1）本项目递交首次响应文件截止时间前，供应商未被列入“信用中国”网站（www.creditchina.gov.cn）失信被执行人名单、重大税收违法失信主体名单，也未被列入“中国政府采购网”网站（http://www.ccgp.gov.cn/）政府采购严重违法失信行为记录名单。</w:t>
      </w:r>
    </w:p>
    <w:p w14:paraId="01660A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（2）单位负责人为同一人或者存在直接控股、管理关系的不同供应商，不得参加</w:t>
      </w:r>
      <w:r>
        <w:rPr>
          <w:rFonts w:hint="eastAsia" w:cs="宋体"/>
          <w:color w:val="auto"/>
          <w:spacing w:val="8"/>
          <w:sz w:val="24"/>
          <w:szCs w:val="24"/>
          <w:highlight w:val="none"/>
          <w:shd w:val="clear" w:color="auto" w:fill="FFFFFF"/>
          <w:lang w:val="en-US" w:eastAsia="zh-CN"/>
        </w:rPr>
        <w:t>同一合同项下</w:t>
      </w:r>
      <w:r>
        <w:rPr>
          <w:rFonts w:hint="eastAsia" w:ascii="宋体" w:hAnsi="宋体" w:eastAsia="宋体" w:cs="宋体"/>
          <w:color w:val="auto"/>
          <w:spacing w:val="8"/>
          <w:sz w:val="24"/>
          <w:szCs w:val="24"/>
          <w:highlight w:val="none"/>
          <w:shd w:val="clear" w:color="auto" w:fill="FFFFFF"/>
          <w:lang w:val="en-US" w:eastAsia="zh-CN"/>
        </w:rPr>
        <w:t>的</w:t>
      </w:r>
      <w:r>
        <w:rPr>
          <w:rFonts w:hint="eastAsia" w:cs="宋体"/>
          <w:color w:val="auto"/>
          <w:spacing w:val="8"/>
          <w:sz w:val="24"/>
          <w:szCs w:val="24"/>
          <w:highlight w:val="none"/>
          <w:shd w:val="clear" w:color="auto" w:fill="FFFFFF"/>
          <w:lang w:val="en-US" w:eastAsia="zh-CN"/>
        </w:rPr>
        <w:t>政府采购活动</w:t>
      </w:r>
      <w:r>
        <w:rPr>
          <w:rFonts w:hint="eastAsia" w:ascii="宋体" w:hAnsi="宋体" w:eastAsia="宋体" w:cs="宋体"/>
          <w:color w:val="auto"/>
          <w:spacing w:val="8"/>
          <w:sz w:val="24"/>
          <w:szCs w:val="24"/>
          <w:highlight w:val="none"/>
          <w:shd w:val="clear" w:color="auto" w:fill="FFFFFF"/>
          <w:lang w:val="en-US" w:eastAsia="zh-CN"/>
        </w:rPr>
        <w:t>。为</w:t>
      </w:r>
      <w:r>
        <w:rPr>
          <w:rFonts w:hint="eastAsia" w:cs="宋体"/>
          <w:color w:val="auto"/>
          <w:spacing w:val="8"/>
          <w:sz w:val="24"/>
          <w:szCs w:val="24"/>
          <w:highlight w:val="none"/>
          <w:shd w:val="clear" w:color="auto" w:fill="FFFFFF"/>
          <w:lang w:val="en-US" w:eastAsia="zh-CN"/>
        </w:rPr>
        <w:t>本</w:t>
      </w:r>
      <w:r>
        <w:rPr>
          <w:rFonts w:hint="eastAsia" w:ascii="宋体" w:hAnsi="宋体" w:eastAsia="宋体" w:cs="宋体"/>
          <w:color w:val="auto"/>
          <w:spacing w:val="8"/>
          <w:sz w:val="24"/>
          <w:szCs w:val="24"/>
          <w:highlight w:val="none"/>
          <w:shd w:val="clear" w:color="auto" w:fill="FFFFFF"/>
          <w:lang w:val="en-US" w:eastAsia="zh-CN"/>
        </w:rPr>
        <w:t>项目提供整体设计、规范编制或者项目管理、监理、检测等服务的供应商，不得</w:t>
      </w:r>
      <w:r>
        <w:rPr>
          <w:rFonts w:hint="eastAsia" w:cs="宋体"/>
          <w:color w:val="auto"/>
          <w:spacing w:val="8"/>
          <w:sz w:val="24"/>
          <w:szCs w:val="24"/>
          <w:highlight w:val="none"/>
          <w:shd w:val="clear" w:color="auto" w:fill="FFFFFF"/>
          <w:lang w:val="en-US" w:eastAsia="zh-CN"/>
        </w:rPr>
        <w:t>再</w:t>
      </w:r>
      <w:r>
        <w:rPr>
          <w:rFonts w:hint="eastAsia" w:ascii="宋体" w:hAnsi="宋体" w:eastAsia="宋体" w:cs="宋体"/>
          <w:color w:val="auto"/>
          <w:spacing w:val="8"/>
          <w:sz w:val="24"/>
          <w:szCs w:val="24"/>
          <w:highlight w:val="none"/>
          <w:shd w:val="clear" w:color="auto" w:fill="FFFFFF"/>
          <w:lang w:val="en-US" w:eastAsia="zh-CN"/>
        </w:rPr>
        <w:t>参加</w:t>
      </w:r>
      <w:r>
        <w:rPr>
          <w:rFonts w:hint="eastAsia" w:cs="宋体"/>
          <w:color w:val="auto"/>
          <w:spacing w:val="8"/>
          <w:sz w:val="24"/>
          <w:szCs w:val="24"/>
          <w:highlight w:val="none"/>
          <w:shd w:val="clear" w:color="auto" w:fill="FFFFFF"/>
          <w:lang w:val="en-US" w:eastAsia="zh-CN"/>
        </w:rPr>
        <w:t>本</w:t>
      </w:r>
      <w:r>
        <w:rPr>
          <w:rFonts w:hint="eastAsia" w:ascii="宋体" w:hAnsi="宋体" w:eastAsia="宋体" w:cs="宋体"/>
          <w:color w:val="auto"/>
          <w:spacing w:val="8"/>
          <w:sz w:val="24"/>
          <w:szCs w:val="24"/>
          <w:highlight w:val="none"/>
          <w:shd w:val="clear" w:color="auto" w:fill="FFFFFF"/>
          <w:lang w:val="en-US" w:eastAsia="zh-CN"/>
        </w:rPr>
        <w:t>项目的磋商。</w:t>
      </w:r>
    </w:p>
    <w:p w14:paraId="423CBEE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t>（3）本项目不接受联合体参与磋商。</w:t>
      </w:r>
    </w:p>
    <w:p w14:paraId="68D51C0C">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三、获取采购文件</w:t>
      </w:r>
    </w:p>
    <w:p w14:paraId="18FC7C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时间：</w:t>
      </w:r>
      <w:r>
        <w:rPr>
          <w:rFonts w:hint="eastAsia" w:cs="宋体"/>
          <w:color w:val="auto"/>
          <w:spacing w:val="8"/>
          <w:sz w:val="24"/>
          <w:szCs w:val="24"/>
          <w:highlight w:val="none"/>
          <w:shd w:val="clear" w:color="auto" w:fill="FFFFFF"/>
          <w:lang w:val="en-US" w:eastAsia="zh-CN"/>
        </w:rPr>
        <w:t>2026年</w:t>
      </w:r>
      <w:r>
        <w:rPr>
          <w:rFonts w:hint="eastAsia" w:ascii="宋体" w:hAnsi="宋体" w:eastAsia="宋体" w:cs="宋体"/>
          <w:color w:val="auto"/>
          <w:spacing w:val="8"/>
          <w:sz w:val="24"/>
          <w:szCs w:val="24"/>
          <w:highlight w:val="none"/>
          <w:shd w:val="clear" w:color="auto" w:fill="FFFFFF"/>
          <w:lang w:val="en-US" w:eastAsia="zh-CN"/>
        </w:rPr>
        <w:t>05</w:t>
      </w:r>
      <w:r>
        <w:rPr>
          <w:rFonts w:hint="eastAsia" w:cs="宋体"/>
          <w:color w:val="auto"/>
          <w:spacing w:val="8"/>
          <w:sz w:val="24"/>
          <w:szCs w:val="24"/>
          <w:highlight w:val="none"/>
          <w:shd w:val="clear" w:color="auto" w:fill="FFFFFF"/>
          <w:lang w:val="en-US" w:eastAsia="zh-CN"/>
        </w:rPr>
        <w:t>月27日</w:t>
      </w:r>
      <w:r>
        <w:rPr>
          <w:rFonts w:hint="eastAsia" w:ascii="宋体" w:hAnsi="宋体" w:eastAsia="宋体" w:cs="宋体"/>
          <w:color w:val="auto"/>
          <w:spacing w:val="8"/>
          <w:sz w:val="24"/>
          <w:szCs w:val="24"/>
          <w:highlight w:val="none"/>
          <w:shd w:val="clear" w:color="auto" w:fill="FFFFFF"/>
          <w:lang w:val="en-US" w:eastAsia="zh-CN"/>
        </w:rPr>
        <w:t>06:00至</w:t>
      </w:r>
      <w:r>
        <w:rPr>
          <w:rFonts w:hint="eastAsia" w:cs="宋体"/>
          <w:color w:val="auto"/>
          <w:spacing w:val="8"/>
          <w:sz w:val="24"/>
          <w:szCs w:val="24"/>
          <w:highlight w:val="none"/>
          <w:shd w:val="clear" w:color="auto" w:fill="FFFFFF"/>
          <w:lang w:val="en-US" w:eastAsia="zh-CN"/>
        </w:rPr>
        <w:t>2026年</w:t>
      </w:r>
      <w:r>
        <w:rPr>
          <w:rFonts w:hint="eastAsia" w:ascii="宋体" w:hAnsi="宋体" w:eastAsia="宋体" w:cs="宋体"/>
          <w:color w:val="auto"/>
          <w:spacing w:val="8"/>
          <w:sz w:val="24"/>
          <w:szCs w:val="24"/>
          <w:highlight w:val="none"/>
          <w:shd w:val="clear" w:color="auto" w:fill="FFFFFF"/>
          <w:lang w:val="en-US" w:eastAsia="zh-CN"/>
        </w:rPr>
        <w:t>0</w:t>
      </w:r>
      <w:r>
        <w:rPr>
          <w:rFonts w:hint="eastAsia" w:cs="宋体"/>
          <w:color w:val="auto"/>
          <w:spacing w:val="8"/>
          <w:sz w:val="24"/>
          <w:szCs w:val="24"/>
          <w:highlight w:val="none"/>
          <w:shd w:val="clear" w:color="auto" w:fill="FFFFFF"/>
          <w:lang w:val="en-US" w:eastAsia="zh-CN"/>
        </w:rPr>
        <w:t>6月03日</w:t>
      </w:r>
      <w:r>
        <w:rPr>
          <w:rFonts w:hint="eastAsia" w:ascii="宋体" w:hAnsi="宋体" w:eastAsia="宋体" w:cs="宋体"/>
          <w:color w:val="auto"/>
          <w:spacing w:val="8"/>
          <w:sz w:val="24"/>
          <w:szCs w:val="24"/>
          <w:highlight w:val="none"/>
          <w:shd w:val="clear" w:color="auto" w:fill="FFFFFF"/>
          <w:lang w:val="en-US" w:eastAsia="zh-CN"/>
        </w:rPr>
        <w:t>23:59，每天上午06:00至12:00，下午12:00至23:59（北京时间，法定节假日除外）</w:t>
      </w:r>
    </w:p>
    <w:p w14:paraId="540ED19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地点：云南省政府采购电子交易平台（政采云https://www.zcygov.cn/）</w:t>
      </w:r>
    </w:p>
    <w:p w14:paraId="76B8846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方式：1.凡有意参加磋商者，须在政采云平台办理数字证书（CA），并在政采云绑定数字证书（CA）后线上获取采购文件及其它采购资料。CA申领链接：https://middle.zcygov.cn/ca/apply/list?_app_=zcy.sys，CA申领后需登陆政采云平台完成数字证书（CA）绑定才可以使用，数字证书（CA）详见其办理流程。2.按上述要求获取文件的供应商视为合法获取了本项目采购文件，具备本项目的磋商资格。</w:t>
      </w:r>
      <w:bookmarkStart w:id="113" w:name="_GoBack"/>
      <w:bookmarkEnd w:id="113"/>
      <w:r>
        <w:rPr>
          <w:rFonts w:hint="eastAsia" w:ascii="宋体" w:hAnsi="宋体" w:eastAsia="宋体" w:cs="宋体"/>
          <w:color w:val="auto"/>
          <w:spacing w:val="8"/>
          <w:sz w:val="24"/>
          <w:szCs w:val="24"/>
          <w:highlight w:val="none"/>
          <w:shd w:val="clear" w:color="auto" w:fill="FFFFFF"/>
          <w:lang w:val="en-US" w:eastAsia="zh-CN"/>
        </w:rPr>
        <w:t xml:space="preserve"> </w:t>
      </w:r>
    </w:p>
    <w:p w14:paraId="13AC8D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售价（元）：0</w:t>
      </w:r>
    </w:p>
    <w:p w14:paraId="6426E5A8">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bookmarkStart w:id="6" w:name="_Toc28359082"/>
      <w:bookmarkStart w:id="7" w:name="_Toc90807396"/>
      <w:bookmarkStart w:id="8" w:name="_Toc35393624"/>
      <w:bookmarkStart w:id="9" w:name="_Toc28359005"/>
      <w:bookmarkStart w:id="10" w:name="_Toc35393793"/>
      <w:bookmarkStart w:id="11" w:name="_Toc49872532"/>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四、</w:t>
      </w:r>
      <w:bookmarkEnd w:id="6"/>
      <w:bookmarkEnd w:id="7"/>
      <w:bookmarkEnd w:id="8"/>
      <w:bookmarkEnd w:id="9"/>
      <w:bookmarkEnd w:id="10"/>
      <w:bookmarkEnd w:id="11"/>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响应文件提交</w:t>
      </w:r>
    </w:p>
    <w:p w14:paraId="64A0DC0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bookmarkStart w:id="12" w:name="_Toc130762841"/>
      <w:r>
        <w:rPr>
          <w:rFonts w:hint="eastAsia" w:ascii="宋体" w:hAnsi="宋体" w:eastAsia="宋体" w:cs="宋体"/>
          <w:color w:val="auto"/>
          <w:spacing w:val="8"/>
          <w:sz w:val="24"/>
          <w:szCs w:val="24"/>
          <w:highlight w:val="none"/>
          <w:shd w:val="clear" w:color="auto" w:fill="FFFFFF"/>
          <w:lang w:val="en-US" w:eastAsia="zh-CN"/>
        </w:rPr>
        <w:t>截止时间：</w:t>
      </w:r>
      <w:r>
        <w:rPr>
          <w:rFonts w:hint="eastAsia" w:cs="宋体"/>
          <w:color w:val="auto"/>
          <w:spacing w:val="8"/>
          <w:sz w:val="24"/>
          <w:szCs w:val="24"/>
          <w:highlight w:val="none"/>
          <w:shd w:val="clear" w:color="auto" w:fill="FFFFFF"/>
          <w:lang w:val="en-US" w:eastAsia="zh-CN"/>
        </w:rPr>
        <w:t>2026年06月08日14</w:t>
      </w:r>
      <w:r>
        <w:rPr>
          <w:rFonts w:hint="eastAsia" w:ascii="宋体" w:hAnsi="宋体" w:eastAsia="宋体" w:cs="宋体"/>
          <w:color w:val="auto"/>
          <w:spacing w:val="8"/>
          <w:sz w:val="24"/>
          <w:szCs w:val="24"/>
          <w:highlight w:val="none"/>
          <w:shd w:val="clear" w:color="auto" w:fill="FFFFFF"/>
          <w:lang w:val="en-US" w:eastAsia="zh-CN"/>
        </w:rPr>
        <w:t>:00（北京时间）</w:t>
      </w:r>
    </w:p>
    <w:p w14:paraId="3B1752D0">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512" w:firstLineChars="200"/>
        <w:jc w:val="both"/>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地点：</w:t>
      </w:r>
      <w:bookmarkEnd w:id="12"/>
      <w:bookmarkStart w:id="13" w:name="_Toc28359084"/>
      <w:bookmarkStart w:id="14" w:name="_Toc35393625"/>
      <w:bookmarkStart w:id="15" w:name="_Toc28359007"/>
      <w:bookmarkStart w:id="16" w:name="_Toc90807397"/>
      <w:bookmarkStart w:id="17" w:name="_Toc49872533"/>
      <w:bookmarkStart w:id="18" w:name="_Toc35393794"/>
      <w:r>
        <w:rPr>
          <w:rFonts w:hint="eastAsia" w:ascii="宋体" w:hAnsi="宋体" w:eastAsia="宋体" w:cs="宋体"/>
          <w:color w:val="auto"/>
          <w:spacing w:val="8"/>
          <w:sz w:val="24"/>
          <w:szCs w:val="24"/>
          <w:highlight w:val="none"/>
          <w:shd w:val="clear" w:color="auto" w:fill="FFFFFF"/>
          <w:lang w:val="en-US" w:eastAsia="zh-CN"/>
        </w:rPr>
        <w:t>请登录云南省政府采购电子交易平台（政采云）投标客户端投标</w:t>
      </w:r>
    </w:p>
    <w:p w14:paraId="21378D7D">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五</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r>
        <w:rPr>
          <w:rFonts w:hint="eastAsia" w:ascii="Times New Roman" w:hAnsi="Times New Roman" w:cs="Times New Roman"/>
          <w:b/>
          <w:bCs/>
          <w:color w:val="000000" w:themeColor="text1"/>
          <w:highlight w:val="none"/>
          <w:lang w:val="en-US" w:eastAsia="zh-CN"/>
          <w14:textFill>
            <w14:solidFill>
              <w14:schemeClr w14:val="tx1"/>
            </w14:solidFill>
          </w14:textFill>
        </w:rPr>
        <w:t>开启</w:t>
      </w:r>
    </w:p>
    <w:p w14:paraId="0A53B1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时间：</w:t>
      </w:r>
      <w:r>
        <w:rPr>
          <w:rFonts w:hint="eastAsia" w:cs="宋体"/>
          <w:color w:val="auto"/>
          <w:spacing w:val="8"/>
          <w:sz w:val="24"/>
          <w:szCs w:val="24"/>
          <w:highlight w:val="none"/>
          <w:shd w:val="clear" w:color="auto" w:fill="FFFFFF"/>
          <w:lang w:val="en-US" w:eastAsia="zh-CN"/>
        </w:rPr>
        <w:t>2026年06月08日14</w:t>
      </w:r>
      <w:r>
        <w:rPr>
          <w:rFonts w:hint="eastAsia" w:ascii="宋体" w:hAnsi="宋体" w:eastAsia="宋体" w:cs="宋体"/>
          <w:color w:val="auto"/>
          <w:spacing w:val="8"/>
          <w:sz w:val="24"/>
          <w:szCs w:val="24"/>
          <w:highlight w:val="none"/>
          <w:shd w:val="clear" w:color="auto" w:fill="FFFFFF"/>
          <w:lang w:val="en-US" w:eastAsia="zh-CN"/>
        </w:rPr>
        <w:t>:00（北京时间）</w:t>
      </w:r>
    </w:p>
    <w:p w14:paraId="04EED7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地点：昆明市盘龙区穿金路727号春城商务中心8楼801室开标室</w:t>
      </w:r>
    </w:p>
    <w:p w14:paraId="032FCE33">
      <w:pPr>
        <w:pStyle w:val="7"/>
        <w:keepNext w:val="0"/>
        <w:keepLines w:val="0"/>
        <w:pageBreakBefore w:val="0"/>
        <w:widowControl w:val="0"/>
        <w:numPr>
          <w:ilvl w:val="0"/>
          <w:numId w:val="1"/>
        </w:numPr>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投标保证金信息</w:t>
      </w:r>
    </w:p>
    <w:p w14:paraId="6E52CA36">
      <w:pPr>
        <w:pStyle w:val="8"/>
        <w:keepNext w:val="0"/>
        <w:keepLines w:val="0"/>
        <w:pageBreakBefore w:val="0"/>
        <w:widowControl w:val="0"/>
        <w:kinsoku/>
        <w:wordWrap/>
        <w:overflowPunct/>
        <w:topLinePunct w:val="0"/>
        <w:autoSpaceDE w:val="0"/>
        <w:autoSpaceDN w:val="0"/>
        <w:bidi w:val="0"/>
        <w:adjustRightInd w:val="0"/>
        <w:snapToGrid/>
        <w:ind w:firstLine="480" w:firstLineChars="200"/>
        <w:jc w:val="both"/>
        <w:textAlignment w:val="baseline"/>
        <w:rPr>
          <w:rFonts w:hint="eastAsia"/>
          <w:lang w:val="en-US" w:eastAsia="zh-CN"/>
        </w:rPr>
      </w:pPr>
      <w:r>
        <w:rPr>
          <w:rFonts w:hint="eastAsia"/>
          <w:lang w:val="en-US" w:eastAsia="zh-CN"/>
        </w:rPr>
        <w:t>是否需要缴纳磋商保证金：是</w:t>
      </w:r>
    </w:p>
    <w:p w14:paraId="7CB743FB">
      <w:pPr>
        <w:pStyle w:val="8"/>
        <w:keepNext w:val="0"/>
        <w:keepLines w:val="0"/>
        <w:pageBreakBefore w:val="0"/>
        <w:widowControl w:val="0"/>
        <w:kinsoku/>
        <w:wordWrap/>
        <w:overflowPunct/>
        <w:topLinePunct w:val="0"/>
        <w:autoSpaceDE w:val="0"/>
        <w:autoSpaceDN w:val="0"/>
        <w:bidi w:val="0"/>
        <w:adjustRightInd w:val="0"/>
        <w:snapToGrid/>
        <w:ind w:firstLine="480" w:firstLineChars="200"/>
        <w:jc w:val="both"/>
        <w:textAlignment w:val="baseline"/>
        <w:rPr>
          <w:rFonts w:hint="eastAsia"/>
          <w:lang w:val="en-US" w:eastAsia="zh-CN"/>
        </w:rPr>
      </w:pPr>
      <w:r>
        <w:rPr>
          <w:rFonts w:hint="eastAsia"/>
          <w:lang w:val="en-US" w:eastAsia="zh-CN"/>
        </w:rPr>
        <w:t>缴纳形式：保函：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盘龙区穿金路727号春城商务中心8楼801室。</w:t>
      </w:r>
    </w:p>
    <w:p w14:paraId="1D812994">
      <w:pPr>
        <w:pStyle w:val="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both"/>
        <w:textAlignment w:val="baseline"/>
        <w:rPr>
          <w:rFonts w:hint="eastAsia"/>
          <w:lang w:val="en-US" w:eastAsia="zh-CN"/>
        </w:rPr>
      </w:pPr>
      <w:r>
        <w:rPr>
          <w:rFonts w:hint="eastAsia"/>
          <w:lang w:val="en-US" w:eastAsia="zh-CN"/>
        </w:rPr>
        <w:t>银行转账：</w:t>
      </w:r>
    </w:p>
    <w:p w14:paraId="7E027CEF">
      <w:pPr>
        <w:pStyle w:val="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both"/>
        <w:textAlignment w:val="baseline"/>
        <w:rPr>
          <w:rFonts w:hint="eastAsia"/>
          <w:lang w:val="en-US" w:eastAsia="zh-CN"/>
        </w:rPr>
      </w:pPr>
      <w:r>
        <w:rPr>
          <w:rFonts w:hint="eastAsia"/>
          <w:lang w:val="en-US" w:eastAsia="zh-CN"/>
        </w:rPr>
        <w:t>开户银行：中国工商银行股份有限公司昆明小坝支行</w:t>
      </w:r>
    </w:p>
    <w:p w14:paraId="5AA27E14">
      <w:pPr>
        <w:pStyle w:val="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both"/>
        <w:textAlignment w:val="baseline"/>
        <w:rPr>
          <w:rFonts w:hint="eastAsia"/>
          <w:lang w:val="en-US" w:eastAsia="zh-CN"/>
        </w:rPr>
      </w:pPr>
      <w:r>
        <w:rPr>
          <w:rFonts w:hint="eastAsia"/>
          <w:lang w:val="en-US" w:eastAsia="zh-CN"/>
        </w:rPr>
        <w:t>收款户名：云南辰胤工程项目管理有限公司</w:t>
      </w:r>
    </w:p>
    <w:p w14:paraId="492C75D0">
      <w:pPr>
        <w:pStyle w:val="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both"/>
        <w:textAlignment w:val="baseline"/>
        <w:rPr>
          <w:rFonts w:hint="eastAsia"/>
          <w:lang w:val="en-US" w:eastAsia="zh-CN"/>
        </w:rPr>
      </w:pPr>
      <w:r>
        <w:rPr>
          <w:rFonts w:hint="eastAsia"/>
          <w:lang w:val="en-US" w:eastAsia="zh-CN"/>
        </w:rPr>
        <w:t>收款账号：2502014109200079435</w:t>
      </w:r>
    </w:p>
    <w:p w14:paraId="7B289857">
      <w:pPr>
        <w:pStyle w:val="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both"/>
        <w:textAlignment w:val="baseline"/>
        <w:rPr>
          <w:rFonts w:hint="eastAsia"/>
          <w:lang w:val="en-US" w:eastAsia="zh-CN"/>
        </w:rPr>
      </w:pPr>
      <w:r>
        <w:rPr>
          <w:rFonts w:hint="eastAsia"/>
          <w:lang w:val="en-US" w:eastAsia="zh-CN"/>
        </w:rPr>
        <w:t>支票、本票、汇票：</w:t>
      </w:r>
    </w:p>
    <w:p w14:paraId="02363245">
      <w:pPr>
        <w:pStyle w:val="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both"/>
        <w:textAlignment w:val="baseline"/>
        <w:rPr>
          <w:rFonts w:hint="default"/>
          <w:lang w:val="en-US" w:eastAsia="zh-CN"/>
        </w:rPr>
      </w:pPr>
      <w:r>
        <w:rPr>
          <w:rFonts w:hint="eastAsia"/>
          <w:lang w:val="en-US" w:eastAsia="zh-CN"/>
        </w:rPr>
        <w:t>送达地址：云南省昆明市盘龙区穿金路727号春城商务中心8楼801室。</w:t>
      </w:r>
    </w:p>
    <w:p w14:paraId="7A665390">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七</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、公告期限</w:t>
      </w:r>
      <w:bookmarkEnd w:id="13"/>
      <w:bookmarkEnd w:id="14"/>
      <w:bookmarkEnd w:id="15"/>
      <w:bookmarkEnd w:id="16"/>
      <w:bookmarkEnd w:id="17"/>
      <w:bookmarkEnd w:id="18"/>
    </w:p>
    <w:p w14:paraId="1DB868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shd w:val="clear" w:color="auto" w:fill="FFFFFF"/>
          <w:lang w:val="en-US" w:eastAsia="zh-CN"/>
          <w14:textFill>
            <w14:solidFill>
              <w14:schemeClr w14:val="tx1"/>
            </w14:solidFill>
          </w14:textFill>
        </w:rPr>
        <w:t>自本公告发布之日起3个工作日。</w:t>
      </w:r>
    </w:p>
    <w:p w14:paraId="05EFFB76">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bookmarkStart w:id="19" w:name="_Toc35393795"/>
      <w:bookmarkStart w:id="20" w:name="_Toc90807398"/>
      <w:bookmarkStart w:id="21" w:name="_Toc35393626"/>
      <w:bookmarkStart w:id="22" w:name="_Toc49872534"/>
      <w:r>
        <w:rPr>
          <w:rFonts w:hint="eastAsia" w:ascii="Times New Roman" w:hAnsi="Times New Roman" w:cs="Times New Roman"/>
          <w:b/>
          <w:bCs/>
          <w:color w:val="000000" w:themeColor="text1"/>
          <w:highlight w:val="none"/>
          <w:lang w:val="en-US" w:eastAsia="zh-CN"/>
          <w14:textFill>
            <w14:solidFill>
              <w14:schemeClr w14:val="tx1"/>
            </w14:solidFill>
          </w14:textFill>
        </w:rPr>
        <w:t>八</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、其他补充事宜</w:t>
      </w:r>
      <w:bookmarkEnd w:id="19"/>
      <w:bookmarkEnd w:id="20"/>
      <w:bookmarkEnd w:id="21"/>
      <w:bookmarkEnd w:id="22"/>
    </w:p>
    <w:p w14:paraId="67DAFB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1.本次竞争性磋商公告在云南省政府采购网（http://www.yngp.com）上发布，公告内容和时间以《云南省政府采购网》发布的信息为准。</w:t>
      </w:r>
    </w:p>
    <w:p w14:paraId="1A65D5A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en-US"/>
        </w:rPr>
        <w:t>2.本项目采用全流程电子化采购方式，请供应商认真学习政采云平台发布的相关操作手册（供应商可在交易平台下载相关手册），办理CA数字证书、进行政采云平台注册绑定，并认真核实CA数字证书确认是否符合本项目电子化采购流程要求。</w:t>
      </w:r>
    </w:p>
    <w:p w14:paraId="265BB9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zh-CN"/>
        </w:rPr>
        <w:t>（1）</w:t>
      </w:r>
      <w:r>
        <w:rPr>
          <w:rFonts w:hint="eastAsia" w:ascii="宋体" w:hAnsi="宋体" w:eastAsia="宋体" w:cs="宋体"/>
          <w:color w:val="auto"/>
          <w:spacing w:val="8"/>
          <w:sz w:val="24"/>
          <w:szCs w:val="24"/>
          <w:highlight w:val="none"/>
          <w:shd w:val="clear" w:color="auto" w:fill="FFFFFF"/>
          <w:lang w:val="en-US" w:eastAsia="en-US"/>
        </w:rPr>
        <w:t>办理CA数字证书，供应商登录政采云平台查阅操作指南—入驻与配置—CA管理。使用操作指南，按照程序要求办理。</w:t>
      </w:r>
    </w:p>
    <w:p w14:paraId="174A7B0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zh-CN"/>
        </w:rPr>
        <w:t>（2）</w:t>
      </w:r>
      <w:r>
        <w:rPr>
          <w:rFonts w:hint="eastAsia" w:ascii="宋体" w:hAnsi="宋体" w:eastAsia="宋体" w:cs="宋体"/>
          <w:color w:val="auto"/>
          <w:spacing w:val="8"/>
          <w:sz w:val="24"/>
          <w:szCs w:val="24"/>
          <w:highlight w:val="none"/>
          <w:shd w:val="clear" w:color="auto" w:fill="FFFFFF"/>
          <w:lang w:val="en-US" w:eastAsia="en-US"/>
        </w:rPr>
        <w:t>注册，供应商登录政采云平台操作指南—入驻与配置—云南省供应商注册入驻与配置。注册入库操作流程指引进行自助注册绑定。</w:t>
      </w:r>
    </w:p>
    <w:p w14:paraId="1FAEDD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（3）</w:t>
      </w:r>
      <w:r>
        <w:rPr>
          <w:rFonts w:hint="eastAsia" w:ascii="宋体" w:hAnsi="宋体" w:eastAsia="宋体" w:cs="宋体"/>
          <w:color w:val="auto"/>
          <w:spacing w:val="8"/>
          <w:sz w:val="24"/>
          <w:szCs w:val="24"/>
          <w:highlight w:val="none"/>
          <w:shd w:val="clear" w:color="auto" w:fill="FFFFFF"/>
          <w:lang w:val="en-US" w:eastAsia="en-US"/>
        </w:rPr>
        <w:t>驱动、客户端下载，供应商登录政采云平台—我的工作台-CA管理—给当前账号绑定CA—选择对应CA—下载驱动—客户端&amp;驱动下载，下载相关驱动及客户端。相关驱动及客户端网址（https://customer.zcygov.cn/CA-driver-download?utm=web-ca-front.3ddc8fbb.0.0.6389de80d15111ee8160d911f316cf0d）。</w:t>
      </w:r>
      <w:r>
        <w:rPr>
          <w:rFonts w:hint="eastAsia" w:ascii="宋体" w:hAnsi="宋体" w:eastAsia="宋体" w:cs="宋体"/>
          <w:color w:val="auto"/>
          <w:spacing w:val="8"/>
          <w:sz w:val="24"/>
          <w:szCs w:val="24"/>
          <w:highlight w:val="none"/>
          <w:shd w:val="clear" w:color="auto" w:fill="FFFFFF"/>
          <w:lang w:val="en-US" w:eastAsia="zh-CN"/>
        </w:rPr>
        <w:t xml:space="preserve"> </w:t>
      </w:r>
    </w:p>
    <w:p w14:paraId="6D95CF7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zh-CN"/>
        </w:rPr>
        <w:t>（4）</w:t>
      </w:r>
      <w:r>
        <w:rPr>
          <w:rFonts w:hint="eastAsia" w:ascii="宋体" w:hAnsi="宋体" w:eastAsia="宋体" w:cs="宋体"/>
          <w:color w:val="auto"/>
          <w:spacing w:val="8"/>
          <w:sz w:val="24"/>
          <w:szCs w:val="24"/>
          <w:highlight w:val="none"/>
          <w:shd w:val="clear" w:color="auto" w:fill="FFFFFF"/>
          <w:lang w:val="en-US" w:eastAsia="en-US"/>
        </w:rPr>
        <w:t>获取电子采购文件，供应商使用账号密码或CA数字证书登录相关驱动及客户端获取电子采购文件。未在规定期限内按上述操作获取采购文件的，供应商无法提交电子响应文件。</w:t>
      </w:r>
    </w:p>
    <w:p w14:paraId="5DB24F6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zh-CN"/>
        </w:rPr>
        <w:t>（5）</w:t>
      </w:r>
      <w:r>
        <w:rPr>
          <w:rFonts w:hint="eastAsia" w:ascii="宋体" w:hAnsi="宋体" w:eastAsia="宋体" w:cs="宋体"/>
          <w:color w:val="auto"/>
          <w:spacing w:val="8"/>
          <w:sz w:val="24"/>
          <w:szCs w:val="24"/>
          <w:highlight w:val="none"/>
          <w:shd w:val="clear" w:color="auto" w:fill="FFFFFF"/>
          <w:lang w:val="en-US" w:eastAsia="en-US"/>
        </w:rPr>
        <w:t>编制电子响应文件，供应商应使用电子</w:t>
      </w:r>
      <w:r>
        <w:rPr>
          <w:rFonts w:hint="eastAsia" w:cs="宋体"/>
          <w:color w:val="auto"/>
          <w:spacing w:val="8"/>
          <w:sz w:val="24"/>
          <w:szCs w:val="24"/>
          <w:highlight w:val="none"/>
          <w:shd w:val="clear" w:color="auto" w:fill="FFFFFF"/>
          <w:lang w:val="en-US" w:eastAsia="zh-CN"/>
        </w:rPr>
        <w:t>投标</w:t>
      </w:r>
      <w:r>
        <w:rPr>
          <w:rFonts w:hint="eastAsia" w:ascii="宋体" w:hAnsi="宋体" w:eastAsia="宋体" w:cs="宋体"/>
          <w:color w:val="auto"/>
          <w:spacing w:val="8"/>
          <w:sz w:val="24"/>
          <w:szCs w:val="24"/>
          <w:highlight w:val="none"/>
          <w:shd w:val="clear" w:color="auto" w:fill="FFFFFF"/>
          <w:lang w:val="en-US" w:eastAsia="en-US"/>
        </w:rPr>
        <w:t>客户端编制电子响应文件并进行电子签章及加密，如无法按照要求在电子响应文件中加盖电子签章和加密，请及时通过技术支持服务热线联系技术人员。</w:t>
      </w:r>
    </w:p>
    <w:p w14:paraId="4B2C41F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zh-CN"/>
        </w:rPr>
        <w:t>（6）</w:t>
      </w:r>
      <w:r>
        <w:rPr>
          <w:rFonts w:hint="eastAsia" w:ascii="宋体" w:hAnsi="宋体" w:eastAsia="宋体" w:cs="宋体"/>
          <w:color w:val="auto"/>
          <w:spacing w:val="8"/>
          <w:sz w:val="24"/>
          <w:szCs w:val="24"/>
          <w:highlight w:val="none"/>
          <w:shd w:val="clear" w:color="auto" w:fill="FFFFFF"/>
          <w:lang w:val="en-US" w:eastAsia="en-US"/>
        </w:rPr>
        <w:t>提交电子响应文件，供应商应于截止时间前在政采云平台提交电子响应文件，上传电子响应文件过程中请保持与互联网的连接畅通。</w:t>
      </w:r>
    </w:p>
    <w:p w14:paraId="6AA310F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en-US"/>
        </w:rPr>
      </w:pPr>
      <w:r>
        <w:rPr>
          <w:rFonts w:hint="eastAsia" w:ascii="宋体" w:hAnsi="宋体" w:eastAsia="宋体" w:cs="宋体"/>
          <w:color w:val="auto"/>
          <w:spacing w:val="8"/>
          <w:sz w:val="24"/>
          <w:szCs w:val="24"/>
          <w:highlight w:val="none"/>
          <w:shd w:val="clear" w:color="auto" w:fill="FFFFFF"/>
          <w:lang w:val="en-US" w:eastAsia="zh-CN"/>
        </w:rPr>
        <w:t>（7）</w:t>
      </w:r>
      <w:r>
        <w:rPr>
          <w:rFonts w:hint="eastAsia" w:ascii="宋体" w:hAnsi="宋体" w:eastAsia="宋体" w:cs="宋体"/>
          <w:color w:val="auto"/>
          <w:spacing w:val="8"/>
          <w:sz w:val="24"/>
          <w:szCs w:val="24"/>
          <w:highlight w:val="none"/>
          <w:shd w:val="clear" w:color="auto" w:fill="FFFFFF"/>
          <w:lang w:val="en-US" w:eastAsia="en-US"/>
        </w:rPr>
        <w:t>响应文件解密，供应商在截止时间前登陆“政采云”开标大厅，使用供应商编制响应文件时的加密数字证书对响应文件进行解密。如因</w:t>
      </w:r>
      <w:r>
        <w:rPr>
          <w:rFonts w:hint="eastAsia" w:ascii="宋体" w:hAnsi="宋体" w:eastAsia="宋体" w:cs="宋体"/>
          <w:color w:val="auto"/>
          <w:spacing w:val="8"/>
          <w:sz w:val="24"/>
          <w:szCs w:val="24"/>
          <w:highlight w:val="none"/>
          <w:shd w:val="clear" w:color="auto" w:fill="FFFFFF"/>
          <w:lang w:val="en-US" w:eastAsia="zh-CN"/>
        </w:rPr>
        <w:t>供应商</w:t>
      </w:r>
      <w:r>
        <w:rPr>
          <w:rFonts w:hint="eastAsia" w:ascii="宋体" w:hAnsi="宋体" w:eastAsia="宋体" w:cs="宋体"/>
          <w:color w:val="auto"/>
          <w:spacing w:val="8"/>
          <w:sz w:val="24"/>
          <w:szCs w:val="24"/>
          <w:highlight w:val="none"/>
          <w:shd w:val="clear" w:color="auto" w:fill="FFFFFF"/>
          <w:lang w:val="en-US" w:eastAsia="en-US"/>
        </w:rPr>
        <w:t>自身原因导致在规定时间内无法正常解密的（如：浏览器故障、未安装相关驱动、网络故障、加密CA与解密CA不一致等），采购人/代理机构不予异常处理，视为</w:t>
      </w:r>
      <w:r>
        <w:rPr>
          <w:rFonts w:hint="eastAsia" w:ascii="宋体" w:hAnsi="宋体" w:eastAsia="宋体" w:cs="宋体"/>
          <w:color w:val="auto"/>
          <w:spacing w:val="8"/>
          <w:sz w:val="24"/>
          <w:szCs w:val="24"/>
          <w:highlight w:val="none"/>
          <w:shd w:val="clear" w:color="auto" w:fill="FFFFFF"/>
          <w:lang w:val="en-US" w:eastAsia="zh-CN"/>
        </w:rPr>
        <w:t>供应商</w:t>
      </w:r>
      <w:r>
        <w:rPr>
          <w:rFonts w:hint="eastAsia" w:ascii="宋体" w:hAnsi="宋体" w:eastAsia="宋体" w:cs="宋体"/>
          <w:color w:val="auto"/>
          <w:spacing w:val="8"/>
          <w:sz w:val="24"/>
          <w:szCs w:val="24"/>
          <w:highlight w:val="none"/>
          <w:shd w:val="clear" w:color="auto" w:fill="FFFFFF"/>
          <w:lang w:val="en-US" w:eastAsia="en-US"/>
        </w:rPr>
        <w:t>自动弃标。</w:t>
      </w:r>
    </w:p>
    <w:p w14:paraId="3A5B89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auto"/>
          <w:spacing w:val="8"/>
          <w:sz w:val="24"/>
          <w:szCs w:val="24"/>
          <w:highlight w:val="none"/>
          <w:shd w:val="clear" w:color="auto" w:fill="FFFFFF"/>
          <w:lang w:val="en-US" w:eastAsia="en-US"/>
        </w:rPr>
      </w:pPr>
      <w:r>
        <w:rPr>
          <w:rFonts w:hint="default" w:ascii="宋体" w:hAnsi="宋体" w:eastAsia="宋体" w:cs="宋体"/>
          <w:color w:val="auto"/>
          <w:spacing w:val="8"/>
          <w:sz w:val="24"/>
          <w:szCs w:val="24"/>
          <w:highlight w:val="none"/>
          <w:shd w:val="clear" w:color="auto" w:fill="FFFFFF"/>
          <w:lang w:val="en-US" w:eastAsia="en-US"/>
        </w:rPr>
        <w:t>3.相关联系电话：</w:t>
      </w:r>
    </w:p>
    <w:p w14:paraId="56F37E2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（1）</w:t>
      </w:r>
      <w:r>
        <w:rPr>
          <w:rFonts w:hint="default" w:ascii="宋体" w:hAnsi="宋体" w:eastAsia="宋体" w:cs="宋体"/>
          <w:color w:val="auto"/>
          <w:spacing w:val="8"/>
          <w:sz w:val="24"/>
          <w:szCs w:val="24"/>
          <w:highlight w:val="none"/>
          <w:shd w:val="clear" w:color="auto" w:fill="FFFFFF"/>
          <w:lang w:val="en-US" w:eastAsia="en-US"/>
        </w:rPr>
        <w:t>云南壹证通CA操作问题请致电：4000040628</w:t>
      </w:r>
      <w:r>
        <w:rPr>
          <w:rFonts w:hint="eastAsia" w:ascii="宋体" w:hAnsi="宋体" w:eastAsia="宋体" w:cs="宋体"/>
          <w:color w:val="auto"/>
          <w:spacing w:val="8"/>
          <w:sz w:val="24"/>
          <w:szCs w:val="24"/>
          <w:highlight w:val="none"/>
          <w:shd w:val="clear" w:color="auto" w:fill="FFFFFF"/>
          <w:lang w:val="en-US" w:eastAsia="zh-CN"/>
        </w:rPr>
        <w:t>。</w:t>
      </w:r>
    </w:p>
    <w:p w14:paraId="31C72F5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（2）</w:t>
      </w:r>
      <w:r>
        <w:rPr>
          <w:rFonts w:hint="default" w:ascii="宋体" w:hAnsi="宋体" w:eastAsia="宋体" w:cs="宋体"/>
          <w:color w:val="auto"/>
          <w:spacing w:val="8"/>
          <w:sz w:val="24"/>
          <w:szCs w:val="24"/>
          <w:highlight w:val="none"/>
          <w:shd w:val="clear" w:color="auto" w:fill="FFFFFF"/>
          <w:lang w:val="en-US" w:eastAsia="en-US"/>
        </w:rPr>
        <w:t>云南壹证通CA紧急联系方式：19988166369</w:t>
      </w:r>
      <w:r>
        <w:rPr>
          <w:rFonts w:hint="eastAsia" w:ascii="宋体" w:hAnsi="宋体" w:eastAsia="宋体" w:cs="宋体"/>
          <w:color w:val="auto"/>
          <w:spacing w:val="8"/>
          <w:sz w:val="24"/>
          <w:szCs w:val="24"/>
          <w:highlight w:val="none"/>
          <w:shd w:val="clear" w:color="auto" w:fill="FFFFFF"/>
          <w:lang w:val="en-US" w:eastAsia="zh-CN"/>
        </w:rPr>
        <w:t>。</w:t>
      </w:r>
    </w:p>
    <w:p w14:paraId="2861AF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（3）</w:t>
      </w:r>
      <w:r>
        <w:rPr>
          <w:rFonts w:hint="default" w:ascii="宋体" w:hAnsi="宋体" w:eastAsia="宋体" w:cs="宋体"/>
          <w:color w:val="auto"/>
          <w:spacing w:val="8"/>
          <w:sz w:val="24"/>
          <w:szCs w:val="24"/>
          <w:highlight w:val="none"/>
          <w:shd w:val="clear" w:color="auto" w:fill="FFFFFF"/>
          <w:lang w:val="en-US" w:eastAsia="en-US"/>
        </w:rPr>
        <w:t>政采云客户服务热线：400-881-719</w:t>
      </w:r>
      <w:r>
        <w:rPr>
          <w:rFonts w:hint="eastAsia" w:ascii="宋体" w:hAnsi="宋体" w:eastAsia="宋体" w:cs="宋体"/>
          <w:color w:val="auto"/>
          <w:spacing w:val="8"/>
          <w:sz w:val="24"/>
          <w:szCs w:val="24"/>
          <w:highlight w:val="none"/>
          <w:shd w:val="clear" w:color="auto" w:fill="FFFFFF"/>
          <w:lang w:val="en-US" w:eastAsia="zh-CN"/>
        </w:rPr>
        <w:t>。</w:t>
      </w:r>
    </w:p>
    <w:p w14:paraId="59DA294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（4）</w:t>
      </w:r>
      <w:r>
        <w:rPr>
          <w:rFonts w:hint="default" w:ascii="宋体" w:hAnsi="宋体" w:eastAsia="宋体" w:cs="宋体"/>
          <w:color w:val="auto"/>
          <w:spacing w:val="8"/>
          <w:sz w:val="24"/>
          <w:szCs w:val="24"/>
          <w:highlight w:val="none"/>
          <w:shd w:val="clear" w:color="auto" w:fill="FFFFFF"/>
          <w:lang w:val="en-US" w:eastAsia="en-US"/>
        </w:rPr>
        <w:t>云南CA联系电话：4006727666</w:t>
      </w:r>
      <w:r>
        <w:rPr>
          <w:rFonts w:hint="eastAsia" w:ascii="宋体" w:hAnsi="宋体" w:eastAsia="宋体" w:cs="宋体"/>
          <w:color w:val="auto"/>
          <w:spacing w:val="8"/>
          <w:sz w:val="24"/>
          <w:szCs w:val="24"/>
          <w:highlight w:val="none"/>
          <w:shd w:val="clear" w:color="auto" w:fill="FFFFFF"/>
          <w:lang w:val="en-US" w:eastAsia="zh-CN"/>
        </w:rPr>
        <w:t>。</w:t>
      </w:r>
    </w:p>
    <w:p w14:paraId="6C49918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（5）</w:t>
      </w:r>
      <w:r>
        <w:rPr>
          <w:rFonts w:hint="default" w:ascii="宋体" w:hAnsi="宋体" w:eastAsia="宋体" w:cs="宋体"/>
          <w:color w:val="auto"/>
          <w:spacing w:val="8"/>
          <w:sz w:val="24"/>
          <w:szCs w:val="24"/>
          <w:highlight w:val="none"/>
          <w:shd w:val="clear" w:color="auto" w:fill="FFFFFF"/>
          <w:lang w:val="en-US" w:eastAsia="en-US"/>
        </w:rPr>
        <w:t>云南CA紧急联系方式：15288315056</w:t>
      </w:r>
      <w:r>
        <w:rPr>
          <w:rFonts w:hint="eastAsia" w:ascii="宋体" w:hAnsi="宋体" w:eastAsia="宋体" w:cs="宋体"/>
          <w:color w:val="auto"/>
          <w:spacing w:val="8"/>
          <w:sz w:val="24"/>
          <w:szCs w:val="24"/>
          <w:highlight w:val="none"/>
          <w:shd w:val="clear" w:color="auto" w:fill="FFFFFF"/>
          <w:lang w:val="en-US" w:eastAsia="zh-CN"/>
        </w:rPr>
        <w:t>。</w:t>
      </w:r>
    </w:p>
    <w:p w14:paraId="1341E15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4.本项目为不见面开标，供应商无需到达现场。</w:t>
      </w:r>
    </w:p>
    <w:p w14:paraId="0298E7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5.</w:t>
      </w:r>
      <w:r>
        <w:rPr>
          <w:rFonts w:hint="eastAsia" w:ascii="宋体" w:hAnsi="宋体" w:eastAsia="宋体" w:cs="宋体"/>
          <w:color w:val="auto"/>
          <w:spacing w:val="8"/>
          <w:sz w:val="24"/>
          <w:szCs w:val="24"/>
          <w:highlight w:val="none"/>
          <w:shd w:val="clear" w:color="auto" w:fill="FFFFFF"/>
          <w:lang w:val="en-US" w:eastAsia="en-US"/>
        </w:rPr>
        <w:t>本次采购不接受进口产品参与</w:t>
      </w:r>
      <w:r>
        <w:rPr>
          <w:rFonts w:hint="eastAsia" w:ascii="宋体" w:hAnsi="宋体" w:eastAsia="宋体" w:cs="宋体"/>
          <w:color w:val="auto"/>
          <w:spacing w:val="8"/>
          <w:sz w:val="24"/>
          <w:szCs w:val="24"/>
          <w:highlight w:val="none"/>
          <w:shd w:val="clear" w:color="auto" w:fill="FFFFFF"/>
          <w:lang w:val="en-US" w:eastAsia="zh-CN"/>
        </w:rPr>
        <w:t>磋商</w:t>
      </w:r>
      <w:r>
        <w:rPr>
          <w:rFonts w:hint="eastAsia" w:ascii="宋体" w:hAnsi="宋体" w:eastAsia="宋体" w:cs="宋体"/>
          <w:color w:val="auto"/>
          <w:spacing w:val="8"/>
          <w:sz w:val="24"/>
          <w:szCs w:val="24"/>
          <w:highlight w:val="none"/>
          <w:shd w:val="clear" w:color="auto" w:fill="FFFFFF"/>
          <w:lang w:val="en-US" w:eastAsia="en-US"/>
        </w:rPr>
        <w:t>（进口产品是指通过中国海关报关验放进入中国境内且产自关境外的产品）。</w:t>
      </w:r>
    </w:p>
    <w:p w14:paraId="2A59D690">
      <w:pPr>
        <w:pStyle w:val="7"/>
        <w:keepNext w:val="0"/>
        <w:keepLines w:val="0"/>
        <w:pageBreakBefore w:val="0"/>
        <w:widowControl w:val="0"/>
        <w:kinsoku/>
        <w:wordWrap/>
        <w:overflowPunct/>
        <w:topLinePunct w:val="0"/>
        <w:autoSpaceDE w:val="0"/>
        <w:autoSpaceDN w:val="0"/>
        <w:bidi w:val="0"/>
        <w:adjustRightInd/>
        <w:snapToGrid/>
        <w:spacing w:before="144" w:beforeLines="50" w:line="360" w:lineRule="auto"/>
        <w:ind w:left="0" w:firstLine="482" w:firstLineChars="200"/>
        <w:jc w:val="both"/>
        <w:textAlignment w:val="auto"/>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bookmarkStart w:id="23" w:name="_Toc35393627"/>
      <w:bookmarkStart w:id="24" w:name="_Toc49872535"/>
      <w:bookmarkStart w:id="25" w:name="_Toc28359008"/>
      <w:bookmarkStart w:id="26" w:name="_Toc90807399"/>
      <w:bookmarkStart w:id="27" w:name="_Toc28359085"/>
      <w:bookmarkStart w:id="28" w:name="_Toc35393796"/>
      <w:r>
        <w:rPr>
          <w:rFonts w:hint="eastAsia" w:ascii="Times New Roman" w:hAnsi="Times New Roman" w:cs="Times New Roman"/>
          <w:b/>
          <w:bCs/>
          <w:color w:val="000000" w:themeColor="text1"/>
          <w:highlight w:val="none"/>
          <w:lang w:val="en-US" w:eastAsia="zh-CN"/>
          <w14:textFill>
            <w14:solidFill>
              <w14:schemeClr w14:val="tx1"/>
            </w14:solidFill>
          </w14:textFill>
        </w:rPr>
        <w:t>九</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bookmarkEnd w:id="23"/>
      <w:bookmarkEnd w:id="24"/>
      <w:bookmarkEnd w:id="25"/>
      <w:bookmarkEnd w:id="26"/>
      <w:bookmarkEnd w:id="27"/>
      <w:bookmarkEnd w:id="28"/>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凡对本次采购提出询问，请按以下方式联系</w:t>
      </w:r>
    </w:p>
    <w:p w14:paraId="6E3CE8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1.采购人信息</w:t>
      </w:r>
    </w:p>
    <w:p w14:paraId="7D52C2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名    称：巧家县公安局交通管理大队</w:t>
      </w:r>
    </w:p>
    <w:p w14:paraId="5D9A867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地    址：巧家县白鹤街道七里安置区望江路（白鹤滩街道办事处旁）</w:t>
      </w:r>
    </w:p>
    <w:p w14:paraId="1C3167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联系方式：</w:t>
      </w:r>
      <w:r>
        <w:rPr>
          <w:rFonts w:hint="eastAsia"/>
          <w:highlight w:val="none"/>
          <w:lang w:val="en-US" w:eastAsia="zh-CN"/>
        </w:rPr>
        <w:t xml:space="preserve">  黄警官   0870-7129333、13887100178</w:t>
      </w:r>
    </w:p>
    <w:p w14:paraId="726BAEF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2.采购代理机构信息</w:t>
      </w:r>
    </w:p>
    <w:p w14:paraId="69A00F6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名    称：云南辰胤工程项目管理有限公司</w:t>
      </w:r>
    </w:p>
    <w:p w14:paraId="5E0E9B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地　  址：云南省昆明市盘龙区穿金路727号春城商务中心8楼801室</w:t>
      </w:r>
    </w:p>
    <w:p w14:paraId="595AE90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 xml:space="preserve">联系方式：0871-63527712、15198828010 </w:t>
      </w:r>
    </w:p>
    <w:p w14:paraId="47B75C6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3.项目联系方式</w:t>
      </w:r>
    </w:p>
    <w:p w14:paraId="231AE67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eastAsia" w:ascii="宋体" w:hAnsi="宋体" w:eastAsia="宋体" w:cs="宋体"/>
          <w:color w:val="auto"/>
          <w:spacing w:val="8"/>
          <w:sz w:val="24"/>
          <w:szCs w:val="24"/>
          <w:highlight w:val="none"/>
          <w:shd w:val="clear" w:color="auto" w:fill="FFFFFF"/>
          <w:lang w:val="en-US" w:eastAsia="zh-CN"/>
        </w:rPr>
      </w:pPr>
      <w:r>
        <w:rPr>
          <w:rFonts w:hint="eastAsia" w:ascii="宋体" w:hAnsi="宋体" w:eastAsia="宋体" w:cs="宋体"/>
          <w:color w:val="auto"/>
          <w:spacing w:val="8"/>
          <w:sz w:val="24"/>
          <w:szCs w:val="24"/>
          <w:highlight w:val="none"/>
          <w:shd w:val="clear" w:color="auto" w:fill="FFFFFF"/>
          <w:lang w:val="en-US" w:eastAsia="zh-CN"/>
        </w:rPr>
        <w:t>项目联系人：</w:t>
      </w:r>
      <w:r>
        <w:rPr>
          <w:rFonts w:hint="eastAsia" w:cs="宋体"/>
          <w:color w:val="auto"/>
          <w:spacing w:val="8"/>
          <w:sz w:val="24"/>
          <w:szCs w:val="24"/>
          <w:highlight w:val="none"/>
          <w:shd w:val="clear" w:color="auto" w:fill="FFFFFF"/>
          <w:lang w:val="en-US" w:eastAsia="zh-CN"/>
        </w:rPr>
        <w:t>李源、</w:t>
      </w:r>
      <w:r>
        <w:rPr>
          <w:rFonts w:hint="eastAsia" w:ascii="宋体" w:hAnsi="宋体" w:eastAsia="宋体" w:cs="宋体"/>
          <w:color w:val="auto"/>
          <w:spacing w:val="8"/>
          <w:sz w:val="24"/>
          <w:szCs w:val="24"/>
          <w:highlight w:val="none"/>
          <w:shd w:val="clear" w:color="auto" w:fill="FFFFFF"/>
          <w:lang w:val="en-US" w:eastAsia="zh-CN"/>
        </w:rPr>
        <w:t>梁东、李杰</w:t>
      </w:r>
    </w:p>
    <w:p w14:paraId="067E957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720" w:right="0" w:firstLine="0"/>
        <w:jc w:val="left"/>
        <w:textAlignment w:val="auto"/>
        <w:rPr>
          <w:rFonts w:hint="default" w:ascii="宋体" w:hAnsi="宋体" w:eastAsia="宋体" w:cs="宋体"/>
          <w:color w:val="auto"/>
          <w:spacing w:val="8"/>
          <w:sz w:val="24"/>
          <w:szCs w:val="24"/>
          <w:highlight w:val="none"/>
          <w:shd w:val="clear" w:color="auto" w:fill="FFFFFF"/>
          <w:lang w:val="en-US" w:eastAsia="zh-CN"/>
        </w:rPr>
        <w:sectPr>
          <w:headerReference r:id="rId8" w:type="default"/>
          <w:footerReference r:id="rId9" w:type="default"/>
          <w:pgSz w:w="11907" w:h="16840"/>
          <w:pgMar w:top="1417" w:right="1134" w:bottom="1417" w:left="1134" w:header="850" w:footer="850" w:gutter="0"/>
          <w:pgNumType w:fmt="decimal"/>
          <w:cols w:space="720" w:num="1"/>
          <w:docGrid w:linePitch="286" w:charSpace="0"/>
        </w:sectPr>
      </w:pPr>
      <w:r>
        <w:rPr>
          <w:rFonts w:hint="eastAsia" w:ascii="宋体" w:hAnsi="宋体" w:eastAsia="宋体" w:cs="宋体"/>
          <w:color w:val="auto"/>
          <w:spacing w:val="8"/>
          <w:sz w:val="24"/>
          <w:szCs w:val="24"/>
          <w:highlight w:val="none"/>
          <w:shd w:val="clear" w:color="auto" w:fill="FFFFFF"/>
          <w:lang w:val="en-US" w:eastAsia="zh-CN"/>
        </w:rPr>
        <w:t xml:space="preserve">电　 　 话：0871-63527712、15198828010 </w:t>
      </w:r>
    </w:p>
    <w:p w14:paraId="5576F516">
      <w:pPr>
        <w:tabs>
          <w:tab w:val="left" w:pos="1622"/>
        </w:tabs>
        <w:spacing w:before="73" w:after="240" w:afterLines="100"/>
        <w:ind w:right="28"/>
        <w:jc w:val="center"/>
        <w:outlineLvl w:val="0"/>
        <w:rPr>
          <w:rFonts w:ascii="Times New Roman" w:hAnsi="Times New Roman" w:eastAsia="宋体" w:cs="Times New Roman"/>
          <w:b/>
          <w:bCs/>
          <w:sz w:val="36"/>
          <w:highlight w:val="none"/>
          <w:lang w:eastAsia="zh-CN"/>
        </w:rPr>
      </w:pPr>
      <w:bookmarkStart w:id="29" w:name="_Toc9153"/>
      <w:bookmarkStart w:id="30" w:name="_Toc18737"/>
      <w:bookmarkStart w:id="31" w:name="_Toc160018027"/>
      <w:bookmarkStart w:id="32" w:name="_Toc7349"/>
      <w:r>
        <w:rPr>
          <w:rFonts w:ascii="Times New Roman" w:hAnsi="Times New Roman" w:eastAsia="宋体" w:cs="Times New Roman"/>
          <w:b/>
          <w:bCs/>
          <w:sz w:val="36"/>
          <w:highlight w:val="none"/>
          <w:lang w:eastAsia="zh-CN"/>
        </w:rPr>
        <w:t>第二章</w:t>
      </w:r>
      <w:r>
        <w:rPr>
          <w:rFonts w:hint="eastAsia" w:ascii="Times New Roman" w:hAnsi="Times New Roman" w:eastAsia="宋体" w:cs="Times New Roman"/>
          <w:b/>
          <w:bCs/>
          <w:sz w:val="36"/>
          <w:highlight w:val="none"/>
          <w:lang w:val="en-US" w:eastAsia="zh-CN"/>
        </w:rPr>
        <w:t xml:space="preserve">  </w:t>
      </w:r>
      <w:r>
        <w:rPr>
          <w:rFonts w:ascii="Times New Roman" w:hAnsi="Times New Roman" w:eastAsia="宋体" w:cs="Times New Roman"/>
          <w:b/>
          <w:bCs/>
          <w:sz w:val="36"/>
          <w:highlight w:val="none"/>
          <w:lang w:eastAsia="zh-CN"/>
        </w:rPr>
        <w:t>供应商须知</w:t>
      </w:r>
      <w:bookmarkEnd w:id="29"/>
      <w:bookmarkEnd w:id="30"/>
      <w:bookmarkEnd w:id="31"/>
      <w:bookmarkEnd w:id="32"/>
    </w:p>
    <w:p w14:paraId="2B356E55">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宋体" w:hAnsi="宋体" w:eastAsia="宋体" w:cs="宋体"/>
          <w:b/>
          <w:bCs/>
          <w:highlight w:val="none"/>
          <w:lang w:eastAsia="zh-CN"/>
        </w:rPr>
      </w:pPr>
      <w:bookmarkStart w:id="33" w:name="_Toc10157"/>
      <w:r>
        <w:rPr>
          <w:rFonts w:hint="eastAsia" w:ascii="宋体" w:hAnsi="宋体" w:eastAsia="宋体" w:cs="宋体"/>
          <w:b/>
          <w:bCs/>
          <w:highlight w:val="none"/>
          <w:lang w:eastAsia="zh-CN"/>
        </w:rPr>
        <w:t>供应商须知资料表</w:t>
      </w:r>
      <w:bookmarkEnd w:id="33"/>
    </w:p>
    <w:p w14:paraId="263A966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highlight w:val="none"/>
          <w:lang w:eastAsia="zh-CN"/>
        </w:rPr>
      </w:pPr>
      <w:r>
        <w:rPr>
          <w:rFonts w:hint="eastAsia"/>
          <w:sz w:val="24"/>
          <w:szCs w:val="24"/>
          <w:highlight w:val="none"/>
          <w:lang w:val="en-US" w:eastAsia="zh-CN"/>
        </w:rPr>
        <w:t>注：</w:t>
      </w:r>
      <w:r>
        <w:rPr>
          <w:rFonts w:hint="eastAsia"/>
          <w:sz w:val="24"/>
          <w:szCs w:val="24"/>
          <w:highlight w:val="none"/>
          <w:lang w:eastAsia="zh-CN"/>
        </w:rPr>
        <w:t>本表用于进一步明确“供应商须知正文部分”中的未尽事宜，供应商须知正文部分与本资料表不一致的以本资料表为准。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716"/>
        <w:gridCol w:w="7158"/>
      </w:tblGrid>
      <w:tr w14:paraId="4487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4" w:type="dxa"/>
            <w:vAlign w:val="center"/>
          </w:tcPr>
          <w:p w14:paraId="77296020">
            <w:pPr>
              <w:pStyle w:val="8"/>
              <w:tabs>
                <w:tab w:val="left" w:pos="309"/>
              </w:tabs>
              <w:ind w:left="0" w:lef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条款号</w:t>
            </w:r>
          </w:p>
        </w:tc>
        <w:tc>
          <w:tcPr>
            <w:tcW w:w="1716" w:type="dxa"/>
            <w:vAlign w:val="center"/>
          </w:tcPr>
          <w:p w14:paraId="18A2E7CF">
            <w:pPr>
              <w:pStyle w:val="8"/>
              <w:ind w:left="0" w:lef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条目</w:t>
            </w:r>
          </w:p>
        </w:tc>
        <w:tc>
          <w:tcPr>
            <w:tcW w:w="7158" w:type="dxa"/>
            <w:vAlign w:val="center"/>
          </w:tcPr>
          <w:p w14:paraId="666A0FDC">
            <w:pPr>
              <w:pStyle w:val="8"/>
              <w:ind w:left="0" w:lef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内容</w:t>
            </w:r>
          </w:p>
        </w:tc>
      </w:tr>
      <w:tr w14:paraId="4B43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79186BE2">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w:t>
            </w:r>
          </w:p>
        </w:tc>
        <w:tc>
          <w:tcPr>
            <w:tcW w:w="1716" w:type="dxa"/>
            <w:vAlign w:val="center"/>
          </w:tcPr>
          <w:p w14:paraId="6346D3B2">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项目属性</w:t>
            </w:r>
          </w:p>
        </w:tc>
        <w:tc>
          <w:tcPr>
            <w:tcW w:w="7158" w:type="dxa"/>
            <w:vAlign w:val="center"/>
          </w:tcPr>
          <w:p w14:paraId="6557318C">
            <w:pPr>
              <w:keepNext w:val="0"/>
              <w:keepLines w:val="0"/>
              <w:pageBreakBefore w:val="0"/>
              <w:widowControl/>
              <w:kinsoku/>
              <w:wordWrap/>
              <w:overflowPunct/>
              <w:topLinePunct/>
              <w:autoSpaceDE/>
              <w:autoSpaceDN/>
              <w:bidi w:val="0"/>
              <w:adjustRightInd/>
              <w:snapToGrid/>
              <w:spacing w:line="440" w:lineRule="exact"/>
              <w:jc w:val="both"/>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项目属性：货物。</w:t>
            </w:r>
            <w:r>
              <w:rPr>
                <w:rFonts w:hint="eastAsia" w:cs="宋体"/>
                <w:b/>
                <w:bCs/>
                <w:color w:val="000000"/>
                <w:kern w:val="0"/>
                <w:sz w:val="24"/>
                <w:szCs w:val="24"/>
                <w:highlight w:val="none"/>
                <w:lang w:val="en-US" w:eastAsia="zh-CN"/>
              </w:rPr>
              <w:t>本次采购不设置核心产品。</w:t>
            </w:r>
          </w:p>
        </w:tc>
      </w:tr>
      <w:tr w14:paraId="7325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vAlign w:val="center"/>
          </w:tcPr>
          <w:p w14:paraId="6E54DFB6">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en-US"/>
              </w:rPr>
              <w:t>3.1</w:t>
            </w:r>
          </w:p>
        </w:tc>
        <w:tc>
          <w:tcPr>
            <w:tcW w:w="1716" w:type="dxa"/>
            <w:vAlign w:val="center"/>
          </w:tcPr>
          <w:p w14:paraId="1345B744">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现场考察</w:t>
            </w:r>
          </w:p>
        </w:tc>
        <w:tc>
          <w:tcPr>
            <w:tcW w:w="7158" w:type="dxa"/>
            <w:vAlign w:val="center"/>
          </w:tcPr>
          <w:p w14:paraId="117D780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不组织</w:t>
            </w:r>
          </w:p>
        </w:tc>
      </w:tr>
      <w:tr w14:paraId="7F25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71BC1AC4">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p>
        </w:tc>
        <w:tc>
          <w:tcPr>
            <w:tcW w:w="1716" w:type="dxa"/>
            <w:vAlign w:val="center"/>
          </w:tcPr>
          <w:p w14:paraId="5C1A7158">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磋商前答疑会</w:t>
            </w:r>
          </w:p>
        </w:tc>
        <w:tc>
          <w:tcPr>
            <w:tcW w:w="7158" w:type="dxa"/>
            <w:vAlign w:val="center"/>
          </w:tcPr>
          <w:p w14:paraId="1BA8A3E3">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不召开</w:t>
            </w:r>
          </w:p>
        </w:tc>
      </w:tr>
      <w:tr w14:paraId="2CA6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9FA1D09">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en-US"/>
              </w:rPr>
              <w:t>4.1</w:t>
            </w:r>
          </w:p>
        </w:tc>
        <w:tc>
          <w:tcPr>
            <w:tcW w:w="1716" w:type="dxa"/>
            <w:vAlign w:val="center"/>
          </w:tcPr>
          <w:p w14:paraId="0782369B">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是否允许进口产品</w:t>
            </w:r>
            <w:r>
              <w:rPr>
                <w:rFonts w:hint="eastAsia" w:cs="宋体"/>
                <w:color w:val="auto"/>
                <w:kern w:val="0"/>
                <w:sz w:val="24"/>
                <w:szCs w:val="24"/>
                <w:highlight w:val="none"/>
                <w:lang w:val="en-US" w:eastAsia="zh-CN"/>
              </w:rPr>
              <w:t>参加磋商</w:t>
            </w:r>
          </w:p>
        </w:tc>
        <w:tc>
          <w:tcPr>
            <w:tcW w:w="7158" w:type="dxa"/>
            <w:vAlign w:val="center"/>
          </w:tcPr>
          <w:p w14:paraId="5F276CAC">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w:t>
            </w:r>
          </w:p>
        </w:tc>
      </w:tr>
      <w:tr w14:paraId="47BE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6EC1C01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4.2.4</w:t>
            </w:r>
          </w:p>
        </w:tc>
        <w:tc>
          <w:tcPr>
            <w:tcW w:w="1716" w:type="dxa"/>
            <w:vAlign w:val="center"/>
          </w:tcPr>
          <w:p w14:paraId="57846C26">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是否专门面向中小企业预留采购份额</w:t>
            </w:r>
          </w:p>
        </w:tc>
        <w:tc>
          <w:tcPr>
            <w:tcW w:w="7158" w:type="dxa"/>
            <w:vAlign w:val="center"/>
          </w:tcPr>
          <w:p w14:paraId="075BB147">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r>
      <w:tr w14:paraId="0900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86B8F47">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en-US"/>
              </w:rPr>
              <w:t>4.2.</w:t>
            </w:r>
            <w:r>
              <w:rPr>
                <w:rFonts w:hint="eastAsia" w:ascii="宋体" w:hAnsi="宋体" w:eastAsia="宋体" w:cs="宋体"/>
                <w:color w:val="000000"/>
                <w:kern w:val="0"/>
                <w:sz w:val="24"/>
                <w:szCs w:val="24"/>
                <w:highlight w:val="none"/>
                <w:lang w:val="en-US" w:eastAsia="zh-CN"/>
              </w:rPr>
              <w:t>5</w:t>
            </w:r>
          </w:p>
        </w:tc>
        <w:tc>
          <w:tcPr>
            <w:tcW w:w="1716" w:type="dxa"/>
            <w:vAlign w:val="center"/>
          </w:tcPr>
          <w:p w14:paraId="2EB1A490">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标的所属行业</w:t>
            </w:r>
          </w:p>
        </w:tc>
        <w:tc>
          <w:tcPr>
            <w:tcW w:w="7158" w:type="dxa"/>
            <w:vAlign w:val="center"/>
          </w:tcPr>
          <w:p w14:paraId="5EAA045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工业和信息化部、国家统计局、国家发展和改革委员会、财政部《关于印发中小企业划型标准规定的通知》(工信部联企业〔2011〕300号)，本次采购标的对应的中小企业划分标准所属行业为“（二）工业”，行业划型标准为：</w:t>
            </w:r>
          </w:p>
          <w:p w14:paraId="1E4C6A2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169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0E4CEC1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en-US"/>
              </w:rPr>
              <w:t>10.</w:t>
            </w:r>
            <w:r>
              <w:rPr>
                <w:rFonts w:hint="eastAsia" w:cs="宋体"/>
                <w:color w:val="000000"/>
                <w:kern w:val="0"/>
                <w:sz w:val="24"/>
                <w:szCs w:val="24"/>
                <w:highlight w:val="none"/>
                <w:lang w:val="en-US" w:eastAsia="zh-CN"/>
              </w:rPr>
              <w:t>3</w:t>
            </w:r>
          </w:p>
        </w:tc>
        <w:tc>
          <w:tcPr>
            <w:tcW w:w="1716" w:type="dxa"/>
            <w:vAlign w:val="center"/>
          </w:tcPr>
          <w:p w14:paraId="38A521EC">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val="en-US" w:eastAsia="zh-CN"/>
              </w:rPr>
              <w:t>报价</w:t>
            </w:r>
          </w:p>
        </w:tc>
        <w:tc>
          <w:tcPr>
            <w:tcW w:w="7158" w:type="dxa"/>
            <w:vAlign w:val="center"/>
          </w:tcPr>
          <w:p w14:paraId="35A22A8D">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供应商的磋商报价应依据</w:t>
            </w:r>
            <w:r>
              <w:rPr>
                <w:rFonts w:hint="eastAsia"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lang w:val="en-US" w:eastAsia="zh-CN"/>
              </w:rPr>
              <w:t>文件的要求及有关资料，执行国家规定的现行技术、经济标准、定额及规范，由供应商自行测算出现行市场的各类价格。报价包括但不仅限于完成各项</w:t>
            </w:r>
            <w:r>
              <w:rPr>
                <w:rFonts w:hint="eastAsia" w:cs="宋体"/>
                <w:color w:val="auto"/>
                <w:kern w:val="0"/>
                <w:sz w:val="24"/>
                <w:szCs w:val="24"/>
                <w:highlight w:val="none"/>
                <w:lang w:val="en-US" w:eastAsia="zh-CN"/>
              </w:rPr>
              <w:t>货物及服务</w:t>
            </w:r>
            <w:r>
              <w:rPr>
                <w:rFonts w:hint="eastAsia" w:ascii="宋体" w:hAnsi="宋体" w:eastAsia="宋体" w:cs="宋体"/>
                <w:color w:val="auto"/>
                <w:kern w:val="0"/>
                <w:sz w:val="24"/>
                <w:szCs w:val="24"/>
                <w:highlight w:val="none"/>
                <w:lang w:val="en-US" w:eastAsia="zh-CN"/>
              </w:rPr>
              <w:t>所需的项目实施、人工费用及保险、实施及运维期间安全保障、交通运输、技术保障、售后服务、管理费、税金、设备价款、备品备件、易损件、专用工具、相关配件、附件、零配件及其它的所有费用、利润、</w:t>
            </w:r>
            <w:r>
              <w:rPr>
                <w:rFonts w:hint="eastAsia"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val="en-US" w:eastAsia="zh-CN"/>
              </w:rPr>
              <w:t>代理服务费、一切技术（含相关技术指导与培训费），及一切与本项目相关的支出等所有不可预见的隐含费用（以上费用如涉及到多次需求，所有费用都包含在内）等一切应有费用，该报价应符合实际情况并能保证成交人完成履行合同所需的一切工作。合同一旦签订，此合同价格在合同执行期间将不因工作量的变化而调整。</w:t>
            </w:r>
          </w:p>
          <w:p w14:paraId="4E3FD5F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采购人将以合同形式有偿取得</w:t>
            </w:r>
            <w:r>
              <w:rPr>
                <w:rFonts w:hint="eastAsia" w:cs="宋体"/>
                <w:color w:val="auto"/>
                <w:kern w:val="0"/>
                <w:sz w:val="24"/>
                <w:szCs w:val="24"/>
                <w:highlight w:val="none"/>
                <w:lang w:val="en-US" w:eastAsia="zh-CN"/>
              </w:rPr>
              <w:t>货物及</w:t>
            </w:r>
            <w:r>
              <w:rPr>
                <w:rFonts w:hint="eastAsia" w:ascii="宋体" w:hAnsi="宋体" w:eastAsia="宋体" w:cs="宋体"/>
                <w:color w:val="auto"/>
                <w:kern w:val="0"/>
                <w:sz w:val="24"/>
                <w:szCs w:val="24"/>
                <w:highlight w:val="none"/>
                <w:lang w:val="en-US" w:eastAsia="zh-CN"/>
              </w:rPr>
              <w:t>服务，采购人不得向供应商索要或者接受其给予的赠品、回扣或者与采购无关的其他商品、服务。供应商不得出现“0元”“免费赠送”等形式的无偿报价，否则视为磋商文件含有采购人不能接受的附加条件，磋商无效。</w:t>
            </w:r>
          </w:p>
          <w:p w14:paraId="558B543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供应商的</w:t>
            </w:r>
            <w:r>
              <w:rPr>
                <w:rFonts w:hint="eastAsia" w:cs="宋体"/>
                <w:color w:val="auto"/>
                <w:kern w:val="0"/>
                <w:sz w:val="24"/>
                <w:szCs w:val="24"/>
                <w:highlight w:val="none"/>
                <w:lang w:val="en-US" w:eastAsia="zh-CN"/>
              </w:rPr>
              <w:t>响应总</w:t>
            </w:r>
            <w:r>
              <w:rPr>
                <w:rFonts w:hint="eastAsia" w:ascii="宋体" w:hAnsi="宋体" w:eastAsia="宋体" w:cs="宋体"/>
                <w:color w:val="auto"/>
                <w:kern w:val="0"/>
                <w:sz w:val="24"/>
                <w:szCs w:val="24"/>
                <w:highlight w:val="none"/>
                <w:lang w:val="en-US" w:eastAsia="zh-CN"/>
              </w:rPr>
              <w:t>报价不得超过《招标工程量清单》“最高投标限价公布表”中的招标控制总价，否则响应无效。</w:t>
            </w:r>
          </w:p>
        </w:tc>
      </w:tr>
      <w:tr w14:paraId="6124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shd w:val="clear" w:color="auto" w:fill="auto"/>
            <w:vAlign w:val="center"/>
          </w:tcPr>
          <w:p w14:paraId="4BEA3785">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en-US"/>
              </w:rPr>
              <w:t>11</w:t>
            </w:r>
            <w:r>
              <w:rPr>
                <w:rFonts w:hint="eastAsia" w:cs="宋体"/>
                <w:color w:val="000000"/>
                <w:kern w:val="0"/>
                <w:sz w:val="24"/>
                <w:szCs w:val="24"/>
                <w:highlight w:val="none"/>
                <w:lang w:val="en-US" w:eastAsia="zh-CN"/>
              </w:rPr>
              <w:t>.1</w:t>
            </w:r>
          </w:p>
        </w:tc>
        <w:tc>
          <w:tcPr>
            <w:tcW w:w="1716" w:type="dxa"/>
            <w:vMerge w:val="restart"/>
            <w:shd w:val="clear" w:color="auto" w:fill="auto"/>
            <w:vAlign w:val="center"/>
          </w:tcPr>
          <w:p w14:paraId="7A3C427B">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磋商保证金</w:t>
            </w:r>
          </w:p>
        </w:tc>
        <w:tc>
          <w:tcPr>
            <w:tcW w:w="7158" w:type="dxa"/>
            <w:shd w:val="clear" w:color="auto" w:fill="auto"/>
            <w:vAlign w:val="center"/>
          </w:tcPr>
          <w:p w14:paraId="7D4D1930">
            <w:pPr>
              <w:keepNext w:val="0"/>
              <w:keepLines w:val="0"/>
              <w:pageBreakBefore w:val="0"/>
              <w:widowControl/>
              <w:numPr>
                <w:ilvl w:val="0"/>
                <w:numId w:val="0"/>
              </w:numPr>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（1）磋商保证金金额：</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2</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000.00元。</w:t>
            </w:r>
          </w:p>
          <w:p w14:paraId="7F236928">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（2）磋商保证金收受人信息</w:t>
            </w:r>
            <w:r>
              <w:rPr>
                <w:rFonts w:hint="eastAsia" w:ascii="宋体" w:hAnsi="宋体" w:eastAsia="宋体" w:cs="宋体"/>
                <w:color w:val="auto"/>
                <w:kern w:val="0"/>
                <w:sz w:val="24"/>
                <w:szCs w:val="24"/>
                <w:highlight w:val="none"/>
                <w:lang w:val="en-US" w:eastAsia="zh-CN"/>
              </w:rPr>
              <w:t>：</w:t>
            </w:r>
          </w:p>
          <w:p w14:paraId="0606C4EF">
            <w:pPr>
              <w:keepNext w:val="0"/>
              <w:keepLines w:val="0"/>
              <w:pageBreakBefore w:val="0"/>
              <w:widowControl/>
              <w:kinsoku/>
              <w:wordWrap/>
              <w:overflowPunct/>
              <w:topLinePunct/>
              <w:autoSpaceDE/>
              <w:autoSpaceDN/>
              <w:bidi w:val="0"/>
              <w:adjustRightInd/>
              <w:snapToGrid/>
              <w:spacing w:line="44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开户名称</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云南辰胤工程项目管理有限公司</w:t>
            </w:r>
          </w:p>
          <w:p w14:paraId="465F901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号：2502014109200079435</w:t>
            </w:r>
          </w:p>
          <w:p w14:paraId="7C7B5579">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开户银行：中国工商银行股份有限公司昆明小坝支行</w:t>
            </w:r>
          </w:p>
        </w:tc>
      </w:tr>
      <w:tr w14:paraId="4EB1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4" w:type="dxa"/>
            <w:shd w:val="clear" w:color="auto" w:fill="auto"/>
            <w:vAlign w:val="center"/>
          </w:tcPr>
          <w:p w14:paraId="1FCB7B5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cs="宋体"/>
                <w:color w:val="000000"/>
                <w:kern w:val="0"/>
                <w:sz w:val="24"/>
                <w:szCs w:val="24"/>
                <w:highlight w:val="none"/>
                <w:lang w:val="en-US" w:eastAsia="zh-CN"/>
              </w:rPr>
              <w:t>11.6（5）</w:t>
            </w:r>
          </w:p>
        </w:tc>
        <w:tc>
          <w:tcPr>
            <w:tcW w:w="1716" w:type="dxa"/>
            <w:vMerge w:val="continue"/>
            <w:shd w:val="clear" w:color="auto" w:fill="auto"/>
            <w:vAlign w:val="center"/>
          </w:tcPr>
          <w:p w14:paraId="35A5F4B0">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p>
        </w:tc>
        <w:tc>
          <w:tcPr>
            <w:tcW w:w="7158" w:type="dxa"/>
            <w:shd w:val="clear" w:color="auto" w:fill="auto"/>
            <w:vAlign w:val="center"/>
          </w:tcPr>
          <w:p w14:paraId="4B214BF9">
            <w:pPr>
              <w:keepNext w:val="0"/>
              <w:keepLines w:val="0"/>
              <w:pageBreakBefore w:val="0"/>
              <w:widowControl/>
              <w:kinsoku/>
              <w:wordWrap/>
              <w:overflowPunct/>
              <w:topLinePunct/>
              <w:autoSpaceDE/>
              <w:autoSpaceDN/>
              <w:bidi w:val="0"/>
              <w:adjustRightInd/>
              <w:snapToGrid/>
              <w:spacing w:line="440" w:lineRule="exact"/>
              <w:jc w:val="both"/>
              <w:textAlignment w:val="auto"/>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磋商保证金不予退还的其他情形：无。</w:t>
            </w:r>
          </w:p>
        </w:tc>
      </w:tr>
      <w:tr w14:paraId="4EEF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1CD383A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en-US"/>
              </w:rPr>
              <w:t>12</w:t>
            </w:r>
          </w:p>
        </w:tc>
        <w:tc>
          <w:tcPr>
            <w:tcW w:w="1716" w:type="dxa"/>
            <w:vAlign w:val="center"/>
          </w:tcPr>
          <w:p w14:paraId="2492A13D">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响应有效期</w:t>
            </w:r>
          </w:p>
        </w:tc>
        <w:tc>
          <w:tcPr>
            <w:tcW w:w="7158" w:type="dxa"/>
            <w:vAlign w:val="center"/>
          </w:tcPr>
          <w:p w14:paraId="02760718">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自响应文件提交截止之日起算60日历天。</w:t>
            </w:r>
          </w:p>
        </w:tc>
      </w:tr>
      <w:tr w14:paraId="7297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45DB0E7F">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13.2</w:t>
            </w:r>
          </w:p>
        </w:tc>
        <w:tc>
          <w:tcPr>
            <w:tcW w:w="1716" w:type="dxa"/>
            <w:vAlign w:val="center"/>
          </w:tcPr>
          <w:p w14:paraId="44F1D689">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响应文件的签署、盖章</w:t>
            </w:r>
          </w:p>
        </w:tc>
        <w:tc>
          <w:tcPr>
            <w:tcW w:w="7158" w:type="dxa"/>
            <w:vAlign w:val="center"/>
          </w:tcPr>
          <w:p w14:paraId="1B52E80D">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按照</w:t>
            </w:r>
            <w:r>
              <w:rPr>
                <w:rFonts w:hint="eastAsia"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lang w:val="en-US" w:eastAsia="zh-CN"/>
              </w:rPr>
              <w:t>文件格式，采用企业、法定代表人电子签章及数字证书电子签名。</w:t>
            </w:r>
            <w:r>
              <w:rPr>
                <w:rFonts w:hint="eastAsia"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lang w:val="en-US" w:eastAsia="zh-CN"/>
              </w:rPr>
              <w:t>文件提供格式的按照</w:t>
            </w:r>
            <w:r>
              <w:rPr>
                <w:rFonts w:hint="eastAsia"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lang w:val="en-US" w:eastAsia="zh-CN"/>
              </w:rPr>
              <w:t>文件提供的格式编制，未提供格式的</w:t>
            </w:r>
            <w:r>
              <w:rPr>
                <w:rFonts w:hint="eastAsia"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可以自拟。</w:t>
            </w:r>
          </w:p>
          <w:p w14:paraId="7DC9A25D">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签字盖章仅需在</w:t>
            </w:r>
            <w:r>
              <w:rPr>
                <w:rFonts w:hint="eastAsia"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lang w:val="en-US" w:eastAsia="zh-CN"/>
              </w:rPr>
              <w:t>文件规定的格式上盖章或签字，不需要逐页签字或盖章。</w:t>
            </w:r>
          </w:p>
        </w:tc>
      </w:tr>
      <w:tr w14:paraId="05A9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D85004F">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en-US"/>
              </w:rPr>
              <w:t>20</w:t>
            </w:r>
          </w:p>
        </w:tc>
        <w:tc>
          <w:tcPr>
            <w:tcW w:w="1716" w:type="dxa"/>
            <w:vAlign w:val="center"/>
          </w:tcPr>
          <w:p w14:paraId="04F60E51">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确定成交供</w:t>
            </w:r>
          </w:p>
          <w:p w14:paraId="41D96DF1">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应商</w:t>
            </w:r>
          </w:p>
        </w:tc>
        <w:tc>
          <w:tcPr>
            <w:tcW w:w="7158" w:type="dxa"/>
            <w:vAlign w:val="center"/>
          </w:tcPr>
          <w:p w14:paraId="0E469696">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采购人是否授权磋商小组直接确定成交供应商：否。</w:t>
            </w:r>
          </w:p>
        </w:tc>
      </w:tr>
      <w:tr w14:paraId="61B5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7B13378">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en-US"/>
              </w:rPr>
            </w:pPr>
            <w:r>
              <w:rPr>
                <w:rFonts w:hint="eastAsia" w:ascii="宋体" w:hAnsi="宋体" w:eastAsia="宋体" w:cs="宋体"/>
                <w:color w:val="000000"/>
                <w:kern w:val="0"/>
                <w:sz w:val="24"/>
                <w:szCs w:val="24"/>
                <w:highlight w:val="none"/>
                <w:lang w:val="en-US" w:eastAsia="en-US"/>
              </w:rPr>
              <w:t>23.</w:t>
            </w:r>
            <w:r>
              <w:rPr>
                <w:rFonts w:hint="eastAsia" w:ascii="宋体" w:hAnsi="宋体" w:eastAsia="宋体" w:cs="宋体"/>
                <w:color w:val="000000"/>
                <w:kern w:val="0"/>
                <w:sz w:val="24"/>
                <w:szCs w:val="24"/>
                <w:highlight w:val="none"/>
                <w:lang w:val="en-US" w:eastAsia="zh-CN"/>
              </w:rPr>
              <w:t>4</w:t>
            </w:r>
          </w:p>
        </w:tc>
        <w:tc>
          <w:tcPr>
            <w:tcW w:w="1716" w:type="dxa"/>
            <w:vAlign w:val="center"/>
          </w:tcPr>
          <w:p w14:paraId="1E930B1B">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分包</w:t>
            </w:r>
          </w:p>
        </w:tc>
        <w:tc>
          <w:tcPr>
            <w:tcW w:w="7158" w:type="dxa"/>
            <w:vAlign w:val="center"/>
          </w:tcPr>
          <w:p w14:paraId="5404DE8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本项目是否允许分包：否。</w:t>
            </w:r>
          </w:p>
        </w:tc>
      </w:tr>
      <w:tr w14:paraId="459C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353641F">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en-US"/>
              </w:rPr>
            </w:pPr>
            <w:r>
              <w:rPr>
                <w:rFonts w:hint="eastAsia" w:ascii="宋体" w:hAnsi="宋体" w:eastAsia="宋体" w:cs="宋体"/>
                <w:color w:val="000000"/>
                <w:kern w:val="0"/>
                <w:sz w:val="24"/>
                <w:szCs w:val="24"/>
                <w:highlight w:val="none"/>
                <w:lang w:val="en-US" w:eastAsia="en-US"/>
              </w:rPr>
              <w:t>24.1</w:t>
            </w:r>
          </w:p>
        </w:tc>
        <w:tc>
          <w:tcPr>
            <w:tcW w:w="1716" w:type="dxa"/>
            <w:vAlign w:val="center"/>
          </w:tcPr>
          <w:p w14:paraId="5ADDC64A">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询问</w:t>
            </w:r>
          </w:p>
        </w:tc>
        <w:tc>
          <w:tcPr>
            <w:tcW w:w="7158" w:type="dxa"/>
            <w:vAlign w:val="top"/>
          </w:tcPr>
          <w:p w14:paraId="6B12BD3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送达形式：以书面形式通过政采云平台向采购代理机构提出。</w:t>
            </w:r>
          </w:p>
        </w:tc>
      </w:tr>
      <w:tr w14:paraId="09BD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0D917E0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en-US"/>
              </w:rPr>
            </w:pPr>
            <w:r>
              <w:rPr>
                <w:rFonts w:hint="eastAsia" w:ascii="宋体" w:hAnsi="宋体" w:eastAsia="宋体" w:cs="宋体"/>
                <w:color w:val="000000"/>
                <w:kern w:val="0"/>
                <w:sz w:val="24"/>
                <w:szCs w:val="24"/>
                <w:highlight w:val="none"/>
                <w:lang w:val="en-US" w:eastAsia="en-US"/>
              </w:rPr>
              <w:t>24.3</w:t>
            </w:r>
          </w:p>
        </w:tc>
        <w:tc>
          <w:tcPr>
            <w:tcW w:w="1716" w:type="dxa"/>
            <w:vAlign w:val="center"/>
          </w:tcPr>
          <w:p w14:paraId="3EB4E885">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联系方式</w:t>
            </w:r>
          </w:p>
        </w:tc>
        <w:tc>
          <w:tcPr>
            <w:tcW w:w="7158" w:type="dxa"/>
            <w:vAlign w:val="center"/>
          </w:tcPr>
          <w:p w14:paraId="633A4BB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接收询问和质疑的联系方式：详见竞争性磋商公告。</w:t>
            </w:r>
          </w:p>
        </w:tc>
      </w:tr>
      <w:tr w14:paraId="5F55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84" w:type="dxa"/>
            <w:vAlign w:val="center"/>
          </w:tcPr>
          <w:p w14:paraId="6C55E97C">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en-US"/>
              </w:rPr>
            </w:pPr>
            <w:r>
              <w:rPr>
                <w:rFonts w:hint="eastAsia" w:ascii="宋体" w:hAnsi="宋体" w:eastAsia="宋体" w:cs="宋体"/>
                <w:color w:val="000000"/>
                <w:kern w:val="0"/>
                <w:sz w:val="24"/>
                <w:szCs w:val="24"/>
                <w:highlight w:val="none"/>
                <w:lang w:val="en-US" w:eastAsia="en-US"/>
              </w:rPr>
              <w:t>25</w:t>
            </w:r>
          </w:p>
        </w:tc>
        <w:tc>
          <w:tcPr>
            <w:tcW w:w="1716" w:type="dxa"/>
            <w:vAlign w:val="center"/>
          </w:tcPr>
          <w:p w14:paraId="4C23C853">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采购代理服务费</w:t>
            </w:r>
          </w:p>
        </w:tc>
        <w:tc>
          <w:tcPr>
            <w:tcW w:w="7158" w:type="dxa"/>
            <w:vAlign w:val="top"/>
          </w:tcPr>
          <w:p w14:paraId="7043937A">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sz w:val="24"/>
                <w:szCs w:val="24"/>
                <w:highlight w:val="none"/>
                <w:lang w:val="en-US" w:eastAsia="zh-CN"/>
              </w:rPr>
            </w:pPr>
            <w:r>
              <w:rPr>
                <w:rFonts w:hint="eastAsia" w:ascii="宋体" w:hAnsi="宋体" w:eastAsia="宋体" w:cs="宋体"/>
                <w:color w:val="000000"/>
                <w:kern w:val="0"/>
                <w:sz w:val="24"/>
                <w:szCs w:val="24"/>
                <w:highlight w:val="none"/>
                <w:lang w:val="en-US" w:eastAsia="zh-CN"/>
              </w:rPr>
              <w:t>成交人须在领取成交通知书时向采购代理机构支付采购代理服务费</w:t>
            </w:r>
            <w:r>
              <w:rPr>
                <w:rFonts w:hint="eastAsia"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采购代理服务费</w:t>
            </w:r>
            <w:r>
              <w:rPr>
                <w:rFonts w:hint="eastAsia" w:cs="宋体"/>
                <w:color w:val="000000"/>
                <w:kern w:val="0"/>
                <w:sz w:val="24"/>
                <w:szCs w:val="24"/>
                <w:highlight w:val="none"/>
                <w:lang w:val="en-US" w:eastAsia="zh-CN"/>
              </w:rPr>
              <w:t>为6000.00元。</w:t>
            </w:r>
          </w:p>
        </w:tc>
      </w:tr>
      <w:tr w14:paraId="12F9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vAlign w:val="center"/>
          </w:tcPr>
          <w:p w14:paraId="58D64B04">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r>
              <w:rPr>
                <w:rFonts w:hint="eastAsia" w:ascii="宋体" w:hAnsi="宋体" w:eastAsia="宋体" w:cs="宋体"/>
                <w:sz w:val="24"/>
                <w:szCs w:val="24"/>
                <w:highlight w:val="none"/>
                <w:lang w:val="en-US" w:eastAsia="en-US" w:bidi="ar-SA"/>
              </w:rPr>
              <w:t>26</w:t>
            </w:r>
          </w:p>
        </w:tc>
        <w:tc>
          <w:tcPr>
            <w:tcW w:w="1716" w:type="dxa"/>
            <w:vAlign w:val="center"/>
          </w:tcPr>
          <w:p w14:paraId="3AE3B3A9">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信用信息查询</w:t>
            </w:r>
          </w:p>
        </w:tc>
        <w:tc>
          <w:tcPr>
            <w:tcW w:w="7158" w:type="dxa"/>
            <w:vAlign w:val="center"/>
          </w:tcPr>
          <w:p w14:paraId="10778761">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信用信息查询渠道及截止时间：采购代理机构将在递交响应文件截止时间至评审活动开始前的期间内通过“信用中国”网站(www.creditchina.gov.cn)、中国政府采购网(www.ccgp.gov.cn)渠道查询供应商接受资格审查时的信用记录。</w:t>
            </w:r>
          </w:p>
          <w:p w14:paraId="34687A9A">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信用信息查询记录和证据留存的具体方式：采购代理机构在“信用中国”网站（www.creditchina.gov.cn）对供应商进行失信被执行人、重大税收违法失信主体和政府采购严重违法失信行为记录名单的信用信息查询；在中国政府采购网（www.ccgp.gov.cn）对供应商进行“政府采购严重违法失信行为信息记录”的信用信息查询。查询的供应商信用记录、查询结果经确认后将与采购文件一起存档。</w:t>
            </w:r>
          </w:p>
          <w:p w14:paraId="7BC8DFE0">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（3）信用信息的使用规则：经查询列入失信被执行人名单或者重大税收违法失信主体名单或者政府采购严重违法失信行为记录名单的供应商将被拒绝参与本项目采购活动。</w:t>
            </w:r>
          </w:p>
          <w:p w14:paraId="7CD67F7E">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sz w:val="24"/>
                <w:szCs w:val="24"/>
                <w:highlight w:val="none"/>
                <w:lang w:val="en-US" w:eastAsia="zh-CN"/>
              </w:rPr>
            </w:pPr>
            <w:r>
              <w:rPr>
                <w:rFonts w:hint="eastAsia" w:ascii="宋体" w:hAnsi="宋体" w:eastAsia="宋体" w:cs="宋体"/>
                <w:color w:val="000000"/>
                <w:kern w:val="0"/>
                <w:sz w:val="24"/>
                <w:szCs w:val="24"/>
                <w:highlight w:val="none"/>
                <w:lang w:val="en-US" w:eastAsia="zh-CN"/>
              </w:rPr>
              <w:t>（4）在本竞争性磋商文件规定的查询时间之后，网站信息发生的任何变更均不再作为评审依据。供应商在自行提供的与网站信息不一致的其他证明材料亦不作为资格审查依据。</w:t>
            </w:r>
          </w:p>
        </w:tc>
      </w:tr>
      <w:tr w14:paraId="482A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439C51AF">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p>
        </w:tc>
        <w:tc>
          <w:tcPr>
            <w:tcW w:w="1716" w:type="dxa"/>
            <w:vAlign w:val="center"/>
          </w:tcPr>
          <w:p w14:paraId="10B64490">
            <w:pPr>
              <w:keepNext w:val="0"/>
              <w:keepLines w:val="0"/>
              <w:pageBreakBefore w:val="0"/>
              <w:widowControl w:val="0"/>
              <w:kinsoku/>
              <w:wordWrap w:val="0"/>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履约保证金</w:t>
            </w:r>
          </w:p>
        </w:tc>
        <w:tc>
          <w:tcPr>
            <w:tcW w:w="7158" w:type="dxa"/>
            <w:vAlign w:val="center"/>
          </w:tcPr>
          <w:p w14:paraId="39CCCB98">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本项目不要求成交供应商提交履约保证金。</w:t>
            </w:r>
          </w:p>
        </w:tc>
      </w:tr>
      <w:tr w14:paraId="0C1D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5931B7A0">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p>
        </w:tc>
        <w:tc>
          <w:tcPr>
            <w:tcW w:w="1716" w:type="dxa"/>
            <w:vAlign w:val="center"/>
          </w:tcPr>
          <w:p w14:paraId="5C33E806">
            <w:pPr>
              <w:keepNext w:val="0"/>
              <w:keepLines w:val="0"/>
              <w:pageBreakBefore w:val="0"/>
              <w:widowControl w:val="0"/>
              <w:kinsoku/>
              <w:wordWrap w:val="0"/>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样品</w:t>
            </w:r>
          </w:p>
        </w:tc>
        <w:tc>
          <w:tcPr>
            <w:tcW w:w="7158" w:type="dxa"/>
            <w:vAlign w:val="center"/>
          </w:tcPr>
          <w:p w14:paraId="6F2D0D9C">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不要求提供。</w:t>
            </w:r>
          </w:p>
        </w:tc>
      </w:tr>
      <w:tr w14:paraId="654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3FF88092">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p>
        </w:tc>
        <w:tc>
          <w:tcPr>
            <w:tcW w:w="1716" w:type="dxa"/>
            <w:vAlign w:val="center"/>
          </w:tcPr>
          <w:p w14:paraId="6C4E72A6">
            <w:pPr>
              <w:keepNext w:val="0"/>
              <w:keepLines w:val="0"/>
              <w:pageBreakBefore w:val="0"/>
              <w:widowControl w:val="0"/>
              <w:kinsoku/>
              <w:wordWrap w:val="0"/>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监督和管理</w:t>
            </w:r>
          </w:p>
        </w:tc>
        <w:tc>
          <w:tcPr>
            <w:tcW w:w="7158" w:type="dxa"/>
            <w:vAlign w:val="center"/>
          </w:tcPr>
          <w:p w14:paraId="0CABF8A7">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本次政府采购活动以及相关当事人应当接受巧家县财政局依法实施的监督。</w:t>
            </w:r>
          </w:p>
        </w:tc>
      </w:tr>
      <w:tr w14:paraId="3424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4E2E047B">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p>
        </w:tc>
        <w:tc>
          <w:tcPr>
            <w:tcW w:w="1716" w:type="dxa"/>
            <w:vAlign w:val="center"/>
          </w:tcPr>
          <w:p w14:paraId="04A16D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highlight w:val="none"/>
                <w:lang w:val="en-US" w:eastAsia="zh-CN"/>
              </w:rPr>
              <w:t>纸质</w:t>
            </w:r>
            <w:r>
              <w:rPr>
                <w:rFonts w:hint="eastAsia" w:cs="宋体"/>
                <w:sz w:val="24"/>
                <w:highlight w:val="none"/>
                <w:lang w:val="en-US" w:eastAsia="zh-CN"/>
              </w:rPr>
              <w:t>响应</w:t>
            </w:r>
            <w:r>
              <w:rPr>
                <w:rFonts w:hint="eastAsia" w:ascii="宋体" w:hAnsi="宋体" w:eastAsia="宋体" w:cs="宋体"/>
                <w:sz w:val="24"/>
                <w:highlight w:val="none"/>
                <w:lang w:val="en-US" w:eastAsia="zh-CN"/>
              </w:rPr>
              <w:t>文件</w:t>
            </w:r>
          </w:p>
        </w:tc>
        <w:tc>
          <w:tcPr>
            <w:tcW w:w="7158" w:type="dxa"/>
            <w:vAlign w:val="center"/>
          </w:tcPr>
          <w:p w14:paraId="57245E08">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仅成交人在领取成交通知书时</w:t>
            </w:r>
            <w:r>
              <w:rPr>
                <w:rFonts w:hint="eastAsia"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向采购人提交纸制响应文件2份。纸制</w:t>
            </w:r>
            <w:r>
              <w:rPr>
                <w:rFonts w:hint="eastAsia"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lang w:val="en-US" w:eastAsia="zh-CN"/>
              </w:rPr>
              <w:t>文件装订应牢固、不易拆散和换页，采用胶装方式。保证纸质</w:t>
            </w:r>
            <w:r>
              <w:rPr>
                <w:rFonts w:hint="eastAsia"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lang w:val="en-US" w:eastAsia="zh-CN"/>
              </w:rPr>
              <w:t>文件与上传的电子</w:t>
            </w:r>
            <w:r>
              <w:rPr>
                <w:rFonts w:hint="eastAsia"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lang w:val="en-US" w:eastAsia="zh-CN"/>
              </w:rPr>
              <w:t>文件保持一致。</w:t>
            </w:r>
          </w:p>
        </w:tc>
      </w:tr>
      <w:tr w14:paraId="7DDB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39F8270A">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p>
        </w:tc>
        <w:tc>
          <w:tcPr>
            <w:tcW w:w="1716" w:type="dxa"/>
            <w:vAlign w:val="center"/>
          </w:tcPr>
          <w:p w14:paraId="02783F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知识产权</w:t>
            </w:r>
          </w:p>
        </w:tc>
        <w:tc>
          <w:tcPr>
            <w:tcW w:w="7158" w:type="dxa"/>
            <w:vAlign w:val="center"/>
          </w:tcPr>
          <w:p w14:paraId="32007A2C">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构成本</w:t>
            </w:r>
            <w:r>
              <w:rPr>
                <w:rFonts w:hint="eastAsia" w:cs="宋体"/>
                <w:color w:val="000000"/>
                <w:kern w:val="0"/>
                <w:sz w:val="24"/>
                <w:szCs w:val="24"/>
                <w:highlight w:val="none"/>
                <w:lang w:val="en-US" w:eastAsia="zh-CN"/>
              </w:rPr>
              <w:t>竞争性磋商</w:t>
            </w:r>
            <w:r>
              <w:rPr>
                <w:rFonts w:hint="eastAsia" w:ascii="宋体" w:hAnsi="宋体" w:eastAsia="宋体" w:cs="宋体"/>
                <w:color w:val="000000"/>
                <w:kern w:val="0"/>
                <w:sz w:val="24"/>
                <w:szCs w:val="24"/>
                <w:highlight w:val="none"/>
                <w:lang w:val="en-US" w:eastAsia="zh-CN"/>
              </w:rPr>
              <w:t>文件各个组成部分的文件，未经采购人书面同意，</w:t>
            </w:r>
            <w:r>
              <w:rPr>
                <w:rFonts w:hint="eastAsia"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en-US" w:eastAsia="zh-CN"/>
              </w:rPr>
              <w:t>不得擅自复印和用于非本</w:t>
            </w:r>
            <w:r>
              <w:rPr>
                <w:rFonts w:hint="eastAsia"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lang w:val="en-US" w:eastAsia="zh-CN"/>
              </w:rPr>
              <w:t>项目所需的其他目的。采购人全部或者部分使用未</w:t>
            </w:r>
            <w:r>
              <w:rPr>
                <w:rFonts w:hint="eastAsia" w:cs="宋体"/>
                <w:color w:val="000000"/>
                <w:kern w:val="0"/>
                <w:sz w:val="24"/>
                <w:szCs w:val="24"/>
                <w:highlight w:val="none"/>
                <w:lang w:val="en-US" w:eastAsia="zh-CN"/>
              </w:rPr>
              <w:t>成交</w:t>
            </w:r>
            <w:r>
              <w:rPr>
                <w:rFonts w:hint="eastAsia" w:ascii="宋体" w:hAnsi="宋体" w:eastAsia="宋体" w:cs="宋体"/>
                <w:color w:val="000000"/>
                <w:kern w:val="0"/>
                <w:sz w:val="24"/>
                <w:szCs w:val="24"/>
                <w:highlight w:val="none"/>
                <w:lang w:val="en-US" w:eastAsia="zh-CN"/>
              </w:rPr>
              <w:t>人</w:t>
            </w:r>
            <w:r>
              <w:rPr>
                <w:rFonts w:hint="eastAsia"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lang w:val="en-US" w:eastAsia="zh-CN"/>
              </w:rPr>
              <w:t>文件中的技术成果或技术方案时，需征得其书面同意，并不得擅自复印或提供给第三人。</w:t>
            </w:r>
          </w:p>
        </w:tc>
      </w:tr>
      <w:tr w14:paraId="5F95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vAlign w:val="center"/>
          </w:tcPr>
          <w:p w14:paraId="6AB5DF42">
            <w:pPr>
              <w:pStyle w:val="34"/>
              <w:keepNext w:val="0"/>
              <w:keepLines w:val="0"/>
              <w:pageBreakBefore w:val="0"/>
              <w:widowControl w:val="0"/>
              <w:kinsoku/>
              <w:wordWrap/>
              <w:overflowPunct/>
              <w:topLinePunct w:val="0"/>
              <w:bidi w:val="0"/>
              <w:adjustRightInd/>
              <w:snapToGrid/>
              <w:spacing w:line="440" w:lineRule="exact"/>
              <w:ind w:left="0" w:leftChars="0" w:right="0" w:rightChars="0"/>
              <w:jc w:val="center"/>
              <w:textAlignment w:val="auto"/>
              <w:rPr>
                <w:rFonts w:hint="eastAsia" w:ascii="宋体" w:hAnsi="宋体" w:eastAsia="宋体" w:cs="宋体"/>
                <w:sz w:val="24"/>
                <w:szCs w:val="24"/>
                <w:highlight w:val="none"/>
                <w:lang w:val="en-US" w:eastAsia="en-US" w:bidi="ar-SA"/>
              </w:rPr>
            </w:pPr>
          </w:p>
        </w:tc>
        <w:tc>
          <w:tcPr>
            <w:tcW w:w="1716" w:type="dxa"/>
            <w:vAlign w:val="center"/>
          </w:tcPr>
          <w:p w14:paraId="521445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highlight w:val="none"/>
                <w:lang w:val="en-US" w:eastAsia="zh-CN"/>
              </w:rPr>
              <w:t>其他</w:t>
            </w:r>
          </w:p>
        </w:tc>
        <w:tc>
          <w:tcPr>
            <w:tcW w:w="7158" w:type="dxa"/>
            <w:vAlign w:val="center"/>
          </w:tcPr>
          <w:p w14:paraId="0087277D">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en-US" w:eastAsia="zh-CN"/>
              </w:rPr>
              <w:t>提供的</w:t>
            </w:r>
            <w:r>
              <w:rPr>
                <w:rFonts w:hint="eastAsia" w:cs="宋体"/>
                <w:color w:val="000000"/>
                <w:kern w:val="0"/>
                <w:sz w:val="24"/>
                <w:szCs w:val="24"/>
                <w:highlight w:val="none"/>
                <w:lang w:val="en-US" w:eastAsia="zh-CN"/>
              </w:rPr>
              <w:t>货物</w:t>
            </w:r>
            <w:r>
              <w:rPr>
                <w:rFonts w:hint="eastAsia" w:ascii="宋体" w:hAnsi="宋体" w:eastAsia="宋体" w:cs="宋体"/>
                <w:color w:val="000000"/>
                <w:kern w:val="0"/>
                <w:sz w:val="24"/>
                <w:szCs w:val="24"/>
                <w:highlight w:val="none"/>
                <w:lang w:val="en-US" w:eastAsia="zh-CN"/>
              </w:rPr>
              <w:t>及服务不存在任何不合法的情形，也不存在任何与第三方专利权、著作权、商标权或工业设计权相关的任何争议。如有任何因采购人使用</w:t>
            </w:r>
            <w:r>
              <w:rPr>
                <w:rFonts w:hint="eastAsia"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en-US" w:eastAsia="zh-CN"/>
              </w:rPr>
              <w:t>提供的</w:t>
            </w:r>
            <w:r>
              <w:rPr>
                <w:rFonts w:hint="eastAsia" w:cs="宋体"/>
                <w:color w:val="000000"/>
                <w:kern w:val="0"/>
                <w:sz w:val="24"/>
                <w:szCs w:val="24"/>
                <w:highlight w:val="none"/>
                <w:lang w:val="en-US" w:eastAsia="zh-CN"/>
              </w:rPr>
              <w:t>货物</w:t>
            </w:r>
            <w:r>
              <w:rPr>
                <w:rFonts w:hint="eastAsia" w:ascii="宋体" w:hAnsi="宋体" w:eastAsia="宋体" w:cs="宋体"/>
                <w:color w:val="000000"/>
                <w:kern w:val="0"/>
                <w:sz w:val="24"/>
                <w:szCs w:val="24"/>
                <w:highlight w:val="none"/>
                <w:lang w:val="en-US" w:eastAsia="zh-CN"/>
              </w:rPr>
              <w:t>及服务而引起的侵权指控，</w:t>
            </w:r>
            <w:r>
              <w:rPr>
                <w:rFonts w:hint="eastAsia"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en-US" w:eastAsia="zh-CN"/>
              </w:rPr>
              <w:t>应承担全部责任。</w:t>
            </w:r>
          </w:p>
        </w:tc>
      </w:tr>
    </w:tbl>
    <w:p w14:paraId="2C4829D3">
      <w:pPr>
        <w:pStyle w:val="7"/>
        <w:spacing w:before="7"/>
        <w:rPr>
          <w:rFonts w:ascii="Times New Roman" w:hAnsi="Times New Roman" w:cs="Times New Roman"/>
          <w:sz w:val="5"/>
          <w:highlight w:val="none"/>
          <w:lang w:eastAsia="zh-CN"/>
        </w:rPr>
      </w:pPr>
    </w:p>
    <w:p w14:paraId="46DDE988">
      <w:pPr>
        <w:spacing w:line="310" w:lineRule="atLeast"/>
        <w:rPr>
          <w:rFonts w:ascii="Times New Roman" w:hAnsi="Times New Roman" w:cs="Times New Roman"/>
          <w:sz w:val="24"/>
          <w:highlight w:val="none"/>
          <w:lang w:eastAsia="zh-CN"/>
        </w:rPr>
        <w:sectPr>
          <w:headerReference r:id="rId10" w:type="default"/>
          <w:footerReference r:id="rId12" w:type="default"/>
          <w:headerReference r:id="rId11" w:type="even"/>
          <w:footerReference r:id="rId13" w:type="even"/>
          <w:pgSz w:w="11910" w:h="16840"/>
          <w:pgMar w:top="1417" w:right="1134" w:bottom="1417" w:left="1134" w:header="850" w:footer="850" w:gutter="0"/>
          <w:pgNumType w:fmt="decimal"/>
          <w:cols w:space="720" w:num="1"/>
        </w:sectPr>
      </w:pPr>
    </w:p>
    <w:p w14:paraId="3B29EC71">
      <w:pPr>
        <w:pStyle w:val="7"/>
        <w:spacing w:before="8"/>
        <w:rPr>
          <w:rFonts w:ascii="Times New Roman" w:hAnsi="Times New Roman" w:cs="Times New Roman"/>
          <w:sz w:val="19"/>
          <w:highlight w:val="none"/>
          <w:lang w:eastAsia="zh-CN"/>
        </w:rPr>
      </w:pPr>
    </w:p>
    <w:p w14:paraId="1F2A57AC">
      <w:pPr>
        <w:pStyle w:val="3"/>
        <w:spacing w:before="240"/>
        <w:ind w:right="30"/>
        <w:rPr>
          <w:rFonts w:hint="eastAsia" w:ascii="宋体" w:hAnsi="宋体" w:eastAsia="宋体" w:cs="宋体"/>
          <w:b/>
          <w:bCs/>
          <w:highlight w:val="none"/>
          <w:lang w:eastAsia="zh-CN"/>
        </w:rPr>
      </w:pPr>
      <w:r>
        <w:rPr>
          <w:rFonts w:hint="eastAsia" w:ascii="宋体" w:hAnsi="宋体" w:eastAsia="宋体" w:cs="宋体"/>
          <w:b/>
          <w:bCs/>
          <w:highlight w:val="none"/>
          <w:lang w:eastAsia="zh-CN"/>
        </w:rPr>
        <w:t>供应商须知正文部分</w:t>
      </w:r>
    </w:p>
    <w:p w14:paraId="4AD1D789">
      <w:pPr>
        <w:pStyle w:val="3"/>
        <w:tabs>
          <w:tab w:val="left" w:pos="700"/>
        </w:tabs>
        <w:spacing w:before="239"/>
        <w:rPr>
          <w:rFonts w:hint="eastAsia" w:ascii="宋体" w:hAnsi="宋体" w:eastAsia="宋体" w:cs="宋体"/>
          <w:b/>
          <w:bCs/>
          <w:highlight w:val="none"/>
        </w:rPr>
      </w:pPr>
      <w:bookmarkStart w:id="34" w:name="_Toc30139"/>
      <w:r>
        <w:rPr>
          <w:rFonts w:hint="eastAsia" w:ascii="宋体" w:hAnsi="宋体" w:eastAsia="宋体" w:cs="宋体"/>
          <w:b/>
          <w:bCs/>
          <w:highlight w:val="none"/>
        </w:rPr>
        <w:t>一</w:t>
      </w:r>
      <w:r>
        <w:rPr>
          <w:rFonts w:hint="eastAsia" w:ascii="宋体" w:hAnsi="宋体" w:eastAsia="宋体" w:cs="宋体"/>
          <w:b/>
          <w:bCs/>
          <w:highlight w:val="none"/>
          <w:lang w:eastAsia="zh-CN"/>
        </w:rPr>
        <w:t>、</w:t>
      </w:r>
      <w:r>
        <w:rPr>
          <w:rFonts w:hint="eastAsia" w:ascii="宋体" w:hAnsi="宋体" w:eastAsia="宋体" w:cs="宋体"/>
          <w:b/>
          <w:bCs/>
          <w:highlight w:val="none"/>
        </w:rPr>
        <w:t>说</w:t>
      </w:r>
      <w:r>
        <w:rPr>
          <w:rFonts w:hint="eastAsia" w:ascii="宋体" w:hAnsi="宋体" w:eastAsia="宋体" w:cs="宋体"/>
          <w:b/>
          <w:bCs/>
          <w:highlight w:val="none"/>
        </w:rPr>
        <w:tab/>
      </w:r>
      <w:r>
        <w:rPr>
          <w:rFonts w:hint="eastAsia" w:ascii="宋体" w:hAnsi="宋体" w:eastAsia="宋体" w:cs="宋体"/>
          <w:b/>
          <w:bCs/>
          <w:highlight w:val="none"/>
        </w:rPr>
        <w:t>明</w:t>
      </w:r>
      <w:bookmarkEnd w:id="34"/>
    </w:p>
    <w:p w14:paraId="635EB58E">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b/>
          <w:bCs/>
          <w:sz w:val="24"/>
          <w:szCs w:val="24"/>
          <w:highlight w:val="none"/>
          <w:lang w:eastAsia="zh-CN"/>
        </w:rPr>
      </w:pPr>
      <w:r>
        <w:rPr>
          <w:rFonts w:hint="eastAsia"/>
          <w:b/>
          <w:bCs/>
          <w:sz w:val="24"/>
          <w:szCs w:val="24"/>
          <w:highlight w:val="none"/>
          <w:lang w:val="en-US" w:eastAsia="zh-CN"/>
        </w:rPr>
        <w:t>1.</w:t>
      </w:r>
      <w:r>
        <w:rPr>
          <w:b/>
          <w:bCs/>
          <w:sz w:val="24"/>
          <w:szCs w:val="24"/>
          <w:highlight w:val="none"/>
          <w:lang w:eastAsia="zh-CN"/>
        </w:rPr>
        <w:t>采购人、采购代理机构、供应商、负责人、联合体、电子签名、电子交易平台</w:t>
      </w:r>
    </w:p>
    <w:p w14:paraId="75669C5B">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1.1采购人、采购代理机构</w:t>
      </w:r>
      <w:r>
        <w:rPr>
          <w:rFonts w:hint="eastAsia"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指依法进行政府采购的国家机关、事业单位、团体组织，及其委托的采购代理机构。本项目采购人、采购代理机构见第一章《</w:t>
      </w:r>
      <w:r>
        <w:rPr>
          <w:rFonts w:hint="eastAsia" w:cs="宋体"/>
          <w:kern w:val="2"/>
          <w:sz w:val="24"/>
          <w:szCs w:val="24"/>
          <w:highlight w:val="none"/>
          <w:lang w:val="en-US" w:eastAsia="zh-CN"/>
        </w:rPr>
        <w:t>竞争性磋商公告</w:t>
      </w:r>
      <w:r>
        <w:rPr>
          <w:rFonts w:hint="eastAsia" w:ascii="宋体" w:hAnsi="宋体" w:eastAsia="宋体" w:cs="宋体"/>
          <w:kern w:val="2"/>
          <w:sz w:val="24"/>
          <w:szCs w:val="24"/>
          <w:highlight w:val="none"/>
          <w:lang w:val="en-US" w:eastAsia="zh-CN"/>
        </w:rPr>
        <w:t>》。</w:t>
      </w:r>
    </w:p>
    <w:p w14:paraId="3540BF0B">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1.2供应商（也称“申请人”）：指向采购人提供货物</w:t>
      </w:r>
      <w:r>
        <w:rPr>
          <w:rFonts w:hint="eastAsia" w:cs="宋体"/>
          <w:kern w:val="2"/>
          <w:sz w:val="24"/>
          <w:szCs w:val="24"/>
          <w:highlight w:val="none"/>
          <w:lang w:val="en-US" w:eastAsia="zh-CN"/>
        </w:rPr>
        <w:t>及服务</w:t>
      </w:r>
      <w:r>
        <w:rPr>
          <w:rFonts w:hint="eastAsia" w:ascii="宋体" w:hAnsi="宋体" w:eastAsia="宋体" w:cs="宋体"/>
          <w:kern w:val="2"/>
          <w:sz w:val="24"/>
          <w:szCs w:val="24"/>
          <w:highlight w:val="none"/>
          <w:lang w:val="en-US" w:eastAsia="zh-CN"/>
        </w:rPr>
        <w:t>的法人、其他组织或者自然人。</w:t>
      </w:r>
    </w:p>
    <w:p w14:paraId="26086798">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1.3负责人：指法人企业的法定负责人，或其他组织为法律、行政法规规定代表单位行使职权的主要负责人，或自然人本人。</w:t>
      </w:r>
    </w:p>
    <w:p w14:paraId="2C53BF34">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1.4联合体：指两个以上的自然人、法人或者其他组织组成一个联合体，以一个供应商的身份共同参加政府采购。</w:t>
      </w:r>
    </w:p>
    <w:p w14:paraId="566FA552">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1.5电子签章：指数据电文中以电子形式所含、所附用于识别签名人身份并表明签名人认可其中内容的数据；“公章”系指单位法定名称章。</w:t>
      </w:r>
    </w:p>
    <w:p w14:paraId="31F2B9A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1.6电子交易平台：指本项目政府采购活动所依托的政府采购云平台（https://www.zcygov.cn/）（简称“政采云平台”）。</w:t>
      </w:r>
    </w:p>
    <w:p w14:paraId="24FC82F4">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2.资金来源、项目属性</w:t>
      </w:r>
    </w:p>
    <w:p w14:paraId="1C3560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2.1资金来源为财政性资金和/或本项目采购中无法与财政性资金分割的非财政性资金。</w:t>
      </w:r>
    </w:p>
    <w:p w14:paraId="1F6652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2.2项目属性见《供应商须知资料表》。</w:t>
      </w:r>
    </w:p>
    <w:p w14:paraId="42763F36">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3.现场考察、磋商前答疑会</w:t>
      </w:r>
    </w:p>
    <w:p w14:paraId="608E91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3.1若《供应商须知资料表》中规定了组织现场考察、召开磋商前答疑会，则供应商应按要求在规定的时间和地点参加。</w:t>
      </w:r>
    </w:p>
    <w:p w14:paraId="534E7AF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3.2由于未参加现场考察或磋商前答疑会而导致对项目实际情况不了解，影响响应文件编制、报价准确性、综合因素响应不全面等问题的，由供应商自行承担不利评审后果。</w:t>
      </w:r>
    </w:p>
    <w:p w14:paraId="58B857B6">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4.政府采购政策（包括但不限于下列具体政策要求）</w:t>
      </w:r>
    </w:p>
    <w:p w14:paraId="3DC063E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4.1本次采购不接受进口产品参与</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w:t>
      </w:r>
    </w:p>
    <w:p w14:paraId="0EC2BC2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4.2本国产品</w:t>
      </w:r>
    </w:p>
    <w:p w14:paraId="47DEB8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327CBE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color w:val="FF0000"/>
          <w:kern w:val="2"/>
          <w:sz w:val="24"/>
          <w:szCs w:val="24"/>
          <w:highlight w:val="none"/>
          <w:lang w:val="en-US" w:eastAsia="zh-CN"/>
        </w:rPr>
        <w:t>4.</w:t>
      </w:r>
      <w:r>
        <w:rPr>
          <w:rFonts w:hint="eastAsia" w:cs="宋体"/>
          <w:color w:val="FF0000"/>
          <w:kern w:val="2"/>
          <w:sz w:val="24"/>
          <w:szCs w:val="24"/>
          <w:highlight w:val="none"/>
          <w:lang w:val="en-US" w:eastAsia="zh-CN"/>
        </w:rPr>
        <w:t>3</w:t>
      </w:r>
      <w:r>
        <w:rPr>
          <w:rFonts w:hint="eastAsia" w:ascii="宋体" w:hAnsi="宋体" w:eastAsia="宋体" w:cs="宋体"/>
          <w:kern w:val="2"/>
          <w:sz w:val="24"/>
          <w:szCs w:val="24"/>
          <w:highlight w:val="none"/>
          <w:lang w:val="en-US" w:eastAsia="zh-CN"/>
        </w:rPr>
        <w:t>中小企业、监狱企业及残疾人福利性单位</w:t>
      </w:r>
    </w:p>
    <w:p w14:paraId="43B128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color w:val="FF0000"/>
          <w:kern w:val="2"/>
          <w:sz w:val="24"/>
          <w:szCs w:val="24"/>
          <w:highlight w:val="none"/>
          <w:lang w:val="en-US" w:eastAsia="zh-CN"/>
        </w:rPr>
        <w:t>4.</w:t>
      </w:r>
      <w:r>
        <w:rPr>
          <w:rFonts w:hint="eastAsia" w:cs="宋体"/>
          <w:color w:val="FF0000"/>
          <w:kern w:val="2"/>
          <w:sz w:val="24"/>
          <w:szCs w:val="24"/>
          <w:highlight w:val="none"/>
          <w:lang w:val="en-US" w:eastAsia="zh-CN"/>
        </w:rPr>
        <w:t>3</w:t>
      </w:r>
      <w:r>
        <w:rPr>
          <w:rFonts w:hint="eastAsia" w:ascii="宋体" w:hAnsi="宋体" w:eastAsia="宋体" w:cs="宋体"/>
          <w:color w:val="FF0000"/>
          <w:kern w:val="2"/>
          <w:sz w:val="24"/>
          <w:szCs w:val="24"/>
          <w:highlight w:val="none"/>
          <w:lang w:val="en-US" w:eastAsia="zh-CN"/>
        </w:rPr>
        <w:t>.1</w:t>
      </w:r>
      <w:r>
        <w:rPr>
          <w:rFonts w:hint="eastAsia" w:ascii="宋体" w:hAnsi="宋体" w:eastAsia="宋体" w:cs="宋体"/>
          <w:kern w:val="2"/>
          <w:sz w:val="24"/>
          <w:szCs w:val="24"/>
          <w:highlight w:val="none"/>
          <w:lang w:val="en-US" w:eastAsia="zh-CN"/>
        </w:rPr>
        <w:t>中小企业定义：</w:t>
      </w:r>
    </w:p>
    <w:p w14:paraId="7CE30F2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EE3C2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（2）在本次政府采购活动中，货物由中小企业制造，即货物由中小企业生产且使用该中小企业商号或者注册商标。</w:t>
      </w:r>
    </w:p>
    <w:p w14:paraId="660132A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（3）在本次政府采购活动中，供应商提供的货物既有中小企业制造货物，也有大型企业制造货物的，不享受中小企业扶持政策。</w:t>
      </w:r>
    </w:p>
    <w:p w14:paraId="6AEA136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color w:val="FF0000"/>
          <w:kern w:val="2"/>
          <w:sz w:val="24"/>
          <w:szCs w:val="24"/>
          <w:highlight w:val="none"/>
          <w:lang w:val="en-US" w:eastAsia="zh-CN"/>
        </w:rPr>
        <w:t>4.</w:t>
      </w:r>
      <w:r>
        <w:rPr>
          <w:rFonts w:hint="eastAsia" w:cs="宋体"/>
          <w:color w:val="FF0000"/>
          <w:kern w:val="2"/>
          <w:sz w:val="24"/>
          <w:szCs w:val="24"/>
          <w:highlight w:val="none"/>
          <w:lang w:val="en-US" w:eastAsia="zh-CN"/>
        </w:rPr>
        <w:t>3</w:t>
      </w:r>
      <w:r>
        <w:rPr>
          <w:rFonts w:hint="eastAsia" w:ascii="宋体" w:hAnsi="宋体" w:eastAsia="宋体" w:cs="宋体"/>
          <w:color w:val="FF0000"/>
          <w:kern w:val="2"/>
          <w:sz w:val="24"/>
          <w:szCs w:val="24"/>
          <w:highlight w:val="none"/>
          <w:lang w:val="en-US" w:eastAsia="zh-CN"/>
        </w:rPr>
        <w:t>.2</w:t>
      </w:r>
      <w:r>
        <w:rPr>
          <w:rFonts w:hint="eastAsia" w:ascii="宋体" w:hAnsi="宋体" w:eastAsia="宋体" w:cs="宋体"/>
          <w:kern w:val="2"/>
          <w:sz w:val="24"/>
          <w:szCs w:val="24"/>
          <w:highlight w:val="none"/>
          <w:lang w:val="en-US"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DE031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color w:val="FF0000"/>
          <w:kern w:val="2"/>
          <w:sz w:val="24"/>
          <w:szCs w:val="24"/>
          <w:highlight w:val="none"/>
          <w:lang w:val="en-US" w:eastAsia="zh-CN"/>
        </w:rPr>
        <w:t>4.</w:t>
      </w:r>
      <w:r>
        <w:rPr>
          <w:rFonts w:hint="eastAsia" w:cs="宋体"/>
          <w:color w:val="FF0000"/>
          <w:kern w:val="2"/>
          <w:sz w:val="24"/>
          <w:szCs w:val="24"/>
          <w:highlight w:val="none"/>
          <w:lang w:val="en-US" w:eastAsia="zh-CN"/>
        </w:rPr>
        <w:t>3</w:t>
      </w:r>
      <w:r>
        <w:rPr>
          <w:rFonts w:hint="eastAsia" w:ascii="宋体" w:hAnsi="宋体" w:eastAsia="宋体" w:cs="宋体"/>
          <w:color w:val="FF0000"/>
          <w:kern w:val="2"/>
          <w:sz w:val="24"/>
          <w:szCs w:val="24"/>
          <w:highlight w:val="none"/>
          <w:lang w:val="en-US" w:eastAsia="zh-CN"/>
        </w:rPr>
        <w:t>.3</w:t>
      </w:r>
      <w:r>
        <w:rPr>
          <w:rFonts w:hint="eastAsia" w:ascii="宋体" w:hAnsi="宋体" w:eastAsia="宋体" w:cs="宋体"/>
          <w:kern w:val="2"/>
          <w:sz w:val="24"/>
          <w:szCs w:val="24"/>
          <w:highlight w:val="none"/>
          <w:lang w:val="en-US"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66D9E9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（1）安置的残疾人占本单位在职职工人数的比例不低于25%（含25%），并且安置的残疾人人数不少于10人（含10人）。</w:t>
      </w:r>
    </w:p>
    <w:p w14:paraId="002F55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（2）依法与安置的每位残疾人签订了一年以上（含一年）的劳动合同或服务协议。</w:t>
      </w:r>
    </w:p>
    <w:p w14:paraId="1551A32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（3）为安置的每位残疾人按月足额缴纳了基本养老保险、基本医疗保险、失业保险、工伤保险和生育保险等社会保险费。</w:t>
      </w:r>
    </w:p>
    <w:p w14:paraId="6D458CE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（4）通过银行等金融机构向安置的每位残疾人，按月支付了不低于单位所在区县适用的经省级人民政府批准的月最低工资标准的工资。</w:t>
      </w:r>
    </w:p>
    <w:p w14:paraId="6A3A8B3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（5）提供本单位制造的货物，或者提供其他残疾人福利性单位制造的货物（不包括使用非残疾人福利性单位注册商标的货物）。</w:t>
      </w:r>
    </w:p>
    <w:p w14:paraId="56582A5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800466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.4本项目是否专门面向中小企业预留采购份额见《供应商须知资料表》。</w:t>
      </w:r>
    </w:p>
    <w:p w14:paraId="40CF96D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.5采购标的对应的中小企业划分标准所属行业见《供应商须知资料表》。</w:t>
      </w:r>
    </w:p>
    <w:p w14:paraId="029A55E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.6小微企业价格评审优惠的政策调整：见第三章《评审方法和评审标准》。</w:t>
      </w:r>
    </w:p>
    <w:p w14:paraId="66919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政府采购节能产品、环境标志产品</w:t>
      </w:r>
    </w:p>
    <w:p w14:paraId="3B85D87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D94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9D2DF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.3如本项目采购产品属于实施政府强制采购品目清单范围的节能产品，则供应商所报产品必须获得国家确定的认证机构出具的、处于有效期之内的节能产品认证证书，否则响应无效。</w:t>
      </w:r>
    </w:p>
    <w:p w14:paraId="4D06F80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.4非政府强制采购的节能产品或环境标志产品，依据品目清单和认证证书实施政府优先采购。优先采购的具体规定见第三章《评审方法和评审标准》。</w:t>
      </w:r>
    </w:p>
    <w:p w14:paraId="3F055BC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4.4正版软件</w:t>
      </w:r>
    </w:p>
    <w:p w14:paraId="312B4BB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w:t>
      </w:r>
      <w:r>
        <w:rPr>
          <w:rFonts w:hint="eastAsia" w:ascii="宋体" w:hAnsi="宋体" w:eastAsia="宋体" w:cs="宋体"/>
          <w:kern w:val="2"/>
          <w:sz w:val="24"/>
          <w:szCs w:val="24"/>
          <w:highlight w:val="none"/>
          <w:lang w:val="en-US" w:eastAsia="zh-CN"/>
        </w:rPr>
        <w:t>准（GB 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CF5FAE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2243B4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4.5网络安全专用产品</w:t>
      </w:r>
    </w:p>
    <w:p w14:paraId="583F60E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4D9873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4.6采购需求标准</w:t>
      </w:r>
    </w:p>
    <w:p w14:paraId="331A63E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4.6.1商品包装、快递包装政府采购需求标准（试行）</w:t>
      </w:r>
    </w:p>
    <w:p w14:paraId="29CE6C9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D5932B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4.6.2绿色数据中心政府采购需求标准（试行）</w:t>
      </w:r>
    </w:p>
    <w:p w14:paraId="022C0F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为加快数据中心绿色转型，根据财政部、生态环境部 工业和信息化部关于印发《绿色数据中心政府采购需求标准（试行）》的通知（财库〔2023〕7号），本项目如涉及绿色数据中心，则具体要求见第四章《采购需求》。</w:t>
      </w:r>
    </w:p>
    <w:p w14:paraId="1534C10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4.6.3 工作站政府采购需求标准（2023版）</w:t>
      </w:r>
    </w:p>
    <w:p w14:paraId="22FC369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为提高工作站政府采购需求管理的科学化、规范化水平，财政部、工业和信息化部关于印发《工作站政府采购需求标准（2023年版）》的通知（财库〔2023〕3</w:t>
      </w: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号），本项目如涉及工作站，则具体要求见第四章《采购需求》。</w:t>
      </w:r>
    </w:p>
    <w:p w14:paraId="7222B4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4.6.4通用服务器政府采购需求标准（2023版）</w:t>
      </w:r>
    </w:p>
    <w:p w14:paraId="6B083ED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为提高通用服务器政府采购需求管理的科学化、规范化水平，财政部、工业和信息化部关于印发《通用服务器政府采购需求标准（2023年版）》的通知（财库〔2023〕33号），本项目如涉及通用服务器，则具体要求见第四章《采购需求》。</w:t>
      </w:r>
    </w:p>
    <w:p w14:paraId="2D85504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4.6.5操作系统政府采购需求标准（2023版）</w:t>
      </w:r>
    </w:p>
    <w:p w14:paraId="1D647D9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为提高操作系统的科学化、规范化水平，财政部、工业和信息化部关于印发《操作系统政府采购需求标准（2023年版）》的通知（财库〔2023〕34号），本项目如涉及操作系统，则具体要求见第四章《采购需求》。</w:t>
      </w:r>
    </w:p>
    <w:p w14:paraId="5F670D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4.6.6数据库政府采购需求标准（2023版）</w:t>
      </w:r>
    </w:p>
    <w:p w14:paraId="6D0DE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为提高数据库政府采购需求管理的科学化、规范化水平，财政部、工业和信息化部关于印发《数据库政府采购需求标准（2023年版）》的通知（财库〔2023〕35号），本项目如涉及数据库，则具体要求见第四章《采购需求》。</w:t>
      </w:r>
    </w:p>
    <w:p w14:paraId="57366505">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5.响应费用</w:t>
      </w:r>
    </w:p>
    <w:p w14:paraId="4EBE038C">
      <w:pPr>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rPr>
        <w:t>供应商应自行承担所有与准备和参加磋商有关的费用，无论磋商的结果如何，采购人或采购代理机构在任何情况下均无承担这些费用的义务和责任。</w:t>
      </w:r>
    </w:p>
    <w:p w14:paraId="760A56AF">
      <w:pPr>
        <w:pStyle w:val="3"/>
        <w:tabs>
          <w:tab w:val="left" w:pos="700"/>
        </w:tabs>
        <w:spacing w:before="239"/>
        <w:rPr>
          <w:rFonts w:hint="eastAsia" w:ascii="宋体" w:hAnsi="宋体" w:eastAsia="宋体" w:cs="宋体"/>
          <w:b/>
          <w:bCs/>
          <w:highlight w:val="none"/>
        </w:rPr>
      </w:pPr>
      <w:bookmarkStart w:id="35" w:name="_Toc9366"/>
      <w:r>
        <w:rPr>
          <w:rFonts w:hint="eastAsia" w:ascii="宋体" w:hAnsi="宋体" w:eastAsia="宋体" w:cs="宋体"/>
          <w:b/>
          <w:bCs/>
          <w:highlight w:val="none"/>
        </w:rPr>
        <w:t>二</w:t>
      </w:r>
      <w:r>
        <w:rPr>
          <w:rFonts w:hint="eastAsia" w:ascii="宋体" w:hAnsi="宋体" w:eastAsia="宋体" w:cs="宋体"/>
          <w:b/>
          <w:bCs/>
          <w:highlight w:val="none"/>
          <w:lang w:eastAsia="zh-CN"/>
        </w:rPr>
        <w:t>、</w:t>
      </w:r>
      <w:r>
        <w:rPr>
          <w:rFonts w:hint="eastAsia" w:ascii="宋体" w:hAnsi="宋体" w:eastAsia="宋体" w:cs="宋体"/>
          <w:b/>
          <w:bCs/>
          <w:highlight w:val="none"/>
        </w:rPr>
        <w:t>竞争性磋商文件</w:t>
      </w:r>
      <w:bookmarkEnd w:id="35"/>
    </w:p>
    <w:p w14:paraId="6B8D0475">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6.竞争性磋商文件构成</w:t>
      </w:r>
    </w:p>
    <w:p w14:paraId="1DA22A4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 xml:space="preserve">6.1竞争性磋商文件包括以下部分： </w:t>
      </w:r>
    </w:p>
    <w:p w14:paraId="1CEE46BB">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hint="default" w:ascii="Times New Roman" w:hAnsi="Times New Roman" w:cs="Times New Roman"/>
          <w:sz w:val="24"/>
          <w:highlight w:val="none"/>
          <w:lang w:val="en-US" w:eastAsia="zh-CN"/>
        </w:rPr>
      </w:pPr>
      <w:r>
        <w:rPr>
          <w:rFonts w:ascii="Times New Roman" w:hAnsi="Times New Roman" w:cs="Times New Roman"/>
          <w:sz w:val="24"/>
          <w:highlight w:val="none"/>
          <w:lang w:eastAsia="zh-CN"/>
        </w:rPr>
        <w:t>第一章</w:t>
      </w:r>
      <w:r>
        <w:rPr>
          <w:rFonts w:hint="eastAsia" w:ascii="Times New Roman" w:hAnsi="Times New Roman" w:cs="Times New Roman"/>
          <w:sz w:val="24"/>
          <w:highlight w:val="none"/>
          <w:lang w:val="en-US" w:eastAsia="zh-CN"/>
        </w:rPr>
        <w:t xml:space="preserve">  竞争性磋商公告</w:t>
      </w:r>
    </w:p>
    <w:p w14:paraId="35B1927B">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第二章</w:t>
      </w:r>
      <w:r>
        <w:rPr>
          <w:rFonts w:hint="eastAsia" w:ascii="Times New Roman" w:hAnsi="Times New Roman" w:eastAsia="宋体" w:cs="Times New Roman"/>
          <w:sz w:val="24"/>
          <w:highlight w:val="none"/>
          <w:lang w:val="en-US" w:eastAsia="zh-CN"/>
        </w:rPr>
        <w:t xml:space="preserve">  </w:t>
      </w:r>
      <w:r>
        <w:rPr>
          <w:rFonts w:ascii="Times New Roman" w:hAnsi="Times New Roman" w:eastAsia="宋体" w:cs="Times New Roman"/>
          <w:sz w:val="24"/>
          <w:highlight w:val="none"/>
          <w:lang w:eastAsia="zh-CN"/>
        </w:rPr>
        <w:t>供应商须知</w:t>
      </w:r>
    </w:p>
    <w:p w14:paraId="32282F91">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第三章</w:t>
      </w:r>
      <w:r>
        <w:rPr>
          <w:rFonts w:hint="eastAsia" w:ascii="Times New Roman" w:hAnsi="Times New Roman" w:eastAsia="宋体" w:cs="Times New Roman"/>
          <w:sz w:val="24"/>
          <w:highlight w:val="none"/>
          <w:lang w:val="en-US" w:eastAsia="zh-CN"/>
        </w:rPr>
        <w:t xml:space="preserve">  </w:t>
      </w:r>
      <w:r>
        <w:rPr>
          <w:rFonts w:ascii="Times New Roman" w:hAnsi="Times New Roman" w:eastAsia="宋体" w:cs="Times New Roman"/>
          <w:sz w:val="24"/>
          <w:highlight w:val="none"/>
          <w:lang w:eastAsia="zh-CN"/>
        </w:rPr>
        <w:t>评审方法和评审标准</w:t>
      </w:r>
    </w:p>
    <w:p w14:paraId="124501B7">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第四章</w:t>
      </w:r>
      <w:r>
        <w:rPr>
          <w:rFonts w:hint="eastAsia" w:ascii="Times New Roman" w:hAnsi="Times New Roman" w:eastAsia="宋体" w:cs="Times New Roman"/>
          <w:sz w:val="24"/>
          <w:highlight w:val="none"/>
          <w:lang w:val="en-US" w:eastAsia="zh-CN"/>
        </w:rPr>
        <w:t xml:space="preserve">  </w:t>
      </w:r>
      <w:r>
        <w:rPr>
          <w:rFonts w:ascii="Times New Roman" w:hAnsi="Times New Roman" w:eastAsia="宋体" w:cs="Times New Roman"/>
          <w:sz w:val="24"/>
          <w:highlight w:val="none"/>
          <w:lang w:eastAsia="zh-CN"/>
        </w:rPr>
        <w:t>采购需求</w:t>
      </w:r>
    </w:p>
    <w:p w14:paraId="581C0EF8">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第五章</w:t>
      </w:r>
      <w:r>
        <w:rPr>
          <w:rFonts w:hint="eastAsia" w:ascii="Times New Roman" w:hAnsi="Times New Roman" w:eastAsia="宋体" w:cs="Times New Roman"/>
          <w:sz w:val="24"/>
          <w:highlight w:val="none"/>
          <w:lang w:val="en-US" w:eastAsia="zh-CN"/>
        </w:rPr>
        <w:t xml:space="preserve">  </w:t>
      </w:r>
      <w:r>
        <w:rPr>
          <w:rFonts w:ascii="Times New Roman" w:hAnsi="Times New Roman" w:eastAsia="宋体" w:cs="Times New Roman"/>
          <w:sz w:val="24"/>
          <w:highlight w:val="none"/>
          <w:lang w:eastAsia="zh-CN"/>
        </w:rPr>
        <w:t>合同</w:t>
      </w:r>
      <w:r>
        <w:rPr>
          <w:rFonts w:hint="eastAsia" w:ascii="Times New Roman" w:hAnsi="Times New Roman" w:cs="Times New Roman"/>
          <w:sz w:val="24"/>
          <w:highlight w:val="none"/>
          <w:lang w:val="en-US" w:eastAsia="zh-CN"/>
        </w:rPr>
        <w:t>格式及</w:t>
      </w:r>
      <w:r>
        <w:rPr>
          <w:rFonts w:ascii="Times New Roman" w:hAnsi="Times New Roman" w:eastAsia="宋体" w:cs="Times New Roman"/>
          <w:sz w:val="24"/>
          <w:highlight w:val="none"/>
          <w:lang w:eastAsia="zh-CN"/>
        </w:rPr>
        <w:t>条款</w:t>
      </w:r>
    </w:p>
    <w:p w14:paraId="4AEEDACB">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ascii="Times New Roman" w:hAnsi="Times New Roman" w:eastAsia="宋体" w:cs="Times New Roman"/>
          <w:sz w:val="24"/>
          <w:highlight w:val="none"/>
          <w:lang w:eastAsia="zh-CN"/>
        </w:rPr>
      </w:pPr>
      <w:r>
        <w:rPr>
          <w:rFonts w:ascii="Times New Roman" w:hAnsi="Times New Roman" w:eastAsia="宋体" w:cs="Times New Roman"/>
          <w:sz w:val="24"/>
          <w:highlight w:val="none"/>
          <w:lang w:eastAsia="zh-CN"/>
        </w:rPr>
        <w:t>第六章</w:t>
      </w:r>
      <w:r>
        <w:rPr>
          <w:rFonts w:hint="eastAsia" w:ascii="Times New Roman" w:hAnsi="Times New Roman" w:eastAsia="宋体" w:cs="Times New Roman"/>
          <w:sz w:val="24"/>
          <w:highlight w:val="none"/>
          <w:lang w:val="en-US" w:eastAsia="zh-CN"/>
        </w:rPr>
        <w:t xml:space="preserve">  </w:t>
      </w:r>
      <w:r>
        <w:rPr>
          <w:rFonts w:ascii="Times New Roman" w:hAnsi="Times New Roman" w:eastAsia="宋体" w:cs="Times New Roman"/>
          <w:sz w:val="24"/>
          <w:highlight w:val="none"/>
          <w:lang w:eastAsia="zh-CN"/>
        </w:rPr>
        <w:t>响应文件格式</w:t>
      </w:r>
    </w:p>
    <w:p w14:paraId="6AAB67F1">
      <w:pPr>
        <w:pStyle w:val="33"/>
        <w:keepNext w:val="0"/>
        <w:keepLines w:val="0"/>
        <w:pageBreakBefore w:val="0"/>
        <w:widowControl w:val="0"/>
        <w:numPr>
          <w:ilvl w:val="0"/>
          <w:numId w:val="0"/>
        </w:numPr>
        <w:tabs>
          <w:tab w:val="left" w:pos="1621"/>
          <w:tab w:val="left" w:pos="1622"/>
          <w:tab w:val="left" w:pos="3061"/>
        </w:tabs>
        <w:kinsoku/>
        <w:wordWrap/>
        <w:overflowPunct/>
        <w:topLinePunct w:val="0"/>
        <w:autoSpaceDE w:val="0"/>
        <w:autoSpaceDN w:val="0"/>
        <w:bidi w:val="0"/>
        <w:adjustRightInd/>
        <w:snapToGrid/>
        <w:spacing w:line="360" w:lineRule="auto"/>
        <w:ind w:leftChars="0" w:right="0" w:rightChars="0" w:firstLine="960" w:firstLineChars="400"/>
        <w:textAlignment w:val="auto"/>
        <w:rPr>
          <w:rFonts w:hint="default" w:ascii="宋体" w:hAnsi="宋体" w:eastAsia="宋体" w:cs="宋体"/>
          <w:kern w:val="2"/>
          <w:sz w:val="24"/>
          <w:szCs w:val="24"/>
          <w:highlight w:val="none"/>
          <w:lang w:val="en-US" w:eastAsia="zh-CN"/>
        </w:rPr>
      </w:pPr>
      <w:r>
        <w:rPr>
          <w:rFonts w:ascii="Times New Roman" w:hAnsi="Times New Roman" w:eastAsia="宋体" w:cs="Times New Roman"/>
          <w:sz w:val="24"/>
          <w:highlight w:val="none"/>
          <w:lang w:eastAsia="zh-CN"/>
        </w:rPr>
        <w:t>第</w:t>
      </w:r>
      <w:r>
        <w:rPr>
          <w:rFonts w:hint="eastAsia" w:ascii="Times New Roman" w:hAnsi="Times New Roman" w:eastAsia="宋体" w:cs="Times New Roman"/>
          <w:sz w:val="24"/>
          <w:highlight w:val="none"/>
          <w:lang w:val="en-US" w:eastAsia="zh-CN"/>
        </w:rPr>
        <w:t>七</w:t>
      </w:r>
      <w:r>
        <w:rPr>
          <w:rFonts w:ascii="Times New Roman" w:hAnsi="Times New Roman" w:eastAsia="宋体" w:cs="Times New Roman"/>
          <w:sz w:val="24"/>
          <w:highlight w:val="none"/>
          <w:lang w:eastAsia="zh-CN"/>
        </w:rPr>
        <w:t>章</w:t>
      </w:r>
      <w:r>
        <w:rPr>
          <w:rFonts w:hint="eastAsia" w:ascii="Times New Roman" w:hAnsi="Times New Roman" w:eastAsia="宋体" w:cs="Times New Roman"/>
          <w:sz w:val="24"/>
          <w:highlight w:val="none"/>
          <w:lang w:val="en-US" w:eastAsia="zh-CN"/>
        </w:rPr>
        <w:t xml:space="preserve">  附件</w:t>
      </w:r>
    </w:p>
    <w:p w14:paraId="6B0AB87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6.2与本项目有关的澄清或者修改的内容为磋商文件的组成部分。</w:t>
      </w:r>
    </w:p>
    <w:p w14:paraId="14EE5BBC">
      <w:pPr>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rPr>
        <w:t>6.3供应商应认真阅读竞争性磋商文件的全部内容。供应商应按照竞争性磋商文件要求提交响应文件并保证所提供的全部资料的真实性，并对竞争性磋商文件做出实质性响应，否则响应无效。</w:t>
      </w:r>
    </w:p>
    <w:p w14:paraId="64DBB3B4">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7.对竞争性磋商文件的澄清或修改</w:t>
      </w:r>
    </w:p>
    <w:p w14:paraId="77B2B7B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7.1采购人、采购代理机构或者磋商小组对已发出的竞争性磋商文件进行必要澄清或者修改的，以电子交易平台通知所有获取竞争性磋商文件的潜在供应商。采用公告方式邀请供应商参与的，还将在原公告发布媒体上发布更正公告。</w:t>
      </w:r>
    </w:p>
    <w:p w14:paraId="308A1FD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7.2澄清或者修改的内容为竞争性磋商文件的组成部分，并对所有获取竞争性磋商文件的潜在供应商具有约束力。澄清或者修改的内容可能影响响应文件编制的，将在提交首次响应文件截止之日5日前，通过电子交易平台通知所有获取磋商文件的供应商；不足上述时间的，将顺延提交响应文件截止时间。</w:t>
      </w:r>
    </w:p>
    <w:p w14:paraId="6618B592">
      <w:pPr>
        <w:pStyle w:val="3"/>
        <w:tabs>
          <w:tab w:val="left" w:pos="700"/>
        </w:tabs>
        <w:spacing w:before="239"/>
        <w:rPr>
          <w:rFonts w:hint="eastAsia" w:ascii="宋体" w:hAnsi="宋体" w:eastAsia="宋体" w:cs="宋体"/>
          <w:b/>
          <w:bCs/>
          <w:highlight w:val="none"/>
        </w:rPr>
      </w:pPr>
      <w:bookmarkStart w:id="36" w:name="_Toc865"/>
      <w:r>
        <w:rPr>
          <w:rFonts w:hint="eastAsia" w:ascii="宋体" w:hAnsi="宋体" w:eastAsia="宋体" w:cs="宋体"/>
          <w:b/>
          <w:bCs/>
          <w:highlight w:val="none"/>
        </w:rPr>
        <w:t>三</w:t>
      </w:r>
      <w:r>
        <w:rPr>
          <w:rFonts w:hint="eastAsia" w:ascii="宋体" w:hAnsi="宋体" w:eastAsia="宋体" w:cs="宋体"/>
          <w:b/>
          <w:bCs/>
          <w:highlight w:val="none"/>
          <w:lang w:eastAsia="zh-CN"/>
        </w:rPr>
        <w:t>、</w:t>
      </w:r>
      <w:r>
        <w:rPr>
          <w:rFonts w:hint="eastAsia" w:ascii="宋体" w:hAnsi="宋体" w:eastAsia="宋体" w:cs="宋体"/>
          <w:b/>
          <w:bCs/>
          <w:highlight w:val="none"/>
        </w:rPr>
        <w:t>响应文件的编制</w:t>
      </w:r>
      <w:bookmarkEnd w:id="36"/>
    </w:p>
    <w:p w14:paraId="420EAA58">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8.响应范围、竞争性磋商文件中计量单位的使用及磋商语言</w:t>
      </w:r>
    </w:p>
    <w:p w14:paraId="4475569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8.1供应商应当对第四章《采购需求》所列的全部内容进行响应，否则其响应文件将被认定为无效响应。响应文件全部采用电子文档，供应商应安装客户端软件—“政采云电子交易客户端”，并按照磋商文件和政采云平台的要求编制并加密。</w:t>
      </w:r>
    </w:p>
    <w:p w14:paraId="109F9F5D">
      <w:pPr>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rPr>
        <w:t>8.2除竞争性磋商文件有特殊要求外，本项目磋商所使用的计量单位，应采用中华人民共和国法定计量单位。</w:t>
      </w:r>
    </w:p>
    <w:p w14:paraId="03CF99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4105D5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9.响应文件构成</w:t>
      </w:r>
    </w:p>
    <w:p w14:paraId="7E4BE1C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9.1供应商应当按照竞争性磋商文件的要求编制响应文件，并对其提交的响应文件的真实性、合法性承担法律责任。响应文件的部分格式要求见第六章《响应文件格式》。</w:t>
      </w:r>
    </w:p>
    <w:p w14:paraId="119CB3CA">
      <w:pPr>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kern w:val="2"/>
          <w:sz w:val="24"/>
          <w:szCs w:val="24"/>
          <w:highlight w:val="none"/>
          <w:lang w:val="en-US" w:eastAsia="zh-CN"/>
        </w:rPr>
        <w:t>否则响应无效。</w:t>
      </w:r>
      <w:r>
        <w:rPr>
          <w:rFonts w:hint="eastAsia" w:ascii="宋体" w:hAnsi="宋体" w:eastAsia="宋体" w:cs="宋体"/>
          <w:kern w:val="2"/>
          <w:sz w:val="24"/>
          <w:szCs w:val="24"/>
          <w:highlight w:val="none"/>
          <w:lang w:val="en-US" w:eastAsia="zh-CN"/>
        </w:rPr>
        <w:t>未标记“实质性格式”的文件和竞争性磋商文件未提供格式的内容，可由供应商自行编写。</w:t>
      </w:r>
    </w:p>
    <w:p w14:paraId="50E960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9.3第三章《评审方法和评审标准》</w:t>
      </w:r>
      <w:r>
        <w:rPr>
          <w:rFonts w:hint="eastAsia"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第四章《采购需求》中要求提供证明文件的，供应商应当按具体要求提供证明文件。</w:t>
      </w:r>
    </w:p>
    <w:p w14:paraId="58543C3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9.</w:t>
      </w: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供应商认为应附的其他材料。</w:t>
      </w:r>
    </w:p>
    <w:p w14:paraId="0B0C6A85">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10.报价</w:t>
      </w:r>
    </w:p>
    <w:p w14:paraId="07A675E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10.1所有响应均以人民币报价。</w:t>
      </w:r>
    </w:p>
    <w:p w14:paraId="365B476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10.2</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应按</w:t>
      </w:r>
      <w:r>
        <w:rPr>
          <w:rFonts w:hint="eastAsia"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lang w:val="en-US" w:eastAsia="zh-CN"/>
        </w:rPr>
        <w:t>文件第</w:t>
      </w:r>
      <w:r>
        <w:rPr>
          <w:rFonts w:hint="eastAsia"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lang w:val="en-US" w:eastAsia="zh-CN"/>
        </w:rPr>
        <w:t>章</w:t>
      </w:r>
      <w:r>
        <w:rPr>
          <w:rFonts w:hint="eastAsia" w:cs="宋体"/>
          <w:color w:val="auto"/>
          <w:kern w:val="2"/>
          <w:sz w:val="24"/>
          <w:szCs w:val="24"/>
          <w:highlight w:val="none"/>
          <w:lang w:val="en-US" w:eastAsia="zh-CN"/>
        </w:rPr>
        <w:t>《采购需求》中采购人</w:t>
      </w:r>
      <w:r>
        <w:rPr>
          <w:rFonts w:hint="eastAsia" w:ascii="宋体" w:hAnsi="宋体" w:eastAsia="宋体" w:cs="宋体"/>
          <w:color w:val="auto"/>
          <w:kern w:val="2"/>
          <w:sz w:val="24"/>
          <w:szCs w:val="24"/>
          <w:highlight w:val="none"/>
          <w:lang w:val="en-US" w:eastAsia="zh-CN"/>
        </w:rPr>
        <w:t>提供的</w:t>
      </w:r>
      <w:r>
        <w:rPr>
          <w:rFonts w:hint="eastAsia" w:cs="宋体"/>
          <w:color w:val="auto"/>
          <w:kern w:val="2"/>
          <w:sz w:val="24"/>
          <w:szCs w:val="24"/>
          <w:highlight w:val="none"/>
          <w:lang w:val="en-US" w:eastAsia="zh-CN"/>
        </w:rPr>
        <w:t>“招标工程量清单”</w:t>
      </w:r>
      <w:r>
        <w:rPr>
          <w:rFonts w:hint="eastAsia" w:ascii="宋体" w:hAnsi="宋体" w:eastAsia="宋体" w:cs="宋体"/>
          <w:color w:val="auto"/>
          <w:kern w:val="2"/>
          <w:sz w:val="24"/>
          <w:szCs w:val="24"/>
          <w:highlight w:val="none"/>
          <w:lang w:val="en-US" w:eastAsia="zh-CN"/>
        </w:rPr>
        <w:t>格式进行</w:t>
      </w:r>
      <w:r>
        <w:rPr>
          <w:rFonts w:hint="eastAsia"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lang w:val="en-US" w:eastAsia="zh-CN"/>
        </w:rPr>
        <w:t>报价。本项目预算金额及最高限价见</w:t>
      </w:r>
      <w:r>
        <w:rPr>
          <w:rFonts w:hint="eastAsia" w:cs="宋体"/>
          <w:color w:val="auto"/>
          <w:kern w:val="2"/>
          <w:sz w:val="24"/>
          <w:szCs w:val="24"/>
          <w:highlight w:val="none"/>
          <w:lang w:val="en-US" w:eastAsia="zh-CN"/>
        </w:rPr>
        <w:t>第一章</w:t>
      </w:r>
      <w:r>
        <w:rPr>
          <w:rFonts w:hint="eastAsia" w:ascii="宋体" w:hAnsi="宋体" w:eastAsia="宋体" w:cs="宋体"/>
          <w:color w:val="auto"/>
          <w:kern w:val="2"/>
          <w:sz w:val="24"/>
          <w:szCs w:val="24"/>
          <w:highlight w:val="none"/>
          <w:lang w:val="en-US" w:eastAsia="zh-CN"/>
        </w:rPr>
        <w:t>“</w:t>
      </w:r>
      <w:r>
        <w:rPr>
          <w:rFonts w:hint="eastAsia" w:cs="宋体"/>
          <w:color w:val="auto"/>
          <w:kern w:val="2"/>
          <w:sz w:val="24"/>
          <w:szCs w:val="24"/>
          <w:highlight w:val="none"/>
          <w:lang w:val="en-US" w:eastAsia="zh-CN"/>
        </w:rPr>
        <w:t>竞争性磋商公告</w:t>
      </w:r>
      <w:r>
        <w:rPr>
          <w:rFonts w:hint="eastAsia" w:ascii="宋体" w:hAnsi="宋体" w:eastAsia="宋体" w:cs="宋体"/>
          <w:color w:val="auto"/>
          <w:kern w:val="2"/>
          <w:sz w:val="24"/>
          <w:szCs w:val="24"/>
          <w:highlight w:val="none"/>
          <w:lang w:val="en-US" w:eastAsia="zh-CN"/>
        </w:rPr>
        <w:t>”</w:t>
      </w:r>
      <w:r>
        <w:rPr>
          <w:rFonts w:hint="eastAsia" w:cs="宋体"/>
          <w:color w:val="auto"/>
          <w:kern w:val="2"/>
          <w:sz w:val="24"/>
          <w:szCs w:val="24"/>
          <w:highlight w:val="none"/>
          <w:lang w:val="en-US" w:eastAsia="zh-CN"/>
        </w:rPr>
        <w:t>及第四章“采购需求”</w:t>
      </w:r>
      <w:r>
        <w:rPr>
          <w:rFonts w:hint="eastAsia" w:ascii="宋体" w:hAnsi="宋体" w:eastAsia="宋体" w:cs="宋体"/>
          <w:color w:val="auto"/>
          <w:kern w:val="2"/>
          <w:sz w:val="24"/>
          <w:szCs w:val="24"/>
          <w:highlight w:val="none"/>
          <w:lang w:val="en-US" w:eastAsia="zh-CN"/>
        </w:rPr>
        <w:t>，若</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的</w:t>
      </w:r>
      <w:r>
        <w:rPr>
          <w:rFonts w:hint="eastAsia" w:cs="宋体"/>
          <w:color w:val="auto"/>
          <w:kern w:val="2"/>
          <w:sz w:val="24"/>
          <w:szCs w:val="24"/>
          <w:highlight w:val="none"/>
          <w:lang w:val="en-US" w:eastAsia="zh-CN"/>
        </w:rPr>
        <w:t>响应总</w:t>
      </w:r>
      <w:r>
        <w:rPr>
          <w:rFonts w:hint="eastAsia" w:ascii="宋体" w:hAnsi="宋体" w:eastAsia="宋体" w:cs="宋体"/>
          <w:color w:val="auto"/>
          <w:kern w:val="2"/>
          <w:sz w:val="24"/>
          <w:szCs w:val="24"/>
          <w:highlight w:val="none"/>
          <w:lang w:val="en-US" w:eastAsia="zh-CN"/>
        </w:rPr>
        <w:t>报价超过最高限价，按不实质性响应</w:t>
      </w:r>
      <w:r>
        <w:rPr>
          <w:rFonts w:hint="eastAsia"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lang w:val="en-US" w:eastAsia="zh-CN"/>
        </w:rPr>
        <w:t>文件要求处理。</w:t>
      </w:r>
    </w:p>
    <w:p w14:paraId="050E017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2"/>
          <w:sz w:val="24"/>
          <w:szCs w:val="24"/>
          <w:highlight w:val="none"/>
          <w:lang w:val="en-US" w:eastAsia="zh-CN"/>
        </w:rPr>
        <w:t>10.3</w:t>
      </w:r>
      <w:r>
        <w:rPr>
          <w:rFonts w:hint="eastAsia" w:ascii="宋体" w:hAnsi="宋体" w:eastAsia="宋体" w:cs="宋体"/>
          <w:color w:val="auto"/>
          <w:kern w:val="2"/>
          <w:sz w:val="24"/>
          <w:szCs w:val="24"/>
          <w:highlight w:val="none"/>
          <w:lang w:val="en-US" w:eastAsia="zh-CN"/>
        </w:rPr>
        <w:t>所有根据合同或其它原因应由</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支付的税款和其它应交纳的费用都应包括在</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提交的</w:t>
      </w:r>
      <w:r>
        <w:rPr>
          <w:rFonts w:hint="eastAsia" w:cs="宋体"/>
          <w:color w:val="auto"/>
          <w:kern w:val="2"/>
          <w:sz w:val="24"/>
          <w:szCs w:val="24"/>
          <w:highlight w:val="none"/>
          <w:lang w:val="en-US" w:eastAsia="zh-CN"/>
        </w:rPr>
        <w:t>响应报价</w:t>
      </w:r>
      <w:r>
        <w:rPr>
          <w:rFonts w:hint="eastAsia" w:ascii="宋体" w:hAnsi="宋体" w:eastAsia="宋体" w:cs="宋体"/>
          <w:color w:val="auto"/>
          <w:kern w:val="2"/>
          <w:sz w:val="24"/>
          <w:szCs w:val="24"/>
          <w:highlight w:val="none"/>
          <w:lang w:val="en-US" w:eastAsia="zh-CN"/>
        </w:rPr>
        <w:t>中。</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的</w:t>
      </w:r>
      <w:r>
        <w:rPr>
          <w:rFonts w:hint="eastAsia"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lang w:val="en-US" w:eastAsia="zh-CN"/>
        </w:rPr>
        <w:t>报价</w:t>
      </w:r>
      <w:r>
        <w:rPr>
          <w:rFonts w:hint="eastAsia" w:cs="宋体"/>
          <w:color w:val="auto"/>
          <w:kern w:val="2"/>
          <w:sz w:val="24"/>
          <w:szCs w:val="24"/>
          <w:highlight w:val="none"/>
          <w:lang w:val="en-US" w:eastAsia="zh-CN"/>
        </w:rPr>
        <w:t>为全费用综合单价，</w:t>
      </w:r>
      <w:r>
        <w:rPr>
          <w:rFonts w:hint="eastAsia" w:ascii="宋体" w:hAnsi="宋体" w:eastAsia="宋体" w:cs="宋体"/>
          <w:color w:val="auto"/>
          <w:kern w:val="0"/>
          <w:sz w:val="24"/>
          <w:szCs w:val="24"/>
          <w:highlight w:val="none"/>
          <w:lang w:val="en-US" w:eastAsia="zh-CN"/>
        </w:rPr>
        <w:t>供应商的磋商报价应依据</w:t>
      </w:r>
      <w:r>
        <w:rPr>
          <w:rFonts w:hint="eastAsia"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lang w:val="en-US" w:eastAsia="zh-CN"/>
        </w:rPr>
        <w:t>文件的要求及有关资料，执行国家规定的现行技术、经济标准、定额及规范，由供应商自行测算出现行市场的各类价格。报价包括但不仅限于完成各项</w:t>
      </w:r>
      <w:r>
        <w:rPr>
          <w:rFonts w:hint="eastAsia" w:cs="宋体"/>
          <w:color w:val="auto"/>
          <w:kern w:val="0"/>
          <w:sz w:val="24"/>
          <w:szCs w:val="24"/>
          <w:highlight w:val="none"/>
          <w:lang w:val="en-US" w:eastAsia="zh-CN"/>
        </w:rPr>
        <w:t>货物及</w:t>
      </w:r>
      <w:r>
        <w:rPr>
          <w:rFonts w:hint="eastAsia" w:ascii="宋体" w:hAnsi="宋体" w:eastAsia="宋体" w:cs="宋体"/>
          <w:color w:val="auto"/>
          <w:kern w:val="0"/>
          <w:sz w:val="24"/>
          <w:szCs w:val="24"/>
          <w:highlight w:val="none"/>
          <w:lang w:val="en-US" w:eastAsia="zh-CN"/>
        </w:rPr>
        <w:t>服务所需的项目实施、人工费用及保险、实施及运维期间安全保障、交通运输、技术保障、售后服务、管理费、税金、设备价款、备品备件、易损件、专用工具、相关配件、附件、零配件及其它的所有费用、利润、</w:t>
      </w:r>
      <w:r>
        <w:rPr>
          <w:rFonts w:hint="eastAsia"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val="en-US" w:eastAsia="zh-CN"/>
        </w:rPr>
        <w:t>代理服务费、一切技术（含相关技术指导与培训费），及一切与本项目相关的支出等所有不可预见的隐含费用（以上费用如涉及到多次需求，所有费用都包含在内）等一切应有费用，该报价应符合实际情况并能保证成交人完成履行合同所需的一切工作。合同一旦签订，此合同价格在合同执行期间将不因工作量的变化而调整。</w:t>
      </w:r>
    </w:p>
    <w:p w14:paraId="16263087">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jc w:val="both"/>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10.4本次竞争性磋商采取两轮报价的方式，第一轮报价为供应商在响应文件“报价一览表（首轮）”中填报的价格；磋商小组所有成员集中与通过资格审查及符合性审查的单一供应商分别进行磋商，磋商结束后，供应商在规定时间内提交第二轮报价（在磋商过程中，经采购人代表确认实质性变动的内容未增加供应商完成项目需求成本的，原则上第二轮报价不得高于第一轮报价），第二轮报价为最后报价，最后报价是供应商响应文件的有效组成部分。</w:t>
      </w:r>
    </w:p>
    <w:p w14:paraId="3429F51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r>
        <w:rPr>
          <w:rFonts w:hint="eastAsia"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供应商不能提供任何有选择性或可调整的最后报价（竞争性磋商文件另有规定的除外），否则其响应无效。</w:t>
      </w:r>
    </w:p>
    <w:p w14:paraId="45920BE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r>
        <w:rPr>
          <w:rFonts w:hint="eastAsia"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val="en-US" w:eastAsia="zh-CN"/>
        </w:rPr>
        <w:t>.</w:t>
      </w: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eastAsia="zh-CN"/>
        </w:rPr>
        <w:t>除非竞争性磋商文件另有规定，报价原则上精确到小数点后两位。</w:t>
      </w:r>
    </w:p>
    <w:p w14:paraId="1FE4F69D">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11.磋商保证金</w:t>
      </w:r>
    </w:p>
    <w:p w14:paraId="49A4219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11.1供应商应按《供应商须知资料表》中规定的金额及要求交纳磋商保证金，并作为其响应文件的一部分。</w:t>
      </w:r>
    </w:p>
    <w:p w14:paraId="49789C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11.2交纳磋商保证金可采用的形式：政府采购法律法规接受的支票、汇票、本票、网上银行支付或者金融机构、担保机构出具的保函等非现金形式。</w:t>
      </w:r>
    </w:p>
    <w:p w14:paraId="0521721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14:paraId="7C57451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11.4磋商保证金（保函）有效期同响应有效期。</w:t>
      </w:r>
    </w:p>
    <w:p w14:paraId="4778208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11.5采购人、采购代理机构将及时退还供应商的保证金，采用银行保函、担保机构担保函等形式递交的保证金，经供应商同意后采购人、采购代理机构可以不再退还，但因供应商自身原因导致无法及时退还的除外：</w:t>
      </w:r>
    </w:p>
    <w:p w14:paraId="0E4B20F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（1）已提交响应文件的供应商，在提交最后报价之前，可以根据磋商情况退出磋商。采购人、采购代理机构将退还退出磋商的供应商的磋商保证金；</w:t>
      </w:r>
    </w:p>
    <w:p w14:paraId="089DFF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（2）成交供应商的磋商保证金，在采购合同签订后5个工作日内退还成交供应商；</w:t>
      </w:r>
    </w:p>
    <w:p w14:paraId="4A3925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（3）未成交供应商的磋商保证金，在成交通知书发出后5个工作日内退还。</w:t>
      </w:r>
    </w:p>
    <w:p w14:paraId="1C10B9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11.6有下列情形之一的，采购人或采购代理机构不予退还磋商保证金：</w:t>
      </w:r>
    </w:p>
    <w:p w14:paraId="6D506B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（1）供应商在提交响应文件截止时间后撤回响应文件的；</w:t>
      </w:r>
    </w:p>
    <w:p w14:paraId="2809D35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（2）供应商在响应文件中提供虚假材料的；</w:t>
      </w:r>
    </w:p>
    <w:p w14:paraId="202294D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（3）除因不可抗力或磋商文件认可的情形以外，成交供应商不与采购人签订合同的；</w:t>
      </w:r>
    </w:p>
    <w:p w14:paraId="639DAA2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（4）供应商与采购人、其他供应商或者采购代理机构恶意串通的；</w:t>
      </w:r>
    </w:p>
    <w:p w14:paraId="2654BF0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（5）《供应商须知资料表》规定的其他情形。</w:t>
      </w:r>
    </w:p>
    <w:p w14:paraId="1DC7E40F">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12.响应有效期</w:t>
      </w:r>
    </w:p>
    <w:p w14:paraId="3A13730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响应文件应在本竞争性磋商文件《供应商须知资料表》中规定的响应有效期内保持有效，响应有效期少于竞争性磋商文件规定期限的，其响应无效。</w:t>
      </w:r>
    </w:p>
    <w:p w14:paraId="4EA0361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13.响应文件的签署、盖章</w:t>
      </w:r>
    </w:p>
    <w:p w14:paraId="1BA558D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13.1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44665D2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13.2竞争性磋商</w:t>
      </w:r>
      <w:r>
        <w:rPr>
          <w:rFonts w:hint="eastAsia" w:ascii="宋体" w:hAnsi="宋体" w:eastAsia="宋体" w:cs="宋体"/>
          <w:color w:val="auto"/>
          <w:sz w:val="24"/>
          <w:highlight w:val="none"/>
          <w:lang w:eastAsia="zh-CN"/>
        </w:rPr>
        <w:t>文件要求</w:t>
      </w:r>
      <w:r>
        <w:rPr>
          <w:rFonts w:hint="eastAsia" w:ascii="宋体" w:hAnsi="宋体" w:eastAsia="宋体" w:cs="宋体"/>
          <w:color w:val="auto"/>
          <w:sz w:val="24"/>
          <w:highlight w:val="none"/>
        </w:rPr>
        <w:t>电子签章的内容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lang w:eastAsia="zh-CN"/>
        </w:rPr>
        <w:t>通过</w:t>
      </w:r>
      <w:r>
        <w:rPr>
          <w:rFonts w:hint="eastAsia" w:cs="宋体"/>
          <w:color w:val="auto"/>
          <w:sz w:val="24"/>
          <w:highlight w:val="none"/>
          <w:lang w:eastAsia="zh-CN"/>
        </w:rPr>
        <w:t>磋商</w:t>
      </w:r>
      <w:r>
        <w:rPr>
          <w:rFonts w:hint="eastAsia" w:ascii="宋体" w:hAnsi="宋体" w:eastAsia="宋体" w:cs="宋体"/>
          <w:color w:val="auto"/>
          <w:sz w:val="24"/>
          <w:highlight w:val="none"/>
          <w:lang w:eastAsia="zh-CN"/>
        </w:rPr>
        <w:t>文件编制工具</w:t>
      </w:r>
      <w:r>
        <w:rPr>
          <w:rFonts w:hint="eastAsia" w:ascii="宋体" w:hAnsi="宋体" w:eastAsia="宋体" w:cs="宋体"/>
          <w:color w:val="auto"/>
          <w:sz w:val="24"/>
          <w:highlight w:val="none"/>
        </w:rPr>
        <w:t>采用单位和个人数字证书</w:t>
      </w:r>
      <w:r>
        <w:rPr>
          <w:rFonts w:hint="eastAsia" w:ascii="宋体" w:hAnsi="宋体" w:eastAsia="宋体" w:cs="宋体"/>
          <w:color w:val="auto"/>
          <w:sz w:val="24"/>
          <w:highlight w:val="none"/>
          <w:lang w:val="en-US" w:eastAsia="zh-CN"/>
        </w:rPr>
        <w:t>进行</w:t>
      </w:r>
      <w:r>
        <w:rPr>
          <w:rFonts w:hint="eastAsia" w:ascii="宋体" w:hAnsi="宋体" w:eastAsia="宋体" w:cs="宋体"/>
          <w:color w:val="auto"/>
          <w:sz w:val="24"/>
          <w:highlight w:val="none"/>
          <w:lang w:eastAsia="zh-CN"/>
        </w:rPr>
        <w:t>电子签章</w:t>
      </w:r>
      <w:r>
        <w:rPr>
          <w:rFonts w:hint="eastAsia" w:ascii="宋体" w:hAnsi="宋体" w:eastAsia="宋体" w:cs="宋体"/>
          <w:color w:val="auto"/>
          <w:sz w:val="24"/>
          <w:highlight w:val="none"/>
        </w:rPr>
        <w:t>（在需要电子签章的地方进行电子签章，无需逐页电子签章）</w:t>
      </w:r>
      <w:r>
        <w:rPr>
          <w:rFonts w:hint="eastAsia" w:ascii="宋体" w:hAnsi="宋体" w:eastAsia="宋体" w:cs="宋体"/>
          <w:color w:val="auto"/>
          <w:kern w:val="2"/>
          <w:sz w:val="24"/>
          <w:szCs w:val="24"/>
          <w:highlight w:val="none"/>
          <w:lang w:val="en-US" w:eastAsia="zh-CN"/>
        </w:rPr>
        <w:t>。</w:t>
      </w:r>
    </w:p>
    <w:p w14:paraId="073ACA6E">
      <w:pPr>
        <w:pStyle w:val="3"/>
        <w:tabs>
          <w:tab w:val="left" w:pos="700"/>
        </w:tabs>
        <w:spacing w:before="239"/>
        <w:rPr>
          <w:rFonts w:hint="eastAsia" w:ascii="宋体" w:hAnsi="宋体" w:eastAsia="宋体" w:cs="宋体"/>
          <w:b/>
          <w:bCs/>
          <w:color w:val="auto"/>
          <w:highlight w:val="none"/>
        </w:rPr>
      </w:pPr>
      <w:bookmarkStart w:id="37" w:name="_Toc16731"/>
      <w:r>
        <w:rPr>
          <w:rFonts w:hint="eastAsia" w:ascii="宋体" w:hAnsi="宋体" w:eastAsia="宋体" w:cs="宋体"/>
          <w:b/>
          <w:bCs/>
          <w:color w:val="auto"/>
          <w:highlight w:val="none"/>
        </w:rPr>
        <w:t>四</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响应文件的提交</w:t>
      </w:r>
      <w:bookmarkEnd w:id="37"/>
    </w:p>
    <w:p w14:paraId="79085B49">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14.响应文件的提交</w:t>
      </w:r>
    </w:p>
    <w:p w14:paraId="74BF4CA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本项目使用政采云平台。供应商根据竞争性磋商文件及电子交易平台供应商操作手册要求编制、生成并提交电子响应文件，并按照采购文件和电子交易平台的要求编制并加密响应文件。供应商未按规定加密的响应文件，电子交易平台将拒收并提示。</w:t>
      </w:r>
    </w:p>
    <w:p w14:paraId="01BDA16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14.2为确保网上操作合法、有效和安全，供应商应当在响应文件提交截止时间前完成在“政采云平台”的身份认证，确保在电子交易过程中能够对相关数据电文进行加密和使用电子签名。</w:t>
      </w:r>
    </w:p>
    <w:p w14:paraId="3E9035C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14.3采购人及采购代理机构拒绝接受通过电子交易平台以外任何形式提交的响应文件</w:t>
      </w:r>
      <w:r>
        <w:rPr>
          <w:rFonts w:hint="eastAsia" w:cs="宋体"/>
          <w:color w:val="auto"/>
          <w:kern w:val="2"/>
          <w:sz w:val="24"/>
          <w:szCs w:val="24"/>
          <w:highlight w:val="none"/>
          <w:lang w:val="en-US" w:eastAsia="zh-CN"/>
        </w:rPr>
        <w:t>，磋商保证金除外</w:t>
      </w:r>
      <w:r>
        <w:rPr>
          <w:rFonts w:hint="eastAsia" w:ascii="宋体" w:hAnsi="宋体" w:eastAsia="宋体" w:cs="宋体"/>
          <w:color w:val="auto"/>
          <w:kern w:val="2"/>
          <w:sz w:val="24"/>
          <w:szCs w:val="24"/>
          <w:highlight w:val="none"/>
          <w:lang w:val="en-US" w:eastAsia="zh-CN"/>
        </w:rPr>
        <w:t>。</w:t>
      </w:r>
    </w:p>
    <w:p w14:paraId="088489EF">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15.响应文件提交截止时间</w:t>
      </w:r>
    </w:p>
    <w:p w14:paraId="2A6F0C3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供应商应在竞争性磋商文件要求响应文件提交截止时间前，将电子响应文件提交至电子交易平台。</w:t>
      </w:r>
    </w:p>
    <w:p w14:paraId="58BCA90E">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16.响应文件的修改与撤回</w:t>
      </w:r>
    </w:p>
    <w:p w14:paraId="7128693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16.1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ABA2DF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16.2供应商对响应文件的补充、修改的内容应当按照竞争性磋商文件要求签署、盖章，作为响应文件的组成部分。补充、修改的内容与响应文件不一致的，以补充、修改的内容为准。</w:t>
      </w:r>
    </w:p>
    <w:p w14:paraId="3109D935">
      <w:pPr>
        <w:pStyle w:val="3"/>
        <w:tabs>
          <w:tab w:val="left" w:pos="700"/>
        </w:tabs>
        <w:spacing w:before="239"/>
        <w:rPr>
          <w:rFonts w:hint="eastAsia" w:ascii="宋体" w:hAnsi="宋体" w:eastAsia="宋体" w:cs="宋体"/>
          <w:b/>
          <w:bCs/>
          <w:color w:val="auto"/>
          <w:highlight w:val="none"/>
        </w:rPr>
      </w:pPr>
      <w:bookmarkStart w:id="38" w:name="_Toc25357"/>
      <w:r>
        <w:rPr>
          <w:rFonts w:hint="eastAsia" w:ascii="宋体" w:hAnsi="宋体" w:eastAsia="宋体" w:cs="宋体"/>
          <w:b/>
          <w:bCs/>
          <w:color w:val="auto"/>
          <w:highlight w:val="none"/>
        </w:rPr>
        <w:t>五</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评审</w:t>
      </w:r>
      <w:bookmarkEnd w:id="38"/>
    </w:p>
    <w:p w14:paraId="42B66F23">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17.响应文件的解密与开启</w:t>
      </w:r>
    </w:p>
    <w:p w14:paraId="0C6AF26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17.1采购人或采购代理机构将按竞争性磋商文件的规定，在响应文件提交截止时间的同一时间和竞争性磋商文件预先确定的地点开启响应文件。</w:t>
      </w:r>
    </w:p>
    <w:p w14:paraId="3F58188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17.2本项目解密使用政采云平台。采购代理机构依托该电子交易平台发起开始解密指令，供应商须使用加密时所用的CA锁按平台提示和采购文件的规定登录到政采云平台电子开标大厅签到，并在发起解密指令之时起60分钟内完成对电子响应文件在线解密。</w:t>
      </w:r>
    </w:p>
    <w:p w14:paraId="5D617FC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17.3发起解密指令之时起5分钟内供应商还未进行解密的，代理机构可通知供应商，供应商未预留联系方式或预留联系方式无效，导致代理机构无法联系到供应商进行解密的，视为撤回响应文件。</w:t>
      </w:r>
    </w:p>
    <w:p w14:paraId="048C442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17.4供应商应在规定的时间内对响应文件进行解密，因非系统原因导致的解密失败，视为无效响应。</w:t>
      </w:r>
    </w:p>
    <w:p w14:paraId="2B8302B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17.5电子交易活动的中止</w:t>
      </w:r>
    </w:p>
    <w:p w14:paraId="60A036B8">
      <w:pPr>
        <w:keepNext w:val="0"/>
        <w:keepLines w:val="0"/>
        <w:pageBreakBefore w:val="0"/>
        <w:widowControl w:val="0"/>
        <w:tabs>
          <w:tab w:val="left" w:pos="1617"/>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采购过程中出现以下情形，导致电子交易平台无法正常运行，或者无法保证电子交易的公平、公正和安全时，采购代理机构可中止电子交易活动：</w:t>
      </w:r>
    </w:p>
    <w:p w14:paraId="07703064">
      <w:pPr>
        <w:pStyle w:val="33"/>
        <w:keepNext w:val="0"/>
        <w:keepLines w:val="0"/>
        <w:pageBreakBefore w:val="0"/>
        <w:widowControl w:val="0"/>
        <w:tabs>
          <w:tab w:val="left" w:pos="1617"/>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（1）电子交易平台发生故障而无法登录访问的；</w:t>
      </w:r>
    </w:p>
    <w:p w14:paraId="7EF9D9D2">
      <w:pPr>
        <w:pStyle w:val="33"/>
        <w:keepNext w:val="0"/>
        <w:keepLines w:val="0"/>
        <w:pageBreakBefore w:val="0"/>
        <w:widowControl w:val="0"/>
        <w:tabs>
          <w:tab w:val="left" w:pos="1617"/>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（2）电子交易平台应用或数据库出现错误，不能进行正常操作的；</w:t>
      </w:r>
    </w:p>
    <w:p w14:paraId="3FC8222B">
      <w:pPr>
        <w:pStyle w:val="33"/>
        <w:keepNext w:val="0"/>
        <w:keepLines w:val="0"/>
        <w:pageBreakBefore w:val="0"/>
        <w:widowControl w:val="0"/>
        <w:tabs>
          <w:tab w:val="left" w:pos="1617"/>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（3）电子交易平台发现严重安全漏洞，有潜在泄密危险的；</w:t>
      </w:r>
    </w:p>
    <w:p w14:paraId="29A65193">
      <w:pPr>
        <w:pStyle w:val="33"/>
        <w:keepNext w:val="0"/>
        <w:keepLines w:val="0"/>
        <w:pageBreakBefore w:val="0"/>
        <w:widowControl w:val="0"/>
        <w:tabs>
          <w:tab w:val="left" w:pos="1617"/>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（4）病毒发作导致不能进行正常操作的；</w:t>
      </w:r>
    </w:p>
    <w:p w14:paraId="04E8827E">
      <w:pPr>
        <w:pStyle w:val="33"/>
        <w:keepNext w:val="0"/>
        <w:keepLines w:val="0"/>
        <w:pageBreakBefore w:val="0"/>
        <w:widowControl w:val="0"/>
        <w:tabs>
          <w:tab w:val="left" w:pos="1617"/>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（5）其他无法保证电子交易的公平、公正和安全的情况。</w:t>
      </w:r>
    </w:p>
    <w:p w14:paraId="56DB385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17.6出现17.5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017A4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17.7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BD6A4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17.8供应商不足3家的，不予解密。</w:t>
      </w:r>
    </w:p>
    <w:p w14:paraId="711BED9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17.9本项目不公开报价。</w:t>
      </w:r>
    </w:p>
    <w:p w14:paraId="323DA93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18.磋商小组</w:t>
      </w:r>
    </w:p>
    <w:p w14:paraId="50141B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18.1磋商小组根据政府采购有关规定和本次采购项目的特点进行组建，并负责具体评审与磋商事务，独立履行职责。</w:t>
      </w:r>
    </w:p>
    <w:p w14:paraId="2C7757B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18</w:t>
      </w:r>
      <w:r>
        <w:rPr>
          <w:rFonts w:hint="eastAsia" w:ascii="宋体" w:hAnsi="宋体" w:eastAsia="宋体" w:cs="宋体"/>
          <w:color w:val="auto"/>
          <w:kern w:val="2"/>
          <w:sz w:val="24"/>
          <w:szCs w:val="24"/>
          <w:highlight w:val="none"/>
          <w:lang w:val="en-US" w:eastAsia="zh-CN"/>
        </w:rPr>
        <w:t>.2评审专家须符合云南省财政厅关于印发《云南省政府采购评审专家管理办法》的通知（云财规〔2023〕23号）的规定。</w:t>
      </w:r>
    </w:p>
    <w:p w14:paraId="1E300B4D">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19.评审方法和评审标准</w:t>
      </w:r>
    </w:p>
    <w:p w14:paraId="392B86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见第三章《评审方法和评审标准》。</w:t>
      </w:r>
    </w:p>
    <w:p w14:paraId="6745C7A3">
      <w:pPr>
        <w:pStyle w:val="3"/>
        <w:tabs>
          <w:tab w:val="left" w:pos="700"/>
        </w:tabs>
        <w:spacing w:before="239"/>
        <w:rPr>
          <w:rFonts w:hint="eastAsia" w:ascii="宋体" w:hAnsi="宋体" w:eastAsia="宋体" w:cs="宋体"/>
          <w:b/>
          <w:bCs/>
          <w:color w:val="auto"/>
          <w:highlight w:val="none"/>
        </w:rPr>
      </w:pPr>
      <w:bookmarkStart w:id="39" w:name="_Toc27400"/>
      <w:bookmarkStart w:id="40" w:name="_Toc19474"/>
      <w:bookmarkStart w:id="41" w:name="_Toc4866"/>
      <w:bookmarkStart w:id="42" w:name="_Toc160018028"/>
      <w:bookmarkStart w:id="43" w:name="_Toc28289"/>
      <w:r>
        <w:rPr>
          <w:rFonts w:hint="eastAsia" w:ascii="宋体" w:hAnsi="宋体" w:eastAsia="宋体" w:cs="宋体"/>
          <w:b/>
          <w:bCs/>
          <w:color w:val="auto"/>
          <w:highlight w:val="none"/>
        </w:rPr>
        <w:t>六</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确定成交</w:t>
      </w:r>
      <w:bookmarkEnd w:id="39"/>
    </w:p>
    <w:p w14:paraId="01AF88AB">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20.确定成交供应商</w:t>
      </w:r>
    </w:p>
    <w:p w14:paraId="67B447A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采购代理机构应当在评审结束后2个工作日内将评审报告送采购人确认。</w:t>
      </w:r>
    </w:p>
    <w:p w14:paraId="2817FC8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采购人将在收到评审报告后，从评审报告提出的成交候选供应商中，按照排序由高到低的原则确定成交供应商。采购人是否授权磋商小组直接确定成交供应商，见《供应商须知资料表》。</w:t>
      </w:r>
    </w:p>
    <w:p w14:paraId="507A0A2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采购人逾期未确定成交供应商且不提出异议的，视为确定评审报告提出的排序第一的供应商为成交供应商。</w:t>
      </w:r>
    </w:p>
    <w:p w14:paraId="11DCE01E">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21.成交公告与成交通知书</w:t>
      </w:r>
    </w:p>
    <w:p w14:paraId="5174D34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21.1采购人或采购代理机构将在成交供应商确定后2个工作日内，在云南省政府采购网公告成交结果，同时向成交供应商发出成交通知书，成交</w:t>
      </w:r>
      <w:r>
        <w:rPr>
          <w:rFonts w:hint="eastAsia" w:cs="宋体"/>
          <w:color w:val="auto"/>
          <w:kern w:val="2"/>
          <w:sz w:val="24"/>
          <w:szCs w:val="24"/>
          <w:highlight w:val="none"/>
          <w:lang w:val="en-US" w:eastAsia="zh-CN"/>
        </w:rPr>
        <w:t>结果</w:t>
      </w:r>
      <w:r>
        <w:rPr>
          <w:rFonts w:hint="eastAsia" w:ascii="宋体" w:hAnsi="宋体" w:eastAsia="宋体" w:cs="宋体"/>
          <w:color w:val="auto"/>
          <w:kern w:val="2"/>
          <w:sz w:val="24"/>
          <w:szCs w:val="24"/>
          <w:highlight w:val="none"/>
          <w:lang w:val="en-US" w:eastAsia="zh-CN"/>
        </w:rPr>
        <w:t>公告期限为1个工作日。</w:t>
      </w:r>
    </w:p>
    <w:p w14:paraId="6457A11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21.2成交通知书对采购人和成交供应商均具有法律效力。成交通知书发出后，采购人改变成交结果的，或者成交供应商放弃成交项目的，应当依法承担法律责任。</w:t>
      </w:r>
    </w:p>
    <w:p w14:paraId="65B19848">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22.终止</w:t>
      </w:r>
    </w:p>
    <w:p w14:paraId="430ECDA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出现下列情形之一的，采购人或采购代理机构将终止竞争性磋商采购活动，发布项目终止公告并说明原因，重新开展采购活动：</w:t>
      </w:r>
    </w:p>
    <w:p w14:paraId="78E12EF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（1）因情况变化，不再符合规定的竞争性磋商采购方式适用情形的。</w:t>
      </w:r>
    </w:p>
    <w:p w14:paraId="1566FFF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（2）出现影响采购公正的违法、违规行为的。</w:t>
      </w:r>
    </w:p>
    <w:p w14:paraId="6BEFFE5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（3）在采购过程中符合要求的供应商或者报价未超过采购预算</w:t>
      </w:r>
      <w:r>
        <w:rPr>
          <w:rFonts w:hint="eastAsia" w:cs="宋体"/>
          <w:color w:val="auto"/>
          <w:kern w:val="2"/>
          <w:sz w:val="24"/>
          <w:szCs w:val="24"/>
          <w:highlight w:val="none"/>
          <w:lang w:val="en-US" w:eastAsia="zh-CN"/>
        </w:rPr>
        <w:t>或最高限价</w:t>
      </w:r>
      <w:r>
        <w:rPr>
          <w:rFonts w:hint="eastAsia" w:ascii="宋体" w:hAnsi="宋体" w:eastAsia="宋体" w:cs="宋体"/>
          <w:color w:val="auto"/>
          <w:kern w:val="2"/>
          <w:sz w:val="24"/>
          <w:szCs w:val="24"/>
          <w:highlight w:val="none"/>
          <w:lang w:val="en-US" w:eastAsia="zh-CN"/>
        </w:rPr>
        <w:t>的供应商不足3家的。</w:t>
      </w:r>
    </w:p>
    <w:p w14:paraId="324DD30E">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23.签订合同</w:t>
      </w:r>
    </w:p>
    <w:p w14:paraId="3CB484D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23.1采购人与成交供应商应当在成交通知书发出之日起30日内，按照磋商文件确定的合同文本以及采购标的、规格型号、采购金额、采购数量、技术和服务要求等事项签订政府采购合同。</w:t>
      </w:r>
    </w:p>
    <w:p w14:paraId="4EDA1C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9A81778">
      <w:pPr>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23.</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政府采购合同不能转包。</w:t>
      </w:r>
    </w:p>
    <w:p w14:paraId="403B7C71">
      <w:pPr>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23.</w:t>
      </w: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D695C49">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24.询问与质疑</w:t>
      </w:r>
    </w:p>
    <w:p w14:paraId="7605561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24.1询问</w:t>
      </w:r>
    </w:p>
    <w:p w14:paraId="7403062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（1）供应商对政府采购活动事项有疑问的，可依法提出询问，并按《供应商须知资料表》载明的形式送达采购人或采购代理机构。</w:t>
      </w:r>
    </w:p>
    <w:p w14:paraId="1AA99F7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（2）采购人或采购代理机构对供应商依法提出的询问，在3个工作日内作出答复，但答复的内容不得涉及商业秘密。</w:t>
      </w:r>
    </w:p>
    <w:p w14:paraId="3986602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24.2质疑</w:t>
      </w:r>
    </w:p>
    <w:p w14:paraId="71337DE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24.2.1供应商认为竞争性磋商文件、采购过程、成交结果使自己的权益受到损害的，可以在知道或者应知其权益受到损害之日起7个工作日内，以书面形式向采购人、采购代理机构提出质疑。质疑内容不得含有虚假、恶意成分。当事人对自己提出的主张，有责任提供证据，提出质疑时应同时提交相关证据材料和注明事实的确切来源。采购人、采购代理机构在收到质疑函后7个工作日内作出答复。</w:t>
      </w:r>
    </w:p>
    <w:p w14:paraId="7DA67C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24.2.2供应商应知其权益受到损害之日，是指：</w:t>
      </w:r>
    </w:p>
    <w:p w14:paraId="07E83D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（1）对可以质疑的采购文件提出质疑的，质疑时效期间的起算日期为公告期限届满之日。</w:t>
      </w:r>
    </w:p>
    <w:p w14:paraId="59DDFD4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（2）对采购过程提出质疑的，为各采购程序环节结束之日。</w:t>
      </w:r>
    </w:p>
    <w:p w14:paraId="6B75D4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（3）对成交结果提出质疑的，为成交结果公告期限届满之日。</w:t>
      </w:r>
    </w:p>
    <w:p w14:paraId="012511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24.2.3质疑函须使用财政部制定的范本文件。供应商为自然人的，质疑函应当由本人签字；供应商为法人或者其他组织的，质疑函应当由法定代表人、主要负责人，或者其授权代表签字或者盖章，并加盖公章。</w:t>
      </w:r>
    </w:p>
    <w:p w14:paraId="3DCD404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24.2.4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9F12DE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24.2.5供应商应在法定质疑期内一次性提出</w:t>
      </w:r>
      <w:r>
        <w:rPr>
          <w:rFonts w:hint="eastAsia" w:ascii="宋体" w:hAnsi="宋体" w:eastAsia="宋体" w:cs="宋体"/>
          <w:kern w:val="2"/>
          <w:sz w:val="24"/>
          <w:szCs w:val="24"/>
          <w:highlight w:val="none"/>
          <w:lang w:val="en-US" w:eastAsia="zh-CN"/>
        </w:rPr>
        <w:t>针对同一采购程序环节的质疑，法定质疑期内针对同一采购程序环节再次提出的质疑，采购人、采购代理机构有权不予答复。</w:t>
      </w:r>
    </w:p>
    <w:p w14:paraId="52807EC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24.3接收询问和质疑的联系部门、联系电话和通讯地址见《供应商须知资料表》。</w:t>
      </w:r>
    </w:p>
    <w:p w14:paraId="40BB40F3">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25.代理费</w:t>
      </w:r>
    </w:p>
    <w:p w14:paraId="70DCCA7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收费对象、收费标准及缴纳时间见《供应商须知资料表》。由成交供应商支付的，成交供应商须一次性向采购代理机构缴纳代理费，报价应包含代理费用。</w:t>
      </w:r>
    </w:p>
    <w:p w14:paraId="3241EC05">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w:t>
      </w:r>
    </w:p>
    <w:p w14:paraId="25E038C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sectPr>
          <w:pgSz w:w="11910" w:h="16840"/>
          <w:pgMar w:top="1417" w:right="1134" w:bottom="1417" w:left="1134" w:header="850" w:footer="850" w:gutter="0"/>
          <w:pgNumType w:fmt="decimal"/>
          <w:cols w:space="720" w:num="1"/>
        </w:sectPr>
      </w:pPr>
      <w:r>
        <w:rPr>
          <w:rFonts w:hint="eastAsia" w:ascii="宋体" w:hAnsi="宋体" w:eastAsia="宋体" w:cs="宋体"/>
          <w:kern w:val="2"/>
          <w:sz w:val="24"/>
          <w:szCs w:val="24"/>
          <w:highlight w:val="none"/>
          <w:lang w:val="en-US" w:eastAsia="zh-CN"/>
        </w:rPr>
        <w:t>见《供应商须知资料表》。</w:t>
      </w:r>
    </w:p>
    <w:p w14:paraId="6EF55AB0">
      <w:pPr>
        <w:tabs>
          <w:tab w:val="left" w:pos="1622"/>
        </w:tabs>
        <w:spacing w:before="73" w:after="240" w:afterLines="100"/>
        <w:ind w:right="28"/>
        <w:jc w:val="center"/>
        <w:outlineLvl w:val="0"/>
        <w:rPr>
          <w:rFonts w:ascii="Times New Roman" w:hAnsi="Times New Roman" w:eastAsia="宋体" w:cs="Times New Roman"/>
          <w:b/>
          <w:bCs/>
          <w:sz w:val="36"/>
          <w:highlight w:val="none"/>
          <w:lang w:eastAsia="zh-CN"/>
        </w:rPr>
      </w:pPr>
      <w:r>
        <w:rPr>
          <w:rFonts w:ascii="Times New Roman" w:hAnsi="Times New Roman" w:eastAsia="宋体" w:cs="Times New Roman"/>
          <w:b/>
          <w:bCs/>
          <w:sz w:val="36"/>
          <w:highlight w:val="none"/>
          <w:lang w:eastAsia="zh-CN"/>
        </w:rPr>
        <w:t>第三章</w:t>
      </w:r>
      <w:r>
        <w:rPr>
          <w:rFonts w:hint="eastAsia" w:ascii="Times New Roman" w:hAnsi="Times New Roman" w:eastAsia="宋体" w:cs="Times New Roman"/>
          <w:b/>
          <w:bCs/>
          <w:sz w:val="36"/>
          <w:highlight w:val="none"/>
          <w:lang w:val="en-US" w:eastAsia="zh-CN"/>
        </w:rPr>
        <w:t xml:space="preserve">  </w:t>
      </w:r>
      <w:r>
        <w:rPr>
          <w:rFonts w:ascii="Times New Roman" w:hAnsi="Times New Roman" w:eastAsia="宋体" w:cs="Times New Roman"/>
          <w:b/>
          <w:bCs/>
          <w:sz w:val="36"/>
          <w:highlight w:val="none"/>
          <w:lang w:eastAsia="zh-CN"/>
        </w:rPr>
        <w:t>评审方法和评审标准</w:t>
      </w:r>
      <w:bookmarkEnd w:id="40"/>
      <w:bookmarkEnd w:id="41"/>
      <w:bookmarkEnd w:id="42"/>
      <w:bookmarkEnd w:id="43"/>
    </w:p>
    <w:p w14:paraId="698C110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1.响应文件的资格审查和符合性审查</w:t>
      </w:r>
    </w:p>
    <w:p w14:paraId="4DD50D58">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1.1磋商小组将根据《评审方法附表</w:t>
      </w: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中的资格审查要求规定的内容，对供应商进行检查，并形成检查结果。供应商《响应文件》有任何一项不符合对应要求的，视为未实质性响应磋商文件。未实质性响应磋商文件的响应文件按无效响应处理，磋商小组应当告知提交响应文件的供应商。</w:t>
      </w:r>
    </w:p>
    <w:p w14:paraId="6F9A64BC">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1.2磋商小组将根据《评审方法附表</w:t>
      </w: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》中的符合性审查要求中规定的内容，对供应商进行检查，并形成检查结果。供应商《响应文件》有任何一项不符合对应要求的，视为未实质性响应磋商文件。</w:t>
      </w:r>
    </w:p>
    <w:p w14:paraId="78199E71">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1.3磋商小组将根据《评审方法附表</w:t>
      </w:r>
      <w:r>
        <w:rPr>
          <w:rFonts w:hint="eastAsia" w:cs="宋体"/>
          <w:kern w:val="2"/>
          <w:sz w:val="24"/>
          <w:szCs w:val="24"/>
          <w:highlight w:val="none"/>
          <w:lang w:val="en-US" w:eastAsia="zh-CN"/>
        </w:rPr>
        <w:t>1、2</w:t>
      </w:r>
      <w:r>
        <w:rPr>
          <w:rFonts w:hint="eastAsia" w:ascii="宋体" w:hAnsi="宋体" w:eastAsia="宋体" w:cs="宋体"/>
          <w:kern w:val="2"/>
          <w:sz w:val="24"/>
          <w:szCs w:val="24"/>
          <w:highlight w:val="none"/>
          <w:lang w:val="en-US" w:eastAsia="zh-CN"/>
        </w:rPr>
        <w:t>》中的要求对供应商进行资格审查和符合性审查，只有通过资格审查的供应商才能进入下一步符合性审查；只有通过符合性审查的供应商才能进行磋商。</w:t>
      </w:r>
    </w:p>
    <w:p w14:paraId="2E78F167">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1.4资格审查要求和符合性审查要求中的评审内容及标准要求不能进行任何形式的澄清、说明或者更正。</w:t>
      </w:r>
    </w:p>
    <w:p w14:paraId="08EFC7C1">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2.磋商、响应文件有关事项的澄清、说明或者更正和最后报价</w:t>
      </w:r>
    </w:p>
    <w:p w14:paraId="2AA3840F">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2.1磋商小组所有成员将集中与单一供应商分别进行磋商，并给予所有参加磋商的供应商平等的磋商机会；</w:t>
      </w:r>
      <w:r>
        <w:rPr>
          <w:rFonts w:hint="eastAsia" w:ascii="宋体" w:hAnsi="宋体" w:eastAsia="宋体" w:cs="宋体"/>
          <w:b/>
          <w:bCs/>
          <w:kern w:val="2"/>
          <w:sz w:val="24"/>
          <w:szCs w:val="24"/>
          <w:highlight w:val="none"/>
          <w:lang w:val="en-US" w:eastAsia="zh-CN"/>
        </w:rPr>
        <w:t>逐家磋商一次为一个轮次，本次磋商轮次为一次，</w:t>
      </w:r>
      <w:r>
        <w:rPr>
          <w:rFonts w:hint="eastAsia" w:ascii="宋体" w:hAnsi="宋体" w:eastAsia="宋体" w:cs="宋体"/>
          <w:kern w:val="2"/>
          <w:sz w:val="24"/>
          <w:szCs w:val="24"/>
          <w:highlight w:val="none"/>
          <w:lang w:val="en-US" w:eastAsia="zh-CN"/>
        </w:rPr>
        <w:t>磋商结束后要求供应商进行的报价为最后报价。</w:t>
      </w:r>
    </w:p>
    <w:p w14:paraId="4ACF06D7">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05DC25B0">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2.3对磋商文件作出本章2.2条的实质性变动是磋商文件的有效组成部分，磋商小组应当及时以书面形式同时通知所有参加磋商的供应商。</w:t>
      </w:r>
    </w:p>
    <w:p w14:paraId="6227A5F2">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2.4供应商应当按照磋商文件的变动情况和磋商小组的要求重新提交响应文件</w:t>
      </w:r>
      <w:r>
        <w:rPr>
          <w:rFonts w:hint="eastAsia"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236C89F4">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2.5响应文件的澄清、说明或者更正：</w:t>
      </w:r>
    </w:p>
    <w:p w14:paraId="66DE1097">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（1）磋商小组在对响应文件的有效性、完整性和响应程度进行审查时，可以要求供应商对响应文件中含义不明确、同类问题表述不一致或者有明显文字和计算错误的内容等作出必要的澄清、说明或者更正。</w:t>
      </w:r>
    </w:p>
    <w:p w14:paraId="795B00BE">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磋商小组对响应文件进行审查时，可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0F9F187A">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8C4184D">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kern w:val="2"/>
          <w:sz w:val="24"/>
          <w:szCs w:val="24"/>
          <w:highlight w:val="none"/>
          <w:lang w:val="en-US" w:eastAsia="zh-CN"/>
        </w:rPr>
        <w:t>2.6磋商结束后，磋商小组将要求所有实质性响应的供应商在规定时间内提交最后报价。最后</w:t>
      </w:r>
      <w:r>
        <w:rPr>
          <w:rFonts w:hint="eastAsia" w:ascii="宋体" w:hAnsi="宋体" w:eastAsia="宋体" w:cs="宋体"/>
          <w:color w:val="auto"/>
          <w:kern w:val="2"/>
          <w:sz w:val="24"/>
          <w:szCs w:val="24"/>
          <w:highlight w:val="none"/>
          <w:lang w:val="en-US" w:eastAsia="zh-CN"/>
        </w:rPr>
        <w:t>报价时间为磋商小组指定的时间，具体时间根据磋商进度另行通知。</w:t>
      </w:r>
    </w:p>
    <w:p w14:paraId="50CB10BA">
      <w:pPr>
        <w:autoSpaceDE/>
        <w:autoSpaceDN/>
        <w:adjustRightInd w:val="0"/>
        <w:snapToGrid w:val="0"/>
        <w:spacing w:line="360" w:lineRule="auto"/>
        <w:ind w:firstLine="480" w:firstLineChars="200"/>
        <w:jc w:val="both"/>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2.7异常低价处理</w:t>
      </w:r>
    </w:p>
    <w:p w14:paraId="0A011780">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2.7.1政府采购评审中出现下列情形之一的，评审委员会应当启动异常低价响应审查程序：</w:t>
      </w:r>
    </w:p>
    <w:p w14:paraId="33E3791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（1）响应报价低于全部通过符合性审查供应商投标（响应）报价平均值50%的，即响应报价＜全部通过符合性审查供应商响应报价平均值×50%；</w:t>
      </w:r>
    </w:p>
    <w:p w14:paraId="7743869B">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（2）响应报价低于通过符合性审查的次低报价供应商响应报价50%的，即响应报价＜通过符合性审查的次低报价供应商响应报价×50%；</w:t>
      </w:r>
    </w:p>
    <w:p w14:paraId="081D0D8E">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（3）响应报价低于采购项目最高限价45%的，即响应报价＜采购项目最高限价×45%；</w:t>
      </w:r>
    </w:p>
    <w:p w14:paraId="1894F160">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（4）评审委员会基于专业判断，认为供应商报价过低，有可能影响产品质量或者不能诚信履约的其他情形。</w:t>
      </w:r>
    </w:p>
    <w:p w14:paraId="6A5BD176">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2.7.2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30417BD">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2.7.3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7840223D">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2.7.4上述响应报价指按照本章3.2修正后的报价。</w:t>
      </w:r>
    </w:p>
    <w:p w14:paraId="08CCB5D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r>
        <w:rPr>
          <w:rFonts w:hint="eastAsia"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7F97EA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r>
        <w:rPr>
          <w:rFonts w:hint="eastAsia"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val="en-US" w:eastAsia="zh-CN"/>
        </w:rPr>
        <w:t>最后报价是供应商响应文件的有效组成部分。</w:t>
      </w:r>
    </w:p>
    <w:p w14:paraId="5FA81237">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r>
        <w:rPr>
          <w:rFonts w:hint="eastAsia"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eastAsia="zh-CN"/>
        </w:rPr>
        <w:t>已提交响应文件的供应商，在提交最后报价之前，可以根据磋商情况退出磋商。</w:t>
      </w:r>
    </w:p>
    <w:p w14:paraId="42E26221">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3.最后报价的算术修正及政策调整</w:t>
      </w:r>
    </w:p>
    <w:p w14:paraId="77A88C0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3.1最后报价须包含竞争性磋商文件全部内容，如</w:t>
      </w:r>
      <w:r>
        <w:rPr>
          <w:rFonts w:hint="eastAsia" w:cs="宋体"/>
          <w:color w:val="auto"/>
          <w:kern w:val="2"/>
          <w:sz w:val="24"/>
          <w:szCs w:val="24"/>
          <w:highlight w:val="none"/>
          <w:lang w:val="en-US" w:eastAsia="zh-CN"/>
        </w:rPr>
        <w:t>“已标价工程量清单（最后）”</w:t>
      </w:r>
      <w:r>
        <w:rPr>
          <w:rFonts w:hint="eastAsia" w:ascii="宋体" w:hAnsi="宋体" w:eastAsia="宋体" w:cs="宋体"/>
          <w:color w:val="auto"/>
          <w:kern w:val="2"/>
          <w:sz w:val="24"/>
          <w:szCs w:val="24"/>
          <w:highlight w:val="none"/>
          <w:lang w:val="en-US" w:eastAsia="zh-CN"/>
        </w:rPr>
        <w:t>有缺漏视为已含在其他各项报价中，将不对最后报价进行调整。磋商小组有权要求供应商在评审现场合理的时间内对此进行书面确认，供应商不确认的，视为将一个采购包中的内容拆分响应，其响应无效。</w:t>
      </w:r>
    </w:p>
    <w:p w14:paraId="56F7B436">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3.2最后报价出现前后不一致的，按照下列规定修正：</w:t>
      </w:r>
    </w:p>
    <w:p w14:paraId="3E327D6A">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（1）大写金额和小写金额不一致的，以大写金额为准；</w:t>
      </w:r>
    </w:p>
    <w:p w14:paraId="530DDA4D">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（2）单价金额小数点或者百分比有明显错位的，以总价为准，并修改单价；</w:t>
      </w:r>
    </w:p>
    <w:p w14:paraId="1D31823A">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（3）总价金额与按单价汇总金额不一致的，以单价金额计算结果为准。</w:t>
      </w:r>
    </w:p>
    <w:p w14:paraId="48852B1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（4）同时出现两种以上不一致的，按照前款规定的顺序修正。修正后的报价经供应商书面确认后产生约束力，供应商不确认的，其响应无效。</w:t>
      </w:r>
    </w:p>
    <w:p w14:paraId="2F110876">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3.3落实政府采购政策的价格调整：只有符合第二章《供应商须知》4.2条规定情形的，可以享受中小企业扶持政策，用扣除后的价格参加评审；否则，评审时价格不予扣除。</w:t>
      </w:r>
    </w:p>
    <w:p w14:paraId="488825BF">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（1）对于未预留份额专门面向中小企业采购的采购项目，对小微企业报价给予10%的扣除，用扣除后的价格参加评审。</w:t>
      </w:r>
    </w:p>
    <w:p w14:paraId="01F3C04F">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（2）价格扣除比例对小型企业和微型企业同等对待，不作区分。</w:t>
      </w:r>
    </w:p>
    <w:p w14:paraId="661A44EF">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（3）中小企业参加政府采购活动，应当按照竞争性磋商文件给定的格式出具《中小企业声明函》，否则不得享受相关中小企业扶持政策。</w:t>
      </w:r>
    </w:p>
    <w:p w14:paraId="278FF1CB">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（4）监狱企业提供了由省级以上监狱管理局、戒毒管理局（含新疆生产建设兵团）出具的属于监狱企业的证明文件的，视同小微企业。</w:t>
      </w:r>
    </w:p>
    <w:p w14:paraId="4CC644A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（5）残疾人福利性单位按竞争性磋商文件要求提供了《残疾人福利性单位声明函》的，视同小微企业。</w:t>
      </w:r>
    </w:p>
    <w:p w14:paraId="7B56CCD8">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（6）若供应商同时属于小型或微型企业、监狱企业、残疾人福利性单位中的两种及以上，将不重复享受小微企业价格扣减的优惠政策。</w:t>
      </w:r>
    </w:p>
    <w:p w14:paraId="2C05CFC5">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4支持本国产品政府采购的价格调整：只有符合第二章《供应商须知》4.2条规定情形的，可以享受本国产品支持政策，用扣除后的价格参加评审；否则，评审时价格不予扣除。</w:t>
      </w:r>
    </w:p>
    <w:p w14:paraId="5F34675E">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eastAsia="zh-CN"/>
        </w:rPr>
        <w:t>本项目既有本国产品又有非本国产品参与竞争的，依法对本国产品给予价格评审优惠，对本国产品的报价给予20%的价格扣除，用扣除后的价格参与评审。</w:t>
      </w:r>
    </w:p>
    <w:p w14:paraId="6ECD903F">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7D819E">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供应商提供本国产品参加政府采购活动的，应当按照采购文件给定的格式出具《关于符合本国产品标准的声明函》或提供财政部会同有关部门规定的有关证明文件，否则视为非本国产品。</w:t>
      </w:r>
    </w:p>
    <w:p w14:paraId="6876639F">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4.磋商环节及提交最后报价后如出现以下情况的，供应商的响应文件无效：</w:t>
      </w:r>
    </w:p>
    <w:p w14:paraId="1D479BB8">
      <w:pPr>
        <w:autoSpaceDE/>
        <w:autoSpaceDN/>
        <w:adjustRightInd w:val="0"/>
        <w:snapToGrid w:val="0"/>
        <w:spacing w:line="360" w:lineRule="auto"/>
        <w:ind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4.1供应商未对采购需求实质性变动的技术、服务要求以及合同草案条款内容进行响应的。</w:t>
      </w:r>
    </w:p>
    <w:p w14:paraId="705B6368">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4.2不满足磋商文件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号条款或磋商文件技术指标超出磋商文件《采购需求》中主要技术参数允许偏差的最大范围的（如有）。</w:t>
      </w:r>
    </w:p>
    <w:p w14:paraId="511B19D8">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4.3未按照磋商小组规定的时间、逾期提交最后报价的。</w:t>
      </w:r>
    </w:p>
    <w:p w14:paraId="359FBA72">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4.4如供应商的最后报价超过竞争性磋商文件中规定的项目预算金额或者最高限价的。</w:t>
      </w:r>
    </w:p>
    <w:p w14:paraId="44756F36">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4.5响应文件中出现可选择性或可调整的报价的（竞争性磋商文件另有规定的除外）。</w:t>
      </w:r>
    </w:p>
    <w:p w14:paraId="7285C8FE">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4.6最后报价出现前后不一致，供应商对修正后的报价不予确认的；</w:t>
      </w:r>
    </w:p>
    <w:p w14:paraId="3138D13B">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4.7其他：属于法律、法规和竞争性磋商文件中规定的其他无效响应情形的。</w:t>
      </w:r>
    </w:p>
    <w:p w14:paraId="57B4300A">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5.评审方法和评审标准</w:t>
      </w:r>
    </w:p>
    <w:p w14:paraId="6E9553A9">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5.1本项目采用的评审方法为综合评分法，综合评分法是指响应文件满足磋商文件全部实质性要求且按评审因素的量化指标评审得分最高的供应商为成交候选供应商的评审方法。</w:t>
      </w:r>
    </w:p>
    <w:p w14:paraId="357F83C0">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5.2竞争性磋商文件中没有规定的评审标准不得作为评审依据。</w:t>
      </w:r>
    </w:p>
    <w:p w14:paraId="4728A969">
      <w:pPr>
        <w:autoSpaceDE/>
        <w:autoSpaceDN/>
        <w:adjustRightInd w:val="0"/>
        <w:snapToGrid w:val="0"/>
        <w:spacing w:line="360" w:lineRule="auto"/>
        <w:ind w:firstLine="480" w:firstLineChars="200"/>
        <w:jc w:val="both"/>
        <w:rPr>
          <w:rFonts w:hint="eastAsia"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5.3非政府强制采购的节能产品或环境标志产品，依据品目清单和认证证书实施政府优先采购。优先采购的具体规定</w:t>
      </w:r>
      <w:r>
        <w:rPr>
          <w:rFonts w:hint="eastAsia" w:cs="宋体"/>
          <w:kern w:val="2"/>
          <w:sz w:val="24"/>
          <w:szCs w:val="24"/>
          <w:highlight w:val="none"/>
          <w:lang w:val="en-US" w:eastAsia="zh-CN"/>
        </w:rPr>
        <w:t>：</w:t>
      </w:r>
    </w:p>
    <w:p w14:paraId="50D11BA6">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14:paraId="4876EBD8">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采用综合评分法评审的项目，对清单中产品给予相应的加分。（详见评审办法附表3）</w:t>
      </w:r>
    </w:p>
    <w:p w14:paraId="53702B11">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（2）供应商应同时提供品目清单网络截图，并以明确标注所报产品信息和位置的方式，用以方便评审。</w:t>
      </w:r>
    </w:p>
    <w:p w14:paraId="3FCE4E05">
      <w:pPr>
        <w:autoSpaceDE/>
        <w:autoSpaceDN/>
        <w:adjustRightInd w:val="0"/>
        <w:snapToGrid w:val="0"/>
        <w:spacing w:line="360" w:lineRule="auto"/>
        <w:ind w:firstLine="480" w:firstLineChars="200"/>
        <w:jc w:val="both"/>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（3）认证机构和获证产品信息发布媒体：详见中国政府采购网（www.ccgp.gov.cn）建立的与认证结果信息发布平台的链接。</w:t>
      </w:r>
    </w:p>
    <w:p w14:paraId="49795CE9">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6.确定成交候选人名单</w:t>
      </w:r>
    </w:p>
    <w:p w14:paraId="0CDBDB34">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w:t>
      </w:r>
      <w:r>
        <w:rPr>
          <w:rFonts w:hint="eastAsia" w:cs="宋体"/>
          <w:kern w:val="2"/>
          <w:sz w:val="24"/>
          <w:szCs w:val="24"/>
          <w:highlight w:val="none"/>
          <w:lang w:val="en-US" w:eastAsia="zh-CN"/>
        </w:rPr>
        <w:t>商务技术部分</w:t>
      </w:r>
      <w:r>
        <w:rPr>
          <w:rFonts w:hint="eastAsia" w:ascii="宋体" w:hAnsi="宋体" w:eastAsia="宋体" w:cs="宋体"/>
          <w:kern w:val="2"/>
          <w:sz w:val="24"/>
          <w:szCs w:val="24"/>
          <w:highlight w:val="none"/>
          <w:lang w:val="en-US" w:eastAsia="zh-CN"/>
        </w:rPr>
        <w:t>评审因素的量化指标评审得分最高的供应商为排名第一的成交候选人。</w:t>
      </w:r>
      <w:r>
        <w:rPr>
          <w:rFonts w:hint="eastAsia" w:cs="宋体"/>
          <w:kern w:val="2"/>
          <w:sz w:val="24"/>
          <w:szCs w:val="24"/>
          <w:highlight w:val="none"/>
          <w:lang w:val="en-US" w:eastAsia="zh-CN"/>
        </w:rPr>
        <w:t>磋商小组全体成员的评分计算出平均得分，为供应商评审因素最后得分；</w:t>
      </w:r>
      <w:r>
        <w:rPr>
          <w:rFonts w:hint="eastAsia" w:ascii="宋体" w:hAnsi="宋体" w:eastAsia="宋体" w:cs="宋体"/>
          <w:kern w:val="2"/>
          <w:sz w:val="24"/>
          <w:szCs w:val="24"/>
          <w:highlight w:val="none"/>
          <w:lang w:val="en-US" w:eastAsia="zh-CN"/>
        </w:rPr>
        <w:t>评分分值计算保留小数点后两位，第三位四舍五入。</w:t>
      </w:r>
    </w:p>
    <w:p w14:paraId="396421FE">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6.2磋商小组根据上述供应商排序，依次推荐排序前三名的供应商为成交候选供应商，并编写评审报告。</w:t>
      </w:r>
    </w:p>
    <w:p w14:paraId="1EA6163E">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6.3磋商小组要对评分汇总情况进行复核，特别是对排名第一的、报价最低的、响应文件被认定为无效的情形进行重点复核。</w:t>
      </w:r>
    </w:p>
    <w:p w14:paraId="5121B18C">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6.4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88B1AC">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line="360" w:lineRule="auto"/>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7.报告违法行为</w:t>
      </w:r>
    </w:p>
    <w:p w14:paraId="74D907C7">
      <w:pPr>
        <w:autoSpaceDE/>
        <w:autoSpaceDN/>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rPr>
        <w:sectPr>
          <w:pgSz w:w="11910" w:h="16840"/>
          <w:pgMar w:top="1417" w:right="1134" w:bottom="1417" w:left="1134" w:header="879" w:footer="892" w:gutter="0"/>
          <w:pgNumType w:fmt="decimal"/>
          <w:cols w:space="720" w:num="1"/>
        </w:sectPr>
      </w:pPr>
      <w:r>
        <w:rPr>
          <w:rFonts w:hint="eastAsia" w:ascii="宋体" w:hAnsi="宋体" w:eastAsia="宋体" w:cs="宋体"/>
          <w:kern w:val="2"/>
          <w:sz w:val="24"/>
          <w:szCs w:val="24"/>
          <w:highlight w:val="none"/>
          <w:lang w:val="en-US" w:eastAsia="zh-CN"/>
        </w:rPr>
        <w:t>磋商小组在评审过程中发现供应商有行贿、提供虚假材料或者串通等违法行为时，有向采购人、采购代理机构或者有关部门报告的职责。</w:t>
      </w:r>
    </w:p>
    <w:p w14:paraId="1DAD5DDB">
      <w:pPr>
        <w:pStyle w:val="3"/>
        <w:adjustRightInd w:val="0"/>
        <w:snapToGrid w:val="0"/>
        <w:spacing w:before="0" w:after="0" w:line="240" w:lineRule="auto"/>
        <w:ind w:left="0" w:leftChars="0" w:firstLine="0" w:firstLineChars="0"/>
        <w:jc w:val="left"/>
        <w:rPr>
          <w:rFonts w:hint="eastAsia" w:ascii="宋体" w:hAnsi="宋体" w:eastAsia="宋体" w:cs="宋体"/>
          <w:sz w:val="28"/>
          <w:szCs w:val="28"/>
          <w:highlight w:val="none"/>
        </w:rPr>
      </w:pPr>
      <w:r>
        <w:rPr>
          <w:rFonts w:hint="eastAsia" w:ascii="宋体" w:hAnsi="宋体" w:eastAsia="宋体" w:cs="宋体"/>
          <w:b/>
          <w:bCs/>
          <w:sz w:val="28"/>
          <w:szCs w:val="28"/>
          <w:highlight w:val="none"/>
        </w:rPr>
        <w:t>评审方法附</w:t>
      </w:r>
      <w:r>
        <w:rPr>
          <w:rFonts w:hint="eastAsia" w:ascii="宋体" w:hAnsi="宋体" w:eastAsia="宋体" w:cs="宋体"/>
          <w:b/>
          <w:bCs/>
          <w:sz w:val="28"/>
          <w:szCs w:val="28"/>
          <w:highlight w:val="none"/>
          <w:lang w:val="en-US" w:eastAsia="zh-CN"/>
        </w:rPr>
        <w:t>表</w:t>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lang w:eastAsia="zh-CN"/>
        </w:rPr>
        <w:t>：</w:t>
      </w:r>
    </w:p>
    <w:p w14:paraId="063DC1F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资格审查表</w:t>
      </w:r>
    </w:p>
    <w:tbl>
      <w:tblPr>
        <w:tblStyle w:val="22"/>
        <w:tblW w:w="49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2186"/>
        <w:gridCol w:w="5143"/>
        <w:gridCol w:w="1576"/>
      </w:tblGrid>
      <w:tr w14:paraId="4EFF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39A7488B">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114" w:type="pct"/>
            <w:noWrap w:val="0"/>
            <w:vAlign w:val="center"/>
          </w:tcPr>
          <w:p w14:paraId="3E014F08">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审查因素</w:t>
            </w:r>
          </w:p>
        </w:tc>
        <w:tc>
          <w:tcPr>
            <w:tcW w:w="2621" w:type="pct"/>
            <w:noWrap w:val="0"/>
            <w:vAlign w:val="center"/>
          </w:tcPr>
          <w:p w14:paraId="55761610">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803" w:type="pct"/>
            <w:noWrap w:val="0"/>
            <w:vAlign w:val="center"/>
          </w:tcPr>
          <w:p w14:paraId="5EBA5453">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格式要求</w:t>
            </w:r>
          </w:p>
        </w:tc>
      </w:tr>
      <w:tr w14:paraId="4144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196F557A">
            <w:pPr>
              <w:keepNext w:val="0"/>
              <w:keepLines w:val="0"/>
              <w:pageBreakBefore w:val="0"/>
              <w:tabs>
                <w:tab w:val="left" w:pos="1080"/>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39" w:type="pct"/>
            <w:gridSpan w:val="3"/>
            <w:noWrap w:val="0"/>
            <w:vAlign w:val="center"/>
          </w:tcPr>
          <w:p w14:paraId="71755AD3">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满足《中华人民共和国政府采购法》第二十二条规定</w:t>
            </w:r>
          </w:p>
        </w:tc>
      </w:tr>
      <w:tr w14:paraId="304DE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2B6D91B2">
            <w:pPr>
              <w:keepNext w:val="0"/>
              <w:keepLines w:val="0"/>
              <w:pageBreakBefore w:val="0"/>
              <w:tabs>
                <w:tab w:val="left" w:pos="1080"/>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highlight w:val="none"/>
                <w:lang w:eastAsia="zh-CN"/>
              </w:rPr>
            </w:pPr>
            <w:r>
              <w:rPr>
                <w:rFonts w:hint="eastAsia" w:cs="宋体"/>
                <w:sz w:val="24"/>
                <w:szCs w:val="24"/>
                <w:highlight w:val="none"/>
                <w:lang w:eastAsia="zh-CN"/>
              </w:rPr>
              <w:t>（</w:t>
            </w:r>
            <w:r>
              <w:rPr>
                <w:rFonts w:hint="eastAsia" w:cs="宋体"/>
                <w:sz w:val="24"/>
                <w:szCs w:val="24"/>
                <w:highlight w:val="none"/>
                <w:lang w:val="en-US" w:eastAsia="zh-CN"/>
              </w:rPr>
              <w:t>1</w:t>
            </w:r>
            <w:r>
              <w:rPr>
                <w:rFonts w:hint="eastAsia" w:cs="宋体"/>
                <w:sz w:val="24"/>
                <w:szCs w:val="24"/>
                <w:highlight w:val="none"/>
                <w:lang w:eastAsia="zh-CN"/>
              </w:rPr>
              <w:t>）</w:t>
            </w:r>
          </w:p>
        </w:tc>
        <w:tc>
          <w:tcPr>
            <w:tcW w:w="1114" w:type="pct"/>
            <w:noWrap w:val="0"/>
            <w:vAlign w:val="center"/>
          </w:tcPr>
          <w:p w14:paraId="0B8DE911">
            <w:pPr>
              <w:keepNext w:val="0"/>
              <w:keepLines w:val="0"/>
              <w:pageBreakBefore w:val="0"/>
              <w:tabs>
                <w:tab w:val="left" w:pos="108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2621" w:type="pct"/>
            <w:noWrap w:val="0"/>
            <w:vAlign w:val="center"/>
          </w:tcPr>
          <w:p w14:paraId="1B7E4C7D">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为企业（包括合伙企业）的，应提供有效的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BF3934E">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为事业单位的，应提供有效的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事业单位法人证书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91BD76D">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是非企业机构的，应提供有效的“执业许可证”、“登记证书”等证明文件；</w:t>
            </w:r>
          </w:p>
          <w:p w14:paraId="4C9DA8A9">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是个体工商户的，应提供有效的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个体工商户营业执照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4530D0DC">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是自然人的，应提供有效的自然人身份证明。</w:t>
            </w:r>
          </w:p>
          <w:p w14:paraId="20EC0F75">
            <w:pPr>
              <w:keepNext w:val="0"/>
              <w:keepLines w:val="0"/>
              <w:pageBreakBefore w:val="0"/>
              <w:widowControl/>
              <w:suppressLineNumbers w:val="0"/>
              <w:kinsoku/>
              <w:wordWrap/>
              <w:overflowPunct/>
              <w:topLinePunct w:val="0"/>
              <w:autoSpaceDE/>
              <w:autoSpaceDN/>
              <w:bidi w:val="0"/>
              <w:adjustRightIn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w:t>
            </w:r>
          </w:p>
        </w:tc>
        <w:tc>
          <w:tcPr>
            <w:tcW w:w="803" w:type="pct"/>
            <w:noWrap w:val="0"/>
            <w:vAlign w:val="center"/>
          </w:tcPr>
          <w:p w14:paraId="12E76B06">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营业执照等</w:t>
            </w:r>
            <w:r>
              <w:rPr>
                <w:rFonts w:hint="eastAsia" w:ascii="宋体" w:hAnsi="宋体" w:eastAsia="宋体" w:cs="宋体"/>
                <w:sz w:val="24"/>
                <w:szCs w:val="24"/>
                <w:highlight w:val="none"/>
              </w:rPr>
              <w:t>证明文件的电子件或电子证照</w:t>
            </w:r>
          </w:p>
        </w:tc>
      </w:tr>
      <w:tr w14:paraId="43214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3DD37E9C">
            <w:pPr>
              <w:keepNext w:val="0"/>
              <w:keepLines w:val="0"/>
              <w:pageBreakBefore w:val="0"/>
              <w:tabs>
                <w:tab w:val="left" w:pos="1080"/>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2</w:t>
            </w:r>
            <w:r>
              <w:rPr>
                <w:rFonts w:hint="eastAsia" w:cs="宋体"/>
                <w:sz w:val="24"/>
                <w:szCs w:val="24"/>
                <w:highlight w:val="none"/>
                <w:lang w:eastAsia="zh-CN"/>
              </w:rPr>
              <w:t>）</w:t>
            </w:r>
          </w:p>
        </w:tc>
        <w:tc>
          <w:tcPr>
            <w:tcW w:w="1114" w:type="pct"/>
            <w:noWrap w:val="0"/>
            <w:vAlign w:val="center"/>
          </w:tcPr>
          <w:p w14:paraId="2F5C3BAB">
            <w:pPr>
              <w:keepNext w:val="0"/>
              <w:keepLines w:val="0"/>
              <w:pageBreakBefore w:val="0"/>
              <w:tabs>
                <w:tab w:val="left" w:pos="108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tc>
        <w:tc>
          <w:tcPr>
            <w:tcW w:w="2621" w:type="pct"/>
            <w:noWrap w:val="0"/>
            <w:vAlign w:val="center"/>
          </w:tcPr>
          <w:p w14:paraId="548457D9">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提供下列两项证明材料之一：</w:t>
            </w:r>
          </w:p>
          <w:p w14:paraId="13D59A58">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1）提供2023年度或2024年度</w:t>
            </w:r>
            <w:r>
              <w:rPr>
                <w:rFonts w:hint="eastAsia" w:cs="宋体"/>
                <w:sz w:val="24"/>
                <w:szCs w:val="24"/>
                <w:highlight w:val="none"/>
                <w:lang w:val="en-US" w:eastAsia="zh-CN"/>
              </w:rPr>
              <w:t>经</w:t>
            </w:r>
            <w:r>
              <w:rPr>
                <w:rFonts w:hint="eastAsia" w:ascii="宋体" w:hAnsi="宋体" w:eastAsia="宋体" w:cs="宋体"/>
                <w:sz w:val="24"/>
                <w:szCs w:val="24"/>
                <w:highlight w:val="none"/>
                <w:lang w:eastAsia="zh-CN"/>
              </w:rPr>
              <w:t>会计师事务所出具的财务审计报告正文和必要的财务报表（至少包括资产负债表、现金流量表、利润表/损益表、财务报表附注），根据《财政部关于注册会计师在审计报告上签字盖章有关问题的通知》、《关于加强审计报告查验工作的通知》，2022年及之后的审计报告应在注册会计师行业统一监管平台（网址http://acc.mof.gov.cn）赋验证码，审计报告盖有会计师事务所公章和两名中国注册会计师签名盖章，并附有会计师事务所营业执照、会计师事务所执业证书、注册会计师证书；成立时间不足一个完整会计年度的</w:t>
            </w:r>
            <w:r>
              <w:rPr>
                <w:rFonts w:hint="eastAsia" w:cs="宋体"/>
                <w:sz w:val="24"/>
                <w:szCs w:val="24"/>
                <w:highlight w:val="none"/>
                <w:lang w:val="en-US" w:eastAsia="zh-CN"/>
              </w:rPr>
              <w:t>供应商</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响应</w:t>
            </w:r>
            <w:r>
              <w:rPr>
                <w:rFonts w:hint="eastAsia" w:ascii="宋体" w:hAnsi="宋体" w:eastAsia="宋体" w:cs="宋体"/>
                <w:sz w:val="24"/>
                <w:szCs w:val="24"/>
                <w:highlight w:val="none"/>
                <w:lang w:eastAsia="zh-CN"/>
              </w:rPr>
              <w:t>文件中提供</w:t>
            </w:r>
            <w:r>
              <w:rPr>
                <w:rFonts w:hint="eastAsia" w:cs="宋体"/>
                <w:sz w:val="24"/>
                <w:szCs w:val="24"/>
                <w:highlight w:val="none"/>
                <w:lang w:val="en-US" w:eastAsia="zh-CN"/>
              </w:rPr>
              <w:t>提交首次响应文件</w:t>
            </w:r>
            <w:r>
              <w:rPr>
                <w:rFonts w:hint="eastAsia" w:ascii="宋体" w:hAnsi="宋体" w:eastAsia="宋体" w:cs="宋体"/>
                <w:sz w:val="24"/>
                <w:szCs w:val="24"/>
                <w:highlight w:val="none"/>
                <w:lang w:eastAsia="zh-CN"/>
              </w:rPr>
              <w:t>截止时间前近三个月内基本开户银行出具的资信证明和基本账户开户证明。</w:t>
            </w:r>
          </w:p>
          <w:p w14:paraId="21DB3FE8">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2）提供具有良好的商业信誉和健全的财务会计制度且财务状况良好的书面承诺函。</w:t>
            </w:r>
          </w:p>
        </w:tc>
        <w:tc>
          <w:tcPr>
            <w:tcW w:w="803" w:type="pct"/>
            <w:noWrap w:val="0"/>
            <w:vAlign w:val="center"/>
          </w:tcPr>
          <w:p w14:paraId="574537AF">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证明文件的电子件或财务状况良好承诺函</w:t>
            </w:r>
            <w:r>
              <w:rPr>
                <w:rFonts w:hint="eastAsia" w:cs="宋体"/>
                <w:sz w:val="24"/>
                <w:szCs w:val="24"/>
                <w:highlight w:val="none"/>
                <w:lang w:val="en-US" w:eastAsia="zh-CN"/>
              </w:rPr>
              <w:t>电子件</w:t>
            </w:r>
          </w:p>
        </w:tc>
      </w:tr>
      <w:tr w14:paraId="1CF2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65B3A945">
            <w:pPr>
              <w:keepNext w:val="0"/>
              <w:keepLines w:val="0"/>
              <w:pageBreakBefore w:val="0"/>
              <w:tabs>
                <w:tab w:val="left" w:pos="1080"/>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highlight w:val="none"/>
                <w:lang w:val="en-US" w:eastAsia="zh-CN"/>
              </w:rPr>
            </w:pPr>
            <w:r>
              <w:rPr>
                <w:rFonts w:hint="eastAsia" w:cs="宋体"/>
                <w:sz w:val="24"/>
                <w:szCs w:val="24"/>
                <w:highlight w:val="none"/>
                <w:lang w:eastAsia="zh-CN"/>
              </w:rPr>
              <w:t>（</w:t>
            </w:r>
            <w:r>
              <w:rPr>
                <w:rFonts w:hint="eastAsia" w:cs="宋体"/>
                <w:sz w:val="24"/>
                <w:szCs w:val="24"/>
                <w:highlight w:val="none"/>
                <w:lang w:val="en-US" w:eastAsia="zh-CN"/>
              </w:rPr>
              <w:t>3</w:t>
            </w:r>
            <w:r>
              <w:rPr>
                <w:rFonts w:hint="eastAsia" w:cs="宋体"/>
                <w:sz w:val="24"/>
                <w:szCs w:val="24"/>
                <w:highlight w:val="none"/>
                <w:lang w:eastAsia="zh-CN"/>
              </w:rPr>
              <w:t>）</w:t>
            </w:r>
          </w:p>
        </w:tc>
        <w:tc>
          <w:tcPr>
            <w:tcW w:w="1114" w:type="pct"/>
            <w:noWrap w:val="0"/>
            <w:vAlign w:val="center"/>
          </w:tcPr>
          <w:p w14:paraId="31A82E53">
            <w:pPr>
              <w:keepNext w:val="0"/>
              <w:keepLines w:val="0"/>
              <w:pageBreakBefore w:val="0"/>
              <w:tabs>
                <w:tab w:val="left" w:pos="108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tc>
        <w:tc>
          <w:tcPr>
            <w:tcW w:w="2621" w:type="pct"/>
            <w:noWrap w:val="0"/>
            <w:vAlign w:val="center"/>
          </w:tcPr>
          <w:p w14:paraId="3F5B473F">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提供了符合</w:t>
            </w:r>
            <w:r>
              <w:rPr>
                <w:rFonts w:hint="eastAsia" w:ascii="宋体" w:hAnsi="宋体" w:eastAsia="宋体" w:cs="宋体"/>
                <w:sz w:val="24"/>
                <w:szCs w:val="24"/>
                <w:highlight w:val="none"/>
                <w:lang w:val="en-US" w:eastAsia="zh-CN"/>
              </w:rPr>
              <w:t>竞争性磋商</w:t>
            </w:r>
            <w:r>
              <w:rPr>
                <w:rFonts w:hint="eastAsia" w:ascii="宋体" w:hAnsi="宋体" w:eastAsia="宋体" w:cs="宋体"/>
                <w:sz w:val="24"/>
                <w:szCs w:val="24"/>
                <w:highlight w:val="none"/>
              </w:rPr>
              <w:t>文件要求的</w:t>
            </w:r>
            <w:r>
              <w:rPr>
                <w:rFonts w:hint="eastAsia" w:cs="宋体"/>
                <w:sz w:val="24"/>
                <w:szCs w:val="24"/>
                <w:highlight w:val="none"/>
                <w:lang w:val="en-US" w:eastAsia="zh-CN"/>
              </w:rPr>
              <w:t>承诺</w:t>
            </w:r>
            <w:r>
              <w:rPr>
                <w:rFonts w:hint="eastAsia" w:ascii="宋体" w:hAnsi="宋体" w:eastAsia="宋体" w:cs="宋体"/>
                <w:sz w:val="24"/>
                <w:szCs w:val="24"/>
                <w:highlight w:val="none"/>
                <w:lang w:val="en-US" w:eastAsia="zh-CN"/>
              </w:rPr>
              <w:t>函</w:t>
            </w:r>
            <w:r>
              <w:rPr>
                <w:rFonts w:hint="eastAsia" w:ascii="宋体" w:hAnsi="宋体" w:eastAsia="宋体" w:cs="宋体"/>
                <w:sz w:val="24"/>
                <w:szCs w:val="24"/>
                <w:highlight w:val="none"/>
              </w:rPr>
              <w:t>。</w:t>
            </w:r>
          </w:p>
        </w:tc>
        <w:tc>
          <w:tcPr>
            <w:tcW w:w="803" w:type="pct"/>
            <w:noWrap w:val="0"/>
            <w:vAlign w:val="center"/>
          </w:tcPr>
          <w:p w14:paraId="530D3D90">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格式见《响应文件格式》</w:t>
            </w:r>
          </w:p>
        </w:tc>
      </w:tr>
      <w:tr w14:paraId="0A69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68E66B71">
            <w:pPr>
              <w:keepNext w:val="0"/>
              <w:keepLines w:val="0"/>
              <w:pageBreakBefore w:val="0"/>
              <w:tabs>
                <w:tab w:val="left" w:pos="1080"/>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highlight w:val="none"/>
                <w:lang w:val="en-US" w:eastAsia="zh-CN"/>
              </w:rPr>
            </w:pPr>
            <w:r>
              <w:rPr>
                <w:rFonts w:hint="eastAsia" w:cs="宋体"/>
                <w:sz w:val="24"/>
                <w:szCs w:val="24"/>
                <w:highlight w:val="none"/>
                <w:lang w:eastAsia="zh-CN"/>
              </w:rPr>
              <w:t>（</w:t>
            </w:r>
            <w:r>
              <w:rPr>
                <w:rFonts w:hint="eastAsia" w:cs="宋体"/>
                <w:sz w:val="24"/>
                <w:szCs w:val="24"/>
                <w:highlight w:val="none"/>
                <w:lang w:val="en-US" w:eastAsia="zh-CN"/>
              </w:rPr>
              <w:t>4</w:t>
            </w:r>
            <w:r>
              <w:rPr>
                <w:rFonts w:hint="eastAsia" w:cs="宋体"/>
                <w:sz w:val="24"/>
                <w:szCs w:val="24"/>
                <w:highlight w:val="none"/>
                <w:lang w:eastAsia="zh-CN"/>
              </w:rPr>
              <w:t>）</w:t>
            </w:r>
          </w:p>
        </w:tc>
        <w:tc>
          <w:tcPr>
            <w:tcW w:w="1114" w:type="pct"/>
            <w:noWrap w:val="0"/>
            <w:vAlign w:val="center"/>
          </w:tcPr>
          <w:p w14:paraId="146761C5">
            <w:pPr>
              <w:keepNext w:val="0"/>
              <w:keepLines w:val="0"/>
              <w:pageBreakBefore w:val="0"/>
              <w:tabs>
                <w:tab w:val="left" w:pos="108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tc>
        <w:tc>
          <w:tcPr>
            <w:tcW w:w="2621" w:type="pct"/>
            <w:noWrap w:val="0"/>
            <w:vAlign w:val="center"/>
          </w:tcPr>
          <w:p w14:paraId="7C11F442">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1）提供自公司成立以来至今任意一个月缴纳税收证明文件（银行出具的缴税凭证或税务机关出具的证明）或免税证明，或</w:t>
            </w:r>
            <w:r>
              <w:rPr>
                <w:rFonts w:hint="eastAsia" w:cs="宋体"/>
                <w:sz w:val="24"/>
                <w:szCs w:val="24"/>
                <w:highlight w:val="none"/>
                <w:lang w:val="en-US" w:eastAsia="zh-CN"/>
              </w:rPr>
              <w:t>供应商</w:t>
            </w:r>
            <w:r>
              <w:rPr>
                <w:rFonts w:hint="eastAsia" w:ascii="宋体" w:hAnsi="宋体" w:eastAsia="宋体" w:cs="宋体"/>
                <w:sz w:val="24"/>
                <w:szCs w:val="24"/>
                <w:highlight w:val="none"/>
              </w:rPr>
              <w:t>自行出具的有依法缴纳税收的承诺函。</w:t>
            </w:r>
          </w:p>
          <w:p w14:paraId="3269832F">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2）提供自公司成立以来至今任意一个月的社会保障资金缴纳记录（其中基本养老保险、基本医疗保险（含生育保险）、工伤保险、失业保险均须依法缴纳）或免缴纳证明，或</w:t>
            </w:r>
            <w:r>
              <w:rPr>
                <w:rFonts w:hint="eastAsia" w:cs="宋体"/>
                <w:sz w:val="24"/>
                <w:szCs w:val="24"/>
                <w:highlight w:val="none"/>
                <w:lang w:val="en-US" w:eastAsia="zh-CN"/>
              </w:rPr>
              <w:t>供应商</w:t>
            </w:r>
            <w:r>
              <w:rPr>
                <w:rFonts w:hint="eastAsia" w:ascii="宋体" w:hAnsi="宋体" w:eastAsia="宋体" w:cs="宋体"/>
                <w:sz w:val="24"/>
                <w:szCs w:val="24"/>
                <w:highlight w:val="none"/>
              </w:rPr>
              <w:t>自行出具的有依法缴纳社会保障资金的良好记录的承诺函。</w:t>
            </w:r>
          </w:p>
        </w:tc>
        <w:tc>
          <w:tcPr>
            <w:tcW w:w="803" w:type="pct"/>
            <w:noWrap w:val="0"/>
            <w:vAlign w:val="center"/>
          </w:tcPr>
          <w:p w14:paraId="40083B8E">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提供证明文件的电子件或具有依法缴纳税收和社会保障资金的良好记录承诺书电子件</w:t>
            </w:r>
          </w:p>
        </w:tc>
      </w:tr>
      <w:tr w14:paraId="4D2F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75B4E9A0">
            <w:pPr>
              <w:keepNext w:val="0"/>
              <w:keepLines w:val="0"/>
              <w:pageBreakBefore w:val="0"/>
              <w:tabs>
                <w:tab w:val="left" w:pos="1080"/>
              </w:tabs>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highlight w:val="none"/>
                <w:lang w:val="en-US" w:eastAsia="zh-CN"/>
              </w:rPr>
            </w:pPr>
            <w:r>
              <w:rPr>
                <w:rFonts w:hint="eastAsia" w:cs="宋体"/>
                <w:sz w:val="24"/>
                <w:szCs w:val="24"/>
                <w:highlight w:val="none"/>
                <w:lang w:eastAsia="zh-CN"/>
              </w:rPr>
              <w:t>（</w:t>
            </w:r>
            <w:r>
              <w:rPr>
                <w:rFonts w:hint="eastAsia" w:cs="宋体"/>
                <w:sz w:val="24"/>
                <w:szCs w:val="24"/>
                <w:highlight w:val="none"/>
                <w:lang w:val="en-US" w:eastAsia="zh-CN"/>
              </w:rPr>
              <w:t>5</w:t>
            </w:r>
            <w:r>
              <w:rPr>
                <w:rFonts w:hint="eastAsia" w:cs="宋体"/>
                <w:sz w:val="24"/>
                <w:szCs w:val="24"/>
                <w:highlight w:val="none"/>
                <w:lang w:eastAsia="zh-CN"/>
              </w:rPr>
              <w:t>）</w:t>
            </w:r>
          </w:p>
        </w:tc>
        <w:tc>
          <w:tcPr>
            <w:tcW w:w="1114" w:type="pct"/>
            <w:noWrap w:val="0"/>
            <w:vAlign w:val="center"/>
          </w:tcPr>
          <w:p w14:paraId="332693A6">
            <w:pPr>
              <w:keepNext w:val="0"/>
              <w:keepLines w:val="0"/>
              <w:pageBreakBefore w:val="0"/>
              <w:tabs>
                <w:tab w:val="left" w:pos="108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参加政府采购活动前三年内，在经营活动中没有重大违法记录</w:t>
            </w:r>
          </w:p>
        </w:tc>
        <w:tc>
          <w:tcPr>
            <w:tcW w:w="2621" w:type="pct"/>
            <w:noWrap w:val="0"/>
            <w:vAlign w:val="center"/>
          </w:tcPr>
          <w:p w14:paraId="0D5AC7A8">
            <w:pPr>
              <w:keepNext w:val="0"/>
              <w:keepLines w:val="0"/>
              <w:pageBreakBefore w:val="0"/>
              <w:tabs>
                <w:tab w:val="left" w:pos="1080"/>
              </w:tabs>
              <w:kinsoku/>
              <w:wordWrap/>
              <w:overflowPunct/>
              <w:topLinePunct w:val="0"/>
              <w:autoSpaceDE/>
              <w:autoSpaceDN/>
              <w:bidi w:val="0"/>
              <w:adjustRightInd/>
              <w:snapToGrid w:val="0"/>
              <w:spacing w:line="44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提供了符合</w:t>
            </w:r>
            <w:r>
              <w:rPr>
                <w:rFonts w:hint="eastAsia" w:ascii="宋体" w:hAnsi="宋体" w:eastAsia="宋体" w:cs="宋体"/>
                <w:sz w:val="24"/>
                <w:szCs w:val="24"/>
                <w:highlight w:val="none"/>
                <w:lang w:val="en-US" w:eastAsia="zh-CN"/>
              </w:rPr>
              <w:t>竞争性磋商</w:t>
            </w:r>
            <w:r>
              <w:rPr>
                <w:rFonts w:hint="eastAsia"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声明函</w:t>
            </w:r>
            <w:r>
              <w:rPr>
                <w:rFonts w:hint="eastAsia" w:ascii="宋体" w:hAnsi="宋体" w:eastAsia="宋体" w:cs="宋体"/>
                <w:sz w:val="24"/>
                <w:szCs w:val="24"/>
                <w:highlight w:val="none"/>
              </w:rPr>
              <w:t>。</w:t>
            </w:r>
          </w:p>
        </w:tc>
        <w:tc>
          <w:tcPr>
            <w:tcW w:w="803" w:type="pct"/>
            <w:noWrap w:val="0"/>
            <w:vAlign w:val="center"/>
          </w:tcPr>
          <w:p w14:paraId="1EA76070">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格式见《</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p>
        </w:tc>
      </w:tr>
      <w:tr w14:paraId="6C422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51B53BCE">
            <w:pPr>
              <w:tabs>
                <w:tab w:val="left" w:pos="1080"/>
              </w:tabs>
              <w:snapToGrid w:val="0"/>
              <w:jc w:val="center"/>
              <w:rPr>
                <w:rFonts w:hint="default" w:cs="宋体"/>
                <w:sz w:val="24"/>
                <w:szCs w:val="24"/>
                <w:highlight w:val="none"/>
                <w:lang w:val="en-US" w:eastAsia="zh-CN"/>
              </w:rPr>
            </w:pPr>
            <w:r>
              <w:rPr>
                <w:rFonts w:hint="eastAsia" w:cs="宋体"/>
                <w:sz w:val="24"/>
                <w:szCs w:val="24"/>
                <w:highlight w:val="none"/>
                <w:lang w:val="en-US" w:eastAsia="zh-CN"/>
              </w:rPr>
              <w:t>2</w:t>
            </w:r>
          </w:p>
        </w:tc>
        <w:tc>
          <w:tcPr>
            <w:tcW w:w="4539" w:type="pct"/>
            <w:gridSpan w:val="3"/>
            <w:noWrap w:val="0"/>
            <w:vAlign w:val="center"/>
          </w:tcPr>
          <w:p w14:paraId="157B0E92">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tc>
      </w:tr>
      <w:tr w14:paraId="15B7D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3D9EB245">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cs="宋体"/>
                <w:sz w:val="24"/>
                <w:szCs w:val="24"/>
                <w:highlight w:val="none"/>
                <w:lang w:val="en-US" w:eastAsia="zh-CN"/>
              </w:rPr>
            </w:pPr>
            <w:r>
              <w:rPr>
                <w:rFonts w:hint="eastAsia" w:ascii="宋体" w:hAnsi="宋体" w:eastAsia="宋体" w:cs="宋体"/>
                <w:sz w:val="24"/>
                <w:szCs w:val="32"/>
                <w:highlight w:val="none"/>
                <w:lang w:val="en-US" w:eastAsia="zh-CN"/>
              </w:rPr>
              <w:t>（1）</w:t>
            </w:r>
          </w:p>
        </w:tc>
        <w:tc>
          <w:tcPr>
            <w:tcW w:w="4539" w:type="pct"/>
            <w:gridSpan w:val="3"/>
            <w:noWrap w:val="0"/>
            <w:vAlign w:val="center"/>
          </w:tcPr>
          <w:p w14:paraId="45EBB0DD">
            <w:pPr>
              <w:pStyle w:val="3"/>
              <w:keepNext/>
              <w:keepLines/>
              <w:pageBreakBefore w:val="0"/>
              <w:widowControl w:val="0"/>
              <w:kinsoku/>
              <w:wordWrap w:val="0"/>
              <w:overflowPunct/>
              <w:topLinePunct/>
              <w:autoSpaceDE/>
              <w:autoSpaceDN/>
              <w:bidi w:val="0"/>
              <w:adjustRightInd w:val="0"/>
              <w:snapToGrid/>
              <w:spacing w:before="0" w:after="0" w:line="480" w:lineRule="exact"/>
              <w:ind w:right="0" w:firstLine="0" w:firstLineChars="0"/>
              <w:jc w:val="left"/>
              <w:textAlignment w:val="auto"/>
              <w:rPr>
                <w:rFonts w:hint="eastAsia" w:ascii="宋体" w:hAnsi="宋体" w:eastAsia="宋体" w:cs="宋体"/>
                <w:b w:val="0"/>
                <w:bCs/>
                <w:sz w:val="24"/>
                <w:szCs w:val="32"/>
                <w:highlight w:val="none"/>
              </w:rPr>
            </w:pPr>
            <w:r>
              <w:rPr>
                <w:rFonts w:hint="eastAsia" w:ascii="宋体" w:hAnsi="宋体" w:eastAsia="宋体" w:cs="宋体"/>
                <w:b w:val="0"/>
                <w:bCs/>
                <w:sz w:val="24"/>
                <w:szCs w:val="32"/>
                <w:highlight w:val="none"/>
                <w:lang w:val="en-US" w:eastAsia="zh-CN"/>
              </w:rPr>
              <w:t>本项目递交首次响应文件截止时间前，供应商未被</w:t>
            </w:r>
            <w:r>
              <w:rPr>
                <w:rFonts w:hint="eastAsia" w:ascii="宋体" w:hAnsi="宋体" w:eastAsia="宋体" w:cs="宋体"/>
                <w:b w:val="0"/>
                <w:bCs/>
                <w:sz w:val="24"/>
                <w:szCs w:val="32"/>
                <w:highlight w:val="none"/>
              </w:rPr>
              <w:t>列入</w:t>
            </w:r>
            <w:r>
              <w:rPr>
                <w:rFonts w:hint="eastAsia" w:ascii="宋体" w:hAnsi="宋体" w:eastAsia="宋体" w:cs="宋体"/>
                <w:b w:val="0"/>
                <w:bCs/>
                <w:color w:val="auto"/>
                <w:sz w:val="24"/>
                <w:szCs w:val="32"/>
                <w:highlight w:val="none"/>
              </w:rPr>
              <w:t>“信用中国”网站（www.creditchina.gov.cn）</w:t>
            </w:r>
            <w:r>
              <w:rPr>
                <w:rFonts w:hint="eastAsia" w:ascii="宋体" w:hAnsi="宋体" w:eastAsia="宋体" w:cs="宋体"/>
                <w:b w:val="0"/>
                <w:bCs/>
                <w:sz w:val="24"/>
                <w:szCs w:val="32"/>
                <w:highlight w:val="none"/>
              </w:rPr>
              <w:t>失信被执行人名单、重大税收违法失信主体名单</w:t>
            </w:r>
            <w:r>
              <w:rPr>
                <w:rFonts w:hint="eastAsia" w:ascii="宋体" w:hAnsi="宋体" w:eastAsia="宋体" w:cs="宋体"/>
                <w:b w:val="0"/>
                <w:bCs/>
                <w:sz w:val="24"/>
                <w:szCs w:val="32"/>
                <w:highlight w:val="none"/>
                <w:lang w:eastAsia="zh-CN"/>
              </w:rPr>
              <w:t>，</w:t>
            </w:r>
            <w:r>
              <w:rPr>
                <w:rFonts w:hint="eastAsia" w:ascii="宋体" w:hAnsi="宋体" w:eastAsia="宋体" w:cs="宋体"/>
                <w:b w:val="0"/>
                <w:bCs/>
                <w:sz w:val="24"/>
                <w:szCs w:val="32"/>
                <w:highlight w:val="none"/>
                <w:lang w:val="en-US" w:eastAsia="zh-CN"/>
              </w:rPr>
              <w:t>也未被列入</w:t>
            </w:r>
            <w:r>
              <w:rPr>
                <w:rFonts w:hint="eastAsia" w:ascii="宋体" w:hAnsi="宋体" w:eastAsia="宋体" w:cs="宋体"/>
                <w:b w:val="0"/>
                <w:bCs/>
                <w:color w:val="auto"/>
                <w:sz w:val="24"/>
                <w:szCs w:val="32"/>
                <w:highlight w:val="none"/>
              </w:rPr>
              <w:t>“中国政府采购网”网站（http://www.ccgp.gov.cn/）</w:t>
            </w:r>
            <w:r>
              <w:rPr>
                <w:rFonts w:hint="eastAsia" w:ascii="宋体" w:hAnsi="宋体" w:eastAsia="宋体" w:cs="宋体"/>
                <w:b w:val="0"/>
                <w:bCs/>
                <w:sz w:val="24"/>
                <w:szCs w:val="32"/>
                <w:highlight w:val="none"/>
              </w:rPr>
              <w:t>政府采购严重违法失信行为记录名单。</w:t>
            </w:r>
          </w:p>
          <w:p w14:paraId="78D16143">
            <w:pPr>
              <w:pStyle w:val="3"/>
              <w:keepNext/>
              <w:keepLines/>
              <w:pageBreakBefore w:val="0"/>
              <w:widowControl w:val="0"/>
              <w:kinsoku/>
              <w:wordWrap w:val="0"/>
              <w:overflowPunct/>
              <w:topLinePunct/>
              <w:autoSpaceDE/>
              <w:autoSpaceDN/>
              <w:bidi w:val="0"/>
              <w:adjustRightInd w:val="0"/>
              <w:snapToGrid/>
              <w:spacing w:before="0" w:after="0" w:line="480" w:lineRule="exact"/>
              <w:ind w:right="0" w:rightChars="0" w:firstLine="0" w:firstLineChars="0"/>
              <w:jc w:val="left"/>
              <w:textAlignment w:val="auto"/>
              <w:rPr>
                <w:rFonts w:hint="eastAsia" w:cs="宋体"/>
                <w:sz w:val="24"/>
                <w:szCs w:val="24"/>
                <w:highlight w:val="none"/>
                <w:lang w:val="en-US"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由采购代理机构将按照</w:t>
            </w:r>
            <w:r>
              <w:rPr>
                <w:rFonts w:hint="eastAsia" w:ascii="宋体" w:hAnsi="宋体" w:eastAsia="宋体" w:cs="宋体"/>
                <w:b/>
                <w:bCs/>
                <w:sz w:val="24"/>
                <w:szCs w:val="24"/>
                <w:highlight w:val="none"/>
                <w:lang w:val="en-US" w:eastAsia="zh-CN"/>
              </w:rPr>
              <w:t>竞争性磋商</w:t>
            </w:r>
            <w:r>
              <w:rPr>
                <w:rFonts w:hint="eastAsia" w:ascii="宋体" w:hAnsi="宋体" w:eastAsia="宋体" w:cs="宋体"/>
                <w:b/>
                <w:bCs/>
                <w:sz w:val="24"/>
                <w:szCs w:val="24"/>
                <w:highlight w:val="none"/>
              </w:rPr>
              <w:t>文件规定的审查期间内进行查询，无须供应商提供</w:t>
            </w:r>
            <w:r>
              <w:rPr>
                <w:rFonts w:hint="eastAsia" w:ascii="宋体" w:hAnsi="宋体" w:eastAsia="宋体" w:cs="宋体"/>
                <w:b/>
                <w:bCs/>
                <w:sz w:val="24"/>
                <w:szCs w:val="24"/>
                <w:highlight w:val="none"/>
                <w:lang w:eastAsia="zh-CN"/>
              </w:rPr>
              <w:t>。</w:t>
            </w:r>
          </w:p>
        </w:tc>
      </w:tr>
      <w:tr w14:paraId="1B50A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64A36927">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cs="宋体"/>
                <w:sz w:val="24"/>
                <w:szCs w:val="24"/>
                <w:highlight w:val="none"/>
                <w:lang w:val="en-US" w:eastAsia="zh-CN"/>
              </w:rPr>
            </w:pPr>
            <w:r>
              <w:rPr>
                <w:rFonts w:hint="eastAsia" w:ascii="宋体" w:hAnsi="宋体" w:eastAsia="宋体" w:cs="宋体"/>
                <w:sz w:val="24"/>
                <w:szCs w:val="32"/>
                <w:highlight w:val="none"/>
                <w:lang w:val="en-US" w:eastAsia="zh-CN"/>
              </w:rPr>
              <w:t>（2）</w:t>
            </w:r>
          </w:p>
        </w:tc>
        <w:tc>
          <w:tcPr>
            <w:tcW w:w="4539" w:type="pct"/>
            <w:gridSpan w:val="3"/>
            <w:noWrap w:val="0"/>
            <w:vAlign w:val="center"/>
          </w:tcPr>
          <w:p w14:paraId="3C0DA05F">
            <w:pPr>
              <w:pStyle w:val="3"/>
              <w:keepNext/>
              <w:keepLines/>
              <w:snapToGrid/>
              <w:spacing w:before="0" w:after="0" w:line="480" w:lineRule="exact"/>
              <w:ind w:firstLine="0" w:firstLineChars="0"/>
              <w:jc w:val="left"/>
              <w:rPr>
                <w:rFonts w:hint="eastAsia" w:ascii="宋体" w:hAnsi="宋体" w:eastAsia="宋体" w:cs="宋体"/>
                <w:b w:val="0"/>
                <w:bCs/>
                <w:sz w:val="24"/>
                <w:szCs w:val="32"/>
                <w:highlight w:val="none"/>
                <w:lang w:val="en-US" w:eastAsia="zh-CN"/>
              </w:rPr>
            </w:pPr>
            <w:r>
              <w:rPr>
                <w:rFonts w:hint="eastAsia" w:ascii="宋体" w:hAnsi="宋体" w:eastAsia="宋体" w:cs="宋体"/>
                <w:b w:val="0"/>
                <w:bCs/>
                <w:sz w:val="24"/>
                <w:szCs w:val="32"/>
                <w:highlight w:val="none"/>
                <w:lang w:val="en-US" w:eastAsia="zh-CN"/>
              </w:rPr>
              <w:t>与采购人存在利害关系可能影响采购公正性的法人、其他组织或者个人，不得参加本次采购项目的磋商。单位负责人为同一人或者存在直接控股、管理关系的不同供应商，不得同时参加本次采购项目的磋商。为采购项目提供整体设计、规范编制或者项目管理、监理、检测等服务的供应商，不得参加本次采购项目的磋商。</w:t>
            </w:r>
          </w:p>
          <w:p w14:paraId="146605C5">
            <w:pPr>
              <w:pStyle w:val="3"/>
              <w:keepNext/>
              <w:keepLines/>
              <w:wordWrap/>
              <w:topLinePunct w:val="0"/>
              <w:adjustRightInd/>
              <w:snapToGrid/>
              <w:spacing w:before="0" w:after="0" w:line="480" w:lineRule="exact"/>
              <w:ind w:right="28" w:rightChars="0" w:firstLine="0" w:firstLineChars="0"/>
              <w:jc w:val="left"/>
              <w:rPr>
                <w:rFonts w:hint="eastAsia" w:cs="宋体"/>
                <w:sz w:val="24"/>
                <w:szCs w:val="24"/>
                <w:highlight w:val="none"/>
                <w:lang w:val="en-US" w:eastAsia="zh-CN"/>
              </w:rPr>
            </w:pPr>
            <w:r>
              <w:rPr>
                <w:rFonts w:hint="eastAsia" w:ascii="宋体" w:hAnsi="宋体" w:eastAsia="宋体" w:cs="宋体"/>
                <w:b/>
                <w:bCs w:val="0"/>
                <w:sz w:val="24"/>
                <w:szCs w:val="32"/>
                <w:highlight w:val="none"/>
                <w:lang w:val="en-US" w:eastAsia="zh-CN"/>
              </w:rPr>
              <w:t>注：提供第六章《响应文件格式》要求的承诺函并按竞争性磋商文件要求进行电子签章。</w:t>
            </w:r>
          </w:p>
        </w:tc>
      </w:tr>
      <w:tr w14:paraId="79CC9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60" w:type="pct"/>
            <w:noWrap w:val="0"/>
            <w:vAlign w:val="center"/>
          </w:tcPr>
          <w:p w14:paraId="6879C952">
            <w:pPr>
              <w:tabs>
                <w:tab w:val="left" w:pos="1080"/>
              </w:tabs>
              <w:snapToGrid w:val="0"/>
              <w:jc w:val="center"/>
              <w:rPr>
                <w:rFonts w:hint="eastAsia" w:cs="宋体"/>
                <w:sz w:val="24"/>
                <w:szCs w:val="24"/>
                <w:highlight w:val="none"/>
                <w:lang w:val="en-US" w:eastAsia="zh-CN"/>
              </w:rPr>
            </w:pPr>
            <w:r>
              <w:rPr>
                <w:rFonts w:hint="eastAsia" w:cs="宋体"/>
                <w:sz w:val="24"/>
                <w:szCs w:val="24"/>
                <w:highlight w:val="none"/>
                <w:lang w:val="en-US" w:eastAsia="zh-CN"/>
              </w:rPr>
              <w:t>（3）</w:t>
            </w:r>
          </w:p>
        </w:tc>
        <w:tc>
          <w:tcPr>
            <w:tcW w:w="4539" w:type="pct"/>
            <w:gridSpan w:val="3"/>
            <w:noWrap w:val="0"/>
            <w:vAlign w:val="center"/>
          </w:tcPr>
          <w:p w14:paraId="7D4FBD50">
            <w:pPr>
              <w:keepNext w:val="0"/>
              <w:keepLines w:val="0"/>
              <w:pageBreakBefore w:val="0"/>
              <w:widowControl w:val="0"/>
              <w:tabs>
                <w:tab w:val="left" w:pos="1080"/>
              </w:tabs>
              <w:kinsoku/>
              <w:wordWrap w:val="0"/>
              <w:overflowPunct/>
              <w:topLinePunct/>
              <w:autoSpaceDE/>
              <w:autoSpaceDN/>
              <w:bidi w:val="0"/>
              <w:adjustRightInd/>
              <w:snapToGrid w:val="0"/>
              <w:spacing w:line="440" w:lineRule="exact"/>
              <w:jc w:val="both"/>
              <w:textAlignment w:val="auto"/>
              <w:rPr>
                <w:rFonts w:hint="eastAsia" w:cs="宋体"/>
                <w:sz w:val="24"/>
                <w:szCs w:val="24"/>
                <w:highlight w:val="none"/>
                <w:lang w:val="en-US" w:eastAsia="zh-CN"/>
              </w:rPr>
            </w:pPr>
            <w:r>
              <w:rPr>
                <w:rFonts w:hint="eastAsia" w:cs="宋体"/>
                <w:sz w:val="24"/>
                <w:szCs w:val="24"/>
                <w:highlight w:val="none"/>
                <w:lang w:val="en-US" w:eastAsia="zh-CN"/>
              </w:rPr>
              <w:t>本项目对于联合体的要求：本项目不接受联合体参与磋商，提供第六章《响应文件格式》要求的声明函并按竞争性磋商文件要求进行电子签章。</w:t>
            </w:r>
          </w:p>
        </w:tc>
      </w:tr>
    </w:tbl>
    <w:p w14:paraId="0C9701EA">
      <w:pPr>
        <w:pStyle w:val="3"/>
        <w:adjustRightInd w:val="0"/>
        <w:snapToGrid w:val="0"/>
        <w:spacing w:before="0" w:after="0" w:line="240" w:lineRule="auto"/>
        <w:ind w:left="0" w:leftChars="0" w:firstLine="0" w:firstLineChars="0"/>
        <w:jc w:val="left"/>
        <w:rPr>
          <w:rFonts w:hint="eastAsia" w:ascii="宋体" w:hAnsi="宋体" w:eastAsia="宋体" w:cs="宋体"/>
          <w:sz w:val="28"/>
          <w:szCs w:val="28"/>
          <w:highlight w:val="none"/>
        </w:rPr>
      </w:pPr>
      <w:r>
        <w:rPr>
          <w:rFonts w:hint="eastAsia" w:ascii="宋体" w:hAnsi="宋体" w:eastAsia="宋体" w:cs="宋体"/>
          <w:b w:val="0"/>
          <w:szCs w:val="21"/>
          <w:highlight w:val="none"/>
        </w:rPr>
        <w:br w:type="page"/>
      </w:r>
      <w:bookmarkStart w:id="44" w:name="_Toc533340199"/>
      <w:bookmarkStart w:id="45" w:name="_Toc4485675"/>
      <w:r>
        <w:rPr>
          <w:rFonts w:hint="eastAsia" w:ascii="宋体" w:hAnsi="宋体" w:eastAsia="宋体" w:cs="宋体"/>
          <w:b/>
          <w:bCs/>
          <w:sz w:val="28"/>
          <w:szCs w:val="28"/>
          <w:highlight w:val="none"/>
        </w:rPr>
        <w:t>评审方法附</w:t>
      </w:r>
      <w:r>
        <w:rPr>
          <w:rFonts w:hint="eastAsia" w:ascii="宋体" w:hAnsi="宋体" w:eastAsia="宋体" w:cs="宋体"/>
          <w:b/>
          <w:bCs/>
          <w:sz w:val="28"/>
          <w:szCs w:val="28"/>
          <w:highlight w:val="none"/>
          <w:lang w:val="en-US" w:eastAsia="zh-CN"/>
        </w:rPr>
        <w:t>表2：</w:t>
      </w:r>
    </w:p>
    <w:p w14:paraId="55A3CF28">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符合性审查表</w:t>
      </w:r>
      <w:bookmarkEnd w:id="44"/>
      <w:bookmarkEnd w:id="45"/>
    </w:p>
    <w:tbl>
      <w:tblPr>
        <w:tblStyle w:val="22"/>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424"/>
        <w:gridCol w:w="6420"/>
      </w:tblGrid>
      <w:tr w14:paraId="3D1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93" w:type="pct"/>
            <w:noWrap w:val="0"/>
            <w:vAlign w:val="center"/>
          </w:tcPr>
          <w:p w14:paraId="147D91B0">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序号</w:t>
            </w:r>
          </w:p>
        </w:tc>
        <w:tc>
          <w:tcPr>
            <w:tcW w:w="1262" w:type="pct"/>
            <w:noWrap w:val="0"/>
            <w:vAlign w:val="center"/>
          </w:tcPr>
          <w:p w14:paraId="006A4BAD">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审查因素</w:t>
            </w:r>
          </w:p>
        </w:tc>
        <w:tc>
          <w:tcPr>
            <w:tcW w:w="3343" w:type="pct"/>
            <w:noWrap w:val="0"/>
            <w:vAlign w:val="center"/>
          </w:tcPr>
          <w:p w14:paraId="340BA6C6">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审查内容</w:t>
            </w:r>
          </w:p>
        </w:tc>
      </w:tr>
      <w:tr w14:paraId="3234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340FB95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62" w:type="pct"/>
            <w:noWrap w:val="0"/>
            <w:vAlign w:val="center"/>
          </w:tcPr>
          <w:p w14:paraId="0B48D59C">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授权委托书</w:t>
            </w:r>
            <w:r>
              <w:rPr>
                <w:rFonts w:hint="eastAsia" w:cs="宋体"/>
                <w:color w:val="000000"/>
                <w:kern w:val="0"/>
                <w:sz w:val="24"/>
                <w:szCs w:val="24"/>
                <w:highlight w:val="none"/>
                <w:lang w:eastAsia="zh-CN"/>
              </w:rPr>
              <w:t>（</w:t>
            </w:r>
            <w:r>
              <w:rPr>
                <w:rFonts w:hint="eastAsia" w:cs="宋体"/>
                <w:color w:val="000000"/>
                <w:kern w:val="0"/>
                <w:sz w:val="24"/>
                <w:szCs w:val="24"/>
                <w:highlight w:val="none"/>
                <w:lang w:val="en-US" w:eastAsia="zh-CN"/>
              </w:rPr>
              <w:t>如有</w:t>
            </w:r>
            <w:r>
              <w:rPr>
                <w:rFonts w:hint="eastAsia" w:cs="宋体"/>
                <w:color w:val="000000"/>
                <w:kern w:val="0"/>
                <w:sz w:val="24"/>
                <w:szCs w:val="24"/>
                <w:highlight w:val="none"/>
                <w:lang w:eastAsia="zh-CN"/>
              </w:rPr>
              <w:t>）</w:t>
            </w:r>
          </w:p>
        </w:tc>
        <w:tc>
          <w:tcPr>
            <w:tcW w:w="3343" w:type="pct"/>
            <w:noWrap w:val="0"/>
            <w:vAlign w:val="center"/>
          </w:tcPr>
          <w:p w14:paraId="1E1FD0A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w:t>
            </w:r>
            <w:r>
              <w:rPr>
                <w:rFonts w:hint="eastAsia" w:ascii="宋体" w:hAnsi="宋体" w:eastAsia="宋体" w:cs="宋体"/>
                <w:color w:val="000000"/>
                <w:kern w:val="0"/>
                <w:sz w:val="24"/>
                <w:szCs w:val="24"/>
                <w:highlight w:val="none"/>
                <w:lang w:val="en-US" w:eastAsia="zh-CN"/>
              </w:rPr>
              <w:t>竞争性磋商</w:t>
            </w:r>
            <w:r>
              <w:rPr>
                <w:rFonts w:hint="eastAsia" w:ascii="宋体" w:hAnsi="宋体" w:eastAsia="宋体" w:cs="宋体"/>
                <w:color w:val="000000"/>
                <w:kern w:val="0"/>
                <w:sz w:val="24"/>
                <w:szCs w:val="24"/>
                <w:highlight w:val="none"/>
              </w:rPr>
              <w:t>文件要求提供授权委托书；</w:t>
            </w:r>
            <w:r>
              <w:rPr>
                <w:rFonts w:hint="eastAsia" w:cs="宋体"/>
                <w:color w:val="000000"/>
                <w:kern w:val="0"/>
                <w:sz w:val="24"/>
                <w:szCs w:val="24"/>
                <w:highlight w:val="none"/>
                <w:lang w:eastAsia="zh-CN"/>
              </w:rPr>
              <w:t>（</w:t>
            </w:r>
            <w:r>
              <w:rPr>
                <w:rFonts w:hint="eastAsia" w:cs="宋体"/>
                <w:color w:val="000000"/>
                <w:kern w:val="0"/>
                <w:sz w:val="24"/>
                <w:szCs w:val="24"/>
                <w:highlight w:val="none"/>
                <w:lang w:val="en-US" w:eastAsia="zh-CN"/>
              </w:rPr>
              <w:t>如有</w:t>
            </w:r>
            <w:r>
              <w:rPr>
                <w:rFonts w:hint="eastAsia" w:cs="宋体"/>
                <w:color w:val="000000"/>
                <w:kern w:val="0"/>
                <w:sz w:val="24"/>
                <w:szCs w:val="24"/>
                <w:highlight w:val="none"/>
                <w:lang w:eastAsia="zh-CN"/>
              </w:rPr>
              <w:t>）</w:t>
            </w:r>
          </w:p>
        </w:tc>
      </w:tr>
      <w:tr w14:paraId="2260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354CA40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62" w:type="pct"/>
            <w:noWrap w:val="0"/>
            <w:vAlign w:val="center"/>
          </w:tcPr>
          <w:p w14:paraId="3B01A20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响应完整性</w:t>
            </w:r>
          </w:p>
        </w:tc>
        <w:tc>
          <w:tcPr>
            <w:tcW w:w="3343" w:type="pct"/>
            <w:noWrap w:val="0"/>
            <w:vAlign w:val="center"/>
          </w:tcPr>
          <w:p w14:paraId="7DEDA32C">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未将一个采购包中的内容拆分响应；</w:t>
            </w:r>
          </w:p>
        </w:tc>
      </w:tr>
      <w:tr w14:paraId="737B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12B32F6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62" w:type="pct"/>
            <w:noWrap w:val="0"/>
            <w:vAlign w:val="center"/>
          </w:tcPr>
          <w:p w14:paraId="7B5A53BB">
            <w:pPr>
              <w:widowControl/>
              <w:jc w:val="center"/>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eastAsia="zh-CN"/>
              </w:rPr>
              <w:t>响应总</w:t>
            </w:r>
            <w:r>
              <w:rPr>
                <w:rFonts w:hint="eastAsia" w:ascii="宋体" w:hAnsi="宋体" w:eastAsia="宋体" w:cs="宋体"/>
                <w:color w:val="auto"/>
                <w:kern w:val="0"/>
                <w:sz w:val="24"/>
                <w:szCs w:val="24"/>
                <w:highlight w:val="none"/>
              </w:rPr>
              <w:t>报价</w:t>
            </w:r>
          </w:p>
        </w:tc>
        <w:tc>
          <w:tcPr>
            <w:tcW w:w="3343" w:type="pct"/>
            <w:noWrap w:val="0"/>
            <w:vAlign w:val="center"/>
          </w:tcPr>
          <w:p w14:paraId="478BEE1A">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w:t>
            </w:r>
            <w:r>
              <w:rPr>
                <w:rFonts w:hint="eastAsia" w:ascii="宋体" w:hAnsi="宋体" w:eastAsia="宋体" w:cs="宋体"/>
                <w:color w:val="auto"/>
                <w:sz w:val="24"/>
                <w:szCs w:val="24"/>
                <w:highlight w:val="none"/>
              </w:rPr>
              <w:t>超过竞争性磋商文件中规定的预算金额或者最高限价</w:t>
            </w:r>
            <w:r>
              <w:rPr>
                <w:rFonts w:hint="eastAsia" w:ascii="宋体" w:hAnsi="宋体" w:eastAsia="宋体" w:cs="宋体"/>
                <w:color w:val="auto"/>
                <w:kern w:val="0"/>
                <w:sz w:val="24"/>
                <w:szCs w:val="24"/>
                <w:highlight w:val="none"/>
              </w:rPr>
              <w:t>；</w:t>
            </w:r>
          </w:p>
        </w:tc>
      </w:tr>
      <w:tr w14:paraId="0F9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93" w:type="pct"/>
            <w:noWrap w:val="0"/>
            <w:vAlign w:val="center"/>
          </w:tcPr>
          <w:p w14:paraId="63CCD1F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262" w:type="pct"/>
            <w:noWrap w:val="0"/>
            <w:vAlign w:val="center"/>
          </w:tcPr>
          <w:p w14:paraId="5B7C48A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报价唯一性</w:t>
            </w:r>
          </w:p>
        </w:tc>
        <w:tc>
          <w:tcPr>
            <w:tcW w:w="3343" w:type="pct"/>
            <w:noWrap w:val="0"/>
            <w:vAlign w:val="center"/>
          </w:tcPr>
          <w:p w14:paraId="5729A7F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文件未</w:t>
            </w:r>
            <w:r>
              <w:rPr>
                <w:rFonts w:hint="eastAsia" w:ascii="宋体" w:hAnsi="宋体" w:eastAsia="宋体" w:cs="宋体"/>
                <w:color w:val="auto"/>
                <w:sz w:val="24"/>
                <w:szCs w:val="24"/>
                <w:highlight w:val="none"/>
              </w:rPr>
              <w:t>出现可选择性或可调整的报价（</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文件另有规定的除外）</w:t>
            </w:r>
            <w:r>
              <w:rPr>
                <w:rFonts w:hint="eastAsia" w:ascii="宋体" w:hAnsi="宋体" w:eastAsia="宋体" w:cs="宋体"/>
                <w:color w:val="auto"/>
                <w:kern w:val="0"/>
                <w:sz w:val="24"/>
                <w:szCs w:val="24"/>
                <w:highlight w:val="none"/>
              </w:rPr>
              <w:t>；</w:t>
            </w:r>
          </w:p>
        </w:tc>
      </w:tr>
      <w:tr w14:paraId="2032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7B4D0C8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262" w:type="pct"/>
            <w:noWrap w:val="0"/>
            <w:vAlign w:val="center"/>
          </w:tcPr>
          <w:p w14:paraId="661EF6E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有效期</w:t>
            </w:r>
          </w:p>
        </w:tc>
        <w:tc>
          <w:tcPr>
            <w:tcW w:w="3343" w:type="pct"/>
            <w:noWrap w:val="0"/>
            <w:vAlign w:val="center"/>
          </w:tcPr>
          <w:p w14:paraId="6C69A6E7">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符合第</w:t>
            </w:r>
            <w:r>
              <w:rPr>
                <w:rFonts w:hint="eastAsia"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章“供应商须知”第</w:t>
            </w:r>
            <w:r>
              <w:rPr>
                <w:rFonts w:hint="eastAsia" w:cs="宋体"/>
                <w:color w:val="auto"/>
                <w:kern w:val="0"/>
                <w:sz w:val="24"/>
                <w:szCs w:val="24"/>
                <w:highlight w:val="none"/>
                <w:lang w:val="en-US" w:eastAsia="zh-CN"/>
              </w:rPr>
              <w:t>12条</w:t>
            </w:r>
            <w:r>
              <w:rPr>
                <w:rFonts w:hint="eastAsia" w:ascii="宋体" w:hAnsi="宋体" w:eastAsia="宋体" w:cs="宋体"/>
                <w:color w:val="auto"/>
                <w:kern w:val="0"/>
                <w:sz w:val="24"/>
                <w:szCs w:val="24"/>
                <w:highlight w:val="none"/>
              </w:rPr>
              <w:t>规定；</w:t>
            </w:r>
          </w:p>
        </w:tc>
      </w:tr>
      <w:tr w14:paraId="67F3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93" w:type="pct"/>
            <w:noWrap w:val="0"/>
            <w:vAlign w:val="center"/>
          </w:tcPr>
          <w:p w14:paraId="3ACBBC0B">
            <w:pPr>
              <w:widowControl/>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6</w:t>
            </w:r>
          </w:p>
        </w:tc>
        <w:tc>
          <w:tcPr>
            <w:tcW w:w="1262" w:type="pct"/>
            <w:noWrap w:val="0"/>
            <w:vAlign w:val="center"/>
          </w:tcPr>
          <w:p w14:paraId="338A7D3B">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报价的修正（如有）</w:t>
            </w:r>
          </w:p>
        </w:tc>
        <w:tc>
          <w:tcPr>
            <w:tcW w:w="3343" w:type="pct"/>
            <w:noWrap w:val="0"/>
            <w:vAlign w:val="center"/>
          </w:tcPr>
          <w:p w14:paraId="20C9C58E">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不涉及报价修正，或</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文件报价出现前后不一致时，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对修正后的报价予以确认；（如有）</w:t>
            </w:r>
          </w:p>
        </w:tc>
      </w:tr>
      <w:tr w14:paraId="6263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393" w:type="pct"/>
            <w:noWrap w:val="0"/>
            <w:vAlign w:val="center"/>
          </w:tcPr>
          <w:p w14:paraId="50DDA020">
            <w:pPr>
              <w:widowControl/>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7</w:t>
            </w:r>
          </w:p>
        </w:tc>
        <w:tc>
          <w:tcPr>
            <w:tcW w:w="1262" w:type="pct"/>
            <w:noWrap w:val="0"/>
            <w:vAlign w:val="center"/>
          </w:tcPr>
          <w:p w14:paraId="28011E9F">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报价合理性</w:t>
            </w:r>
          </w:p>
        </w:tc>
        <w:tc>
          <w:tcPr>
            <w:tcW w:w="3343" w:type="pct"/>
            <w:noWrap w:val="0"/>
            <w:vAlign w:val="center"/>
          </w:tcPr>
          <w:p w14:paraId="6EABCEE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报价合理，或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的报价，有可能影响产品质量或者不能诚信履约的，能够应</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要求在规定时间内证明其报价合理性的</w:t>
            </w:r>
            <w:r>
              <w:rPr>
                <w:rFonts w:hint="eastAsia" w:ascii="宋体" w:hAnsi="宋体" w:eastAsia="宋体" w:cs="宋体"/>
                <w:color w:val="auto"/>
                <w:kern w:val="0"/>
                <w:sz w:val="24"/>
                <w:szCs w:val="24"/>
                <w:highlight w:val="none"/>
              </w:rPr>
              <w:t>；</w:t>
            </w:r>
          </w:p>
        </w:tc>
      </w:tr>
      <w:tr w14:paraId="77E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93" w:type="pct"/>
            <w:noWrap w:val="0"/>
            <w:vAlign w:val="center"/>
          </w:tcPr>
          <w:p w14:paraId="21E094B5">
            <w:pPr>
              <w:widowControl/>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8</w:t>
            </w:r>
          </w:p>
        </w:tc>
        <w:tc>
          <w:tcPr>
            <w:tcW w:w="1262" w:type="pct"/>
            <w:noWrap w:val="0"/>
            <w:vAlign w:val="center"/>
          </w:tcPr>
          <w:p w14:paraId="5629222E">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进口产品</w:t>
            </w:r>
          </w:p>
        </w:tc>
        <w:tc>
          <w:tcPr>
            <w:tcW w:w="3343" w:type="pct"/>
            <w:noWrap w:val="0"/>
            <w:vAlign w:val="center"/>
          </w:tcPr>
          <w:p w14:paraId="2417868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文件不接受进口产品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的内容时，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w:t>
            </w:r>
            <w:r>
              <w:rPr>
                <w:rFonts w:hint="eastAsia" w:ascii="宋体" w:hAnsi="宋体" w:eastAsia="宋体" w:cs="宋体"/>
                <w:color w:val="auto"/>
                <w:sz w:val="24"/>
                <w:szCs w:val="24"/>
                <w:highlight w:val="none"/>
                <w:lang w:eastAsia="zh-CN"/>
              </w:rPr>
              <w:t>不含</w:t>
            </w:r>
            <w:r>
              <w:rPr>
                <w:rFonts w:hint="eastAsia" w:ascii="宋体" w:hAnsi="宋体" w:eastAsia="宋体" w:cs="宋体"/>
                <w:color w:val="auto"/>
                <w:sz w:val="24"/>
                <w:szCs w:val="24"/>
                <w:highlight w:val="none"/>
              </w:rPr>
              <w:t>进口产品；</w:t>
            </w:r>
          </w:p>
        </w:tc>
      </w:tr>
      <w:tr w14:paraId="34CB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393" w:type="pct"/>
            <w:noWrap w:val="0"/>
            <w:vAlign w:val="center"/>
          </w:tcPr>
          <w:p w14:paraId="137C8E2B">
            <w:pPr>
              <w:widowControl/>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9</w:t>
            </w:r>
          </w:p>
        </w:tc>
        <w:tc>
          <w:tcPr>
            <w:tcW w:w="1262" w:type="pct"/>
            <w:noWrap w:val="0"/>
            <w:vAlign w:val="center"/>
          </w:tcPr>
          <w:p w14:paraId="17463E0D">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公平竞争</w:t>
            </w:r>
          </w:p>
        </w:tc>
        <w:tc>
          <w:tcPr>
            <w:tcW w:w="3343" w:type="pct"/>
            <w:noWrap w:val="0"/>
            <w:vAlign w:val="center"/>
          </w:tcPr>
          <w:p w14:paraId="774ED8FD">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遵循公平竞争的原则，不存在恶意串通，妨碍其他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的竞争行为，不存在损害采购人或者其他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的合法权益情形的；</w:t>
            </w:r>
          </w:p>
        </w:tc>
      </w:tr>
      <w:tr w14:paraId="335F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05B10492">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0</w:t>
            </w:r>
          </w:p>
        </w:tc>
        <w:tc>
          <w:tcPr>
            <w:tcW w:w="1262" w:type="pct"/>
            <w:noWrap w:val="0"/>
            <w:vAlign w:val="center"/>
          </w:tcPr>
          <w:p w14:paraId="6CB6DA6A">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附加条件</w:t>
            </w:r>
          </w:p>
        </w:tc>
        <w:tc>
          <w:tcPr>
            <w:tcW w:w="3343" w:type="pct"/>
            <w:noWrap w:val="0"/>
            <w:vAlign w:val="center"/>
          </w:tcPr>
          <w:p w14:paraId="28F95010">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响应文件未含有采购人不能接受的附加条件；</w:t>
            </w:r>
          </w:p>
        </w:tc>
      </w:tr>
      <w:tr w14:paraId="5C91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66BFC076">
            <w:pPr>
              <w:widowControl/>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11</w:t>
            </w:r>
          </w:p>
        </w:tc>
        <w:tc>
          <w:tcPr>
            <w:tcW w:w="1262" w:type="pct"/>
            <w:noWrap w:val="0"/>
            <w:vAlign w:val="center"/>
          </w:tcPr>
          <w:p w14:paraId="7481778E">
            <w:pPr>
              <w:widowControl/>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磋商保证金</w:t>
            </w:r>
          </w:p>
        </w:tc>
        <w:tc>
          <w:tcPr>
            <w:tcW w:w="3343" w:type="pct"/>
            <w:noWrap w:val="0"/>
            <w:vAlign w:val="center"/>
          </w:tcPr>
          <w:p w14:paraId="1331B09C">
            <w:pPr>
              <w:keepNext w:val="0"/>
              <w:keepLines w:val="0"/>
              <w:pageBreakBefore w:val="0"/>
              <w:widowControl/>
              <w:kinsoku/>
              <w:wordWrap/>
              <w:overflowPunct/>
              <w:topLinePunct/>
              <w:autoSpaceDE/>
              <w:autoSpaceDN/>
              <w:bidi w:val="0"/>
              <w:adjustRightInd/>
              <w:snapToGrid/>
              <w:spacing w:line="440" w:lineRule="exact"/>
              <w:jc w:val="both"/>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按照竞争性磋商文件要求提交了磋商保证金；</w:t>
            </w:r>
          </w:p>
        </w:tc>
      </w:tr>
      <w:tr w14:paraId="70A9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noWrap w:val="0"/>
            <w:vAlign w:val="center"/>
          </w:tcPr>
          <w:p w14:paraId="0EF94F3F">
            <w:pPr>
              <w:widowControl/>
              <w:jc w:val="center"/>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12</w:t>
            </w:r>
          </w:p>
        </w:tc>
        <w:tc>
          <w:tcPr>
            <w:tcW w:w="1262" w:type="pct"/>
            <w:noWrap w:val="0"/>
            <w:vAlign w:val="center"/>
          </w:tcPr>
          <w:p w14:paraId="050A18C8">
            <w:pPr>
              <w:widowControl/>
              <w:jc w:val="center"/>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实质性响应</w:t>
            </w:r>
          </w:p>
        </w:tc>
        <w:tc>
          <w:tcPr>
            <w:tcW w:w="3343" w:type="pct"/>
            <w:noWrap w:val="0"/>
            <w:vAlign w:val="center"/>
          </w:tcPr>
          <w:p w14:paraId="5E0795A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满足磋商文件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rPr>
              <w:t>号条款或磋商文件技术指标未超出磋商文件《采购需求》中主要技术参数允许偏差的最大范围的（如有）</w:t>
            </w:r>
            <w:r>
              <w:rPr>
                <w:rFonts w:hint="eastAsia" w:cs="宋体"/>
                <w:color w:val="auto"/>
                <w:kern w:val="2"/>
                <w:sz w:val="24"/>
                <w:szCs w:val="24"/>
                <w:highlight w:val="none"/>
                <w:lang w:val="en-US" w:eastAsia="zh-CN"/>
              </w:rPr>
              <w:t>；</w:t>
            </w:r>
          </w:p>
        </w:tc>
      </w:tr>
      <w:tr w14:paraId="25F2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93" w:type="pct"/>
            <w:noWrap w:val="0"/>
            <w:vAlign w:val="center"/>
          </w:tcPr>
          <w:p w14:paraId="658D0A74">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3</w:t>
            </w:r>
          </w:p>
        </w:tc>
        <w:tc>
          <w:tcPr>
            <w:tcW w:w="1262" w:type="pct"/>
            <w:noWrap w:val="0"/>
            <w:vAlign w:val="center"/>
          </w:tcPr>
          <w:p w14:paraId="7A1E3DAB">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其他无效情形</w:t>
            </w:r>
          </w:p>
        </w:tc>
        <w:tc>
          <w:tcPr>
            <w:tcW w:w="3343" w:type="pct"/>
            <w:noWrap w:val="0"/>
            <w:vAlign w:val="center"/>
          </w:tcPr>
          <w:p w14:paraId="4F58817E">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供应商、响应文件不存在不符合法律、法规和竞争性磋商文件规定的其它无效情形。</w:t>
            </w:r>
          </w:p>
        </w:tc>
      </w:tr>
    </w:tbl>
    <w:p w14:paraId="3716647E">
      <w:pPr>
        <w:spacing w:line="360" w:lineRule="auto"/>
        <w:rPr>
          <w:rFonts w:hint="eastAsia" w:ascii="宋体" w:hAnsi="宋体" w:eastAsia="宋体" w:cs="宋体"/>
          <w:color w:val="auto"/>
          <w:highlight w:val="none"/>
        </w:rPr>
      </w:pPr>
    </w:p>
    <w:p w14:paraId="6337CF9C">
      <w:pPr>
        <w:pStyle w:val="3"/>
        <w:adjustRightInd w:val="0"/>
        <w:snapToGrid w:val="0"/>
        <w:spacing w:before="0" w:after="0" w:line="240" w:lineRule="auto"/>
        <w:ind w:left="0" w:leftChars="0" w:firstLine="0" w:firstLineChars="0"/>
        <w:jc w:val="left"/>
        <w:rPr>
          <w:rFonts w:hint="eastAsia" w:ascii="宋体" w:hAnsi="宋体" w:eastAsia="宋体" w:cs="宋体"/>
          <w:color w:val="auto"/>
          <w:szCs w:val="32"/>
          <w:highlight w:val="none"/>
        </w:rPr>
      </w:pPr>
      <w:bookmarkStart w:id="46" w:name="_Toc17433_WPSOffice_Level2"/>
      <w:r>
        <w:rPr>
          <w:rFonts w:hint="eastAsia" w:ascii="宋体" w:hAnsi="宋体" w:eastAsia="宋体" w:cs="宋体"/>
          <w:b/>
          <w:bCs/>
          <w:color w:val="auto"/>
          <w:sz w:val="28"/>
          <w:szCs w:val="28"/>
          <w:highlight w:val="none"/>
        </w:rPr>
        <w:t>评审方法附</w:t>
      </w:r>
      <w:r>
        <w:rPr>
          <w:rFonts w:hint="eastAsia" w:ascii="宋体" w:hAnsi="宋体" w:eastAsia="宋体" w:cs="宋体"/>
          <w:b/>
          <w:bCs/>
          <w:color w:val="auto"/>
          <w:sz w:val="28"/>
          <w:szCs w:val="28"/>
          <w:highlight w:val="none"/>
          <w:lang w:val="en-US" w:eastAsia="zh-CN"/>
        </w:rPr>
        <w:t>表3：</w:t>
      </w:r>
    </w:p>
    <w:p w14:paraId="5F18335B">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评分细则</w:t>
      </w:r>
      <w:bookmarkEnd w:id="46"/>
    </w:p>
    <w:p w14:paraId="4322A6D8">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（综合评分法）</w:t>
      </w:r>
    </w:p>
    <w:tbl>
      <w:tblPr>
        <w:tblStyle w:val="22"/>
        <w:tblpPr w:leftFromText="180" w:rightFromText="180" w:vertAnchor="text" w:horzAnchor="margin" w:tblpXSpec="center" w:tblpY="1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264"/>
        <w:gridCol w:w="6426"/>
        <w:gridCol w:w="828"/>
      </w:tblGrid>
      <w:tr w14:paraId="63C2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14:paraId="1405E8C5">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372EBEF">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分项名称</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3908E847">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评分标准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902C1F">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满分</w:t>
            </w:r>
          </w:p>
        </w:tc>
      </w:tr>
      <w:tr w14:paraId="1096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14:paraId="0E6B575B">
            <w:pPr>
              <w:keepNext w:val="0"/>
              <w:keepLines w:val="0"/>
              <w:pageBreakBefore w:val="0"/>
              <w:widowControl w:val="0"/>
              <w:tabs>
                <w:tab w:val="left" w:pos="440"/>
              </w:tabs>
              <w:kinsoku/>
              <w:wordWrap w:val="0"/>
              <w:overflowPunct/>
              <w:topLinePunct/>
              <w:autoSpaceDE/>
              <w:autoSpaceDN/>
              <w:bidi/>
              <w:adjustRightInd/>
              <w:snapToGrid/>
              <w:spacing w:line="440" w:lineRule="exact"/>
              <w:jc w:val="right"/>
              <w:textAlignment w:val="auto"/>
              <w:rPr>
                <w:rFonts w:hint="eastAsia" w:ascii="宋体" w:hAnsi="宋体" w:eastAsia="宋体" w:cs="宋体"/>
                <w:color w:val="auto"/>
                <w:sz w:val="24"/>
                <w:szCs w:val="24"/>
                <w:highlight w:val="none"/>
                <w:lang w:val="en-US" w:eastAsia="zh-CN"/>
              </w:rPr>
            </w:pPr>
            <w:bookmarkStart w:id="47" w:name="_Hlk99703315"/>
            <w:r>
              <w:rPr>
                <w:rFonts w:hint="eastAsia" w:ascii="宋体" w:hAnsi="宋体" w:eastAsia="宋体" w:cs="宋体"/>
                <w:color w:val="auto"/>
                <w:sz w:val="24"/>
                <w:szCs w:val="24"/>
                <w:highlight w:val="none"/>
                <w:lang w:val="en-US" w:eastAsia="zh-CN"/>
              </w:rPr>
              <w:t>商务部分</w:t>
            </w:r>
            <w:bookmarkEnd w:id="47"/>
          </w:p>
        </w:tc>
        <w:tc>
          <w:tcPr>
            <w:tcW w:w="1264" w:type="dxa"/>
            <w:tcBorders>
              <w:top w:val="single" w:color="auto" w:sz="4" w:space="0"/>
              <w:left w:val="single" w:color="auto" w:sz="4" w:space="0"/>
              <w:bottom w:val="single" w:color="auto" w:sz="4" w:space="0"/>
              <w:right w:val="single" w:color="auto" w:sz="4" w:space="0"/>
            </w:tcBorders>
            <w:noWrap w:val="0"/>
            <w:vAlign w:val="center"/>
          </w:tcPr>
          <w:p w14:paraId="05139382">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最后报价</w:t>
            </w:r>
          </w:p>
        </w:tc>
        <w:tc>
          <w:tcPr>
            <w:tcW w:w="6426" w:type="dxa"/>
            <w:tcBorders>
              <w:top w:val="single" w:color="auto" w:sz="4" w:space="0"/>
              <w:left w:val="single" w:color="auto" w:sz="4" w:space="0"/>
              <w:bottom w:val="single" w:color="auto" w:sz="4" w:space="0"/>
              <w:right w:val="single" w:color="auto" w:sz="4" w:space="0"/>
            </w:tcBorders>
            <w:noWrap w:val="0"/>
            <w:vAlign w:val="top"/>
          </w:tcPr>
          <w:p w14:paraId="70A1C31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1.价格分采用低价优先法计算，即满足竞争性磋商文件要求且最后报价最低（低于成本的除外）的响应总价为磋商基准价，其价格分为满分。其他供应商的价格分统一按照下列公式计算：</w:t>
            </w:r>
          </w:p>
          <w:p w14:paraId="595D88EE">
            <w:pPr>
              <w:keepNext w:val="0"/>
              <w:keepLines w:val="0"/>
              <w:pageBreakBefore w:val="0"/>
              <w:widowControl/>
              <w:kinsoku/>
              <w:wordWrap/>
              <w:overflowPunct/>
              <w:topLinePunct/>
              <w:autoSpaceDE/>
              <w:autoSpaceDN/>
              <w:bidi w:val="0"/>
              <w:adjustRightInd/>
              <w:snapToGri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最后报价得分=（磋商基准价/最后报价）</w:t>
            </w:r>
            <w:r>
              <w:rPr>
                <w:rFonts w:hint="eastAsia" w:cs="宋体"/>
                <w:color w:val="auto"/>
                <w:sz w:val="24"/>
                <w:szCs w:val="24"/>
                <w:highlight w:val="none"/>
                <w:lang w:val="en-US" w:eastAsia="zh-CN"/>
              </w:rPr>
              <w:t>×30</w:t>
            </w:r>
          </w:p>
          <w:p w14:paraId="15562E0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2.得分取两位小数点，第三位四舍五入。</w:t>
            </w:r>
          </w:p>
          <w:p w14:paraId="78D6509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3.此处最后报价指经过报价修正，详见第三章《评审方法和评审标准》。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FD8201">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r>
      <w:tr w14:paraId="72E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restart"/>
            <w:tcBorders>
              <w:top w:val="single" w:color="auto" w:sz="4" w:space="0"/>
              <w:left w:val="single" w:color="auto" w:sz="4" w:space="0"/>
              <w:right w:val="single" w:color="auto" w:sz="4" w:space="0"/>
            </w:tcBorders>
            <w:noWrap w:val="0"/>
            <w:vAlign w:val="center"/>
          </w:tcPr>
          <w:p w14:paraId="50B9F86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32"/>
                <w:highlight w:val="none"/>
              </w:rPr>
              <w:t>技术部分</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6D6A1BD">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项目理解和建议</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6AB8B9BA">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理解和建议方案，方案内容包含：供应商对采购人采购需求要求的分析：对项目现状及整体建设的分析、对项目需求的分析（包括不限于业务需求、数据需求、性能需求）；对项目的合理化建议：项目重点、难点分析、项目建议和保障措施；对政策要求的分析：国家、省、市相关政策分析；对采购人现状的分析：现状建设及问题。</w:t>
            </w:r>
          </w:p>
          <w:p w14:paraId="0E2D871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第一档次：方案全面，有针对性，与采购人实际情况契合度高，能完全满足本项目需要，得10分； </w:t>
            </w:r>
          </w:p>
          <w:p w14:paraId="6FF63E47">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第二档次：方案全面，有一定针对性，与采购人实际情况契合度一般，基本满足本项目需要，但存在改善空间，有明显缺陷，得7分； </w:t>
            </w:r>
          </w:p>
          <w:p w14:paraId="6500E5F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第三档次：方案全面，但方案没有针对性，与采购人实际情况契合度低，存在较多不足，缺陷多，得4分； </w:t>
            </w:r>
          </w:p>
          <w:p w14:paraId="4CC7713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第四档次：没有提供相关内容的，得0分。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38E6B4">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r>
      <w:tr w14:paraId="0FA1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79" w:type="dxa"/>
            <w:vMerge w:val="continue"/>
            <w:tcBorders>
              <w:left w:val="single" w:color="auto" w:sz="4" w:space="0"/>
              <w:right w:val="single" w:color="auto" w:sz="4" w:space="0"/>
            </w:tcBorders>
            <w:noWrap w:val="0"/>
            <w:vAlign w:val="center"/>
          </w:tcPr>
          <w:p w14:paraId="7A248EEC">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32"/>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05CCB0E">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建设方案</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5EA29272">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供应商提供玉屏街道岩湾安置区综合治理系统建设方案，方案内容包含：（1）全景监控系统：系统概述、系统技术路线、配套设施等；（</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）云存储系统建设及后端建设：系统概述、系统设计目标、系统设计原则、系统构架设计、系统性能等。</w:t>
            </w:r>
          </w:p>
          <w:p w14:paraId="3CA59789">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第一档次：方案全面，有针对性，重点突出，能完全满足本项目需要，得15分； </w:t>
            </w:r>
          </w:p>
          <w:p w14:paraId="2A090FF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第二档次：方案全面，有一定针对性，基本满足本项目需要，但存在改善空间，有明显缺陷，得10分； </w:t>
            </w:r>
          </w:p>
          <w:p w14:paraId="12DFADC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第三档次：方案全面，但方案没有针对性，存在较多不足，缺陷多，得6分； </w:t>
            </w:r>
          </w:p>
          <w:p w14:paraId="5FE695A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第四档次：没有提供相关内容的，得0分</w:t>
            </w:r>
            <w:r>
              <w:rPr>
                <w:rFonts w:hint="eastAsia" w:cs="宋体"/>
                <w:color w:val="auto"/>
                <w:sz w:val="24"/>
                <w:szCs w:val="24"/>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E03784">
            <w:pPr>
              <w:keepNext w:val="0"/>
              <w:keepLines w:val="0"/>
              <w:pageBreakBefore w:val="0"/>
              <w:widowControl w:val="0"/>
              <w:tabs>
                <w:tab w:val="left" w:pos="440"/>
              </w:tabs>
              <w:kinsoku/>
              <w:wordWrap w:val="0"/>
              <w:overflowPunct/>
              <w:topLinePunct/>
              <w:autoSpaceDE/>
              <w:autoSpaceDN/>
              <w:bidi/>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r>
      <w:tr w14:paraId="0065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continue"/>
            <w:tcBorders>
              <w:left w:val="single" w:color="auto" w:sz="4" w:space="0"/>
              <w:right w:val="single" w:color="auto" w:sz="4" w:space="0"/>
            </w:tcBorders>
            <w:noWrap w:val="0"/>
            <w:vAlign w:val="center"/>
          </w:tcPr>
          <w:p w14:paraId="052A757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32"/>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D4C1DC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重要</w:t>
            </w:r>
            <w:r>
              <w:rPr>
                <w:rFonts w:hint="eastAsia" w:ascii="宋体" w:hAnsi="宋体" w:eastAsia="宋体" w:cs="宋体"/>
                <w:color w:val="auto"/>
                <w:kern w:val="0"/>
                <w:sz w:val="24"/>
                <w:szCs w:val="24"/>
                <w:highlight w:val="none"/>
                <w:lang w:val="en-US" w:eastAsia="zh-CN"/>
              </w:rPr>
              <w:t>技术参数响应程度</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2F1BF36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val="en-US" w:eastAsia="zh-CN"/>
              </w:rPr>
              <w:t>文件第</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章中的</w:t>
            </w:r>
            <w:r>
              <w:rPr>
                <w:rFonts w:hint="eastAsia" w:cs="宋体"/>
                <w:color w:val="auto"/>
                <w:sz w:val="24"/>
                <w:szCs w:val="24"/>
                <w:highlight w:val="none"/>
                <w:lang w:val="en-US" w:eastAsia="zh-CN"/>
              </w:rPr>
              <w:t>标记为</w:t>
            </w:r>
            <w:r>
              <w:rPr>
                <w:rFonts w:hint="eastAsia" w:ascii="宋体" w:hAnsi="宋体" w:eastAsia="宋体" w:cs="宋体"/>
                <w:color w:val="auto"/>
                <w:sz w:val="24"/>
                <w:szCs w:val="24"/>
                <w:highlight w:val="none"/>
                <w:lang w:val="en-US" w:eastAsia="zh-CN"/>
              </w:rPr>
              <w:t>“★”号的</w:t>
            </w:r>
            <w:r>
              <w:rPr>
                <w:rFonts w:hint="eastAsia" w:cs="宋体"/>
                <w:color w:val="auto"/>
                <w:sz w:val="24"/>
                <w:szCs w:val="24"/>
                <w:highlight w:val="none"/>
                <w:lang w:val="en-US" w:eastAsia="zh-CN"/>
              </w:rPr>
              <w:t>重要技术</w:t>
            </w:r>
            <w:r>
              <w:rPr>
                <w:rFonts w:hint="eastAsia" w:ascii="宋体" w:hAnsi="宋体" w:eastAsia="宋体" w:cs="宋体"/>
                <w:color w:val="auto"/>
                <w:sz w:val="24"/>
                <w:szCs w:val="24"/>
                <w:highlight w:val="none"/>
                <w:lang w:val="en-US" w:eastAsia="zh-CN"/>
              </w:rPr>
              <w:t>参数共计</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项，本项满分1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分。投标产品无偏离或正偏离得分但不加分，负偏离每有1项扣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分。本项扣到0分为止。</w:t>
            </w:r>
          </w:p>
          <w:p w14:paraId="5A88A11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如采购需求中有明确要求提供证明材料的，则以采购需求要求的为准；如采购需求中无明确要求证明材料的，则提供投标产品彩页或检测报告或产品使用说明书或厂家公开发布的印刷资料作为技术证明文件，并标记出参数所在位置，未提供上述技术证明文件的视为不响应，不得分(如相关技术证明文件为英文版，请同时提供中文版，不提供不得分），证明材料中请使用框图标记，以便评</w:t>
            </w:r>
            <w:r>
              <w:rPr>
                <w:rFonts w:hint="eastAsia" w:cs="宋体"/>
                <w:color w:val="auto"/>
                <w:sz w:val="24"/>
                <w:szCs w:val="24"/>
                <w:highlight w:val="none"/>
                <w:lang w:val="en-US" w:eastAsia="zh-CN"/>
              </w:rPr>
              <w:t>审</w:t>
            </w:r>
            <w:r>
              <w:rPr>
                <w:rFonts w:hint="eastAsia" w:ascii="宋体" w:hAnsi="宋体" w:eastAsia="宋体" w:cs="宋体"/>
                <w:color w:val="auto"/>
                <w:sz w:val="24"/>
                <w:szCs w:val="24"/>
                <w:highlight w:val="none"/>
                <w:lang w:val="en-US" w:eastAsia="zh-CN"/>
              </w:rPr>
              <w:t>时对应评审</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如</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仅提供了技术偏离表而未提供对应的支持材料，或简单复制</w:t>
            </w: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val="en-US" w:eastAsia="zh-CN"/>
              </w:rPr>
              <w:t>文件内容作为响应的无论是否存在负偏离均视为负偏离</w:t>
            </w:r>
            <w:r>
              <w:rPr>
                <w:rFonts w:hint="eastAsia" w:cs="宋体"/>
                <w:color w:val="auto"/>
                <w:sz w:val="24"/>
                <w:szCs w:val="24"/>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90F5A2">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tc>
      </w:tr>
      <w:tr w14:paraId="3AF5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continue"/>
            <w:tcBorders>
              <w:left w:val="single" w:color="auto" w:sz="4" w:space="0"/>
              <w:right w:val="single" w:color="auto" w:sz="4" w:space="0"/>
            </w:tcBorders>
            <w:noWrap w:val="0"/>
            <w:vAlign w:val="center"/>
          </w:tcPr>
          <w:p w14:paraId="4D4674C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32"/>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86A369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一般性技术参数响应程度</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38CD249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竞争性磋商文件第四章</w:t>
            </w:r>
            <w:r>
              <w:rPr>
                <w:rFonts w:hint="eastAsia" w:ascii="宋体" w:hAnsi="宋体" w:eastAsia="宋体" w:cs="宋体"/>
                <w:color w:val="auto"/>
                <w:sz w:val="24"/>
                <w:szCs w:val="24"/>
                <w:highlight w:val="none"/>
                <w:lang w:val="en-US" w:eastAsia="zh-CN"/>
              </w:rPr>
              <w:t>中未标记为“★”</w:t>
            </w:r>
            <w:r>
              <w:rPr>
                <w:rFonts w:hint="eastAsia" w:cs="宋体"/>
                <w:color w:val="auto"/>
                <w:sz w:val="24"/>
                <w:szCs w:val="24"/>
                <w:highlight w:val="none"/>
                <w:lang w:val="en-US" w:eastAsia="zh-CN"/>
              </w:rPr>
              <w:t>号</w:t>
            </w:r>
            <w:r>
              <w:rPr>
                <w:rFonts w:hint="eastAsia" w:ascii="宋体" w:hAnsi="宋体" w:eastAsia="宋体" w:cs="宋体"/>
                <w:color w:val="auto"/>
                <w:sz w:val="24"/>
                <w:szCs w:val="24"/>
                <w:highlight w:val="none"/>
                <w:lang w:val="en-US" w:eastAsia="zh-CN"/>
              </w:rPr>
              <w:t>的为一般性技术参数，无偏离或正偏离得分但不加分，负偏离扣分处理。</w:t>
            </w:r>
          </w:p>
          <w:p w14:paraId="69F6DA43">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第一档次：对未标记为“★”内容的技术参数无负偏离，得</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p w14:paraId="2FD7295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第二档次：对未标记为“★”内容的技术参数负偏离≤2项，得</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5FF223C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第三档次：对未标记为“★”内容的技术参数负偏离≤4项，得</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388336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第四档次：对未标记为“★”内容的技术参数负偏离≤6项，得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5E112D59">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第五档次：对未标记为“★”内容的技术参数负偏离≤8项，得2分；</w:t>
            </w:r>
          </w:p>
          <w:p w14:paraId="66065CD1">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第六档次：对未标记为“★”内容的技术参数负偏离＞8项</w:t>
            </w:r>
            <w:r>
              <w:rPr>
                <w:rFonts w:hint="eastAsia" w:cs="宋体"/>
                <w:color w:val="auto"/>
                <w:sz w:val="24"/>
                <w:szCs w:val="24"/>
                <w:highlight w:val="none"/>
                <w:lang w:val="en-US" w:eastAsia="zh-CN"/>
              </w:rPr>
              <w:t>，得1分</w:t>
            </w:r>
            <w:r>
              <w:rPr>
                <w:rFonts w:hint="eastAsia" w:ascii="宋体" w:hAnsi="宋体" w:eastAsia="宋体" w:cs="宋体"/>
                <w:color w:val="auto"/>
                <w:sz w:val="24"/>
                <w:szCs w:val="24"/>
                <w:highlight w:val="none"/>
                <w:lang w:val="en-US" w:eastAsia="zh-CN"/>
              </w:rPr>
              <w:t>。</w:t>
            </w:r>
          </w:p>
          <w:p w14:paraId="633B990A">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如采购需求中有明确要求提供证明材料的，则以采购需求要求的为准；如采购需求中无明确要求证明材料的，则提供投标产品彩页或检测报告或产品使用说明书或厂家公开发布的印刷资料作为技术证明文件，并标记出参数所在位置，未提供上述技术证明文件的视为不响应，不得分(如相关技术证明文件为英文版，请同时提供中文版，不提供不得分），证明材料中请使用框图标记，以便评审时对应评审。如供应商仅提供了技术偏离表而未提供对应的支持材料，或简单复制竞争性磋商文件内容作为响应的无论是否存在负偏离均视为负偏离。</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CF3EE2">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w:t>
            </w:r>
          </w:p>
        </w:tc>
      </w:tr>
      <w:tr w14:paraId="2F00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continue"/>
            <w:tcBorders>
              <w:left w:val="single" w:color="auto" w:sz="4" w:space="0"/>
              <w:right w:val="single" w:color="auto" w:sz="4" w:space="0"/>
            </w:tcBorders>
            <w:noWrap w:val="0"/>
            <w:vAlign w:val="center"/>
          </w:tcPr>
          <w:p w14:paraId="1616039D">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135A158">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质量保证措施及承诺</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38C7E03D">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根据供应商所投产品质量保证措施及承诺进行综合评价：对所投产品的质量保证措施方案、质量保证承诺、具体违约承诺进行评价；</w:t>
            </w:r>
          </w:p>
          <w:p w14:paraId="39BC8BB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第一档次：所投产品的质量保证措施方案内容详实，质量保证承诺完善，违约承诺具体，得5分；</w:t>
            </w:r>
          </w:p>
          <w:p w14:paraId="3F0ED20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第二档次：所投产品的质量保证措施方案可行性存在改善空间，有明显缺陷，质量保证承诺较完善，有违约承诺的，得3分；</w:t>
            </w:r>
          </w:p>
          <w:p w14:paraId="3F051EB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第三档次：所投产品的质量保证措施方案不完整，质量保证承诺有欠缺，违约责任承诺不具体或缺失的，得1分；</w:t>
            </w:r>
          </w:p>
          <w:p w14:paraId="5F87D9B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第四档次：没有提供相关内容的，得0分</w:t>
            </w:r>
            <w:r>
              <w:rPr>
                <w:rFonts w:hint="eastAsia" w:cs="宋体"/>
                <w:sz w:val="24"/>
                <w:szCs w:val="24"/>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5890FB">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r w14:paraId="14D4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continue"/>
            <w:tcBorders>
              <w:left w:val="single" w:color="auto" w:sz="4" w:space="0"/>
              <w:right w:val="single" w:color="auto" w:sz="4" w:space="0"/>
            </w:tcBorders>
            <w:noWrap w:val="0"/>
            <w:vAlign w:val="center"/>
          </w:tcPr>
          <w:p w14:paraId="0349C7F0">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1AE99DC">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项目组织机构及主要人员</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756F8BC6">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第一个档次：团队成员配备充足、人员资格能力优秀、职责非常清晰、分工明确、专业齐全、搭配合理的得5分；</w:t>
            </w:r>
          </w:p>
          <w:p w14:paraId="1859B85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第二个档次：团队成员配备基本充足、人员资格能力一般、职责基本清晰、分工基本明确、专业基本齐全、搭配基本合理的，得3分；</w:t>
            </w:r>
          </w:p>
          <w:p w14:paraId="3C426A25">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第三个档次：团队成员配备不太充足、</w:t>
            </w:r>
            <w:r>
              <w:rPr>
                <w:rFonts w:hint="eastAsia" w:cs="宋体"/>
                <w:sz w:val="24"/>
                <w:szCs w:val="24"/>
                <w:highlight w:val="none"/>
                <w:lang w:val="en-US" w:eastAsia="zh-CN"/>
              </w:rPr>
              <w:t>人</w:t>
            </w:r>
            <w:r>
              <w:rPr>
                <w:rFonts w:hint="eastAsia" w:ascii="宋体" w:hAnsi="宋体" w:eastAsia="宋体" w:cs="宋体"/>
                <w:sz w:val="24"/>
                <w:szCs w:val="24"/>
                <w:highlight w:val="none"/>
                <w:lang w:val="en-US" w:eastAsia="zh-CN"/>
              </w:rPr>
              <w:t>员资格能力较差、职责较模糊、分工不明确、搭配不合理的，得1分。</w:t>
            </w:r>
          </w:p>
          <w:p w14:paraId="5A11F86B">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第四档次：没有提供相关内容的，得0分。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5C9D84">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r w14:paraId="4D51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continue"/>
            <w:tcBorders>
              <w:left w:val="single" w:color="auto" w:sz="4" w:space="0"/>
              <w:right w:val="single" w:color="auto" w:sz="4" w:space="0"/>
            </w:tcBorders>
            <w:noWrap w:val="0"/>
            <w:vAlign w:val="center"/>
          </w:tcPr>
          <w:p w14:paraId="31CC1815">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1C6024A">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售后服务方案</w:t>
            </w:r>
          </w:p>
        </w:tc>
        <w:tc>
          <w:tcPr>
            <w:tcW w:w="6426" w:type="dxa"/>
            <w:tcBorders>
              <w:top w:val="single" w:color="auto" w:sz="4" w:space="0"/>
              <w:left w:val="single" w:color="auto" w:sz="4" w:space="0"/>
              <w:bottom w:val="single" w:color="auto" w:sz="4" w:space="0"/>
              <w:right w:val="single" w:color="auto" w:sz="4" w:space="0"/>
            </w:tcBorders>
            <w:noWrap w:val="0"/>
            <w:vAlign w:val="center"/>
          </w:tcPr>
          <w:p w14:paraId="197B6059">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提供售后服务方案，包括售后服务承诺、维护响应计划、现场运维服务机制、售后服务的组织架构、售后服务人员配置情况；培训方案：对现场施工专业人员培训、对使用人员培训、系统运行维护人员的培训；应急服务方案：预防机制、处理程序、处理措施、保障措施；具体履约违约承诺等。</w:t>
            </w:r>
          </w:p>
          <w:p w14:paraId="63D371C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第一档次：售后服务方案内容完善、切实可行，现场运维服务机制满足且满足竞争性磋商文件要求得8分；</w:t>
            </w:r>
          </w:p>
          <w:p w14:paraId="5884038F">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第二档次：售后服务方案满足竞争性磋商文件要求，但存在改善空间，有明显缺陷，得5分；</w:t>
            </w:r>
          </w:p>
          <w:p w14:paraId="31C3094C">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第三档次：售后服务方案不够完善，未达到竞争性磋商文件要求得3分；</w:t>
            </w:r>
          </w:p>
          <w:p w14:paraId="085A20B8">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第四档次：没有提供相关内容的，得0分。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42FAF4">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r>
      <w:tr w14:paraId="71BE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9" w:type="dxa"/>
            <w:vMerge w:val="continue"/>
            <w:tcBorders>
              <w:left w:val="single" w:color="auto" w:sz="4" w:space="0"/>
              <w:right w:val="single" w:color="auto" w:sz="4" w:space="0"/>
            </w:tcBorders>
            <w:noWrap w:val="0"/>
            <w:vAlign w:val="center"/>
          </w:tcPr>
          <w:p w14:paraId="190DF980">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8BCAACA">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节能/环境标志产品认证（强制采购</w:t>
            </w:r>
            <w:r>
              <w:rPr>
                <w:rFonts w:hint="eastAsia" w:cs="宋体"/>
                <w:sz w:val="24"/>
                <w:szCs w:val="24"/>
                <w:highlight w:val="none"/>
                <w:lang w:val="en-US" w:eastAsia="zh-CN"/>
              </w:rPr>
              <w:t>的</w:t>
            </w:r>
            <w:r>
              <w:rPr>
                <w:rFonts w:hint="eastAsia" w:ascii="宋体" w:hAnsi="宋体" w:eastAsia="宋体" w:cs="宋体"/>
                <w:sz w:val="24"/>
                <w:szCs w:val="24"/>
                <w:highlight w:val="none"/>
                <w:lang w:val="en-US" w:eastAsia="zh-CN"/>
              </w:rPr>
              <w:t>产品除外）</w:t>
            </w:r>
          </w:p>
        </w:tc>
        <w:tc>
          <w:tcPr>
            <w:tcW w:w="64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C5444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所响应的产品属于《节能产品政府采购品目清单》中优先采购范畴的，或属于《环境标志产品政府采购品目清单》范畴的，每有一项产品得0.5分，本项目最高得2分。供应商提供国家确定的认证机构出具的处于有效期之内的节能标志产品认证证书（或环境标志产品认证证书）。</w:t>
            </w:r>
          </w:p>
          <w:p w14:paraId="0EBF9967">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宋体" w:hAnsi="宋体" w:eastAsia="宋体" w:cs="宋体"/>
                <w:sz w:val="24"/>
                <w:szCs w:val="24"/>
                <w:highlight w:val="none"/>
                <w:lang w:val="en-US" w:eastAsia="zh-CN"/>
              </w:rPr>
              <w:t xml:space="preserve"> 注： 1）供应商在《关于印发环境标志产品政府采购品目清单的通知》（财库〔2019〕18号）、《关于印发节能产品政府采购品目清单的通知》（财库〔2019〕19号）中可以查到对应的清单目录。 2）国家确定的认证机构可在《市场监管总局关于发布参与实施政府采购节能产品、环境标志产品认证机构名录的公告》（2019年第16号）中查询。</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B50ACD3">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tc>
      </w:tr>
    </w:tbl>
    <w:p w14:paraId="4D40D9B8">
      <w:pPr>
        <w:autoSpaceDE/>
        <w:autoSpaceDN/>
        <w:adjustRightInd w:val="0"/>
        <w:snapToGrid w:val="0"/>
        <w:spacing w:line="360" w:lineRule="auto"/>
        <w:jc w:val="both"/>
        <w:rPr>
          <w:rFonts w:hint="eastAsia" w:ascii="宋体" w:hAnsi="宋体" w:eastAsia="宋体" w:cs="宋体"/>
          <w:kern w:val="2"/>
          <w:sz w:val="24"/>
          <w:szCs w:val="24"/>
          <w:highlight w:val="none"/>
          <w:lang w:val="en-US" w:eastAsia="zh-CN"/>
        </w:rPr>
        <w:sectPr>
          <w:pgSz w:w="11910" w:h="16840"/>
          <w:pgMar w:top="1417" w:right="1134" w:bottom="1417" w:left="1134" w:header="879" w:footer="892" w:gutter="0"/>
          <w:pgNumType w:fmt="decimal"/>
          <w:cols w:space="720" w:num="1"/>
        </w:sectPr>
      </w:pPr>
    </w:p>
    <w:p w14:paraId="14B74A90">
      <w:pPr>
        <w:tabs>
          <w:tab w:val="left" w:pos="1622"/>
        </w:tabs>
        <w:spacing w:before="73" w:after="240" w:afterLines="100"/>
        <w:ind w:right="28"/>
        <w:jc w:val="center"/>
        <w:outlineLvl w:val="0"/>
        <w:rPr>
          <w:rFonts w:ascii="Times New Roman" w:hAnsi="Times New Roman" w:eastAsia="宋体" w:cs="Times New Roman"/>
          <w:b/>
          <w:bCs/>
          <w:sz w:val="36"/>
          <w:highlight w:val="none"/>
          <w:lang w:eastAsia="zh-CN"/>
        </w:rPr>
      </w:pPr>
      <w:bookmarkStart w:id="48" w:name="_Toc160018029"/>
      <w:bookmarkStart w:id="49" w:name="_Toc6065"/>
      <w:bookmarkStart w:id="50" w:name="_Toc19492"/>
      <w:bookmarkStart w:id="51" w:name="_Toc20313"/>
      <w:r>
        <w:rPr>
          <w:rFonts w:ascii="Times New Roman" w:hAnsi="Times New Roman" w:eastAsia="宋体" w:cs="Times New Roman"/>
          <w:b/>
          <w:bCs/>
          <w:sz w:val="36"/>
          <w:highlight w:val="none"/>
          <w:lang w:eastAsia="zh-CN"/>
        </w:rPr>
        <w:t>第四章</w:t>
      </w:r>
      <w:r>
        <w:rPr>
          <w:rFonts w:hint="eastAsia" w:ascii="Times New Roman" w:hAnsi="Times New Roman" w:eastAsia="宋体" w:cs="Times New Roman"/>
          <w:b/>
          <w:bCs/>
          <w:sz w:val="36"/>
          <w:highlight w:val="none"/>
          <w:lang w:val="en-US" w:eastAsia="zh-CN"/>
        </w:rPr>
        <w:t xml:space="preserve">  </w:t>
      </w:r>
      <w:r>
        <w:rPr>
          <w:rFonts w:ascii="Times New Roman" w:hAnsi="Times New Roman" w:eastAsia="宋体" w:cs="Times New Roman"/>
          <w:b/>
          <w:bCs/>
          <w:sz w:val="36"/>
          <w:highlight w:val="none"/>
          <w:lang w:eastAsia="zh-CN"/>
        </w:rPr>
        <w:t>采购需求</w:t>
      </w:r>
      <w:bookmarkEnd w:id="48"/>
      <w:bookmarkEnd w:id="49"/>
      <w:bookmarkEnd w:id="50"/>
      <w:bookmarkEnd w:id="51"/>
    </w:p>
    <w:p w14:paraId="608F71BC">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2" w:firstLineChars="200"/>
        <w:contextualSpacing/>
        <w:jc w:val="left"/>
        <w:textAlignment w:val="auto"/>
        <w:outlineLvl w:val="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一、总则</w:t>
      </w:r>
    </w:p>
    <w:p w14:paraId="46B7678D">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1.项目说明</w:t>
      </w:r>
    </w:p>
    <w:p w14:paraId="21859C90">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1.1本章内容是根据采购项目的实际需求制定的。</w:t>
      </w:r>
    </w:p>
    <w:p w14:paraId="29FFC1CD">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应保证配送的货品是全新、未使用过的合格产品，并完全符合合同规定的质量、规格和性能的要求。</w:t>
      </w:r>
    </w:p>
    <w:p w14:paraId="7A7EF1F0">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1.3本章中</w:t>
      </w:r>
      <w:r>
        <w:rPr>
          <w:rFonts w:hint="eastAsia" w:cs="宋体"/>
          <w:color w:val="auto"/>
          <w:sz w:val="24"/>
          <w:szCs w:val="24"/>
          <w:highlight w:val="none"/>
          <w:lang w:val="en-US" w:eastAsia="zh-CN"/>
        </w:rPr>
        <w:t>采购清单</w:t>
      </w:r>
      <w:r>
        <w:rPr>
          <w:rFonts w:hint="eastAsia" w:ascii="宋体" w:hAnsi="宋体" w:eastAsia="宋体" w:cs="宋体"/>
          <w:color w:val="auto"/>
          <w:sz w:val="24"/>
          <w:szCs w:val="24"/>
          <w:highlight w:val="none"/>
          <w:lang w:eastAsia="zh-CN"/>
        </w:rPr>
        <w:t>如涉及品牌或型号或尺寸的，采购文件中涉及到的品牌或型号或尺寸，仅为</w:t>
      </w:r>
      <w:r>
        <w:rPr>
          <w:rFonts w:hint="eastAsia" w:cs="宋体"/>
          <w:color w:val="auto"/>
          <w:sz w:val="24"/>
          <w:szCs w:val="24"/>
          <w:highlight w:val="none"/>
          <w:lang w:val="en-US" w:eastAsia="zh-CN"/>
        </w:rPr>
        <w:t>供应商</w:t>
      </w:r>
      <w:r>
        <w:rPr>
          <w:rFonts w:hint="eastAsia"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时的参照，不作为</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条件或指定内容。</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应参照或相当于</w:t>
      </w: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文件中载明的品牌或型号或尺寸进行</w:t>
      </w:r>
      <w:r>
        <w:rPr>
          <w:rFonts w:hint="eastAsia"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。本章</w:t>
      </w:r>
      <w:r>
        <w:rPr>
          <w:rFonts w:hint="eastAsia" w:cs="宋体"/>
          <w:color w:val="auto"/>
          <w:sz w:val="24"/>
          <w:szCs w:val="24"/>
          <w:highlight w:val="none"/>
          <w:lang w:val="en-US" w:eastAsia="zh-CN"/>
        </w:rPr>
        <w:t>“三、货物标的技术性能指标”</w:t>
      </w:r>
      <w:r>
        <w:rPr>
          <w:rFonts w:hint="eastAsia" w:ascii="宋体" w:hAnsi="宋体" w:eastAsia="宋体" w:cs="宋体"/>
          <w:color w:val="auto"/>
          <w:sz w:val="24"/>
          <w:szCs w:val="24"/>
          <w:highlight w:val="none"/>
          <w:lang w:eastAsia="zh-CN"/>
        </w:rPr>
        <w:t>中标记为“★”的内容为重要</w:t>
      </w:r>
      <w:r>
        <w:rPr>
          <w:rFonts w:hint="eastAsia" w:cs="宋体"/>
          <w:color w:val="auto"/>
          <w:sz w:val="24"/>
          <w:szCs w:val="24"/>
          <w:highlight w:val="none"/>
          <w:lang w:val="en-US" w:eastAsia="zh-CN"/>
        </w:rPr>
        <w:t>技术参数</w:t>
      </w:r>
      <w:r>
        <w:rPr>
          <w:rFonts w:hint="eastAsia" w:ascii="宋体" w:hAnsi="宋体" w:eastAsia="宋体" w:cs="宋体"/>
          <w:color w:val="auto"/>
          <w:sz w:val="24"/>
          <w:szCs w:val="24"/>
          <w:highlight w:val="none"/>
          <w:lang w:eastAsia="zh-CN"/>
        </w:rPr>
        <w:t>，未标记“★”的内容为一般性技术参数。</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必须按照</w:t>
      </w:r>
      <w:r>
        <w:rPr>
          <w:rFonts w:hint="eastAsia" w:cs="宋体"/>
          <w:color w:val="auto"/>
          <w:sz w:val="24"/>
          <w:szCs w:val="24"/>
          <w:highlight w:val="none"/>
          <w:lang w:val="en-US" w:eastAsia="zh-CN"/>
        </w:rPr>
        <w:t>竞争性磋商文件</w:t>
      </w:r>
      <w:r>
        <w:rPr>
          <w:rFonts w:hint="eastAsia" w:ascii="宋体" w:hAnsi="宋体" w:eastAsia="宋体" w:cs="宋体"/>
          <w:color w:val="auto"/>
          <w:sz w:val="24"/>
          <w:szCs w:val="24"/>
          <w:highlight w:val="none"/>
          <w:lang w:eastAsia="zh-CN"/>
        </w:rPr>
        <w:t>的要求做出响应，对此类内容的负偏离将导致扣分，允许正偏离但任何内容正偏离不加分。标记为“▲”的内容不得有负偏差，可以正偏离或无偏离，否则</w:t>
      </w:r>
      <w:r>
        <w:rPr>
          <w:rFonts w:hint="eastAsia" w:cs="宋体"/>
          <w:color w:val="auto"/>
          <w:sz w:val="24"/>
          <w:szCs w:val="24"/>
          <w:highlight w:val="none"/>
          <w:lang w:val="en-US" w:eastAsia="zh-CN"/>
        </w:rPr>
        <w:t>响应无效</w:t>
      </w:r>
      <w:r>
        <w:rPr>
          <w:rFonts w:hint="eastAsia" w:ascii="宋体" w:hAnsi="宋体" w:eastAsia="宋体" w:cs="宋体"/>
          <w:color w:val="auto"/>
          <w:sz w:val="24"/>
          <w:szCs w:val="24"/>
          <w:highlight w:val="none"/>
          <w:lang w:eastAsia="zh-CN"/>
        </w:rPr>
        <w:t>。</w:t>
      </w:r>
    </w:p>
    <w:p w14:paraId="532B43CC">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r>
        <w:rPr>
          <w:rFonts w:hint="eastAsia" w:cs="宋体"/>
          <w:color w:val="auto"/>
          <w:sz w:val="24"/>
          <w:szCs w:val="24"/>
          <w:highlight w:val="none"/>
          <w:lang w:val="en-US" w:eastAsia="zh-CN"/>
        </w:rPr>
        <w:t>本章“三、货物标的技术性能指标”</w:t>
      </w:r>
      <w:r>
        <w:rPr>
          <w:rFonts w:hint="eastAsia" w:ascii="宋体" w:hAnsi="宋体" w:eastAsia="宋体" w:cs="宋体"/>
          <w:color w:val="auto"/>
          <w:sz w:val="24"/>
          <w:szCs w:val="24"/>
          <w:highlight w:val="none"/>
          <w:lang w:eastAsia="zh-CN"/>
        </w:rPr>
        <w:t>中载明的参数是对本项目的最低要求，</w:t>
      </w:r>
      <w:r>
        <w:rPr>
          <w:rFonts w:hint="eastAsia" w:cs="宋体"/>
          <w:color w:val="auto"/>
          <w:sz w:val="24"/>
          <w:szCs w:val="24"/>
          <w:highlight w:val="none"/>
          <w:lang w:val="en-US" w:eastAsia="zh-CN"/>
        </w:rPr>
        <w:t>供应商</w:t>
      </w:r>
      <w:r>
        <w:rPr>
          <w:rFonts w:hint="eastAsia"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标的可以</w:t>
      </w:r>
      <w:r>
        <w:rPr>
          <w:rFonts w:hint="eastAsia" w:cs="宋体"/>
          <w:color w:val="auto"/>
          <w:sz w:val="24"/>
          <w:szCs w:val="24"/>
          <w:highlight w:val="none"/>
          <w:lang w:val="en-US" w:eastAsia="zh-CN"/>
        </w:rPr>
        <w:t>选择</w:t>
      </w:r>
      <w:r>
        <w:rPr>
          <w:rFonts w:hint="eastAsia" w:ascii="宋体" w:hAnsi="宋体" w:eastAsia="宋体" w:cs="宋体"/>
          <w:color w:val="auto"/>
          <w:sz w:val="24"/>
          <w:szCs w:val="24"/>
          <w:highlight w:val="none"/>
          <w:lang w:eastAsia="zh-CN"/>
        </w:rPr>
        <w:t>优于或等于</w:t>
      </w: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文件的参数要求</w:t>
      </w:r>
      <w:r>
        <w:rPr>
          <w:rFonts w:hint="eastAsia" w:cs="宋体"/>
          <w:color w:val="auto"/>
          <w:sz w:val="24"/>
          <w:szCs w:val="24"/>
          <w:highlight w:val="none"/>
          <w:lang w:val="en-US" w:eastAsia="zh-CN"/>
        </w:rPr>
        <w:t>的产品</w:t>
      </w:r>
      <w:r>
        <w:rPr>
          <w:rFonts w:hint="eastAsia" w:ascii="宋体" w:hAnsi="宋体" w:eastAsia="宋体" w:cs="宋体"/>
          <w:color w:val="auto"/>
          <w:sz w:val="24"/>
          <w:szCs w:val="24"/>
          <w:highlight w:val="none"/>
          <w:lang w:eastAsia="zh-CN"/>
        </w:rPr>
        <w:t>。</w:t>
      </w:r>
    </w:p>
    <w:p w14:paraId="56B7AAD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文件中要求提供的检测报告等相关材料应放置在</w:t>
      </w: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文件中，如未能提供检测报告的可以提供第三方的技术支撑材料，包括但不限于产品彩页、或官网截图、或白皮书、或方案说明、或第三方证明材料等，并明确框图标识。</w:t>
      </w:r>
    </w:p>
    <w:p w14:paraId="49D2726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240" w:firstLineChars="100"/>
        <w:contextualSpacing/>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cs="宋体"/>
          <w:b w:val="0"/>
          <w:bCs w:val="0"/>
          <w:color w:val="auto"/>
          <w:sz w:val="24"/>
          <w:szCs w:val="24"/>
          <w:highlight w:val="none"/>
          <w:lang w:val="en-US" w:eastAsia="zh-CN"/>
        </w:rPr>
        <w:t>1.6质保期：自验收合格之日起不少于1年，质保期内售后服务费免费；出现较大质量问题时必须无条件更换新产品。成交人承诺的质保期优于竞争性磋商文件要求的，以成交人承诺的质保期为准。</w:t>
      </w:r>
    </w:p>
    <w:p w14:paraId="23760A8E">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2" w:firstLineChars="200"/>
        <w:contextualSpacing/>
        <w:jc w:val="left"/>
        <w:textAlignment w:val="auto"/>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采购需求及最高限价</w:t>
      </w:r>
    </w:p>
    <w:p w14:paraId="2BE16675">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采购清单</w:t>
      </w:r>
      <w:r>
        <w:rPr>
          <w:rFonts w:hint="eastAsia" w:ascii="宋体" w:hAnsi="宋体" w:eastAsia="宋体" w:cs="宋体"/>
          <w:color w:val="auto"/>
          <w:sz w:val="24"/>
          <w:szCs w:val="24"/>
          <w:highlight w:val="none"/>
          <w:lang w:eastAsia="zh-CN"/>
        </w:rPr>
        <w:t>见《招标工程量清单》</w:t>
      </w:r>
      <w:r>
        <w:rPr>
          <w:rFonts w:hint="eastAsia" w:cs="宋体"/>
          <w:color w:val="auto"/>
          <w:sz w:val="24"/>
          <w:szCs w:val="24"/>
          <w:highlight w:val="none"/>
          <w:lang w:eastAsia="zh-CN"/>
        </w:rPr>
        <w:t>（</w:t>
      </w:r>
      <w:r>
        <w:rPr>
          <w:rFonts w:hint="eastAsia" w:cs="宋体"/>
          <w:color w:val="auto"/>
          <w:sz w:val="24"/>
          <w:szCs w:val="24"/>
          <w:highlight w:val="none"/>
          <w:lang w:val="en-US" w:eastAsia="zh-CN"/>
        </w:rPr>
        <w:t>电子版，另行提供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文件中如出现设备清单要求不一致的均以《招标工程量清单》中的清单目录为准。</w:t>
      </w:r>
    </w:p>
    <w:p w14:paraId="204B7EE2">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240" w:firstLineChars="100"/>
        <w:contextualSpacing/>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最高限价</w:t>
      </w:r>
      <w:r>
        <w:rPr>
          <w:rFonts w:hint="eastAsia" w:cs="宋体"/>
          <w:b w:val="0"/>
          <w:bCs w:val="0"/>
          <w:color w:val="auto"/>
          <w:sz w:val="24"/>
          <w:szCs w:val="24"/>
          <w:highlight w:val="none"/>
          <w:lang w:val="en-US" w:eastAsia="zh-CN"/>
        </w:rPr>
        <w:t>见《招标工程量清单》（电子版，另行提供）</w:t>
      </w:r>
      <w:r>
        <w:rPr>
          <w:rFonts w:hint="eastAsia" w:cs="宋体"/>
          <w:color w:val="auto"/>
          <w:sz w:val="24"/>
          <w:szCs w:val="24"/>
          <w:highlight w:val="none"/>
          <w:lang w:eastAsia="zh-CN"/>
        </w:rPr>
        <w:t>，</w:t>
      </w:r>
      <w:r>
        <w:rPr>
          <w:rFonts w:hint="eastAsia" w:cs="宋体"/>
          <w:color w:val="auto"/>
          <w:sz w:val="24"/>
          <w:szCs w:val="24"/>
          <w:highlight w:val="none"/>
          <w:lang w:val="en-US" w:eastAsia="zh-CN"/>
        </w:rPr>
        <w:t>供应商响应总报价不得超过《招标工程量清单》“最高投标限价公布表”中的招标控制总价，否则响应无效。</w:t>
      </w:r>
    </w:p>
    <w:p w14:paraId="3BC8FD4C">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2" w:firstLineChars="200"/>
        <w:contextualSpacing/>
        <w:jc w:val="left"/>
        <w:textAlignment w:val="auto"/>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货物标的技术性能指标</w:t>
      </w:r>
    </w:p>
    <w:p w14:paraId="22F855D0">
      <w:pPr>
        <w:pStyle w:val="33"/>
        <w:keepNext w:val="0"/>
        <w:keepLines w:val="0"/>
        <w:pageBreakBefore w:val="0"/>
        <w:widowControl w:val="0"/>
        <w:numPr>
          <w:ilvl w:val="0"/>
          <w:numId w:val="0"/>
        </w:numPr>
        <w:kinsoku/>
        <w:wordWrap w:val="0"/>
        <w:overflowPunct/>
        <w:topLinePunct/>
        <w:autoSpaceDE/>
        <w:autoSpaceDN/>
        <w:bidi w:val="0"/>
        <w:adjustRightInd w:val="0"/>
        <w:snapToGrid/>
        <w:spacing w:line="360" w:lineRule="auto"/>
        <w:ind w:firstLine="240" w:firstLineChars="100"/>
        <w:contextualSpacing/>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cs="宋体"/>
          <w:b w:val="0"/>
          <w:bCs w:val="0"/>
          <w:color w:val="auto"/>
          <w:sz w:val="24"/>
          <w:szCs w:val="24"/>
          <w:highlight w:val="none"/>
          <w:lang w:val="en-US" w:eastAsia="zh-CN"/>
        </w:rPr>
        <w:t>供应商填报“已标价工程量清单”时不得的修改《招标工程量清单》给出的工程量清单的顺序、项目编码、项目名称、项目特征、计量单位、工程量，否则响应无效。</w:t>
      </w:r>
    </w:p>
    <w:p w14:paraId="77CEF199">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2" w:firstLineChars="200"/>
        <w:contextualSpacing/>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▲四、响应报价</w:t>
      </w:r>
    </w:p>
    <w:p w14:paraId="66E701DD">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1、合同价格形式：固定单价合同。</w:t>
      </w:r>
    </w:p>
    <w:p w14:paraId="4B7CCECF">
      <w:pPr>
        <w:pStyle w:val="33"/>
        <w:keepNext w:val="0"/>
        <w:keepLines w:val="0"/>
        <w:pageBreakBefore w:val="0"/>
        <w:widowControl w:val="0"/>
        <w:kinsoku/>
        <w:wordWrap w:val="0"/>
        <w:overflowPunct/>
        <w:topLinePunct/>
        <w:autoSpaceDE/>
        <w:autoSpaceDN/>
        <w:bidi w:val="0"/>
        <w:adjustRightInd w:val="0"/>
        <w:snapToGrid/>
        <w:spacing w:line="360" w:lineRule="auto"/>
        <w:contextualSpacing/>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本项目采用含税固定全费用单价合同，</w:t>
      </w:r>
      <w:r>
        <w:rPr>
          <w:rFonts w:hint="eastAsia" w:cs="宋体"/>
          <w:color w:val="auto"/>
          <w:sz w:val="24"/>
          <w:szCs w:val="24"/>
          <w:highlight w:val="none"/>
          <w:lang w:val="en-US" w:eastAsia="zh-CN"/>
        </w:rPr>
        <w:t>结算时据实结算。</w:t>
      </w:r>
    </w:p>
    <w:p w14:paraId="3820CB3C">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工程量清单计算规则说明详见《招标工程量清单》（电子版，另行提供）</w:t>
      </w:r>
      <w:r>
        <w:rPr>
          <w:rFonts w:hint="default" w:ascii="宋体" w:hAnsi="宋体" w:eastAsia="宋体" w:cs="宋体"/>
          <w:color w:val="auto"/>
          <w:sz w:val="24"/>
          <w:szCs w:val="24"/>
          <w:highlight w:val="none"/>
          <w:lang w:val="en-US" w:eastAsia="zh-CN"/>
        </w:rPr>
        <w:t>。</w:t>
      </w:r>
    </w:p>
    <w:p w14:paraId="1E0FA0D2">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3、变更估价原则</w:t>
      </w:r>
    </w:p>
    <w:p w14:paraId="4FDCB5B4">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关于变更估价的约定：结算时成交供应商不得因清单工程量增加（减少）对成交单价作任何调整。在项目实施过程中，若出现因采购人提出的变更（或由成交供应商提出并经采购人同意的变更）、原工程量清单漏项等原因而导致的新增工程量清单项目，其对应的单价按下列方法确定：</w:t>
      </w:r>
    </w:p>
    <w:p w14:paraId="3F9671FF">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（1）合同中已有适用的单价，按合同中已有单价确定；</w:t>
      </w:r>
    </w:p>
    <w:p w14:paraId="4042592A">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（2）合同中有类似的单价，参照类似的单价确定；</w:t>
      </w:r>
    </w:p>
    <w:p w14:paraId="26F5697C">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（3）合同中没有适用或类似的单价，由成交供应商申报新增单价，按采购人规定审核程序进行审批，最终经采购人确认后结算。</w:t>
      </w:r>
    </w:p>
    <w:p w14:paraId="2A14F485">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在项目实施过程中，若出现因采购人提出的变更（或由成交供应商提出并经采购人同意的变更）、原工程量清单漏项等原因而导致的新增工程量清单项目，材料（设备）价格按合同签订日当月的《昭通市建设工程材料价格信息及市场价格》中的营改增版巧家县基价确定，没有的材料价格按《云南省建设工程材料及设备价格信息》中昭通市巧家县基价确定，无法通过《昭通市建设工程材料价格信息及市场价格》中的营改增版巧家县基价和《云南省建设工程材料及设备价格信息》中昭通市巧家县基价确定的材料价格的，由成交供应商自行报送合理价格，最终以采购人委托的第三方造价咨询机构审核为准。</w:t>
      </w:r>
    </w:p>
    <w:p w14:paraId="2F42FC90">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、市场价格波动是否调整合同价格的约定：不调整。</w:t>
      </w:r>
    </w:p>
    <w:p w14:paraId="21C27A1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2" w:firstLineChars="200"/>
        <w:contextualSpacing/>
        <w:jc w:val="left"/>
        <w:textAlignment w:val="auto"/>
        <w:outlineLvl w:val="1"/>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lang w:eastAsia="zh-CN"/>
        </w:rPr>
        <w:t>文件应包括以下内容</w:t>
      </w:r>
    </w:p>
    <w:p w14:paraId="71704D9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1、项目理解和建议：</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对采购人采购需求要求的分析：对项目现状及整体建设的分析、对项目需求的分析</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包括不限于业务需求、数据需求、性能需求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；对项目的合理化建议：项目重点、难点分析、项目建议和保障措施；对政策要求的分析：国家、省、市相关政策分析；对采购人现状的分析：现状建设及问题。</w:t>
      </w:r>
    </w:p>
    <w:p w14:paraId="4AD376F3">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、玉屏街道岩湾安置区综合治理系统</w:t>
      </w:r>
      <w:r>
        <w:rPr>
          <w:rFonts w:hint="eastAsia" w:cs="宋体"/>
          <w:color w:val="auto"/>
          <w:sz w:val="24"/>
          <w:szCs w:val="24"/>
          <w:highlight w:val="none"/>
          <w:lang w:val="en-US" w:eastAsia="zh-CN"/>
        </w:rPr>
        <w:t>建设</w:t>
      </w:r>
      <w:r>
        <w:rPr>
          <w:rFonts w:hint="eastAsia" w:ascii="宋体" w:hAnsi="宋体" w:eastAsia="宋体" w:cs="宋体"/>
          <w:color w:val="auto"/>
          <w:sz w:val="24"/>
          <w:szCs w:val="24"/>
          <w:highlight w:val="none"/>
          <w:lang w:eastAsia="zh-CN"/>
        </w:rPr>
        <w:t>方案：</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提供</w:t>
      </w:r>
      <w:r>
        <w:rPr>
          <w:rFonts w:hint="eastAsia" w:ascii="宋体" w:hAnsi="宋体" w:eastAsia="宋体" w:cs="宋体"/>
          <w:i w:val="0"/>
          <w:iCs w:val="0"/>
          <w:caps w:val="0"/>
          <w:color w:val="auto"/>
          <w:spacing w:val="0"/>
          <w:sz w:val="24"/>
          <w:szCs w:val="24"/>
          <w:highlight w:val="none"/>
          <w:shd w:val="clear" w:fill="FFFFFF"/>
        </w:rPr>
        <w:t>玉屏街道岩湾安置区综合治理系统</w:t>
      </w:r>
      <w:r>
        <w:rPr>
          <w:rFonts w:hint="eastAsia" w:cs="宋体"/>
          <w:color w:val="auto"/>
          <w:sz w:val="24"/>
          <w:szCs w:val="24"/>
          <w:highlight w:val="none"/>
          <w:lang w:val="en-US" w:eastAsia="zh-CN"/>
        </w:rPr>
        <w:t>建设</w:t>
      </w:r>
      <w:r>
        <w:rPr>
          <w:rFonts w:hint="eastAsia" w:ascii="宋体" w:hAnsi="宋体" w:eastAsia="宋体" w:cs="宋体"/>
          <w:color w:val="auto"/>
          <w:sz w:val="24"/>
          <w:szCs w:val="24"/>
          <w:highlight w:val="none"/>
          <w:lang w:eastAsia="zh-CN"/>
        </w:rPr>
        <w:t>方案，方案内容包含：</w:t>
      </w:r>
    </w:p>
    <w:p w14:paraId="7EDAD461">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cs="宋体"/>
          <w:color w:val="auto"/>
          <w:sz w:val="24"/>
          <w:szCs w:val="24"/>
          <w:highlight w:val="none"/>
          <w:lang w:val="en-US" w:eastAsia="zh-CN"/>
        </w:rPr>
        <w:t>全景监控系统：</w:t>
      </w:r>
      <w:r>
        <w:rPr>
          <w:rFonts w:hint="eastAsia" w:ascii="宋体" w:hAnsi="宋体" w:eastAsia="宋体" w:cs="宋体"/>
          <w:color w:val="auto"/>
          <w:sz w:val="24"/>
          <w:szCs w:val="24"/>
          <w:highlight w:val="none"/>
          <w:lang w:eastAsia="zh-CN"/>
        </w:rPr>
        <w:t>系统概述</w:t>
      </w:r>
      <w:r>
        <w:rPr>
          <w:rFonts w:hint="eastAsia" w:cs="宋体"/>
          <w:color w:val="auto"/>
          <w:sz w:val="24"/>
          <w:szCs w:val="24"/>
          <w:highlight w:val="none"/>
          <w:lang w:eastAsia="zh-CN"/>
        </w:rPr>
        <w:t>、</w:t>
      </w:r>
      <w:r>
        <w:rPr>
          <w:rFonts w:hint="eastAsia" w:cs="宋体"/>
          <w:color w:val="auto"/>
          <w:sz w:val="24"/>
          <w:szCs w:val="24"/>
          <w:highlight w:val="none"/>
          <w:lang w:val="en-US" w:eastAsia="zh-CN"/>
        </w:rPr>
        <w:t>系统技术路线、配套设施等</w:t>
      </w:r>
      <w:r>
        <w:rPr>
          <w:rFonts w:hint="eastAsia" w:ascii="宋体" w:hAnsi="宋体" w:eastAsia="宋体" w:cs="宋体"/>
          <w:color w:val="auto"/>
          <w:sz w:val="24"/>
          <w:szCs w:val="24"/>
          <w:highlight w:val="none"/>
          <w:lang w:eastAsia="zh-CN"/>
        </w:rPr>
        <w:t>；</w:t>
      </w:r>
    </w:p>
    <w:p w14:paraId="6486418E">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（2）隧道违法抓拍、卡口抓拍单元系统：系统概述、系统组成、功能描述、前端子系统组成等。</w:t>
      </w:r>
    </w:p>
    <w:p w14:paraId="5159655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（3）区间测速系统：系统总体设计、设计要求、系统组成、设备布设、系统功能组成、区间测速设置要求、系统拓扑图等。</w:t>
      </w:r>
    </w:p>
    <w:p w14:paraId="4B41CC1F">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（4）</w:t>
      </w:r>
      <w:r>
        <w:rPr>
          <w:rFonts w:hint="default" w:cs="宋体"/>
          <w:color w:val="auto"/>
          <w:sz w:val="24"/>
          <w:szCs w:val="24"/>
          <w:highlight w:val="none"/>
          <w:lang w:val="en-US" w:eastAsia="zh-CN"/>
        </w:rPr>
        <w:t>高清环保卡口（人脸）抓拍子系统</w:t>
      </w:r>
      <w:r>
        <w:rPr>
          <w:rFonts w:hint="eastAsia" w:cs="宋体"/>
          <w:color w:val="auto"/>
          <w:sz w:val="24"/>
          <w:szCs w:val="24"/>
          <w:highlight w:val="none"/>
          <w:lang w:val="en-US" w:eastAsia="zh-CN"/>
        </w:rPr>
        <w:t>：系统概述、系统组成、功能描述、前端子系统组成等。</w:t>
      </w:r>
    </w:p>
    <w:p w14:paraId="3A7F9A0E">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（5）云存储系统建设及后端建设：系统概述、系统设计目标、系统设计原则、系统构架设计、系统性能等。</w:t>
      </w:r>
    </w:p>
    <w:p w14:paraId="3539FD1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货物标的中标识为</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项的技术性能指标响应：仅</w:t>
      </w:r>
      <w:r>
        <w:rPr>
          <w:rFonts w:hint="eastAsia" w:ascii="宋体" w:hAnsi="宋体" w:eastAsia="宋体" w:cs="宋体"/>
          <w:color w:val="auto"/>
          <w:sz w:val="24"/>
          <w:szCs w:val="24"/>
          <w:highlight w:val="none"/>
          <w:lang w:eastAsia="zh-CN"/>
        </w:rPr>
        <w:t>需要填写正偏离或负偏离的内容，无偏离不需要逐条描述，未在</w:t>
      </w:r>
      <w:r>
        <w:rPr>
          <w:rFonts w:hint="eastAsia" w:cs="宋体"/>
          <w:color w:val="auto"/>
          <w:sz w:val="24"/>
          <w:szCs w:val="24"/>
          <w:highlight w:val="none"/>
          <w:lang w:val="en-US" w:eastAsia="zh-CN"/>
        </w:rPr>
        <w:t>技术性能指标偏离表</w:t>
      </w:r>
      <w:r>
        <w:rPr>
          <w:rFonts w:hint="eastAsia" w:ascii="宋体" w:hAnsi="宋体" w:eastAsia="宋体" w:cs="宋体"/>
          <w:color w:val="auto"/>
          <w:sz w:val="24"/>
          <w:szCs w:val="24"/>
          <w:highlight w:val="none"/>
          <w:lang w:eastAsia="zh-CN"/>
        </w:rPr>
        <w:t>中载明的内容均视为无偏离。</w:t>
      </w:r>
      <w:r>
        <w:rPr>
          <w:rFonts w:hint="eastAsia" w:cs="宋体"/>
          <w:color w:val="auto"/>
          <w:sz w:val="24"/>
          <w:szCs w:val="24"/>
          <w:highlight w:val="none"/>
          <w:lang w:val="en-US" w:eastAsia="zh-CN"/>
        </w:rPr>
        <w:t>无论是否存在偏离，技术性能指标偏离表</w:t>
      </w:r>
      <w:r>
        <w:rPr>
          <w:rFonts w:hint="eastAsia" w:ascii="宋体" w:hAnsi="宋体" w:eastAsia="宋体" w:cs="宋体"/>
          <w:color w:val="auto"/>
          <w:sz w:val="24"/>
          <w:szCs w:val="24"/>
          <w:highlight w:val="none"/>
          <w:lang w:eastAsia="zh-CN"/>
        </w:rPr>
        <w:t>后</w:t>
      </w:r>
      <w:r>
        <w:rPr>
          <w:rFonts w:hint="eastAsia" w:cs="宋体"/>
          <w:color w:val="auto"/>
          <w:sz w:val="24"/>
          <w:szCs w:val="24"/>
          <w:highlight w:val="none"/>
          <w:lang w:val="en-US" w:eastAsia="zh-CN"/>
        </w:rPr>
        <w:t>均应提供</w:t>
      </w:r>
      <w:r>
        <w:rPr>
          <w:rFonts w:hint="eastAsia" w:ascii="宋体" w:hAnsi="宋体" w:eastAsia="宋体" w:cs="宋体"/>
          <w:color w:val="auto"/>
          <w:sz w:val="24"/>
          <w:szCs w:val="24"/>
          <w:highlight w:val="none"/>
          <w:lang w:eastAsia="zh-CN"/>
        </w:rPr>
        <w:t>响应技术说明材料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技术说明材料包括但不限于</w:t>
      </w:r>
      <w:r>
        <w:rPr>
          <w:rFonts w:hint="eastAsia" w:cs="宋体"/>
          <w:color w:val="auto"/>
          <w:sz w:val="24"/>
          <w:szCs w:val="24"/>
          <w:highlight w:val="none"/>
          <w:lang w:val="en-US" w:eastAsia="zh-CN"/>
        </w:rPr>
        <w:t>检测报告、或</w:t>
      </w:r>
      <w:r>
        <w:rPr>
          <w:rFonts w:hint="eastAsia" w:ascii="宋体" w:hAnsi="宋体" w:eastAsia="宋体" w:cs="宋体"/>
          <w:color w:val="auto"/>
          <w:sz w:val="24"/>
          <w:szCs w:val="24"/>
          <w:highlight w:val="none"/>
          <w:lang w:eastAsia="zh-CN"/>
        </w:rPr>
        <w:t>产品彩页、或官网截图、或白皮书、或方案说明、或第三方证明材料等，并明确框图标识。如</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仅提供了</w:t>
      </w:r>
      <w:r>
        <w:rPr>
          <w:rFonts w:hint="eastAsia" w:cs="宋体"/>
          <w:color w:val="auto"/>
          <w:sz w:val="24"/>
          <w:szCs w:val="24"/>
          <w:highlight w:val="none"/>
          <w:lang w:val="en-US" w:eastAsia="zh-CN"/>
        </w:rPr>
        <w:t>技术性能指标偏离表</w:t>
      </w:r>
      <w:r>
        <w:rPr>
          <w:rFonts w:hint="eastAsia" w:ascii="宋体" w:hAnsi="宋体" w:eastAsia="宋体" w:cs="宋体"/>
          <w:color w:val="auto"/>
          <w:sz w:val="24"/>
          <w:szCs w:val="24"/>
          <w:highlight w:val="none"/>
          <w:lang w:eastAsia="zh-CN"/>
        </w:rPr>
        <w:t>而未提供相应支持材料，或简单复制</w:t>
      </w: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文件内容作为响应的无论是否存在负偏离均视为负偏离。</w:t>
      </w:r>
    </w:p>
    <w:p w14:paraId="3ED563A6">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货物标的中未标识为</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项的技术性能指标响应：</w:t>
      </w:r>
      <w:r>
        <w:rPr>
          <w:rFonts w:hint="eastAsia" w:ascii="宋体" w:hAnsi="宋体" w:eastAsia="宋体" w:cs="宋体"/>
          <w:color w:val="auto"/>
          <w:sz w:val="24"/>
          <w:szCs w:val="24"/>
          <w:highlight w:val="none"/>
          <w:lang w:eastAsia="zh-CN"/>
        </w:rPr>
        <w:t>仅需要填写正偏离或负偏离的内容，无偏离不需要逐条描述，未在</w:t>
      </w:r>
      <w:r>
        <w:rPr>
          <w:rFonts w:hint="eastAsia" w:cs="宋体"/>
          <w:color w:val="auto"/>
          <w:sz w:val="24"/>
          <w:szCs w:val="24"/>
          <w:highlight w:val="none"/>
          <w:lang w:val="en-US" w:eastAsia="zh-CN"/>
        </w:rPr>
        <w:t>技术性能指标偏离表</w:t>
      </w:r>
      <w:r>
        <w:rPr>
          <w:rFonts w:hint="eastAsia" w:ascii="宋体" w:hAnsi="宋体" w:eastAsia="宋体" w:cs="宋体"/>
          <w:color w:val="auto"/>
          <w:sz w:val="24"/>
          <w:szCs w:val="24"/>
          <w:highlight w:val="none"/>
          <w:lang w:eastAsia="zh-CN"/>
        </w:rPr>
        <w:t>中载明的内容均视为无偏离。</w:t>
      </w:r>
      <w:r>
        <w:rPr>
          <w:rFonts w:hint="eastAsia" w:cs="宋体"/>
          <w:color w:val="auto"/>
          <w:sz w:val="24"/>
          <w:szCs w:val="24"/>
          <w:highlight w:val="none"/>
          <w:lang w:val="en-US" w:eastAsia="zh-CN"/>
        </w:rPr>
        <w:t>无论是否存在偏离，技术性能指标偏离表</w:t>
      </w:r>
      <w:r>
        <w:rPr>
          <w:rFonts w:hint="eastAsia" w:ascii="宋体" w:hAnsi="宋体" w:eastAsia="宋体" w:cs="宋体"/>
          <w:color w:val="auto"/>
          <w:sz w:val="24"/>
          <w:szCs w:val="24"/>
          <w:highlight w:val="none"/>
          <w:lang w:eastAsia="zh-CN"/>
        </w:rPr>
        <w:t>后</w:t>
      </w:r>
      <w:r>
        <w:rPr>
          <w:rFonts w:hint="eastAsia" w:cs="宋体"/>
          <w:color w:val="auto"/>
          <w:sz w:val="24"/>
          <w:szCs w:val="24"/>
          <w:highlight w:val="none"/>
          <w:lang w:val="en-US" w:eastAsia="zh-CN"/>
        </w:rPr>
        <w:t>均应提供</w:t>
      </w:r>
      <w:r>
        <w:rPr>
          <w:rFonts w:hint="eastAsia" w:ascii="宋体" w:hAnsi="宋体" w:eastAsia="宋体" w:cs="宋体"/>
          <w:color w:val="auto"/>
          <w:sz w:val="24"/>
          <w:szCs w:val="24"/>
          <w:highlight w:val="none"/>
          <w:lang w:eastAsia="zh-CN"/>
        </w:rPr>
        <w:t>响应技术说明材料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技术说明材料包括但不限于</w:t>
      </w:r>
      <w:r>
        <w:rPr>
          <w:rFonts w:hint="eastAsia" w:cs="宋体"/>
          <w:color w:val="auto"/>
          <w:sz w:val="24"/>
          <w:szCs w:val="24"/>
          <w:highlight w:val="none"/>
          <w:lang w:val="en-US" w:eastAsia="zh-CN"/>
        </w:rPr>
        <w:t>检测报告、或</w:t>
      </w:r>
      <w:r>
        <w:rPr>
          <w:rFonts w:hint="eastAsia" w:ascii="宋体" w:hAnsi="宋体" w:eastAsia="宋体" w:cs="宋体"/>
          <w:color w:val="auto"/>
          <w:sz w:val="24"/>
          <w:szCs w:val="24"/>
          <w:highlight w:val="none"/>
          <w:lang w:eastAsia="zh-CN"/>
        </w:rPr>
        <w:t>产品彩页、或官网截图、或白皮书、或方案说明、或第三方证明材料等，并明确框图标识。如</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仅提供了</w:t>
      </w:r>
      <w:r>
        <w:rPr>
          <w:rFonts w:hint="eastAsia" w:cs="宋体"/>
          <w:color w:val="auto"/>
          <w:sz w:val="24"/>
          <w:szCs w:val="24"/>
          <w:highlight w:val="none"/>
          <w:lang w:val="en-US" w:eastAsia="zh-CN"/>
        </w:rPr>
        <w:t>技术性能指标偏离表</w:t>
      </w:r>
      <w:r>
        <w:rPr>
          <w:rFonts w:hint="eastAsia" w:ascii="宋体" w:hAnsi="宋体" w:eastAsia="宋体" w:cs="宋体"/>
          <w:color w:val="auto"/>
          <w:sz w:val="24"/>
          <w:szCs w:val="24"/>
          <w:highlight w:val="none"/>
          <w:lang w:eastAsia="zh-CN"/>
        </w:rPr>
        <w:t>而未提供相应支持材料，或简单复制</w:t>
      </w:r>
      <w:r>
        <w:rPr>
          <w:rFonts w:hint="eastAsia"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文件内容作为响应的无论是否存在负偏离均视为负偏离。</w:t>
      </w:r>
    </w:p>
    <w:p w14:paraId="4CB8DB47">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、质量保证措施及承诺：</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提供所投产品质量保证措施及承诺进行综合评价</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对所投产品的质量保证措施方案、质量保证承诺、具体违约承诺</w:t>
      </w:r>
      <w:r>
        <w:rPr>
          <w:rFonts w:hint="eastAsia"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0922ECDC">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、项目组织机构及主要人员：</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提供团队成员、人员资格、职责分工、专业等</w:t>
      </w:r>
      <w:r>
        <w:rPr>
          <w:rFonts w:hint="eastAsia" w:cs="宋体"/>
          <w:color w:val="auto"/>
          <w:sz w:val="24"/>
          <w:szCs w:val="24"/>
          <w:highlight w:val="none"/>
          <w:lang w:eastAsia="zh-CN"/>
        </w:rPr>
        <w:t>。</w:t>
      </w:r>
    </w:p>
    <w:p w14:paraId="65F1470A">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、售后服务方案：</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提供售后服务方案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包括售后服务承诺、维护响应计划、现场运维服务机制、售后服务的组织架构、售后服务人员配置情况；</w:t>
      </w:r>
      <w:r>
        <w:rPr>
          <w:rFonts w:hint="eastAsia" w:cs="宋体"/>
          <w:color w:val="auto"/>
          <w:sz w:val="24"/>
          <w:szCs w:val="24"/>
          <w:highlight w:val="none"/>
          <w:lang w:val="en-US" w:eastAsia="zh-CN"/>
        </w:rPr>
        <w:t>培训方案：对现场施工专业人员培训、对使用人员培训、系统运行维护人员的培训；</w:t>
      </w:r>
      <w:r>
        <w:rPr>
          <w:rFonts w:hint="eastAsia" w:ascii="宋体" w:hAnsi="宋体" w:eastAsia="宋体" w:cs="宋体"/>
          <w:color w:val="auto"/>
          <w:sz w:val="24"/>
          <w:szCs w:val="24"/>
          <w:highlight w:val="none"/>
          <w:lang w:eastAsia="zh-CN"/>
        </w:rPr>
        <w:t>应急服务方案：预防机制、处理程序、处理措施、保障措施；</w:t>
      </w:r>
      <w:r>
        <w:rPr>
          <w:rFonts w:hint="eastAsia" w:cs="宋体"/>
          <w:color w:val="auto"/>
          <w:sz w:val="24"/>
          <w:szCs w:val="24"/>
          <w:highlight w:val="none"/>
          <w:lang w:val="en-US" w:eastAsia="zh-CN"/>
        </w:rPr>
        <w:t>具体</w:t>
      </w:r>
      <w:r>
        <w:rPr>
          <w:rFonts w:hint="eastAsia" w:ascii="宋体" w:hAnsi="宋体" w:eastAsia="宋体" w:cs="宋体"/>
          <w:color w:val="auto"/>
          <w:sz w:val="24"/>
          <w:szCs w:val="24"/>
          <w:highlight w:val="none"/>
          <w:lang w:eastAsia="zh-CN"/>
        </w:rPr>
        <w:t>履约违约承诺</w:t>
      </w:r>
      <w:r>
        <w:rPr>
          <w:rFonts w:hint="eastAsia"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50A84324">
      <w:pPr>
        <w:pStyle w:val="33"/>
        <w:keepNext w:val="0"/>
        <w:keepLines w:val="0"/>
        <w:pageBreakBefore w:val="0"/>
        <w:widowControl w:val="0"/>
        <w:kinsoku/>
        <w:wordWrap w:val="0"/>
        <w:overflowPunct/>
        <w:topLinePunct/>
        <w:autoSpaceDE/>
        <w:autoSpaceDN/>
        <w:bidi w:val="0"/>
        <w:adjustRightInd w:val="0"/>
        <w:snapToGrid/>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lang w:eastAsia="zh-CN"/>
        </w:rPr>
        <w:sectPr>
          <w:pgSz w:w="11906" w:h="16838"/>
          <w:pgMar w:top="1417" w:right="1134" w:bottom="1417" w:left="1134" w:header="851" w:footer="850" w:gutter="0"/>
          <w:pgNumType w:fmt="decimal"/>
          <w:cols w:space="720" w:num="1"/>
          <w:docGrid w:linePitch="319" w:charSpace="0"/>
        </w:sect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、节能/环境标志产品认证：</w:t>
      </w:r>
      <w:r>
        <w:rPr>
          <w:rFonts w:hint="eastAsia" w:cs="宋体"/>
          <w:color w:val="auto"/>
          <w:sz w:val="24"/>
          <w:szCs w:val="24"/>
          <w:highlight w:val="none"/>
          <w:lang w:val="en-US" w:eastAsia="zh-CN"/>
        </w:rPr>
        <w:t>供应商所磋商的</w:t>
      </w:r>
      <w:r>
        <w:rPr>
          <w:rFonts w:hint="eastAsia" w:ascii="宋体" w:hAnsi="宋体" w:eastAsia="宋体" w:cs="宋体"/>
          <w:color w:val="auto"/>
          <w:sz w:val="24"/>
          <w:szCs w:val="24"/>
          <w:highlight w:val="none"/>
          <w:lang w:eastAsia="zh-CN"/>
        </w:rPr>
        <w:t>产品如果属于节能/环境标志产品认证的需要提供相关证明材料。</w:t>
      </w:r>
    </w:p>
    <w:p w14:paraId="29B170CB">
      <w:pPr>
        <w:tabs>
          <w:tab w:val="left" w:pos="1622"/>
        </w:tabs>
        <w:spacing w:before="73" w:after="240" w:afterLines="100"/>
        <w:ind w:right="28"/>
        <w:jc w:val="center"/>
        <w:outlineLvl w:val="0"/>
        <w:rPr>
          <w:rFonts w:ascii="Times New Roman" w:hAnsi="Times New Roman" w:eastAsia="宋体" w:cs="Times New Roman"/>
          <w:b/>
          <w:bCs/>
          <w:color w:val="auto"/>
          <w:sz w:val="36"/>
          <w:highlight w:val="none"/>
          <w:lang w:eastAsia="zh-CN"/>
        </w:rPr>
      </w:pPr>
      <w:bookmarkStart w:id="52" w:name="_Toc160018031"/>
      <w:bookmarkStart w:id="53" w:name="_Toc31848"/>
      <w:bookmarkStart w:id="54" w:name="_Toc13184"/>
      <w:r>
        <w:rPr>
          <w:rFonts w:hint="eastAsia" w:ascii="Times New Roman" w:hAnsi="Times New Roman" w:eastAsia="宋体" w:cs="Times New Roman"/>
          <w:b/>
          <w:bCs/>
          <w:color w:val="auto"/>
          <w:sz w:val="36"/>
          <w:highlight w:val="none"/>
          <w:lang w:val="en-US" w:eastAsia="zh-CN"/>
        </w:rPr>
        <w:t xml:space="preserve"> </w:t>
      </w:r>
      <w:bookmarkStart w:id="55" w:name="_Toc19075"/>
      <w:r>
        <w:rPr>
          <w:rFonts w:ascii="Times New Roman" w:hAnsi="Times New Roman" w:eastAsia="宋体" w:cs="Times New Roman"/>
          <w:b/>
          <w:bCs/>
          <w:color w:val="auto"/>
          <w:sz w:val="36"/>
          <w:highlight w:val="none"/>
          <w:lang w:eastAsia="zh-CN"/>
        </w:rPr>
        <w:t>第五章</w:t>
      </w:r>
      <w:r>
        <w:rPr>
          <w:rFonts w:hint="eastAsia" w:ascii="Times New Roman" w:hAnsi="Times New Roman" w:eastAsia="宋体" w:cs="Times New Roman"/>
          <w:b/>
          <w:bCs/>
          <w:color w:val="auto"/>
          <w:sz w:val="36"/>
          <w:highlight w:val="none"/>
          <w:lang w:val="en-US" w:eastAsia="zh-CN"/>
        </w:rPr>
        <w:t xml:space="preserve">  </w:t>
      </w:r>
      <w:r>
        <w:rPr>
          <w:rFonts w:ascii="Times New Roman" w:hAnsi="Times New Roman" w:eastAsia="宋体" w:cs="Times New Roman"/>
          <w:b/>
          <w:bCs/>
          <w:color w:val="auto"/>
          <w:sz w:val="36"/>
          <w:highlight w:val="none"/>
          <w:lang w:eastAsia="zh-CN"/>
        </w:rPr>
        <w:t>合同</w:t>
      </w:r>
      <w:r>
        <w:rPr>
          <w:rFonts w:hint="eastAsia" w:ascii="Times New Roman" w:hAnsi="Times New Roman" w:eastAsia="宋体" w:cs="Times New Roman"/>
          <w:b/>
          <w:bCs/>
          <w:color w:val="auto"/>
          <w:sz w:val="36"/>
          <w:highlight w:val="none"/>
          <w:lang w:val="en-US" w:eastAsia="zh-CN"/>
        </w:rPr>
        <w:t>格式及</w:t>
      </w:r>
      <w:r>
        <w:rPr>
          <w:rFonts w:ascii="Times New Roman" w:hAnsi="Times New Roman" w:eastAsia="宋体" w:cs="Times New Roman"/>
          <w:b/>
          <w:bCs/>
          <w:color w:val="auto"/>
          <w:sz w:val="36"/>
          <w:highlight w:val="none"/>
          <w:lang w:eastAsia="zh-CN"/>
        </w:rPr>
        <w:t>条款</w:t>
      </w:r>
      <w:bookmarkEnd w:id="52"/>
      <w:bookmarkEnd w:id="53"/>
      <w:bookmarkEnd w:id="54"/>
      <w:bookmarkEnd w:id="55"/>
    </w:p>
    <w:p w14:paraId="32C08BFD">
      <w:pPr>
        <w:spacing w:line="360" w:lineRule="auto"/>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说明：本合同内容仅供参考，甲乙双方可根据国家相关法律法规及本项目的情况另行约定。</w:t>
      </w:r>
    </w:p>
    <w:p w14:paraId="14325B2A">
      <w:pPr>
        <w:spacing w:line="360" w:lineRule="auto"/>
        <w:jc w:val="left"/>
        <w:rPr>
          <w:rFonts w:hint="eastAsia" w:ascii="宋体" w:hAnsi="宋体" w:eastAsia="宋体" w:cs="宋体"/>
          <w:b w:val="0"/>
          <w:bCs w:val="0"/>
          <w:color w:val="auto"/>
          <w:sz w:val="24"/>
          <w:highlight w:val="none"/>
          <w:lang w:val="en-US" w:eastAsia="zh-CN"/>
        </w:rPr>
        <w:sectPr>
          <w:pgSz w:w="11906" w:h="16838"/>
          <w:pgMar w:top="1417" w:right="1134" w:bottom="1417" w:left="1134" w:header="851" w:footer="850" w:gutter="0"/>
          <w:pgNumType w:fmt="decimal"/>
          <w:cols w:space="720" w:num="1"/>
          <w:docGrid w:linePitch="319" w:charSpace="0"/>
        </w:sectPr>
      </w:pPr>
    </w:p>
    <w:p w14:paraId="48273C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8"/>
          <w:szCs w:val="28"/>
          <w:highlight w:val="none"/>
        </w:rPr>
        <w:t>第一节 政府采购合同协议书</w:t>
      </w:r>
    </w:p>
    <w:p w14:paraId="7EE1F8C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采购合同编号：</w:t>
      </w:r>
      <w:r>
        <w:rPr>
          <w:rFonts w:hint="eastAsia" w:ascii="宋体" w:hAnsi="宋体" w:eastAsia="宋体" w:cs="宋体"/>
          <w:i w:val="0"/>
          <w:iCs w:val="0"/>
          <w:caps w:val="0"/>
          <w:color w:val="auto"/>
          <w:spacing w:val="0"/>
          <w:sz w:val="24"/>
          <w:szCs w:val="24"/>
          <w:highlight w:val="none"/>
          <w:u w:val="single"/>
        </w:rPr>
        <w:t>                            </w:t>
      </w:r>
    </w:p>
    <w:p w14:paraId="4F4688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采购人（全称）：</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（甲方）</w:t>
      </w:r>
    </w:p>
    <w:p w14:paraId="5EB34F2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供应商（全称）：</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（乙方）</w:t>
      </w:r>
    </w:p>
    <w:p w14:paraId="0C09A98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根据《中华人民共和国</w:t>
      </w:r>
      <w:r>
        <w:rPr>
          <w:rFonts w:hint="eastAsia" w:ascii="宋体" w:hAnsi="宋体" w:eastAsia="宋体" w:cs="宋体"/>
          <w:i w:val="0"/>
          <w:iCs w:val="0"/>
          <w:caps w:val="0"/>
          <w:color w:val="auto"/>
          <w:spacing w:val="0"/>
          <w:sz w:val="24"/>
          <w:szCs w:val="24"/>
          <w:highlight w:val="none"/>
          <w:lang w:val="en-US" w:eastAsia="zh-CN"/>
        </w:rPr>
        <w:t>民法典</w:t>
      </w:r>
      <w:r>
        <w:rPr>
          <w:rFonts w:hint="eastAsia" w:ascii="宋体" w:hAnsi="宋体" w:eastAsia="宋体" w:cs="宋体"/>
          <w:i w:val="0"/>
          <w:iCs w:val="0"/>
          <w:caps w:val="0"/>
          <w:color w:val="auto"/>
          <w:spacing w:val="0"/>
          <w:sz w:val="24"/>
          <w:szCs w:val="24"/>
          <w:highlight w:val="none"/>
        </w:rPr>
        <w:t>》《中华人民共和国政府采购法》</w:t>
      </w:r>
      <w:r>
        <w:rPr>
          <w:rFonts w:hint="eastAsia" w:ascii="宋体" w:hAnsi="宋体" w:eastAsia="宋体" w:cs="宋体"/>
          <w:i w:val="0"/>
          <w:iCs w:val="0"/>
          <w:caps w:val="0"/>
          <w:color w:val="auto"/>
          <w:spacing w:val="0"/>
          <w:sz w:val="24"/>
          <w:szCs w:val="24"/>
          <w:highlight w:val="none"/>
          <w:lang w:val="en-US" w:eastAsia="zh-CN"/>
        </w:rPr>
        <w:t>等有关的法律依据</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以及</w:t>
      </w:r>
      <w:r>
        <w:rPr>
          <w:rFonts w:hint="eastAsia" w:ascii="宋体" w:hAnsi="宋体" w:eastAsia="宋体" w:cs="宋体"/>
          <w:i w:val="0"/>
          <w:iCs w:val="0"/>
          <w:caps w:val="0"/>
          <w:color w:val="auto"/>
          <w:spacing w:val="0"/>
          <w:sz w:val="24"/>
          <w:szCs w:val="24"/>
          <w:highlight w:val="none"/>
          <w:u w:val="single"/>
          <w:lang w:val="en-US" w:eastAsia="zh-CN"/>
        </w:rPr>
        <w:t xml:space="preserve">          （项目名称）      </w:t>
      </w:r>
      <w:r>
        <w:rPr>
          <w:rFonts w:hint="eastAsia" w:ascii="宋体" w:hAnsi="宋体" w:eastAsia="宋体" w:cs="宋体"/>
          <w:i w:val="0"/>
          <w:iCs w:val="0"/>
          <w:caps w:val="0"/>
          <w:color w:val="auto"/>
          <w:spacing w:val="0"/>
          <w:sz w:val="24"/>
          <w:szCs w:val="24"/>
          <w:highlight w:val="none"/>
          <w:u w:val="none"/>
          <w:lang w:val="en-US" w:eastAsia="zh-CN"/>
        </w:rPr>
        <w:t>的《竞争性磋商文件》、乙方的《响应文件》及《成交通知书》，甲乙双方同意签订本合同。具体情况及要求如下：</w:t>
      </w:r>
    </w:p>
    <w:p w14:paraId="630BC13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1.项目信息</w:t>
      </w:r>
    </w:p>
    <w:p w14:paraId="1056390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（1）采购项目名称：</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single"/>
        </w:rPr>
        <w:t>  </w:t>
      </w:r>
    </w:p>
    <w:p w14:paraId="350681A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w:t>
      </w:r>
      <w:r>
        <w:rPr>
          <w:rFonts w:hint="eastAsia" w:cs="宋体"/>
          <w:i w:val="0"/>
          <w:iCs w:val="0"/>
          <w:caps w:val="0"/>
          <w:color w:val="auto"/>
          <w:spacing w:val="0"/>
          <w:sz w:val="24"/>
          <w:szCs w:val="24"/>
          <w:highlight w:val="none"/>
          <w:lang w:eastAsia="zh-CN"/>
        </w:rPr>
        <w:t>项目编号</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single"/>
        </w:rPr>
        <w:t> </w:t>
      </w:r>
    </w:p>
    <w:p w14:paraId="0DE1D00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u w:val="single"/>
          <w:lang w:val="en-US" w:eastAsia="zh-CN"/>
        </w:rPr>
      </w:pPr>
      <w:r>
        <w:rPr>
          <w:rFonts w:hint="eastAsia" w:ascii="宋体" w:hAnsi="宋体" w:eastAsia="宋体" w:cs="宋体"/>
          <w:i w:val="0"/>
          <w:iCs w:val="0"/>
          <w:caps w:val="0"/>
          <w:color w:val="auto"/>
          <w:spacing w:val="0"/>
          <w:sz w:val="24"/>
          <w:szCs w:val="24"/>
          <w:highlight w:val="none"/>
        </w:rPr>
        <w:t>（3）项目内容：</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 xml:space="preserve"> </w:t>
      </w:r>
    </w:p>
    <w:p w14:paraId="285F07D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val="en-US" w:eastAsia="zh-CN"/>
        </w:rPr>
        <w:t>采购标的：</w:t>
      </w:r>
      <w:r>
        <w:rPr>
          <w:rFonts w:hint="eastAsia" w:ascii="宋体" w:hAnsi="宋体" w:eastAsia="宋体" w:cs="宋体"/>
          <w:b w:val="0"/>
          <w:bCs w:val="0"/>
          <w:i w:val="0"/>
          <w:iCs w:val="0"/>
          <w:caps w:val="0"/>
          <w:color w:val="auto"/>
          <w:spacing w:val="0"/>
          <w:sz w:val="24"/>
          <w:szCs w:val="24"/>
          <w:highlight w:val="none"/>
          <w:u w:val="single"/>
        </w:rPr>
        <w:t>          </w:t>
      </w:r>
      <w:r>
        <w:rPr>
          <w:rFonts w:hint="eastAsia" w:ascii="宋体" w:hAnsi="宋体" w:eastAsia="宋体" w:cs="宋体"/>
          <w:b w:val="0"/>
          <w:bCs w:val="0"/>
          <w:i w:val="0"/>
          <w:iCs w:val="0"/>
          <w:caps w:val="0"/>
          <w:color w:val="auto"/>
          <w:spacing w:val="0"/>
          <w:sz w:val="24"/>
          <w:szCs w:val="24"/>
          <w:highlight w:val="none"/>
          <w:u w:val="single"/>
          <w:lang w:val="en-US" w:eastAsia="zh-CN"/>
        </w:rPr>
        <w:t xml:space="preserve"> </w:t>
      </w:r>
    </w:p>
    <w:p w14:paraId="4CC9D6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val="en-US" w:eastAsia="zh-CN"/>
        </w:rPr>
        <w:t>数    量：</w:t>
      </w:r>
      <w:r>
        <w:rPr>
          <w:rFonts w:hint="eastAsia" w:ascii="宋体" w:hAnsi="宋体" w:eastAsia="宋体" w:cs="宋体"/>
          <w:b w:val="0"/>
          <w:bCs w:val="0"/>
          <w:i w:val="0"/>
          <w:iCs w:val="0"/>
          <w:caps w:val="0"/>
          <w:color w:val="auto"/>
          <w:spacing w:val="0"/>
          <w:sz w:val="24"/>
          <w:szCs w:val="24"/>
          <w:highlight w:val="none"/>
          <w:u w:val="single"/>
        </w:rPr>
        <w:t>          </w:t>
      </w:r>
      <w:r>
        <w:rPr>
          <w:rFonts w:hint="eastAsia" w:ascii="宋体" w:hAnsi="宋体" w:eastAsia="宋体" w:cs="宋体"/>
          <w:b w:val="0"/>
          <w:bCs w:val="0"/>
          <w:i w:val="0"/>
          <w:iCs w:val="0"/>
          <w:caps w:val="0"/>
          <w:color w:val="auto"/>
          <w:spacing w:val="0"/>
          <w:sz w:val="24"/>
          <w:szCs w:val="24"/>
          <w:highlight w:val="none"/>
          <w:u w:val="single"/>
          <w:lang w:val="en-US" w:eastAsia="zh-CN"/>
        </w:rPr>
        <w:t xml:space="preserve"> </w:t>
      </w:r>
    </w:p>
    <w:p w14:paraId="3EC1B65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val="en-US" w:eastAsia="zh-CN"/>
        </w:rPr>
        <w:t>技术要求：</w:t>
      </w:r>
      <w:r>
        <w:rPr>
          <w:rFonts w:hint="eastAsia" w:ascii="宋体" w:hAnsi="宋体" w:eastAsia="宋体" w:cs="宋体"/>
          <w:b w:val="0"/>
          <w:bCs w:val="0"/>
          <w:i w:val="0"/>
          <w:iCs w:val="0"/>
          <w:caps w:val="0"/>
          <w:color w:val="auto"/>
          <w:spacing w:val="0"/>
          <w:sz w:val="24"/>
          <w:szCs w:val="24"/>
          <w:highlight w:val="none"/>
          <w:u w:val="single"/>
        </w:rPr>
        <w:t>          </w:t>
      </w:r>
      <w:r>
        <w:rPr>
          <w:rFonts w:hint="eastAsia" w:ascii="宋体" w:hAnsi="宋体" w:eastAsia="宋体" w:cs="宋体"/>
          <w:b w:val="0"/>
          <w:bCs w:val="0"/>
          <w:i w:val="0"/>
          <w:iCs w:val="0"/>
          <w:caps w:val="0"/>
          <w:color w:val="auto"/>
          <w:spacing w:val="0"/>
          <w:sz w:val="24"/>
          <w:szCs w:val="24"/>
          <w:highlight w:val="none"/>
          <w:u w:val="single"/>
          <w:lang w:val="en-US" w:eastAsia="zh-CN"/>
        </w:rPr>
        <w:t xml:space="preserve"> </w:t>
      </w:r>
    </w:p>
    <w:p w14:paraId="34DB0A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Style w:val="25"/>
          <w:rFonts w:hint="default"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val="en-US" w:eastAsia="zh-CN"/>
        </w:rPr>
        <w:t>商务要求：</w:t>
      </w:r>
      <w:r>
        <w:rPr>
          <w:rFonts w:hint="eastAsia" w:ascii="宋体" w:hAnsi="宋体" w:eastAsia="宋体" w:cs="宋体"/>
          <w:b w:val="0"/>
          <w:bCs w:val="0"/>
          <w:i w:val="0"/>
          <w:iCs w:val="0"/>
          <w:caps w:val="0"/>
          <w:color w:val="auto"/>
          <w:spacing w:val="0"/>
          <w:sz w:val="24"/>
          <w:szCs w:val="24"/>
          <w:highlight w:val="none"/>
          <w:u w:val="single"/>
        </w:rPr>
        <w:t>          </w:t>
      </w:r>
      <w:r>
        <w:rPr>
          <w:rFonts w:hint="eastAsia" w:ascii="宋体" w:hAnsi="宋体" w:eastAsia="宋体" w:cs="宋体"/>
          <w:b w:val="0"/>
          <w:bCs w:val="0"/>
          <w:i w:val="0"/>
          <w:iCs w:val="0"/>
          <w:caps w:val="0"/>
          <w:color w:val="auto"/>
          <w:spacing w:val="0"/>
          <w:sz w:val="24"/>
          <w:szCs w:val="24"/>
          <w:highlight w:val="none"/>
          <w:u w:val="single"/>
          <w:lang w:val="en-US" w:eastAsia="zh-CN"/>
        </w:rPr>
        <w:t xml:space="preserve"> </w:t>
      </w:r>
    </w:p>
    <w:p w14:paraId="39DAC412">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（4）</w:t>
      </w:r>
      <w:r>
        <w:rPr>
          <w:rStyle w:val="25"/>
          <w:rFonts w:hint="eastAsia" w:ascii="宋体" w:hAnsi="宋体" w:eastAsia="宋体" w:cs="宋体"/>
          <w:b w:val="0"/>
          <w:bCs w:val="0"/>
          <w:i w:val="0"/>
          <w:iCs w:val="0"/>
          <w:caps w:val="0"/>
          <w:color w:val="auto"/>
          <w:spacing w:val="0"/>
          <w:sz w:val="24"/>
          <w:szCs w:val="24"/>
          <w:highlight w:val="none"/>
          <w:lang w:val="en-US" w:eastAsia="zh-CN"/>
        </w:rPr>
        <w:t>成交供应商是否为中小企业：</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28EC4D69">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val="en-US" w:eastAsia="zh-CN"/>
        </w:rPr>
        <w:t xml:space="preserve">     是否为专门面向中小企业的采购合同：否。</w:t>
      </w:r>
    </w:p>
    <w:p w14:paraId="68CF51BD">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40" w:leftChars="200" w:right="0" w:rightChars="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（5）</w:t>
      </w:r>
      <w:r>
        <w:rPr>
          <w:rStyle w:val="25"/>
          <w:rFonts w:hint="eastAsia" w:ascii="宋体" w:hAnsi="宋体" w:eastAsia="宋体" w:cs="宋体"/>
          <w:b w:val="0"/>
          <w:bCs w:val="0"/>
          <w:i w:val="0"/>
          <w:iCs w:val="0"/>
          <w:caps w:val="0"/>
          <w:color w:val="auto"/>
          <w:spacing w:val="0"/>
          <w:sz w:val="24"/>
          <w:szCs w:val="24"/>
          <w:highlight w:val="none"/>
          <w:lang w:val="en-US" w:eastAsia="zh-CN"/>
        </w:rPr>
        <w:t>合同是否分包：否。</w:t>
      </w:r>
    </w:p>
    <w:p w14:paraId="33D8A89B">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40" w:leftChars="200" w:right="0" w:rightChars="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（6）</w:t>
      </w:r>
      <w:r>
        <w:rPr>
          <w:rStyle w:val="25"/>
          <w:rFonts w:hint="eastAsia" w:ascii="宋体" w:hAnsi="宋体" w:eastAsia="宋体" w:cs="宋体"/>
          <w:b w:val="0"/>
          <w:bCs w:val="0"/>
          <w:i w:val="0"/>
          <w:iCs w:val="0"/>
          <w:caps w:val="0"/>
          <w:color w:val="auto"/>
          <w:spacing w:val="0"/>
          <w:sz w:val="24"/>
          <w:szCs w:val="24"/>
          <w:highlight w:val="none"/>
          <w:lang w:val="en-US" w:eastAsia="zh-CN"/>
        </w:rPr>
        <w:t>是否涉及进口产品：否。</w:t>
      </w:r>
    </w:p>
    <w:p w14:paraId="343D4172">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40" w:leftChars="200" w:right="0" w:rightChars="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（7）</w:t>
      </w:r>
      <w:r>
        <w:rPr>
          <w:rStyle w:val="25"/>
          <w:rFonts w:hint="eastAsia" w:ascii="宋体" w:hAnsi="宋体" w:eastAsia="宋体" w:cs="宋体"/>
          <w:b w:val="0"/>
          <w:bCs w:val="0"/>
          <w:i w:val="0"/>
          <w:iCs w:val="0"/>
          <w:caps w:val="0"/>
          <w:color w:val="auto"/>
          <w:spacing w:val="0"/>
          <w:sz w:val="24"/>
          <w:szCs w:val="24"/>
          <w:highlight w:val="none"/>
          <w:lang w:val="en-US" w:eastAsia="zh-CN"/>
        </w:rPr>
        <w:t>是否涉及节能环保产品：</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r>
        <w:rPr>
          <w:rStyle w:val="25"/>
          <w:rFonts w:hint="eastAsia" w:ascii="宋体" w:hAnsi="宋体" w:eastAsia="宋体" w:cs="宋体"/>
          <w:b w:val="0"/>
          <w:bCs w:val="0"/>
          <w:i w:val="0"/>
          <w:iCs w:val="0"/>
          <w:caps w:val="0"/>
          <w:color w:val="auto"/>
          <w:spacing w:val="0"/>
          <w:sz w:val="24"/>
          <w:szCs w:val="24"/>
          <w:highlight w:val="none"/>
          <w:lang w:val="en-US" w:eastAsia="zh-CN"/>
        </w:rPr>
        <w:t>。</w:t>
      </w:r>
    </w:p>
    <w:p w14:paraId="52517408">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40" w:leftChars="200" w:right="0" w:rightChars="0"/>
        <w:jc w:val="left"/>
        <w:textAlignment w:val="auto"/>
        <w:rPr>
          <w:rStyle w:val="25"/>
          <w:rFonts w:hint="default"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（8）涉及商品包装和快递包装的，是否参考《商品包装政府采购需求标准（试行）》、《快递包装政府采购需求标准（试行）》明确产品及相关快递服务的具体包装要求：</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否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不涉及。</w:t>
      </w:r>
    </w:p>
    <w:p w14:paraId="5AD27B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1" w:beforeLines="50" w:beforeAutospacing="0" w:after="0" w:afterAutospacing="0" w:line="360" w:lineRule="auto"/>
        <w:ind w:left="0" w:right="0" w:firstLine="482" w:firstLineChars="20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lang w:val="en-US" w:eastAsia="zh-CN"/>
        </w:rPr>
        <w:t>2</w:t>
      </w:r>
      <w:r>
        <w:rPr>
          <w:rStyle w:val="25"/>
          <w:rFonts w:hint="eastAsia" w:ascii="宋体" w:hAnsi="宋体" w:eastAsia="宋体" w:cs="宋体"/>
          <w:b/>
          <w:bCs/>
          <w:i w:val="0"/>
          <w:iCs w:val="0"/>
          <w:caps w:val="0"/>
          <w:color w:val="auto"/>
          <w:spacing w:val="0"/>
          <w:sz w:val="24"/>
          <w:szCs w:val="24"/>
          <w:highlight w:val="none"/>
        </w:rPr>
        <w:t>.</w:t>
      </w:r>
      <w:r>
        <w:rPr>
          <w:rStyle w:val="25"/>
          <w:rFonts w:hint="eastAsia" w:ascii="宋体" w:hAnsi="宋体" w:eastAsia="宋体" w:cs="宋体"/>
          <w:b/>
          <w:bCs/>
          <w:i w:val="0"/>
          <w:iCs w:val="0"/>
          <w:caps w:val="0"/>
          <w:color w:val="auto"/>
          <w:spacing w:val="0"/>
          <w:sz w:val="24"/>
          <w:szCs w:val="24"/>
          <w:highlight w:val="none"/>
          <w:lang w:val="en-US" w:eastAsia="zh-CN"/>
        </w:rPr>
        <w:t>合同金额</w:t>
      </w:r>
      <w:r>
        <w:rPr>
          <w:rStyle w:val="25"/>
          <w:rFonts w:hint="eastAsia" w:ascii="宋体" w:hAnsi="宋体" w:eastAsia="宋体" w:cs="宋体"/>
          <w:b/>
          <w:bCs/>
          <w:i w:val="0"/>
          <w:iCs w:val="0"/>
          <w:caps w:val="0"/>
          <w:color w:val="auto"/>
          <w:spacing w:val="0"/>
          <w:sz w:val="24"/>
          <w:szCs w:val="24"/>
          <w:highlight w:val="none"/>
        </w:rPr>
        <w:t> </w:t>
      </w:r>
    </w:p>
    <w:p w14:paraId="4D46D8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1</w:t>
      </w: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合同金额小写：</w:t>
      </w:r>
      <w:r>
        <w:rPr>
          <w:rFonts w:hint="eastAsia" w:ascii="宋体" w:hAnsi="宋体" w:eastAsia="宋体" w:cs="宋体"/>
          <w:b w:val="0"/>
          <w:bCs w:val="0"/>
          <w:i w:val="0"/>
          <w:iCs w:val="0"/>
          <w:caps w:val="0"/>
          <w:color w:val="auto"/>
          <w:spacing w:val="0"/>
          <w:sz w:val="24"/>
          <w:szCs w:val="24"/>
          <w:highlight w:val="none"/>
          <w:u w:val="single"/>
        </w:rPr>
        <w:t>          </w:t>
      </w:r>
      <w:r>
        <w:rPr>
          <w:rFonts w:hint="eastAsia" w:ascii="宋体" w:hAnsi="宋体" w:eastAsia="宋体" w:cs="宋体"/>
          <w:b w:val="0"/>
          <w:bCs w:val="0"/>
          <w:i w:val="0"/>
          <w:iCs w:val="0"/>
          <w:caps w:val="0"/>
          <w:color w:val="auto"/>
          <w:spacing w:val="0"/>
          <w:sz w:val="24"/>
          <w:szCs w:val="24"/>
          <w:highlight w:val="none"/>
          <w:u w:val="single"/>
          <w:lang w:val="en-US" w:eastAsia="zh-CN"/>
        </w:rPr>
        <w:t xml:space="preserve"> </w:t>
      </w:r>
    </w:p>
    <w:p w14:paraId="2C6055B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sz w:val="24"/>
          <w:szCs w:val="24"/>
          <w:highlight w:val="none"/>
          <w:u w:val="single"/>
          <w:lang w:val="en-US" w:eastAsia="zh-CN"/>
        </w:rPr>
      </w:pPr>
      <w:r>
        <w:rPr>
          <w:rStyle w:val="25"/>
          <w:rFonts w:hint="eastAsia" w:ascii="宋体" w:hAnsi="宋体" w:eastAsia="宋体" w:cs="宋体"/>
          <w:b w:val="0"/>
          <w:bCs w:val="0"/>
          <w:i w:val="0"/>
          <w:iCs w:val="0"/>
          <w:caps w:val="0"/>
          <w:color w:val="auto"/>
          <w:spacing w:val="0"/>
          <w:sz w:val="24"/>
          <w:szCs w:val="24"/>
          <w:highlight w:val="none"/>
          <w:lang w:val="en-US" w:eastAsia="zh-CN"/>
        </w:rPr>
        <w:t xml:space="preserve">             大写：</w:t>
      </w:r>
      <w:r>
        <w:rPr>
          <w:rFonts w:hint="eastAsia" w:ascii="宋体" w:hAnsi="宋体" w:eastAsia="宋体" w:cs="宋体"/>
          <w:b w:val="0"/>
          <w:bCs w:val="0"/>
          <w:i w:val="0"/>
          <w:iCs w:val="0"/>
          <w:caps w:val="0"/>
          <w:color w:val="auto"/>
          <w:spacing w:val="0"/>
          <w:sz w:val="24"/>
          <w:szCs w:val="24"/>
          <w:highlight w:val="none"/>
          <w:u w:val="single"/>
        </w:rPr>
        <w:t>          </w:t>
      </w:r>
      <w:r>
        <w:rPr>
          <w:rFonts w:hint="eastAsia" w:ascii="宋体" w:hAnsi="宋体" w:eastAsia="宋体" w:cs="宋体"/>
          <w:b w:val="0"/>
          <w:bCs w:val="0"/>
          <w:i w:val="0"/>
          <w:iCs w:val="0"/>
          <w:caps w:val="0"/>
          <w:color w:val="auto"/>
          <w:spacing w:val="0"/>
          <w:sz w:val="24"/>
          <w:szCs w:val="24"/>
          <w:highlight w:val="none"/>
          <w:u w:val="single"/>
          <w:lang w:val="en-US" w:eastAsia="zh-CN"/>
        </w:rPr>
        <w:t xml:space="preserve"> </w:t>
      </w:r>
    </w:p>
    <w:p w14:paraId="0FA7CA6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2</w:t>
      </w: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具体标的详见附件。</w:t>
      </w:r>
    </w:p>
    <w:p w14:paraId="612F766D">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3</w:t>
      </w: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合同定价方式：固定总价。</w:t>
      </w:r>
    </w:p>
    <w:p w14:paraId="6B2256E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lang w:val="en-US" w:eastAsia="zh-CN"/>
        </w:rPr>
      </w:pP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4</w:t>
      </w:r>
      <w:r>
        <w:rPr>
          <w:rStyle w:val="25"/>
          <w:rFonts w:hint="eastAsia" w:ascii="宋体" w:hAnsi="宋体" w:eastAsia="宋体" w:cs="宋体"/>
          <w:b w:val="0"/>
          <w:bCs w:val="0"/>
          <w:i w:val="0"/>
          <w:iCs w:val="0"/>
          <w:caps w:val="0"/>
          <w:color w:val="auto"/>
          <w:spacing w:val="0"/>
          <w:sz w:val="24"/>
          <w:szCs w:val="24"/>
          <w:highlight w:val="none"/>
          <w:lang w:eastAsia="zh-CN"/>
        </w:rPr>
        <w:t>）</w:t>
      </w:r>
      <w:r>
        <w:rPr>
          <w:rStyle w:val="25"/>
          <w:rFonts w:hint="eastAsia" w:ascii="宋体" w:hAnsi="宋体" w:eastAsia="宋体" w:cs="宋体"/>
          <w:b w:val="0"/>
          <w:bCs w:val="0"/>
          <w:i w:val="0"/>
          <w:iCs w:val="0"/>
          <w:caps w:val="0"/>
          <w:color w:val="auto"/>
          <w:spacing w:val="0"/>
          <w:sz w:val="24"/>
          <w:szCs w:val="24"/>
          <w:highlight w:val="none"/>
          <w:lang w:val="en-US" w:eastAsia="zh-CN"/>
        </w:rPr>
        <w:t>付款方式：</w:t>
      </w:r>
      <w:r>
        <w:rPr>
          <w:rStyle w:val="25"/>
          <w:rFonts w:hint="eastAsia" w:ascii="宋体" w:hAnsi="宋体" w:eastAsia="宋体" w:cs="宋体"/>
          <w:b w:val="0"/>
          <w:bCs w:val="0"/>
          <w:i w:val="0"/>
          <w:iCs w:val="0"/>
          <w:caps w:val="0"/>
          <w:color w:val="auto"/>
          <w:spacing w:val="0"/>
          <w:sz w:val="24"/>
          <w:szCs w:val="24"/>
          <w:highlight w:val="none"/>
          <w:u w:val="single"/>
          <w:lang w:val="en-US" w:eastAsia="zh-CN"/>
        </w:rPr>
        <w:t xml:space="preserve">             </w:t>
      </w:r>
      <w:r>
        <w:rPr>
          <w:rStyle w:val="25"/>
          <w:rFonts w:hint="eastAsia" w:ascii="宋体" w:hAnsi="宋体" w:eastAsia="宋体" w:cs="宋体"/>
          <w:b w:val="0"/>
          <w:bCs w:val="0"/>
          <w:i w:val="0"/>
          <w:iCs w:val="0"/>
          <w:caps w:val="0"/>
          <w:color w:val="auto"/>
          <w:spacing w:val="0"/>
          <w:sz w:val="24"/>
          <w:szCs w:val="24"/>
          <w:highlight w:val="none"/>
          <w:lang w:val="en-US" w:eastAsia="zh-CN"/>
        </w:rPr>
        <w:t>。</w:t>
      </w:r>
    </w:p>
    <w:p w14:paraId="6E64F3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）乙方银行账号信息</w:t>
      </w:r>
    </w:p>
    <w:p w14:paraId="7B39138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开户名称：</w:t>
      </w:r>
      <w:r>
        <w:rPr>
          <w:rFonts w:hint="eastAsia" w:ascii="宋体" w:hAnsi="宋体" w:eastAsia="宋体" w:cs="宋体"/>
          <w:i w:val="0"/>
          <w:iCs w:val="0"/>
          <w:caps w:val="0"/>
          <w:color w:val="auto"/>
          <w:spacing w:val="0"/>
          <w:sz w:val="24"/>
          <w:szCs w:val="24"/>
          <w:highlight w:val="none"/>
          <w:u w:val="single"/>
        </w:rPr>
        <w:t>                </w:t>
      </w:r>
    </w:p>
    <w:p w14:paraId="7442F46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开户银行：</w:t>
      </w:r>
      <w:r>
        <w:rPr>
          <w:rFonts w:hint="eastAsia" w:ascii="宋体" w:hAnsi="宋体" w:eastAsia="宋体" w:cs="宋体"/>
          <w:i w:val="0"/>
          <w:iCs w:val="0"/>
          <w:caps w:val="0"/>
          <w:color w:val="auto"/>
          <w:spacing w:val="0"/>
          <w:sz w:val="24"/>
          <w:szCs w:val="24"/>
          <w:highlight w:val="none"/>
          <w:u w:val="single"/>
        </w:rPr>
        <w:t>                </w:t>
      </w:r>
    </w:p>
    <w:p w14:paraId="103FFA7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账    号：</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  </w:t>
      </w:r>
    </w:p>
    <w:p w14:paraId="4E7245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1" w:beforeLines="50" w:beforeAutospacing="0" w:after="0" w:afterAutospacing="0" w:line="360" w:lineRule="auto"/>
        <w:ind w:left="0" w:right="0" w:firstLine="482" w:firstLineChars="20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3.履行合同 </w:t>
      </w:r>
    </w:p>
    <w:p w14:paraId="583DCA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w:t>
      </w:r>
      <w:r>
        <w:rPr>
          <w:rFonts w:hint="eastAsia" w:ascii="宋体" w:hAnsi="宋体" w:eastAsia="宋体" w:cs="宋体"/>
          <w:i w:val="0"/>
          <w:iCs w:val="0"/>
          <w:caps w:val="0"/>
          <w:color w:val="auto"/>
          <w:spacing w:val="0"/>
          <w:sz w:val="24"/>
          <w:szCs w:val="24"/>
          <w:highlight w:val="none"/>
          <w:lang w:val="en-US" w:eastAsia="zh-CN"/>
        </w:rPr>
        <w:t>起始日期：</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日</w:t>
      </w:r>
      <w:r>
        <w:rPr>
          <w:rFonts w:hint="eastAsia" w:ascii="宋体" w:hAnsi="宋体" w:eastAsia="宋体" w:cs="宋体"/>
          <w:i w:val="0"/>
          <w:iCs w:val="0"/>
          <w:caps w:val="0"/>
          <w:color w:val="auto"/>
          <w:spacing w:val="0"/>
          <w:sz w:val="24"/>
          <w:szCs w:val="24"/>
          <w:highlight w:val="none"/>
          <w:u w:val="none"/>
          <w:lang w:val="en-US" w:eastAsia="zh-CN"/>
        </w:rPr>
        <w:t>，完成日期：</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日</w:t>
      </w:r>
      <w:r>
        <w:rPr>
          <w:rFonts w:hint="eastAsia" w:ascii="宋体" w:hAnsi="宋体" w:eastAsia="宋体" w:cs="宋体"/>
          <w:i w:val="0"/>
          <w:iCs w:val="0"/>
          <w:caps w:val="0"/>
          <w:color w:val="auto"/>
          <w:spacing w:val="0"/>
          <w:sz w:val="24"/>
          <w:szCs w:val="24"/>
          <w:highlight w:val="none"/>
          <w:u w:val="none"/>
          <w:lang w:val="en-US" w:eastAsia="zh-CN"/>
        </w:rPr>
        <w:t>。</w:t>
      </w:r>
      <w:r>
        <w:rPr>
          <w:rFonts w:hint="eastAsia" w:ascii="宋体" w:hAnsi="宋体" w:eastAsia="宋体" w:cs="宋体"/>
          <w:i w:val="0"/>
          <w:iCs w:val="0"/>
          <w:caps w:val="0"/>
          <w:color w:val="auto"/>
          <w:spacing w:val="0"/>
          <w:sz w:val="24"/>
          <w:szCs w:val="24"/>
          <w:highlight w:val="none"/>
          <w:u w:val="single"/>
          <w:lang w:val="en-US" w:eastAsia="zh-CN"/>
        </w:rPr>
        <w:t>总日历天数</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天</w:t>
      </w:r>
      <w:r>
        <w:rPr>
          <w:rFonts w:hint="eastAsia" w:ascii="宋体" w:hAnsi="宋体" w:eastAsia="宋体" w:cs="宋体"/>
          <w:i w:val="0"/>
          <w:iCs w:val="0"/>
          <w:caps w:val="0"/>
          <w:color w:val="auto"/>
          <w:spacing w:val="0"/>
          <w:sz w:val="24"/>
          <w:szCs w:val="24"/>
          <w:highlight w:val="none"/>
        </w:rPr>
        <w:t>。</w:t>
      </w:r>
    </w:p>
    <w:p w14:paraId="167AF80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）地点</w:t>
      </w:r>
      <w:r>
        <w:rPr>
          <w:rStyle w:val="25"/>
          <w:rFonts w:hint="eastAsia" w:ascii="宋体" w:hAnsi="宋体" w:eastAsia="宋体" w:cs="宋体"/>
          <w:b/>
          <w:bCs/>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             </w:t>
      </w:r>
    </w:p>
    <w:p w14:paraId="00169F5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履约担保</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lang w:val="en-US" w:eastAsia="zh-CN"/>
        </w:rPr>
        <w:t>本合同不要求提交履约担保。</w:t>
      </w:r>
    </w:p>
    <w:p w14:paraId="2F81CC8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Style w:val="25"/>
          <w:rFonts w:hint="eastAsia" w:ascii="宋体" w:hAnsi="宋体" w:eastAsia="宋体" w:cs="宋体"/>
          <w:b/>
          <w:bCs/>
          <w:i w:val="0"/>
          <w:iCs w:val="0"/>
          <w:caps w:val="0"/>
          <w:color w:val="auto"/>
          <w:spacing w:val="0"/>
          <w:sz w:val="24"/>
          <w:szCs w:val="24"/>
          <w:highlight w:val="none"/>
        </w:rPr>
        <w:t>4.</w:t>
      </w:r>
      <w:r>
        <w:rPr>
          <w:rStyle w:val="25"/>
          <w:rFonts w:hint="eastAsia" w:ascii="宋体" w:hAnsi="宋体" w:eastAsia="宋体" w:cs="宋体"/>
          <w:b/>
          <w:bCs/>
          <w:i w:val="0"/>
          <w:iCs w:val="0"/>
          <w:caps w:val="0"/>
          <w:color w:val="auto"/>
          <w:spacing w:val="0"/>
          <w:sz w:val="24"/>
          <w:szCs w:val="24"/>
          <w:highlight w:val="none"/>
          <w:lang w:val="en-US" w:eastAsia="zh-CN"/>
        </w:rPr>
        <w:t>合同验收</w:t>
      </w:r>
    </w:p>
    <w:p w14:paraId="7BFE00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（1）验收组织方式：</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自行组织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委托第三方组织，验收主体</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none"/>
          <w:lang w:val="en-US" w:eastAsia="zh-CN"/>
        </w:rPr>
        <w:t>。</w:t>
      </w:r>
    </w:p>
    <w:p w14:paraId="387CD2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是否邀请本项目其他供应商：</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4CE8EF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1200" w:firstLineChars="500"/>
        <w:jc w:val="left"/>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是否邀请专家：</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3634D2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是否邀请服务对象：</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0428F01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default"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是否邀请第三方检测机构：</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3E83C35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default"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是否邀请进行抽查检测：</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76A445A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default"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是否邀请服务对象：</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374C5D8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default"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是否存在破坏性检测：</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 xml:space="preserve">是  </w:t>
      </w:r>
      <w:r>
        <w:rPr>
          <w:rFonts w:hint="eastAsia" w:ascii="宋体" w:hAnsi="宋体" w:eastAsia="宋体" w:cs="宋体"/>
          <w:i w:val="0"/>
          <w:iCs w:val="0"/>
          <w:caps w:val="0"/>
          <w:color w:val="auto"/>
          <w:spacing w:val="0"/>
          <w:sz w:val="24"/>
          <w:szCs w:val="24"/>
          <w:highlight w:val="none"/>
          <w:u w:val="none"/>
          <w:lang w:val="en-US" w:eastAsia="zh-CN"/>
        </w:rPr>
        <w:sym w:font="Wingdings" w:char="00A8"/>
      </w:r>
      <w:r>
        <w:rPr>
          <w:rFonts w:hint="eastAsia" w:ascii="宋体" w:hAnsi="宋体" w:eastAsia="宋体" w:cs="宋体"/>
          <w:i w:val="0"/>
          <w:iCs w:val="0"/>
          <w:caps w:val="0"/>
          <w:color w:val="auto"/>
          <w:spacing w:val="0"/>
          <w:sz w:val="24"/>
          <w:szCs w:val="24"/>
          <w:highlight w:val="none"/>
          <w:u w:val="none"/>
          <w:lang w:val="en-US" w:eastAsia="zh-CN"/>
        </w:rPr>
        <w:t>否</w:t>
      </w:r>
    </w:p>
    <w:p w14:paraId="787E9D0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验收组织的其他事项：</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none"/>
          <w:lang w:val="en-US" w:eastAsia="zh-CN"/>
        </w:rPr>
        <w:t>。</w:t>
      </w:r>
    </w:p>
    <w:p w14:paraId="18C045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（2）履约验收时间：</w:t>
      </w:r>
      <w:r>
        <w:rPr>
          <w:rFonts w:hint="eastAsia" w:ascii="宋体" w:hAnsi="宋体" w:eastAsia="宋体" w:cs="宋体"/>
          <w:i w:val="0"/>
          <w:iCs w:val="0"/>
          <w:caps w:val="0"/>
          <w:color w:val="auto"/>
          <w:spacing w:val="0"/>
          <w:sz w:val="24"/>
          <w:szCs w:val="24"/>
          <w:highlight w:val="none"/>
          <w:u w:val="single"/>
          <w:lang w:val="en-US" w:eastAsia="zh-CN"/>
        </w:rPr>
        <w:t>乙方提出验收申请之日起7日内组织验收</w:t>
      </w:r>
      <w:r>
        <w:rPr>
          <w:rFonts w:hint="eastAsia" w:ascii="宋体" w:hAnsi="宋体" w:eastAsia="宋体" w:cs="宋体"/>
          <w:i w:val="0"/>
          <w:iCs w:val="0"/>
          <w:caps w:val="0"/>
          <w:color w:val="auto"/>
          <w:spacing w:val="0"/>
          <w:sz w:val="24"/>
          <w:szCs w:val="24"/>
          <w:highlight w:val="none"/>
          <w:u w:val="none"/>
          <w:lang w:eastAsia="zh-CN"/>
        </w:rPr>
        <w:t>。</w:t>
      </w:r>
    </w:p>
    <w:p w14:paraId="6B7BCC5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履约验收方式：</w:t>
      </w:r>
      <w:r>
        <w:rPr>
          <w:rFonts w:hint="eastAsia" w:ascii="宋体" w:hAnsi="宋体" w:eastAsia="宋体" w:cs="宋体"/>
          <w:i w:val="0"/>
          <w:iCs w:val="0"/>
          <w:caps w:val="0"/>
          <w:color w:val="auto"/>
          <w:spacing w:val="0"/>
          <w:sz w:val="24"/>
          <w:szCs w:val="24"/>
          <w:highlight w:val="none"/>
          <w:u w:val="single"/>
          <w:lang w:val="en-US" w:eastAsia="zh-CN"/>
        </w:rPr>
        <w:t>一次性验收</w:t>
      </w:r>
      <w:r>
        <w:rPr>
          <w:rFonts w:hint="eastAsia" w:ascii="宋体" w:hAnsi="宋体" w:eastAsia="宋体" w:cs="宋体"/>
          <w:i w:val="0"/>
          <w:iCs w:val="0"/>
          <w:caps w:val="0"/>
          <w:color w:val="auto"/>
          <w:spacing w:val="0"/>
          <w:sz w:val="24"/>
          <w:szCs w:val="24"/>
          <w:highlight w:val="none"/>
          <w:lang w:val="en-US" w:eastAsia="zh-CN"/>
        </w:rPr>
        <w:t>。</w:t>
      </w:r>
    </w:p>
    <w:p w14:paraId="45CD91F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履约验收程序：</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w:t>
      </w:r>
    </w:p>
    <w:p w14:paraId="0D124E4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履约验收的内容：</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w:t>
      </w:r>
    </w:p>
    <w:p w14:paraId="4CCB5E6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履约验收标准：</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w:t>
      </w:r>
    </w:p>
    <w:p w14:paraId="5AD4A3E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履约验收其他事项：</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w:t>
      </w:r>
    </w:p>
    <w:p w14:paraId="4F464B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5.组成合同的文件</w:t>
      </w:r>
    </w:p>
    <w:p w14:paraId="70D4D40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本协议书与下列文件一起构成合同文件，如下述文件之间有任何抵触、矛盾或歧义，应：</w:t>
      </w:r>
    </w:p>
    <w:p w14:paraId="25A086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（1）本合同协议书及其变更、补充协议；</w:t>
      </w:r>
    </w:p>
    <w:p w14:paraId="132A136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（2）</w:t>
      </w:r>
      <w:r>
        <w:rPr>
          <w:rStyle w:val="25"/>
          <w:rFonts w:hint="eastAsia" w:ascii="宋体" w:hAnsi="宋体" w:eastAsia="宋体" w:cs="宋体"/>
          <w:b w:val="0"/>
          <w:bCs w:val="0"/>
          <w:i w:val="0"/>
          <w:iCs w:val="0"/>
          <w:caps w:val="0"/>
          <w:color w:val="auto"/>
          <w:spacing w:val="0"/>
          <w:sz w:val="24"/>
          <w:szCs w:val="24"/>
          <w:highlight w:val="none"/>
          <w:lang w:val="en-US" w:eastAsia="zh-CN"/>
        </w:rPr>
        <w:t>成交</w:t>
      </w:r>
      <w:r>
        <w:rPr>
          <w:rStyle w:val="25"/>
          <w:rFonts w:hint="eastAsia" w:ascii="宋体" w:hAnsi="宋体" w:eastAsia="宋体" w:cs="宋体"/>
          <w:b w:val="0"/>
          <w:bCs w:val="0"/>
          <w:i w:val="0"/>
          <w:iCs w:val="0"/>
          <w:caps w:val="0"/>
          <w:color w:val="auto"/>
          <w:spacing w:val="0"/>
          <w:sz w:val="24"/>
          <w:szCs w:val="24"/>
          <w:highlight w:val="none"/>
        </w:rPr>
        <w:t>通知书；</w:t>
      </w:r>
    </w:p>
    <w:p w14:paraId="785AE7F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（3）</w:t>
      </w:r>
      <w:r>
        <w:rPr>
          <w:rStyle w:val="25"/>
          <w:rFonts w:hint="eastAsia" w:ascii="宋体" w:hAnsi="宋体" w:eastAsia="宋体" w:cs="宋体"/>
          <w:b w:val="0"/>
          <w:bCs w:val="0"/>
          <w:i w:val="0"/>
          <w:iCs w:val="0"/>
          <w:caps w:val="0"/>
          <w:color w:val="auto"/>
          <w:spacing w:val="0"/>
          <w:sz w:val="24"/>
          <w:szCs w:val="24"/>
          <w:highlight w:val="none"/>
          <w:lang w:val="en-US" w:eastAsia="zh-CN"/>
        </w:rPr>
        <w:t>响应</w:t>
      </w:r>
      <w:r>
        <w:rPr>
          <w:rStyle w:val="25"/>
          <w:rFonts w:hint="eastAsia" w:ascii="宋体" w:hAnsi="宋体" w:eastAsia="宋体" w:cs="宋体"/>
          <w:b w:val="0"/>
          <w:bCs w:val="0"/>
          <w:i w:val="0"/>
          <w:iCs w:val="0"/>
          <w:caps w:val="0"/>
          <w:color w:val="auto"/>
          <w:spacing w:val="0"/>
          <w:sz w:val="24"/>
          <w:szCs w:val="24"/>
          <w:highlight w:val="none"/>
        </w:rPr>
        <w:t>文件；</w:t>
      </w:r>
    </w:p>
    <w:p w14:paraId="73D209E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（4）政府采购合同</w:t>
      </w:r>
      <w:r>
        <w:rPr>
          <w:rStyle w:val="25"/>
          <w:rFonts w:hint="eastAsia" w:ascii="宋体" w:hAnsi="宋体" w:eastAsia="宋体" w:cs="宋体"/>
          <w:b w:val="0"/>
          <w:bCs w:val="0"/>
          <w:i w:val="0"/>
          <w:iCs w:val="0"/>
          <w:caps w:val="0"/>
          <w:color w:val="auto"/>
          <w:spacing w:val="0"/>
          <w:sz w:val="24"/>
          <w:szCs w:val="24"/>
          <w:highlight w:val="none"/>
          <w:lang w:val="en-US" w:eastAsia="zh-CN"/>
        </w:rPr>
        <w:t>专用条款</w:t>
      </w:r>
      <w:r>
        <w:rPr>
          <w:rStyle w:val="25"/>
          <w:rFonts w:hint="eastAsia" w:ascii="宋体" w:hAnsi="宋体" w:eastAsia="宋体" w:cs="宋体"/>
          <w:b w:val="0"/>
          <w:bCs w:val="0"/>
          <w:i w:val="0"/>
          <w:iCs w:val="0"/>
          <w:caps w:val="0"/>
          <w:color w:val="auto"/>
          <w:spacing w:val="0"/>
          <w:sz w:val="24"/>
          <w:szCs w:val="24"/>
          <w:highlight w:val="none"/>
        </w:rPr>
        <w:t>；</w:t>
      </w:r>
    </w:p>
    <w:p w14:paraId="4C811F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（5）政府采购合同</w:t>
      </w:r>
      <w:r>
        <w:rPr>
          <w:rStyle w:val="25"/>
          <w:rFonts w:hint="eastAsia" w:ascii="宋体" w:hAnsi="宋体" w:eastAsia="宋体" w:cs="宋体"/>
          <w:b w:val="0"/>
          <w:bCs w:val="0"/>
          <w:i w:val="0"/>
          <w:iCs w:val="0"/>
          <w:caps w:val="0"/>
          <w:color w:val="auto"/>
          <w:spacing w:val="0"/>
          <w:sz w:val="24"/>
          <w:szCs w:val="24"/>
          <w:highlight w:val="none"/>
          <w:lang w:val="en-US" w:eastAsia="zh-CN"/>
        </w:rPr>
        <w:t>通用条款</w:t>
      </w:r>
      <w:r>
        <w:rPr>
          <w:rStyle w:val="25"/>
          <w:rFonts w:hint="eastAsia" w:ascii="宋体" w:hAnsi="宋体" w:eastAsia="宋体" w:cs="宋体"/>
          <w:b w:val="0"/>
          <w:bCs w:val="0"/>
          <w:i w:val="0"/>
          <w:iCs w:val="0"/>
          <w:caps w:val="0"/>
          <w:color w:val="auto"/>
          <w:spacing w:val="0"/>
          <w:sz w:val="24"/>
          <w:szCs w:val="24"/>
          <w:highlight w:val="none"/>
        </w:rPr>
        <w:t>；</w:t>
      </w:r>
    </w:p>
    <w:p w14:paraId="6377FFB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（6）</w:t>
      </w:r>
      <w:r>
        <w:rPr>
          <w:rStyle w:val="25"/>
          <w:rFonts w:hint="eastAsia" w:ascii="宋体" w:hAnsi="宋体" w:eastAsia="宋体" w:cs="宋体"/>
          <w:b w:val="0"/>
          <w:bCs w:val="0"/>
          <w:i w:val="0"/>
          <w:iCs w:val="0"/>
          <w:caps w:val="0"/>
          <w:color w:val="auto"/>
          <w:spacing w:val="0"/>
          <w:sz w:val="24"/>
          <w:szCs w:val="24"/>
          <w:highlight w:val="none"/>
          <w:lang w:val="en-US" w:eastAsia="zh-CN"/>
        </w:rPr>
        <w:t>竞争性磋商文件</w:t>
      </w:r>
      <w:r>
        <w:rPr>
          <w:rStyle w:val="25"/>
          <w:rFonts w:hint="eastAsia" w:ascii="宋体" w:hAnsi="宋体" w:eastAsia="宋体" w:cs="宋体"/>
          <w:b w:val="0"/>
          <w:bCs w:val="0"/>
          <w:i w:val="0"/>
          <w:iCs w:val="0"/>
          <w:caps w:val="0"/>
          <w:color w:val="auto"/>
          <w:spacing w:val="0"/>
          <w:sz w:val="24"/>
          <w:szCs w:val="24"/>
          <w:highlight w:val="none"/>
        </w:rPr>
        <w:t>；</w:t>
      </w:r>
    </w:p>
    <w:p w14:paraId="4A8D4A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（7）标准、规范及有关技术文件；</w:t>
      </w:r>
    </w:p>
    <w:p w14:paraId="41FFE47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5"/>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val="0"/>
          <w:bCs w:val="0"/>
          <w:i w:val="0"/>
          <w:iCs w:val="0"/>
          <w:caps w:val="0"/>
          <w:color w:val="auto"/>
          <w:spacing w:val="0"/>
          <w:sz w:val="24"/>
          <w:szCs w:val="24"/>
          <w:highlight w:val="none"/>
        </w:rPr>
        <w:t>（8）其他合同文件。</w:t>
      </w:r>
    </w:p>
    <w:p w14:paraId="612C21B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lang w:val="en-US" w:eastAsia="zh-CN"/>
        </w:rPr>
        <w:t>6</w:t>
      </w:r>
      <w:r>
        <w:rPr>
          <w:rStyle w:val="25"/>
          <w:rFonts w:hint="eastAsia" w:ascii="宋体" w:hAnsi="宋体" w:eastAsia="宋体" w:cs="宋体"/>
          <w:b/>
          <w:bCs/>
          <w:i w:val="0"/>
          <w:iCs w:val="0"/>
          <w:caps w:val="0"/>
          <w:color w:val="auto"/>
          <w:spacing w:val="0"/>
          <w:sz w:val="24"/>
          <w:szCs w:val="24"/>
          <w:highlight w:val="none"/>
        </w:rPr>
        <w:t>.合同生效</w:t>
      </w:r>
    </w:p>
    <w:p w14:paraId="147280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本合同自</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生效。</w:t>
      </w:r>
    </w:p>
    <w:p w14:paraId="030BB28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lang w:val="en-US" w:eastAsia="zh-CN"/>
        </w:rPr>
        <w:t>7</w:t>
      </w:r>
      <w:r>
        <w:rPr>
          <w:rStyle w:val="25"/>
          <w:rFonts w:hint="eastAsia" w:ascii="宋体" w:hAnsi="宋体" w:eastAsia="宋体" w:cs="宋体"/>
          <w:b/>
          <w:bCs/>
          <w:i w:val="0"/>
          <w:iCs w:val="0"/>
          <w:caps w:val="0"/>
          <w:color w:val="auto"/>
          <w:spacing w:val="0"/>
          <w:sz w:val="24"/>
          <w:szCs w:val="24"/>
          <w:highlight w:val="none"/>
        </w:rPr>
        <w:t>.合同份数</w:t>
      </w:r>
    </w:p>
    <w:p w14:paraId="5DA5F4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本合同一式</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陆</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份，</w:t>
      </w:r>
      <w:r>
        <w:rPr>
          <w:rFonts w:hint="eastAsia" w:ascii="宋体" w:hAnsi="宋体" w:eastAsia="宋体" w:cs="宋体"/>
          <w:i w:val="0"/>
          <w:iCs w:val="0"/>
          <w:caps w:val="0"/>
          <w:color w:val="auto"/>
          <w:spacing w:val="0"/>
          <w:sz w:val="24"/>
          <w:szCs w:val="24"/>
          <w:highlight w:val="none"/>
          <w:lang w:val="en-US" w:eastAsia="zh-CN"/>
        </w:rPr>
        <w:t>甲方</w:t>
      </w:r>
      <w:r>
        <w:rPr>
          <w:rFonts w:hint="eastAsia" w:ascii="宋体" w:hAnsi="宋体" w:eastAsia="宋体" w:cs="宋体"/>
          <w:i w:val="0"/>
          <w:iCs w:val="0"/>
          <w:caps w:val="0"/>
          <w:color w:val="auto"/>
          <w:spacing w:val="0"/>
          <w:sz w:val="24"/>
          <w:szCs w:val="24"/>
          <w:highlight w:val="none"/>
        </w:rPr>
        <w:t>执</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肆</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份，供应商执</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u w:val="single"/>
          <w:lang w:val="en-US" w:eastAsia="zh-CN"/>
        </w:rPr>
        <w:t>贰</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份，均具有同等法律效力。</w:t>
      </w:r>
    </w:p>
    <w:p w14:paraId="463D166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合同订立时间：</w:t>
      </w:r>
      <w:r>
        <w:rPr>
          <w:rFonts w:hint="eastAsia" w:ascii="宋体" w:hAnsi="宋体" w:eastAsia="宋体" w:cs="宋体"/>
          <w:i w:val="0"/>
          <w:iCs w:val="0"/>
          <w:caps w:val="0"/>
          <w:color w:val="auto"/>
          <w:spacing w:val="0"/>
          <w:sz w:val="24"/>
          <w:szCs w:val="24"/>
          <w:highlight w:val="none"/>
          <w:u w:val="single"/>
        </w:rPr>
        <w:t>           </w:t>
      </w:r>
    </w:p>
    <w:p w14:paraId="45BFA17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合同订立地点：</w:t>
      </w:r>
      <w:r>
        <w:rPr>
          <w:rFonts w:hint="eastAsia" w:ascii="宋体" w:hAnsi="宋体" w:eastAsia="宋体" w:cs="宋体"/>
          <w:i w:val="0"/>
          <w:iCs w:val="0"/>
          <w:caps w:val="0"/>
          <w:color w:val="auto"/>
          <w:spacing w:val="0"/>
          <w:sz w:val="24"/>
          <w:szCs w:val="24"/>
          <w:highlight w:val="none"/>
          <w:u w:val="single"/>
        </w:rPr>
        <w:t>           </w:t>
      </w:r>
    </w:p>
    <w:p w14:paraId="74172C7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14:paraId="5FE2F5B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附件：具体标的明细等</w:t>
      </w:r>
    </w:p>
    <w:p w14:paraId="352F239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040" w:firstLineChars="2100"/>
        <w:jc w:val="left"/>
        <w:textAlignment w:val="auto"/>
        <w:rPr>
          <w:rFonts w:hint="eastAsia" w:ascii="宋体" w:hAnsi="宋体" w:eastAsia="宋体" w:cs="宋体"/>
          <w:i w:val="0"/>
          <w:iCs w:val="0"/>
          <w:caps w:val="0"/>
          <w:color w:val="auto"/>
          <w:spacing w:val="0"/>
          <w:sz w:val="24"/>
          <w:szCs w:val="24"/>
          <w:highlight w:val="none"/>
          <w:u w:val="single"/>
        </w:rPr>
        <w:sectPr>
          <w:pgSz w:w="11906" w:h="16838"/>
          <w:pgMar w:top="1417" w:right="1134" w:bottom="1417" w:left="1134" w:header="851" w:footer="850" w:gutter="0"/>
          <w:pgNumType w:fmt="decimal"/>
          <w:cols w:space="720" w:num="1"/>
          <w:docGrid w:linePitch="319" w:charSpace="0"/>
        </w:sectPr>
      </w:pPr>
      <w:r>
        <w:rPr>
          <w:rFonts w:hint="eastAsia" w:ascii="宋体" w:hAnsi="宋体" w:eastAsia="宋体" w:cs="宋体"/>
          <w:i w:val="0"/>
          <w:iCs w:val="0"/>
          <w:caps w:val="0"/>
          <w:color w:val="auto"/>
          <w:spacing w:val="0"/>
          <w:sz w:val="24"/>
          <w:szCs w:val="24"/>
          <w:highlight w:val="none"/>
        </w:rPr>
        <w:t> </w:t>
      </w:r>
    </w:p>
    <w:p w14:paraId="1CF75C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auto"/>
          <w:spacing w:val="0"/>
          <w:sz w:val="28"/>
          <w:szCs w:val="28"/>
          <w:highlight w:val="none"/>
        </w:rPr>
      </w:pPr>
      <w:r>
        <w:rPr>
          <w:rStyle w:val="25"/>
          <w:rFonts w:hint="eastAsia" w:ascii="宋体" w:hAnsi="宋体" w:eastAsia="宋体" w:cs="宋体"/>
          <w:b/>
          <w:bCs/>
          <w:i w:val="0"/>
          <w:iCs w:val="0"/>
          <w:caps w:val="0"/>
          <w:color w:val="auto"/>
          <w:spacing w:val="0"/>
          <w:sz w:val="28"/>
          <w:szCs w:val="28"/>
          <w:highlight w:val="none"/>
        </w:rPr>
        <w:t>第二节 政府采购合同通用条款</w:t>
      </w:r>
    </w:p>
    <w:p w14:paraId="673BCEB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1.定义</w:t>
      </w:r>
    </w:p>
    <w:p w14:paraId="164321C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1.1合同当事人</w:t>
      </w:r>
    </w:p>
    <w:p w14:paraId="08186E6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（1）采购人（以下称甲方）是指使用财政性资金，通过政府采购方式向供应商购买货物及其相关服务的国家机关、事业单位、团体组织。</w:t>
      </w:r>
    </w:p>
    <w:p w14:paraId="4E2C5E0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（2）供应商（以下称乙方）是指参加政府采购活动并且中标（成交)，向采购人提供合同约定的货物及其相关服务的法人、非法人组织或者自然人。</w:t>
      </w:r>
    </w:p>
    <w:p w14:paraId="0FE6DEC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其他合同主体是指除采购人和供应商以外，依法参与合同缔结或履行，享有权利、承担义务的合同当事人。</w:t>
      </w:r>
    </w:p>
    <w:p w14:paraId="691210A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1.2本合同下列术语应解释为：</w:t>
      </w:r>
    </w:p>
    <w:p w14:paraId="2269581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（1）“合同”系指合同当事人意思表示达成一致的任何协议，包括签署的合同协议书、中标（成交）通知书、</w:t>
      </w:r>
      <w:r>
        <w:rPr>
          <w:rFonts w:hint="eastAsia" w:cs="宋体"/>
          <w:i w:val="0"/>
          <w:iCs w:val="0"/>
          <w:caps w:val="0"/>
          <w:color w:val="auto"/>
          <w:spacing w:val="0"/>
          <w:sz w:val="24"/>
          <w:szCs w:val="24"/>
          <w:highlight w:val="none"/>
          <w:lang w:eastAsia="zh-CN"/>
        </w:rPr>
        <w:t>磋商</w:t>
      </w:r>
      <w:r>
        <w:rPr>
          <w:rFonts w:hint="eastAsia" w:ascii="宋体" w:hAnsi="宋体" w:eastAsia="宋体" w:cs="宋体"/>
          <w:i w:val="0"/>
          <w:iCs w:val="0"/>
          <w:caps w:val="0"/>
          <w:color w:val="auto"/>
          <w:spacing w:val="0"/>
          <w:sz w:val="24"/>
          <w:szCs w:val="24"/>
          <w:highlight w:val="none"/>
        </w:rPr>
        <w:t>书及附件、本合同专用条款、通用条款、附件、附录和上述文件所提到的构成合同的所有文件，以及国家法律、行政法规和规章制度规定的属于合同组成部分的其他文件。</w:t>
      </w:r>
    </w:p>
    <w:p w14:paraId="4C28EAB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（2）“合同价款”系指根据本合同规定乙方在全面履行合同义务后甲方应支付给乙方的价款。。</w:t>
      </w:r>
    </w:p>
    <w:p w14:paraId="4D6AC4E6">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（3）“货物”系指乙方根据本合同规定须向甲方提供的各种形态和种类的物品，包括原材料、设备、产品（包括软件〉及相关的其备品备件、工具、手册及其它技术资料和材料等。</w:t>
      </w:r>
    </w:p>
    <w:p w14:paraId="6271D80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相关服务”系指根据合同规定，乙方应提供的与货物有关的技术、管理和其它服务，包括但不限于:管理和质量保证、运输、保险、检验、现场准备、安装、集成、调试、培训、维修、技术支持等以及合同中规定乙方应承担的其它义务。</w:t>
      </w:r>
    </w:p>
    <w:p w14:paraId="27165E3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（5）“分包”系指中标、成交供应商按采购文件、</w:t>
      </w:r>
      <w:r>
        <w:rPr>
          <w:rFonts w:hint="eastAsia" w:cs="宋体"/>
          <w:i w:val="0"/>
          <w:iCs w:val="0"/>
          <w:caps w:val="0"/>
          <w:color w:val="auto"/>
          <w:spacing w:val="0"/>
          <w:sz w:val="24"/>
          <w:szCs w:val="24"/>
          <w:highlight w:val="none"/>
          <w:lang w:eastAsia="zh-CN"/>
        </w:rPr>
        <w:t>磋商</w:t>
      </w:r>
      <w:r>
        <w:rPr>
          <w:rFonts w:hint="eastAsia" w:ascii="宋体" w:hAnsi="宋体" w:eastAsia="宋体" w:cs="宋体"/>
          <w:i w:val="0"/>
          <w:iCs w:val="0"/>
          <w:caps w:val="0"/>
          <w:color w:val="auto"/>
          <w:spacing w:val="0"/>
          <w:sz w:val="24"/>
          <w:szCs w:val="24"/>
          <w:highlight w:val="none"/>
        </w:rPr>
        <w:t>（响应）文件的规定，根据分包意向协议，将中标、成交项目中的部分履约内容，再分给具有相应资质条件的供应商履行合同的行为。“分包人”系指承接上述分包部分的供应商。</w:t>
      </w:r>
    </w:p>
    <w:p w14:paraId="0EEAEB39">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采购人承担连带责任。联合体具体要求见【政府采购合同专用条款】</w:t>
      </w:r>
      <w:r>
        <w:rPr>
          <w:rFonts w:hint="eastAsia" w:ascii="宋体" w:hAnsi="宋体" w:eastAsia="宋体" w:cs="宋体"/>
          <w:i w:val="0"/>
          <w:iCs w:val="0"/>
          <w:caps w:val="0"/>
          <w:color w:val="auto"/>
          <w:spacing w:val="0"/>
          <w:sz w:val="24"/>
          <w:szCs w:val="24"/>
          <w:highlight w:val="none"/>
          <w:lang w:eastAsia="zh-CN"/>
        </w:rPr>
        <w:t>。</w:t>
      </w:r>
    </w:p>
    <w:p w14:paraId="137A4790">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）其他术语解释，见【政府采购合同专用条款】。</w:t>
      </w:r>
    </w:p>
    <w:p w14:paraId="121B5DF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lang w:val="en-US" w:eastAsia="zh-CN"/>
        </w:rPr>
        <w:t>2</w:t>
      </w:r>
      <w:r>
        <w:rPr>
          <w:rStyle w:val="25"/>
          <w:rFonts w:hint="eastAsia" w:ascii="宋体" w:hAnsi="宋体" w:eastAsia="宋体" w:cs="宋体"/>
          <w:b/>
          <w:bCs/>
          <w:i w:val="0"/>
          <w:iCs w:val="0"/>
          <w:caps w:val="0"/>
          <w:color w:val="auto"/>
          <w:spacing w:val="0"/>
          <w:sz w:val="24"/>
          <w:szCs w:val="24"/>
          <w:highlight w:val="none"/>
        </w:rPr>
        <w:t>.合同标的及金额</w:t>
      </w:r>
    </w:p>
    <w:p w14:paraId="1F5C9B4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2.1合同标的及金额应与中标(成交）结果一致。乙方为履行本合同而发生的所有费用均应包含在合同金额中，甲方不再另行支付其它任何费用。</w:t>
      </w:r>
    </w:p>
    <w:p w14:paraId="4BAC562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lang w:val="en-US" w:eastAsia="zh-CN"/>
        </w:rPr>
      </w:pPr>
      <w:r>
        <w:rPr>
          <w:rStyle w:val="25"/>
          <w:rFonts w:hint="eastAsia" w:ascii="宋体" w:hAnsi="宋体" w:eastAsia="宋体" w:cs="宋体"/>
          <w:b/>
          <w:bCs/>
          <w:i w:val="0"/>
          <w:iCs w:val="0"/>
          <w:caps w:val="0"/>
          <w:color w:val="auto"/>
          <w:spacing w:val="0"/>
          <w:sz w:val="24"/>
          <w:szCs w:val="24"/>
          <w:highlight w:val="none"/>
          <w:lang w:val="en-US" w:eastAsia="zh-CN"/>
        </w:rPr>
        <w:t>3．履行合同的时间、地点和方式</w:t>
      </w:r>
    </w:p>
    <w:p w14:paraId="3666CD1F">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3.1乙方应当在约定的时间、地点，按照约定方式履行合同，具体的履行时间、地点和方式见【政府采购合同专用条款】</w:t>
      </w:r>
    </w:p>
    <w:p w14:paraId="47F2DEF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default" w:ascii="宋体" w:hAnsi="宋体" w:eastAsia="宋体" w:cs="宋体"/>
          <w:b/>
          <w:bCs/>
          <w:i w:val="0"/>
          <w:iCs w:val="0"/>
          <w:caps w:val="0"/>
          <w:color w:val="auto"/>
          <w:spacing w:val="0"/>
          <w:sz w:val="24"/>
          <w:szCs w:val="24"/>
          <w:highlight w:val="none"/>
          <w:lang w:val="en-US" w:eastAsia="zh-CN"/>
        </w:rPr>
      </w:pPr>
      <w:r>
        <w:rPr>
          <w:rStyle w:val="25"/>
          <w:rFonts w:hint="eastAsia" w:ascii="宋体" w:hAnsi="宋体" w:eastAsia="宋体" w:cs="宋体"/>
          <w:b/>
          <w:bCs/>
          <w:i w:val="0"/>
          <w:iCs w:val="0"/>
          <w:caps w:val="0"/>
          <w:color w:val="auto"/>
          <w:spacing w:val="0"/>
          <w:sz w:val="24"/>
          <w:szCs w:val="24"/>
          <w:highlight w:val="none"/>
        </w:rPr>
        <w:t>4.</w:t>
      </w:r>
      <w:r>
        <w:rPr>
          <w:rStyle w:val="25"/>
          <w:rFonts w:hint="eastAsia" w:ascii="宋体" w:hAnsi="宋体" w:eastAsia="宋体" w:cs="宋体"/>
          <w:b/>
          <w:bCs/>
          <w:i w:val="0"/>
          <w:iCs w:val="0"/>
          <w:caps w:val="0"/>
          <w:color w:val="auto"/>
          <w:spacing w:val="0"/>
          <w:sz w:val="24"/>
          <w:szCs w:val="24"/>
          <w:highlight w:val="none"/>
          <w:lang w:val="en-US" w:eastAsia="zh-CN"/>
        </w:rPr>
        <w:t>甲方的权力和义务</w:t>
      </w:r>
    </w:p>
    <w:p w14:paraId="4A60D43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4.1甲方确定项目项目负责人（或项目联系人)，负责与本合同有关的事务。甲方有权对合同规定范围内乙方的履约行为进行检查，并及时确认乙方提交的事项。甲方应当配合乙方完成相关项目实施工作。</w:t>
      </w:r>
    </w:p>
    <w:p w14:paraId="48BB34D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4.2甲方有权要求乙方按时提交各阶段有关安排计划,并有权定期核对乙方提供货物数量、规格、质量等内容。甲方有权督促乙方工作并要求乙方更换不符合要求的货物。</w:t>
      </w:r>
    </w:p>
    <w:p w14:paraId="6424A3E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4.3甲方有权要求乙方对缺陷部分予以修复,并按合同约定享有货物保修及其他合同约定的权利。</w:t>
      </w:r>
    </w:p>
    <w:p w14:paraId="559B204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4.4 甲方应当根据合同约定按时向乙方支付应付的费用。4.5国家法律法规所规定由甲方承担的其他义务和责任。</w:t>
      </w:r>
    </w:p>
    <w:p w14:paraId="47552369">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lang w:eastAsia="zh-CN"/>
        </w:rPr>
      </w:pPr>
      <w:r>
        <w:rPr>
          <w:rStyle w:val="25"/>
          <w:rFonts w:hint="eastAsia" w:ascii="宋体" w:hAnsi="宋体" w:eastAsia="宋体" w:cs="宋体"/>
          <w:b/>
          <w:bCs/>
          <w:i w:val="0"/>
          <w:iCs w:val="0"/>
          <w:caps w:val="0"/>
          <w:color w:val="auto"/>
          <w:spacing w:val="0"/>
          <w:sz w:val="24"/>
          <w:szCs w:val="24"/>
          <w:highlight w:val="none"/>
        </w:rPr>
        <w:t>5.乙方的权利和义务</w:t>
      </w:r>
    </w:p>
    <w:p w14:paraId="0C94118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5.1签署合同后，乙方确定项目项目负责人(或项目联系人)，负责与本合同有关的事务。</w:t>
      </w:r>
    </w:p>
    <w:p w14:paraId="14479370">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5.2乙方应按照合同要求履约，充分合理安排，确保提供的货物、服务符合合同技术要求。接受项目行业管理部门及政府有关部门的指导，配合甲方的履约检查，并负责项目实施过程中的所有协调工作。</w:t>
      </w:r>
    </w:p>
    <w:p w14:paraId="157284E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5.3乙方有权根据合同约定向甲方收取相关费用。</w:t>
      </w:r>
    </w:p>
    <w:p w14:paraId="3AC0FA8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5.4国家法律法规所规定由乙方承担的其他义务和责任。</w:t>
      </w:r>
    </w:p>
    <w:p w14:paraId="4FB6D2BC">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Style w:val="25"/>
          <w:rFonts w:hint="eastAsia"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6.</w:t>
      </w:r>
      <w:r>
        <w:rPr>
          <w:rStyle w:val="25"/>
          <w:rFonts w:hint="eastAsia" w:ascii="宋体" w:hAnsi="宋体" w:eastAsia="宋体" w:cs="宋体"/>
          <w:b/>
          <w:bCs/>
          <w:i w:val="0"/>
          <w:iCs w:val="0"/>
          <w:caps w:val="0"/>
          <w:color w:val="auto"/>
          <w:spacing w:val="0"/>
          <w:sz w:val="24"/>
          <w:szCs w:val="24"/>
          <w:highlight w:val="none"/>
          <w:lang w:val="en-US" w:eastAsia="zh-CN"/>
        </w:rPr>
        <w:t>合同履行</w:t>
      </w:r>
    </w:p>
    <w:p w14:paraId="71E4ED9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6.1甲乙双方应当按照合同约定顺序履行合同义务;如果没有先后顺序的，应当同时履行。</w:t>
      </w:r>
    </w:p>
    <w:p w14:paraId="2E60CFA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6.2甲乙双方按照合同约定顺序履行合同义务时，应当先履行一方未履行的，后履行一方有权拒绝其履行请求。先履行一方履行不符合约定的，后履行一方有权拒绝其相应的履行请求。</w:t>
      </w:r>
    </w:p>
    <w:p w14:paraId="587A981B">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7.货物包装、运输和保险要求</w:t>
      </w:r>
    </w:p>
    <w:p w14:paraId="2C5D8356">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7.1本合同涉及商品包装和快递包装的，除【政府采购合同专用条款】另有规定，包装应适应于远距离运输、防潮、防震、防锈和防野蛮装卸等要求，以确保货物安全无损地运抵指定现场。</w:t>
      </w:r>
    </w:p>
    <w:p w14:paraId="1B3F2716">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7.2除【政府采购合同专用条款】另有规定，乙方负责办理将货物运抵本合同规定的交货地点的一切运输事项，相关费用应包括在合同总价中。</w:t>
      </w:r>
    </w:p>
    <w:p w14:paraId="1D9AA89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7.3货物保险要求按【政府采购合同专用条款】规定执行。</w:t>
      </w:r>
    </w:p>
    <w:p w14:paraId="258244DF">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7.4除采购活动对商品包装和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B517E3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7.5乙方在运输到达之前提前通知采购人，并提示货物运输装卸的注意事项。</w:t>
      </w:r>
    </w:p>
    <w:p w14:paraId="004EE92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7.6 如因包装、运输问题导致货物损毁、丢失或者品质下降，采购人有权要求降价、换货、拒收部分或整批货物，由此造成采购人的费用和损失，均由供应商承担。</w:t>
      </w:r>
    </w:p>
    <w:p w14:paraId="351778C4">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8．质量标准和保证</w:t>
      </w:r>
    </w:p>
    <w:p w14:paraId="09EAB3A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8.1质量标准</w:t>
      </w:r>
    </w:p>
    <w:p w14:paraId="6312527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(1）本合同下交付的货物应符合合同约定的品牌、规格型号、技术性能、配置、质量、数量等要求。如果没有提及适用标准，则应符合中华人民共和国有关机构发布的最新版本的标准。</w:t>
      </w:r>
    </w:p>
    <w:p w14:paraId="01CE22FD">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(2）采用中华人民共和国法定计量单位。</w:t>
      </w:r>
    </w:p>
    <w:p w14:paraId="3405F69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(3）乙方所出售的货物应符合国家有关安全、环保、卫生之规定。</w:t>
      </w:r>
    </w:p>
    <w:p w14:paraId="7307D1F4">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(4）乙方应向甲方提交所提供货物的技术文件，包括相应的中文技术文件，如:产品目录、图纸、操作手册、使用说明、维护手册或服务指南。这些文件应包装好随同货物一起发运。</w:t>
      </w:r>
    </w:p>
    <w:p w14:paraId="09698914">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8.2保证</w:t>
      </w:r>
    </w:p>
    <w:p w14:paraId="6DC66BE0">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乙方应保证完全符合合同规定的质量、规格和性能的要求。乙方应保证其货物在正确安装、正常使用和保养条件下，在其使用寿命期内应具有合同约定的性能，或者没有因乙方的行为或疏忽而产生的缺陷。存在质量保证期的，货物最终交付验收后在【政府采购合同专用条款】规定或乙方承诺（两者以较长的为准）的质量保证期内，本保证保持有效。</w:t>
      </w:r>
    </w:p>
    <w:p w14:paraId="387B9606">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在质量保证期内所发现的缺陷，甲方应尽快以书面形式通知乙方。</w:t>
      </w:r>
    </w:p>
    <w:p w14:paraId="5B60DEB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乙方收到通知后应在【政府采购合同专用条款】规定的响应时间内以合理的速度免费维修或更换有缺陷的货物或部件。</w:t>
      </w:r>
    </w:p>
    <w:p w14:paraId="74E0B0E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1949DB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(5）乙方在约定的时间内未能弥补缺陷，甲方可采取必要的补救措施，但其风险和费用将由乙方承担，甲方根据合同规定对乙方行使的其他权利不受影响。</w:t>
      </w:r>
    </w:p>
    <w:p w14:paraId="18579AF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9．权利瑕疵担保</w:t>
      </w:r>
    </w:p>
    <w:p w14:paraId="30E3C11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9.1乙方保证对其出售的货物享有合法的权利。</w:t>
      </w:r>
    </w:p>
    <w:p w14:paraId="766656B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9.2乙方保证在交付的货物上不存在抵押权等担保物权。</w:t>
      </w:r>
    </w:p>
    <w:p w14:paraId="057FF064">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9.3如甲方使用上述货物构成对第三人侵权的，则由乙方承担全部责任。</w:t>
      </w:r>
    </w:p>
    <w:p w14:paraId="693892E0">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10.知识产权保护</w:t>
      </w:r>
    </w:p>
    <w:p w14:paraId="31A24E0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10.1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5897A26">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10.2甲方委托乙方开发的产品，按照【政府采购合同专用条款】的规定确定知识产权归属。</w:t>
      </w:r>
    </w:p>
    <w:p w14:paraId="7FD1DFF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11．保密义务</w:t>
      </w:r>
    </w:p>
    <w:p w14:paraId="6222579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11.1甲、乙双方在采购和履行合同过程中所获悉的对方商业秘密或者其他应当保密的信息，双方均有保密义务。泄露、不正当地使用该商业秘密或者信息，造成对方损失的，应当承担赔偿责任。其他应当保密的信息由双方在【政府采购合同专用条款】中约定。</w:t>
      </w:r>
    </w:p>
    <w:p w14:paraId="1D8E4A5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12．合同价款支付</w:t>
      </w:r>
    </w:p>
    <w:p w14:paraId="1B875F6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12.1按照国库集中支付的有关规定执行。</w:t>
      </w:r>
    </w:p>
    <w:p w14:paraId="1F5F4AD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12.2具体合同价款支付方式和条件在【政府采购合同专用条款】中另有规定。</w:t>
      </w:r>
    </w:p>
    <w:p w14:paraId="5F2EADE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12.3对于满足合同约定支付条件的,甲方原则上应当自收到发票后10个工作日内将资金支付到合同约定的供应商账户，不得以机构变动、人员更替、政策调整等为由延迟付款，不得将采购文件和合同中未规定的义务作为向乙方付款的条件。</w:t>
      </w:r>
    </w:p>
    <w:p w14:paraId="3DE962B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13．履约保证金</w:t>
      </w:r>
    </w:p>
    <w:p w14:paraId="056CF5F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13.1乙方应当以支票、汇票、本票或者金融机构、担保机构出具的保函等非现金形式提交。履约保证金的数额按照采购文件的要求，由双方在【政府采购合同专用条款】中约定，并不得超过国家有关规定。</w:t>
      </w:r>
    </w:p>
    <w:p w14:paraId="01374CA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13.2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B0BCE6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13.3甲方在项目通过验收后按照【政府采购合同专用条款】规定的时间内将履约保证金退还乙方;逾期退还的，乙方可要求甲方支付违约金，违约金按照【政府采购合同专用条款】规定支付。</w:t>
      </w:r>
    </w:p>
    <w:p w14:paraId="29FF7C2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14．售后服务</w:t>
      </w:r>
    </w:p>
    <w:p w14:paraId="2066A54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14.1除项目不涉及或采购活动中明确约定无须承担外，乙方还应提供下列服务</w:t>
      </w:r>
      <w:r>
        <w:rPr>
          <w:rFonts w:hint="eastAsia" w:ascii="宋体" w:hAnsi="宋体" w:eastAsia="宋体" w:cs="宋体"/>
          <w:i w:val="0"/>
          <w:iCs w:val="0"/>
          <w:caps w:val="0"/>
          <w:color w:val="auto"/>
          <w:spacing w:val="0"/>
          <w:sz w:val="24"/>
          <w:szCs w:val="24"/>
          <w:highlight w:val="none"/>
          <w:lang w:eastAsia="zh-CN"/>
        </w:rPr>
        <w:t>：</w:t>
      </w:r>
    </w:p>
    <w:p w14:paraId="02A4AA9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(1）货物的现场移动、安装、调试、启动监督及技术支持;</w:t>
      </w:r>
    </w:p>
    <w:p w14:paraId="250C3D1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(2）提供货物组装和维修所需的专用工具和辅助材料;</w:t>
      </w:r>
    </w:p>
    <w:p w14:paraId="1599635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(3）在合同各方商定的一定期限内对所有的货物实施运行监督、维修，但前提条件是该服务并不能免除乙方在质量保证期内所承担的义务;</w:t>
      </w:r>
    </w:p>
    <w:p w14:paraId="7CC61D0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(4）在制造商或项目现场就货物的安装、启动、运营、维护对甲方操作人员进行培训,项目现场按照【政府采购合同专用条款】约定;</w:t>
      </w:r>
    </w:p>
    <w:p w14:paraId="6724382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(5）依照法律、行政法规的规定或者按照【政府采购合同专用条款】约定，货物在有效使用年限届满后应予回收的，乙方负有自行或者委托第三人对货物予以回收的义务;</w:t>
      </w:r>
    </w:p>
    <w:p w14:paraId="1A873730">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(6)【政府采购合同专用条款】规定由乙方提供的其他服务。</w:t>
      </w:r>
    </w:p>
    <w:p w14:paraId="107FEBB4">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14.2乙方提供的服务的费用已包含在合同价款中，甲方不再另行支付。</w:t>
      </w:r>
    </w:p>
    <w:p w14:paraId="0984E92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15.违约责任</w:t>
      </w:r>
    </w:p>
    <w:p w14:paraId="62993B5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15.1质量瑕疵的违约责任</w:t>
      </w:r>
    </w:p>
    <w:p w14:paraId="6A1ACA8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乙方提供的产品不符合质量标准或存在产品质量缺陷，甲方有权要求乙方及时修理、重作、更换，并承担由此给甲方造成的损失。</w:t>
      </w:r>
    </w:p>
    <w:p w14:paraId="3E0A128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15.2迟延交货的违约责任</w:t>
      </w:r>
    </w:p>
    <w:p w14:paraId="7CA2333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延长交货时间或延期提供服务。</w:t>
      </w:r>
    </w:p>
    <w:p w14:paraId="6481268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如果乙方没有按照合同规定的时间交货和提供服务，甲方有权从货款中扣除误期赔偿费而不影响合同项下的其他补救方法，赔偿费按【政府采购合同专用条款】规定执行。如果涉及公共利益，且赔偿金额无法弥补公共利益损失，可要求继续履行或者代履行。</w:t>
      </w:r>
    </w:p>
    <w:p w14:paraId="5B30BDF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15.3延迟支付的违约责任</w:t>
      </w:r>
    </w:p>
    <w:p w14:paraId="07658A5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约定采取履行进度结算、定期结算等结算方式的，付款期限应当自双方确认结算金额之日起算。合同明确需检验或验收的，应明确检验或验收期间，约定交付后经检验或者验收合格作为支付条件的,付款期限应当自检验或者验收合格之日起算;甲方拖延检验或者验收的,付款期限自约定的检验或者验收期限届满之日起算。甲方存在迟延支付乙方合同款项的，应当承担【政府采购合同专用条款】规定的付款逾期利息。</w:t>
      </w:r>
    </w:p>
    <w:p w14:paraId="1E4EEAA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15.4其他违约责任根据项目实际需要按【政府采购合同专用条款】规定执行。</w:t>
      </w:r>
    </w:p>
    <w:p w14:paraId="137C6F9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16.合同变更</w:t>
      </w:r>
    </w:p>
    <w:p w14:paraId="73C5953D">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16.1在合同履行过程中，甲、乙双方可就合同非实质性内容协商进行变更。协商一致后，双方应签订书面的补充协议。</w:t>
      </w:r>
    </w:p>
    <w:p w14:paraId="2F43760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16.2在不改变合同其他条款的前提下,甲方可以在合同价款10%的范围内追加与合同标的相同的货物，并就此与乙方协商一致后签订补充协议。</w:t>
      </w:r>
    </w:p>
    <w:p w14:paraId="20652900">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16.3合同继续履行将损害国家利益和社会公共利益的，双方当事人应当变更合同。涉及实质性内容变更的，双方当事人应当对变更后的内容严格履行审慎义务。有过错的一方应当承担赔偿责任，双方都有过错的，各自承担相应的责任。</w:t>
      </w:r>
    </w:p>
    <w:p w14:paraId="56E2BBA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17．合同中止与终止</w:t>
      </w:r>
    </w:p>
    <w:p w14:paraId="4E1C674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17.1合同的中止</w:t>
      </w:r>
    </w:p>
    <w:p w14:paraId="03B0327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(1）合同履行过程中因供应商就采购文件、采购过程或结果提起投诉的，甲方认为有必要或财政部门责令中止的，应当中止合同的履行。</w:t>
      </w:r>
    </w:p>
    <w:p w14:paraId="4218CCF3">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(2）合同履行过程中，如果乙方出现以下情形之一的: 1．经营状况严重恶化;2．转移财产、抽逃资金，以逃避债务;3．丧失商业信誉;4．有丧失或者可能丧失履约能力的其他情形，应该及时告知甲方。甲方有权以书面形式通知乙方中止合同并要求乙方在合理期限内消除相关情形或者提供适当担保。乙方提供适当担保的，合同恢复履行;乙方在合理期限内未恢复履约能力且未提供适当担保的，视为拒绝继续履约，甲方有权解除合同并要求乙方承担由此给甲方造成的损失。</w:t>
      </w:r>
    </w:p>
    <w:p w14:paraId="584AF22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(3）乙方分立、合并或者变更住所的，应当及时以书面形式告知甲方。乙方没有通知甲方，致使合同履行发生困难的，甲方可以中止合同履行。</w:t>
      </w:r>
    </w:p>
    <w:p w14:paraId="6A3BBADF">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(4）甲方不得以行政区划调整、政府换届、机构或者职能调整以及相关责任人更替为由中止合同。</w:t>
      </w:r>
    </w:p>
    <w:p w14:paraId="1F73948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(5)政府采购合同继续履行将损害国家利益和社会公共利益的，双方当事人应当变更、中止合同。有过错的一方应当承担赔偿责任，双方都有过错的，各自承担相应的责任。</w:t>
      </w:r>
    </w:p>
    <w:p w14:paraId="4FBF5C7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17.2合同的终止</w:t>
      </w:r>
    </w:p>
    <w:p w14:paraId="04C699D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(1)合同因有效期限届满而终止;</w:t>
      </w:r>
    </w:p>
    <w:p w14:paraId="5130392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(2）乙方未能依照本合同约定条件履行合同，已构成根本性违约的，甲方有权终止合同，并追究乙方的违约责任。</w:t>
      </w:r>
    </w:p>
    <w:p w14:paraId="781B08C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(3）政府采购合同继续履行将损害国家利益和社会公共利益的，双方当事人应当终止合同。有过错的一方应当承担赔偿责任，双方都有过错的，各自承担相应的责任。</w:t>
      </w:r>
    </w:p>
    <w:p w14:paraId="35BEF9D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18．合同分包</w:t>
      </w:r>
    </w:p>
    <w:p w14:paraId="7E9BA87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18.1乙方不得将合同转包给其他供应商。涉及合同分包的，乙方应根据采购文件和</w:t>
      </w:r>
      <w:r>
        <w:rPr>
          <w:rFonts w:hint="eastAsia" w:cs="宋体"/>
          <w:i w:val="0"/>
          <w:iCs w:val="0"/>
          <w:caps w:val="0"/>
          <w:color w:val="auto"/>
          <w:spacing w:val="0"/>
          <w:sz w:val="24"/>
          <w:szCs w:val="24"/>
          <w:highlight w:val="none"/>
          <w:lang w:eastAsia="zh-CN"/>
        </w:rPr>
        <w:t>磋商</w:t>
      </w:r>
      <w:r>
        <w:rPr>
          <w:rFonts w:hint="eastAsia" w:ascii="宋体" w:hAnsi="宋体" w:eastAsia="宋体" w:cs="宋体"/>
          <w:i w:val="0"/>
          <w:iCs w:val="0"/>
          <w:caps w:val="0"/>
          <w:color w:val="auto"/>
          <w:spacing w:val="0"/>
          <w:sz w:val="24"/>
          <w:szCs w:val="24"/>
          <w:highlight w:val="none"/>
        </w:rPr>
        <w:t>（响应）文件规定进行合同分包。</w:t>
      </w:r>
    </w:p>
    <w:p w14:paraId="1FCBCAC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18.2乙方执行政府采购政策向中小企业依法分包的。乙方应当按采购文件、</w:t>
      </w:r>
      <w:r>
        <w:rPr>
          <w:rFonts w:hint="eastAsia" w:cs="宋体"/>
          <w:i w:val="0"/>
          <w:iCs w:val="0"/>
          <w:caps w:val="0"/>
          <w:color w:val="auto"/>
          <w:spacing w:val="0"/>
          <w:sz w:val="24"/>
          <w:szCs w:val="24"/>
          <w:highlight w:val="none"/>
          <w:lang w:eastAsia="zh-CN"/>
        </w:rPr>
        <w:t>磋商</w:t>
      </w:r>
      <w:r>
        <w:rPr>
          <w:rFonts w:hint="eastAsia" w:ascii="宋体" w:hAnsi="宋体" w:eastAsia="宋体" w:cs="宋体"/>
          <w:i w:val="0"/>
          <w:iCs w:val="0"/>
          <w:caps w:val="0"/>
          <w:color w:val="auto"/>
          <w:spacing w:val="0"/>
          <w:sz w:val="24"/>
          <w:szCs w:val="24"/>
          <w:highlight w:val="none"/>
        </w:rPr>
        <w:t>（响应）文件签订分包意向协议，分包意向协议属于本合同组成部分。</w:t>
      </w:r>
    </w:p>
    <w:p w14:paraId="4755315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19.不可抗力</w:t>
      </w:r>
    </w:p>
    <w:p w14:paraId="488E96D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19.1不可抗力是指合同双方不能预见、不能避免且不能克服的客观情况。</w:t>
      </w:r>
    </w:p>
    <w:p w14:paraId="5439AD5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19.2任何一方对由于不可抗力造成的部分或全部不能履行合同不承担违约责任。但迟延履行后发生不可抗力的，不能免除责任。</w:t>
      </w:r>
    </w:p>
    <w:p w14:paraId="230C29C1">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19.3遇有不可抗力的一方，应及时将事件的情况以书面形式通知另一方，并在事件发生后及时向另一方提交合同不能履行或部分不能履行或需要延期履行理由的报告及证明不可抗力发生及其持续时间的证据。</w:t>
      </w:r>
    </w:p>
    <w:p w14:paraId="110962B6">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20．解决争议的方法</w:t>
      </w:r>
    </w:p>
    <w:p w14:paraId="1948C2EB">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20.1因本合同及合同有关事项发生的争议，由合同各方友好协商解决。协商不成时，可以向第三方权威机构申请调解。合同一方或各方不愿调解或调解不成的，各方可以通过仲裁或诉讼的方式解决争议。</w:t>
      </w:r>
    </w:p>
    <w:p w14:paraId="711394B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20.2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468B239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20.3如合同方有争议的事项不影响合同其他部分的履行，则在争议解决期间，除正在通过协调、调解、仲裁或诉讼解决的争议部分以外，合同的其他应当继续履行的部分应继续履行。</w:t>
      </w:r>
    </w:p>
    <w:p w14:paraId="7838596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21．政府采购政策</w:t>
      </w:r>
    </w:p>
    <w:p w14:paraId="2955F4EF">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21.1本合同应当按照规定执行政府采购政策。</w:t>
      </w:r>
    </w:p>
    <w:p w14:paraId="2012E42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21.2本合同依法执行政府采购政策的方式和内容，属于合同履约验收的范围。合同未按规定要求执行政府采购政策造成损失的，有过错的一方应当承担赔偿责任，双方都有过错的，各自承担相应的责任。</w:t>
      </w:r>
    </w:p>
    <w:p w14:paraId="24D3A9BE">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21.3对于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050B8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22．法律适用</w:t>
      </w:r>
    </w:p>
    <w:p w14:paraId="310C7D2F">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22.1本合同的订立、生效、解释、履行及与本合同有关的争议解决，均适用法律、行政法规。</w:t>
      </w:r>
    </w:p>
    <w:p w14:paraId="3024A1B2">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22.2本合同条款与法律、行政法规的强制性规定不一致的，双方当事人应按照法律、行政法规的强制性规定修改本合同的相关条款。</w:t>
      </w:r>
    </w:p>
    <w:p w14:paraId="640E656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22.3双方可在【政府采购合同专用条款】中进一步约定合同所适用的法律法规或其他规范性文件。</w:t>
      </w:r>
    </w:p>
    <w:p w14:paraId="0DB288D8">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22.4 当事人未有约定的，适用《政府采购法》《民法典》合同编或者其他法律有关规定。</w:t>
      </w:r>
    </w:p>
    <w:p w14:paraId="7F7D49D7">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Style w:val="25"/>
          <w:rFonts w:hint="eastAsia" w:ascii="宋体" w:hAnsi="宋体" w:eastAsia="宋体" w:cs="宋体"/>
          <w:b/>
          <w:bCs/>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23.通知</w:t>
      </w:r>
    </w:p>
    <w:p w14:paraId="1297E5AA">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23.1本合同任何一方向对方发出的通知、信件、数据电文等，应当发送至本合同第一部分《政府采购合同协议书》所约定的通讯地址、联系人、联系电话或电子邮箱。</w:t>
      </w:r>
    </w:p>
    <w:p w14:paraId="0F4468B4">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23.2一方当事人变更名称、地址、联系人、联系电话或电子邮箱的，应当在变更后3日内及时书面通知对方，对方实际收到变更通知前的送达仍为有效送达。</w:t>
      </w:r>
    </w:p>
    <w:p w14:paraId="7CBA6C95">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23.3本合同一方给另一方的通知均应采用书面形式，传真或快递送到本合同中规定的对方的地址和办理签收手续。</w:t>
      </w:r>
    </w:p>
    <w:p w14:paraId="469F85A9">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23.4通知以送达之日或通知书中规定的生效之日起生效，两者中以较迟之日为准。24．合同未尽事项</w:t>
      </w:r>
    </w:p>
    <w:p w14:paraId="0B8EEA8C">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sectPr>
          <w:pgSz w:w="11900" w:h="16820"/>
          <w:pgMar w:top="1417" w:right="1134" w:bottom="1417" w:left="1134" w:header="850" w:footer="992" w:gutter="0"/>
          <w:pgNumType w:fmt="decimal"/>
          <w:cols w:space="720" w:num="1"/>
          <w:docGrid w:linePitch="1" w:charSpace="0"/>
        </w:sectPr>
      </w:pPr>
      <w:r>
        <w:rPr>
          <w:rFonts w:hint="eastAsia" w:ascii="宋体" w:hAnsi="宋体" w:eastAsia="宋体" w:cs="宋体"/>
          <w:i w:val="0"/>
          <w:iCs w:val="0"/>
          <w:caps w:val="0"/>
          <w:color w:val="auto"/>
          <w:spacing w:val="0"/>
          <w:sz w:val="24"/>
          <w:szCs w:val="24"/>
          <w:highlight w:val="none"/>
        </w:rPr>
        <w:t>24.1合同未尽事项见【政府采购合同专用条款】。</w:t>
      </w:r>
    </w:p>
    <w:p w14:paraId="05CAE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rPr>
        <w:t>第三节 政府采购合同专用条款</w:t>
      </w:r>
    </w:p>
    <w:tbl>
      <w:tblPr>
        <w:tblStyle w:val="2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27"/>
        <w:gridCol w:w="2133"/>
        <w:gridCol w:w="5266"/>
      </w:tblGrid>
      <w:tr w14:paraId="0C53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4B10691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rPr>
              <w:t>第二节第1.</w:t>
            </w:r>
            <w:r>
              <w:rPr>
                <w:rFonts w:hint="eastAsia" w:ascii="宋体" w:hAnsi="宋体" w:eastAsia="宋体" w:cs="宋体"/>
                <w:i w:val="0"/>
                <w:iCs w:val="0"/>
                <w:caps w:val="0"/>
                <w:color w:val="auto"/>
                <w:spacing w:val="0"/>
                <w:sz w:val="24"/>
                <w:szCs w:val="24"/>
                <w:highlight w:val="none"/>
                <w:lang w:val="en-US" w:eastAsia="zh-CN"/>
              </w:rPr>
              <w:t>2（7）项</w:t>
            </w:r>
          </w:p>
        </w:tc>
        <w:tc>
          <w:tcPr>
            <w:tcW w:w="2133" w:type="dxa"/>
            <w:noWrap w:val="0"/>
            <w:tcMar>
              <w:top w:w="0" w:type="dxa"/>
              <w:left w:w="53" w:type="dxa"/>
              <w:bottom w:w="0" w:type="dxa"/>
              <w:right w:w="53" w:type="dxa"/>
            </w:tcMar>
            <w:vAlign w:val="center"/>
          </w:tcPr>
          <w:p w14:paraId="122C4C6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联合体具体要求</w:t>
            </w:r>
          </w:p>
        </w:tc>
        <w:tc>
          <w:tcPr>
            <w:tcW w:w="5266" w:type="dxa"/>
            <w:noWrap w:val="0"/>
            <w:tcMar>
              <w:top w:w="0" w:type="dxa"/>
              <w:left w:w="53" w:type="dxa"/>
              <w:bottom w:w="0" w:type="dxa"/>
              <w:right w:w="53" w:type="dxa"/>
            </w:tcMar>
            <w:vAlign w:val="center"/>
          </w:tcPr>
          <w:p w14:paraId="1ECA9BF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543C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4488DB8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第二节第1.</w:t>
            </w:r>
            <w:r>
              <w:rPr>
                <w:rFonts w:hint="eastAsia" w:ascii="宋体" w:hAnsi="宋体" w:eastAsia="宋体" w:cs="宋体"/>
                <w:i w:val="0"/>
                <w:iCs w:val="0"/>
                <w:caps w:val="0"/>
                <w:color w:val="auto"/>
                <w:spacing w:val="0"/>
                <w:sz w:val="24"/>
                <w:szCs w:val="24"/>
                <w:highlight w:val="none"/>
                <w:lang w:val="en-US" w:eastAsia="zh-CN"/>
              </w:rPr>
              <w:t>2（8）项</w:t>
            </w:r>
          </w:p>
        </w:tc>
        <w:tc>
          <w:tcPr>
            <w:tcW w:w="2133" w:type="dxa"/>
            <w:noWrap w:val="0"/>
            <w:tcMar>
              <w:top w:w="0" w:type="dxa"/>
              <w:left w:w="53" w:type="dxa"/>
              <w:bottom w:w="0" w:type="dxa"/>
              <w:right w:w="53" w:type="dxa"/>
            </w:tcMar>
            <w:vAlign w:val="center"/>
          </w:tcPr>
          <w:p w14:paraId="041E43C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其他术语解释</w:t>
            </w:r>
          </w:p>
        </w:tc>
        <w:tc>
          <w:tcPr>
            <w:tcW w:w="5266" w:type="dxa"/>
            <w:noWrap w:val="0"/>
            <w:tcMar>
              <w:top w:w="0" w:type="dxa"/>
              <w:left w:w="53" w:type="dxa"/>
              <w:bottom w:w="0" w:type="dxa"/>
              <w:right w:w="53" w:type="dxa"/>
            </w:tcMar>
            <w:vAlign w:val="center"/>
          </w:tcPr>
          <w:p w14:paraId="3C4F05B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3B98D817">
        <w:tblPrEx>
          <w:tblCellMar>
            <w:top w:w="15" w:type="dxa"/>
            <w:left w:w="15" w:type="dxa"/>
            <w:bottom w:w="15" w:type="dxa"/>
            <w:right w:w="15" w:type="dxa"/>
          </w:tblCellMar>
        </w:tblPrEx>
        <w:trPr>
          <w:trHeight w:val="1219" w:hRule="atLeast"/>
          <w:jc w:val="center"/>
        </w:trPr>
        <w:tc>
          <w:tcPr>
            <w:tcW w:w="1727" w:type="dxa"/>
            <w:noWrap w:val="0"/>
            <w:tcMar>
              <w:top w:w="0" w:type="dxa"/>
              <w:left w:w="53" w:type="dxa"/>
              <w:bottom w:w="0" w:type="dxa"/>
              <w:right w:w="53" w:type="dxa"/>
            </w:tcMar>
            <w:vAlign w:val="center"/>
          </w:tcPr>
          <w:p w14:paraId="2D261DD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第二节第</w:t>
            </w:r>
            <w:r>
              <w:rPr>
                <w:rFonts w:hint="eastAsia" w:ascii="宋体" w:hAnsi="宋体" w:eastAsia="宋体" w:cs="宋体"/>
                <w:i w:val="0"/>
                <w:iCs w:val="0"/>
                <w:caps w:val="0"/>
                <w:color w:val="auto"/>
                <w:spacing w:val="0"/>
                <w:sz w:val="24"/>
                <w:szCs w:val="24"/>
                <w:highlight w:val="none"/>
                <w:lang w:val="en-US" w:eastAsia="zh-CN"/>
              </w:rPr>
              <w:t>3.1款</w:t>
            </w:r>
          </w:p>
        </w:tc>
        <w:tc>
          <w:tcPr>
            <w:tcW w:w="2133" w:type="dxa"/>
            <w:noWrap w:val="0"/>
            <w:tcMar>
              <w:top w:w="0" w:type="dxa"/>
              <w:left w:w="53" w:type="dxa"/>
              <w:bottom w:w="0" w:type="dxa"/>
              <w:right w:w="53" w:type="dxa"/>
            </w:tcMar>
            <w:vAlign w:val="center"/>
          </w:tcPr>
          <w:p w14:paraId="7CEEE5D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履行合同的时间、地点及方式</w:t>
            </w:r>
          </w:p>
        </w:tc>
        <w:tc>
          <w:tcPr>
            <w:tcW w:w="5266" w:type="dxa"/>
            <w:noWrap w:val="0"/>
            <w:tcMar>
              <w:top w:w="0" w:type="dxa"/>
              <w:left w:w="53" w:type="dxa"/>
              <w:bottom w:w="0" w:type="dxa"/>
              <w:right w:w="53" w:type="dxa"/>
            </w:tcMar>
            <w:vAlign w:val="center"/>
          </w:tcPr>
          <w:p w14:paraId="58262A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交货时间</w:t>
            </w:r>
            <w:r>
              <w:rPr>
                <w:rFonts w:hint="eastAsia" w:ascii="宋体" w:hAnsi="宋体" w:eastAsia="宋体" w:cs="宋体"/>
                <w:i w:val="0"/>
                <w:iCs w:val="0"/>
                <w:caps w:val="0"/>
                <w:color w:val="auto"/>
                <w:spacing w:val="0"/>
                <w:sz w:val="24"/>
                <w:szCs w:val="24"/>
                <w:highlight w:val="none"/>
              </w:rPr>
              <w:t>：</w:t>
            </w:r>
          </w:p>
          <w:p w14:paraId="47A7870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交货</w:t>
            </w:r>
            <w:r>
              <w:rPr>
                <w:rFonts w:hint="eastAsia" w:ascii="宋体" w:hAnsi="宋体" w:eastAsia="宋体" w:cs="宋体"/>
                <w:i w:val="0"/>
                <w:iCs w:val="0"/>
                <w:caps w:val="0"/>
                <w:color w:val="auto"/>
                <w:spacing w:val="0"/>
                <w:sz w:val="24"/>
                <w:szCs w:val="24"/>
                <w:highlight w:val="none"/>
              </w:rPr>
              <w:t>地点：</w:t>
            </w:r>
          </w:p>
          <w:p w14:paraId="3BDE525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交货</w:t>
            </w:r>
            <w:r>
              <w:rPr>
                <w:rFonts w:hint="eastAsia" w:ascii="宋体" w:hAnsi="宋体" w:eastAsia="宋体" w:cs="宋体"/>
                <w:i w:val="0"/>
                <w:iCs w:val="0"/>
                <w:caps w:val="0"/>
                <w:color w:val="auto"/>
                <w:spacing w:val="0"/>
                <w:sz w:val="24"/>
                <w:szCs w:val="24"/>
                <w:highlight w:val="none"/>
              </w:rPr>
              <w:t>方式：</w:t>
            </w:r>
          </w:p>
        </w:tc>
      </w:tr>
      <w:tr w14:paraId="3DE2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9" w:hRule="atLeast"/>
          <w:jc w:val="center"/>
        </w:trPr>
        <w:tc>
          <w:tcPr>
            <w:tcW w:w="1727" w:type="dxa"/>
            <w:noWrap w:val="0"/>
            <w:tcMar>
              <w:top w:w="0" w:type="dxa"/>
              <w:left w:w="53" w:type="dxa"/>
              <w:bottom w:w="0" w:type="dxa"/>
              <w:right w:w="53" w:type="dxa"/>
            </w:tcMar>
            <w:vAlign w:val="center"/>
          </w:tcPr>
          <w:p w14:paraId="427DF35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第二节第</w:t>
            </w:r>
            <w:r>
              <w:rPr>
                <w:rFonts w:hint="eastAsia" w:ascii="宋体" w:hAnsi="宋体" w:eastAsia="宋体" w:cs="宋体"/>
                <w:i w:val="0"/>
                <w:iCs w:val="0"/>
                <w:caps w:val="0"/>
                <w:color w:val="auto"/>
                <w:spacing w:val="0"/>
                <w:sz w:val="24"/>
                <w:szCs w:val="24"/>
                <w:highlight w:val="none"/>
                <w:lang w:val="en-US" w:eastAsia="zh-CN"/>
              </w:rPr>
              <w:t>7.1、7.2、7.3款</w:t>
            </w:r>
          </w:p>
        </w:tc>
        <w:tc>
          <w:tcPr>
            <w:tcW w:w="2133" w:type="dxa"/>
            <w:noWrap w:val="0"/>
            <w:tcMar>
              <w:top w:w="0" w:type="dxa"/>
              <w:left w:w="53" w:type="dxa"/>
              <w:bottom w:w="0" w:type="dxa"/>
              <w:right w:w="53" w:type="dxa"/>
            </w:tcMar>
            <w:vAlign w:val="center"/>
          </w:tcPr>
          <w:p w14:paraId="5B3D271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包装、运输和保险</w:t>
            </w:r>
          </w:p>
        </w:tc>
        <w:tc>
          <w:tcPr>
            <w:tcW w:w="5266" w:type="dxa"/>
            <w:noWrap w:val="0"/>
            <w:tcMar>
              <w:top w:w="0" w:type="dxa"/>
              <w:left w:w="53" w:type="dxa"/>
              <w:bottom w:w="0" w:type="dxa"/>
              <w:right w:w="53" w:type="dxa"/>
            </w:tcMar>
            <w:vAlign w:val="center"/>
          </w:tcPr>
          <w:p w14:paraId="3477FED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包装：</w:t>
            </w:r>
          </w:p>
          <w:p w14:paraId="1B64990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运输：</w:t>
            </w:r>
          </w:p>
          <w:p w14:paraId="19B5977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保险：</w:t>
            </w:r>
          </w:p>
        </w:tc>
      </w:tr>
      <w:tr w14:paraId="5900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0B2FA95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40F4806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.2（</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）项</w:t>
            </w:r>
          </w:p>
        </w:tc>
        <w:tc>
          <w:tcPr>
            <w:tcW w:w="2133" w:type="dxa"/>
            <w:noWrap w:val="0"/>
            <w:tcMar>
              <w:top w:w="0" w:type="dxa"/>
              <w:left w:w="53" w:type="dxa"/>
              <w:bottom w:w="0" w:type="dxa"/>
              <w:right w:w="53" w:type="dxa"/>
            </w:tcMar>
            <w:vAlign w:val="center"/>
          </w:tcPr>
          <w:p w14:paraId="328B313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质量保证期</w:t>
            </w:r>
          </w:p>
        </w:tc>
        <w:tc>
          <w:tcPr>
            <w:tcW w:w="5266" w:type="dxa"/>
            <w:noWrap w:val="0"/>
            <w:tcMar>
              <w:top w:w="0" w:type="dxa"/>
              <w:left w:w="53" w:type="dxa"/>
              <w:bottom w:w="0" w:type="dxa"/>
              <w:right w:w="53" w:type="dxa"/>
            </w:tcMar>
            <w:vAlign w:val="center"/>
          </w:tcPr>
          <w:p w14:paraId="694472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根根据采购需求</w:t>
            </w:r>
            <w:r>
              <w:rPr>
                <w:rFonts w:hint="eastAsia" w:ascii="宋体" w:hAnsi="宋体" w:eastAsia="宋体" w:cs="宋体"/>
                <w:i w:val="0"/>
                <w:iCs w:val="0"/>
                <w:caps w:val="0"/>
                <w:color w:val="auto"/>
                <w:spacing w:val="0"/>
                <w:sz w:val="24"/>
                <w:szCs w:val="24"/>
                <w:highlight w:val="none"/>
                <w:lang w:val="en-US" w:eastAsia="zh-CN"/>
              </w:rPr>
              <w:t>或响应文件中的承诺</w:t>
            </w:r>
          </w:p>
        </w:tc>
      </w:tr>
      <w:tr w14:paraId="3E8B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3F568E7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211DD09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.2（</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）项</w:t>
            </w:r>
          </w:p>
        </w:tc>
        <w:tc>
          <w:tcPr>
            <w:tcW w:w="2133" w:type="dxa"/>
            <w:noWrap w:val="0"/>
            <w:tcMar>
              <w:top w:w="0" w:type="dxa"/>
              <w:left w:w="53" w:type="dxa"/>
              <w:bottom w:w="0" w:type="dxa"/>
              <w:right w:w="53" w:type="dxa"/>
            </w:tcMar>
            <w:vAlign w:val="center"/>
          </w:tcPr>
          <w:p w14:paraId="768E9A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w:t>
            </w:r>
          </w:p>
        </w:tc>
        <w:tc>
          <w:tcPr>
            <w:tcW w:w="5266" w:type="dxa"/>
            <w:noWrap w:val="0"/>
            <w:tcMar>
              <w:top w:w="0" w:type="dxa"/>
              <w:left w:w="53" w:type="dxa"/>
              <w:bottom w:w="0" w:type="dxa"/>
              <w:right w:w="53" w:type="dxa"/>
            </w:tcMar>
            <w:vAlign w:val="center"/>
          </w:tcPr>
          <w:p w14:paraId="379FA9D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1488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0DFF3BF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2D14BCF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10.2款</w:t>
            </w:r>
          </w:p>
        </w:tc>
        <w:tc>
          <w:tcPr>
            <w:tcW w:w="2133" w:type="dxa"/>
            <w:noWrap w:val="0"/>
            <w:tcMar>
              <w:top w:w="0" w:type="dxa"/>
              <w:left w:w="53" w:type="dxa"/>
              <w:bottom w:w="0" w:type="dxa"/>
              <w:right w:w="53" w:type="dxa"/>
            </w:tcMar>
            <w:vAlign w:val="center"/>
          </w:tcPr>
          <w:p w14:paraId="7A460E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知识产权归属</w:t>
            </w:r>
          </w:p>
        </w:tc>
        <w:tc>
          <w:tcPr>
            <w:tcW w:w="5266" w:type="dxa"/>
            <w:noWrap w:val="0"/>
            <w:tcMar>
              <w:top w:w="0" w:type="dxa"/>
              <w:left w:w="53" w:type="dxa"/>
              <w:bottom w:w="0" w:type="dxa"/>
              <w:right w:w="53" w:type="dxa"/>
            </w:tcMar>
            <w:vAlign w:val="center"/>
          </w:tcPr>
          <w:p w14:paraId="7B2B18D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1E84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113C943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380D32F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10.2款</w:t>
            </w:r>
          </w:p>
        </w:tc>
        <w:tc>
          <w:tcPr>
            <w:tcW w:w="2133" w:type="dxa"/>
            <w:noWrap w:val="0"/>
            <w:tcMar>
              <w:top w:w="0" w:type="dxa"/>
              <w:left w:w="53" w:type="dxa"/>
              <w:bottom w:w="0" w:type="dxa"/>
              <w:right w:w="53" w:type="dxa"/>
            </w:tcMar>
            <w:vAlign w:val="center"/>
          </w:tcPr>
          <w:p w14:paraId="284BA07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266" w:type="dxa"/>
            <w:noWrap w:val="0"/>
            <w:tcMar>
              <w:top w:w="0" w:type="dxa"/>
              <w:left w:w="53" w:type="dxa"/>
              <w:bottom w:w="0" w:type="dxa"/>
              <w:right w:w="53" w:type="dxa"/>
            </w:tcMar>
            <w:vAlign w:val="center"/>
          </w:tcPr>
          <w:p w14:paraId="477C4B3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56C2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57BE3F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0AE6031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12.2款</w:t>
            </w:r>
          </w:p>
        </w:tc>
        <w:tc>
          <w:tcPr>
            <w:tcW w:w="2133" w:type="dxa"/>
            <w:noWrap w:val="0"/>
            <w:tcMar>
              <w:top w:w="0" w:type="dxa"/>
              <w:left w:w="53" w:type="dxa"/>
              <w:bottom w:w="0" w:type="dxa"/>
              <w:right w:w="53" w:type="dxa"/>
            </w:tcMar>
            <w:vAlign w:val="center"/>
          </w:tcPr>
          <w:p w14:paraId="74B5CB0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合同价款支付方式和条件</w:t>
            </w:r>
          </w:p>
        </w:tc>
        <w:tc>
          <w:tcPr>
            <w:tcW w:w="5266" w:type="dxa"/>
            <w:noWrap w:val="0"/>
            <w:tcMar>
              <w:top w:w="0" w:type="dxa"/>
              <w:left w:w="53" w:type="dxa"/>
              <w:bottom w:w="0" w:type="dxa"/>
              <w:right w:w="53" w:type="dxa"/>
            </w:tcMar>
            <w:vAlign w:val="center"/>
          </w:tcPr>
          <w:p w14:paraId="38DCA9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7CD9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249D793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3E45D36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13.1款</w:t>
            </w:r>
          </w:p>
        </w:tc>
        <w:tc>
          <w:tcPr>
            <w:tcW w:w="2133" w:type="dxa"/>
            <w:noWrap w:val="0"/>
            <w:tcMar>
              <w:top w:w="0" w:type="dxa"/>
              <w:left w:w="53" w:type="dxa"/>
              <w:bottom w:w="0" w:type="dxa"/>
              <w:right w:w="53" w:type="dxa"/>
            </w:tcMar>
            <w:vAlign w:val="center"/>
          </w:tcPr>
          <w:p w14:paraId="6743D66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履约保证金数额</w:t>
            </w:r>
          </w:p>
        </w:tc>
        <w:tc>
          <w:tcPr>
            <w:tcW w:w="5266" w:type="dxa"/>
            <w:noWrap w:val="0"/>
            <w:tcMar>
              <w:top w:w="0" w:type="dxa"/>
              <w:left w:w="53" w:type="dxa"/>
              <w:bottom w:w="0" w:type="dxa"/>
              <w:right w:w="53" w:type="dxa"/>
            </w:tcMar>
            <w:vAlign w:val="center"/>
          </w:tcPr>
          <w:p w14:paraId="1E31086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63F5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9" w:hRule="atLeast"/>
          <w:jc w:val="center"/>
        </w:trPr>
        <w:tc>
          <w:tcPr>
            <w:tcW w:w="1727" w:type="dxa"/>
            <w:noWrap w:val="0"/>
            <w:tcMar>
              <w:top w:w="0" w:type="dxa"/>
              <w:left w:w="53" w:type="dxa"/>
              <w:bottom w:w="0" w:type="dxa"/>
              <w:right w:w="53" w:type="dxa"/>
            </w:tcMar>
            <w:vAlign w:val="center"/>
          </w:tcPr>
          <w:p w14:paraId="45CCB25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第二节</w:t>
            </w:r>
          </w:p>
          <w:p w14:paraId="54B43CA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第</w:t>
            </w:r>
            <w:r>
              <w:rPr>
                <w:rFonts w:hint="eastAsia" w:ascii="宋体" w:hAnsi="宋体" w:eastAsia="宋体" w:cs="宋体"/>
                <w:i w:val="0"/>
                <w:iCs w:val="0"/>
                <w:caps w:val="0"/>
                <w:color w:val="auto"/>
                <w:spacing w:val="0"/>
                <w:sz w:val="24"/>
                <w:szCs w:val="24"/>
                <w:highlight w:val="none"/>
                <w:lang w:val="en-US" w:eastAsia="zh-CN"/>
              </w:rPr>
              <w:t>13.3款</w:t>
            </w:r>
          </w:p>
        </w:tc>
        <w:tc>
          <w:tcPr>
            <w:tcW w:w="2133" w:type="dxa"/>
            <w:noWrap w:val="0"/>
            <w:tcMar>
              <w:top w:w="0" w:type="dxa"/>
              <w:left w:w="53" w:type="dxa"/>
              <w:bottom w:w="0" w:type="dxa"/>
              <w:right w:w="53" w:type="dxa"/>
            </w:tcMar>
            <w:vAlign w:val="center"/>
          </w:tcPr>
          <w:p w14:paraId="22A8381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履约保证金退还时间及逾期退还的违约金</w:t>
            </w:r>
          </w:p>
        </w:tc>
        <w:tc>
          <w:tcPr>
            <w:tcW w:w="5266" w:type="dxa"/>
            <w:noWrap w:val="0"/>
            <w:tcMar>
              <w:top w:w="0" w:type="dxa"/>
              <w:left w:w="53" w:type="dxa"/>
              <w:bottom w:w="0" w:type="dxa"/>
              <w:right w:w="53" w:type="dxa"/>
            </w:tcMar>
            <w:vAlign w:val="center"/>
          </w:tcPr>
          <w:p w14:paraId="375DC4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6798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10821AE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第二节第14，1（5项）</w:t>
            </w:r>
          </w:p>
        </w:tc>
        <w:tc>
          <w:tcPr>
            <w:tcW w:w="2133" w:type="dxa"/>
            <w:noWrap w:val="0"/>
            <w:tcMar>
              <w:top w:w="0" w:type="dxa"/>
              <w:left w:w="53" w:type="dxa"/>
              <w:bottom w:w="0" w:type="dxa"/>
              <w:right w:w="53" w:type="dxa"/>
            </w:tcMar>
            <w:vAlign w:val="center"/>
          </w:tcPr>
          <w:p w14:paraId="7B7D12B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项目现场</w:t>
            </w:r>
          </w:p>
        </w:tc>
        <w:tc>
          <w:tcPr>
            <w:tcW w:w="5266" w:type="dxa"/>
            <w:noWrap w:val="0"/>
            <w:tcMar>
              <w:top w:w="0" w:type="dxa"/>
              <w:left w:w="53" w:type="dxa"/>
              <w:bottom w:w="0" w:type="dxa"/>
              <w:right w:w="53" w:type="dxa"/>
            </w:tcMar>
            <w:vAlign w:val="center"/>
          </w:tcPr>
          <w:p w14:paraId="5341FEC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467B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29F6B1B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第二节第14，1（5）项</w:t>
            </w:r>
          </w:p>
        </w:tc>
        <w:tc>
          <w:tcPr>
            <w:tcW w:w="2133" w:type="dxa"/>
            <w:noWrap w:val="0"/>
            <w:tcMar>
              <w:top w:w="0" w:type="dxa"/>
              <w:left w:w="53" w:type="dxa"/>
              <w:bottom w:w="0" w:type="dxa"/>
              <w:right w:w="53" w:type="dxa"/>
            </w:tcMar>
            <w:vAlign w:val="center"/>
          </w:tcPr>
          <w:p w14:paraId="50E98A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应予回收的约定</w:t>
            </w:r>
          </w:p>
        </w:tc>
        <w:tc>
          <w:tcPr>
            <w:tcW w:w="5266" w:type="dxa"/>
            <w:noWrap w:val="0"/>
            <w:tcMar>
              <w:top w:w="0" w:type="dxa"/>
              <w:left w:w="53" w:type="dxa"/>
              <w:bottom w:w="0" w:type="dxa"/>
              <w:right w:w="53" w:type="dxa"/>
            </w:tcMar>
            <w:vAlign w:val="center"/>
          </w:tcPr>
          <w:p w14:paraId="3A522C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1A96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1722095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第二节第14，1（6）项</w:t>
            </w:r>
          </w:p>
        </w:tc>
        <w:tc>
          <w:tcPr>
            <w:tcW w:w="2133" w:type="dxa"/>
            <w:noWrap w:val="0"/>
            <w:tcMar>
              <w:top w:w="0" w:type="dxa"/>
              <w:left w:w="53" w:type="dxa"/>
              <w:bottom w:w="0" w:type="dxa"/>
              <w:right w:w="53" w:type="dxa"/>
            </w:tcMar>
            <w:vAlign w:val="center"/>
          </w:tcPr>
          <w:p w14:paraId="2E7DF8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乙方提供的其他服务</w:t>
            </w:r>
          </w:p>
        </w:tc>
        <w:tc>
          <w:tcPr>
            <w:tcW w:w="5266" w:type="dxa"/>
            <w:noWrap w:val="0"/>
            <w:tcMar>
              <w:top w:w="0" w:type="dxa"/>
              <w:left w:w="53" w:type="dxa"/>
              <w:bottom w:w="0" w:type="dxa"/>
              <w:right w:w="53" w:type="dxa"/>
            </w:tcMar>
            <w:vAlign w:val="center"/>
          </w:tcPr>
          <w:p w14:paraId="120DA4F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739C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jc w:val="center"/>
        </w:trPr>
        <w:tc>
          <w:tcPr>
            <w:tcW w:w="1727" w:type="dxa"/>
            <w:noWrap w:val="0"/>
            <w:tcMar>
              <w:top w:w="0" w:type="dxa"/>
              <w:left w:w="53" w:type="dxa"/>
              <w:bottom w:w="0" w:type="dxa"/>
              <w:right w:w="53" w:type="dxa"/>
            </w:tcMar>
            <w:vAlign w:val="center"/>
          </w:tcPr>
          <w:p w14:paraId="41A432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第二节第15，2（2）项</w:t>
            </w:r>
          </w:p>
        </w:tc>
        <w:tc>
          <w:tcPr>
            <w:tcW w:w="2133" w:type="dxa"/>
            <w:noWrap w:val="0"/>
            <w:tcMar>
              <w:top w:w="0" w:type="dxa"/>
              <w:left w:w="53" w:type="dxa"/>
              <w:bottom w:w="0" w:type="dxa"/>
              <w:right w:w="53" w:type="dxa"/>
            </w:tcMar>
            <w:vAlign w:val="center"/>
          </w:tcPr>
          <w:p w14:paraId="69C7DB2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延迟交货赔偿费</w:t>
            </w:r>
          </w:p>
        </w:tc>
        <w:tc>
          <w:tcPr>
            <w:tcW w:w="5266" w:type="dxa"/>
            <w:noWrap w:val="0"/>
            <w:tcMar>
              <w:top w:w="0" w:type="dxa"/>
              <w:left w:w="53" w:type="dxa"/>
              <w:bottom w:w="0" w:type="dxa"/>
              <w:right w:w="53" w:type="dxa"/>
            </w:tcMar>
            <w:vAlign w:val="center"/>
          </w:tcPr>
          <w:p w14:paraId="3F763D7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r w14:paraId="742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jc w:val="center"/>
        </w:trPr>
        <w:tc>
          <w:tcPr>
            <w:tcW w:w="1727" w:type="dxa"/>
            <w:noWrap w:val="0"/>
            <w:tcMar>
              <w:top w:w="0" w:type="dxa"/>
              <w:left w:w="53" w:type="dxa"/>
              <w:bottom w:w="0" w:type="dxa"/>
              <w:right w:w="53" w:type="dxa"/>
            </w:tcMar>
            <w:vAlign w:val="center"/>
          </w:tcPr>
          <w:p w14:paraId="6DB632D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第二节第15.3款</w:t>
            </w:r>
          </w:p>
        </w:tc>
        <w:tc>
          <w:tcPr>
            <w:tcW w:w="2133" w:type="dxa"/>
            <w:noWrap w:val="0"/>
            <w:tcMar>
              <w:top w:w="0" w:type="dxa"/>
              <w:left w:w="53" w:type="dxa"/>
              <w:bottom w:w="0" w:type="dxa"/>
              <w:right w:w="53" w:type="dxa"/>
            </w:tcMar>
            <w:vAlign w:val="center"/>
          </w:tcPr>
          <w:p w14:paraId="06518EB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付款逾期利息</w:t>
            </w:r>
          </w:p>
        </w:tc>
        <w:tc>
          <w:tcPr>
            <w:tcW w:w="5266" w:type="dxa"/>
            <w:noWrap w:val="0"/>
            <w:tcMar>
              <w:top w:w="0" w:type="dxa"/>
              <w:left w:w="53" w:type="dxa"/>
              <w:bottom w:w="0" w:type="dxa"/>
              <w:right w:w="53" w:type="dxa"/>
            </w:tcMar>
            <w:vAlign w:val="center"/>
          </w:tcPr>
          <w:p w14:paraId="7A867C9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p>
        </w:tc>
      </w:tr>
    </w:tbl>
    <w:p w14:paraId="0D769FD1">
      <w:pPr>
        <w:spacing w:line="480" w:lineRule="exact"/>
        <w:ind w:firstLine="480" w:firstLineChars="200"/>
        <w:jc w:val="left"/>
        <w:rPr>
          <w:rFonts w:hint="eastAsia" w:ascii="宋体" w:hAnsi="宋体" w:eastAsia="宋体" w:cs="宋体"/>
          <w:color w:val="auto"/>
          <w:sz w:val="24"/>
          <w:szCs w:val="24"/>
          <w:highlight w:val="none"/>
        </w:rPr>
      </w:pPr>
    </w:p>
    <w:p w14:paraId="384AFB10">
      <w:pPr>
        <w:spacing w:line="480" w:lineRule="exact"/>
        <w:ind w:firstLine="480" w:firstLineChars="200"/>
        <w:jc w:val="left"/>
        <w:rPr>
          <w:rFonts w:hint="eastAsia" w:ascii="宋体" w:hAnsi="宋体" w:eastAsia="宋体" w:cs="宋体"/>
          <w:color w:val="auto"/>
          <w:sz w:val="24"/>
          <w:szCs w:val="24"/>
          <w:highlight w:val="none"/>
        </w:rPr>
        <w:sectPr>
          <w:footerReference r:id="rId14" w:type="default"/>
          <w:pgSz w:w="11906" w:h="16838"/>
          <w:pgMar w:top="1440" w:right="1440" w:bottom="1440" w:left="1440" w:header="851" w:footer="992" w:gutter="0"/>
          <w:pgNumType w:fmt="decimal"/>
          <w:cols w:space="425" w:num="1"/>
          <w:docGrid w:type="lines" w:linePitch="312" w:charSpace="0"/>
        </w:sectPr>
      </w:pPr>
    </w:p>
    <w:p w14:paraId="6E05EFCC">
      <w:pPr>
        <w:tabs>
          <w:tab w:val="left" w:pos="1622"/>
        </w:tabs>
        <w:spacing w:before="73" w:after="240" w:afterLines="100"/>
        <w:ind w:right="28"/>
        <w:jc w:val="center"/>
        <w:outlineLvl w:val="0"/>
        <w:rPr>
          <w:rFonts w:hint="eastAsia" w:ascii="Times New Roman" w:hAnsi="Times New Roman" w:eastAsia="宋体" w:cs="Times New Roman"/>
          <w:b/>
          <w:bCs/>
          <w:color w:val="auto"/>
          <w:sz w:val="36"/>
          <w:highlight w:val="none"/>
          <w:lang w:val="en-US" w:eastAsia="zh-CN"/>
        </w:rPr>
      </w:pPr>
      <w:bookmarkStart w:id="56" w:name="_Toc161"/>
      <w:bookmarkStart w:id="57" w:name="_Toc1760"/>
      <w:bookmarkStart w:id="58" w:name="_Toc160018032"/>
      <w:bookmarkStart w:id="59" w:name="_Toc9229"/>
      <w:r>
        <w:rPr>
          <w:rFonts w:hint="eastAsia" w:ascii="Times New Roman" w:hAnsi="Times New Roman" w:eastAsia="宋体" w:cs="Times New Roman"/>
          <w:b/>
          <w:bCs/>
          <w:color w:val="auto"/>
          <w:sz w:val="36"/>
          <w:highlight w:val="none"/>
          <w:lang w:val="en-US" w:eastAsia="zh-CN"/>
        </w:rPr>
        <w:t>第六章  响应文件格式</w:t>
      </w:r>
      <w:bookmarkEnd w:id="56"/>
      <w:bookmarkEnd w:id="57"/>
      <w:bookmarkEnd w:id="58"/>
      <w:bookmarkEnd w:id="59"/>
    </w:p>
    <w:p w14:paraId="24912AD8">
      <w:pPr>
        <w:autoSpaceDE/>
        <w:autoSpaceDN/>
        <w:adjustRightInd w:val="0"/>
        <w:snapToGrid w:val="0"/>
        <w:spacing w:line="360" w:lineRule="auto"/>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供应商编制</w:t>
      </w:r>
      <w:r>
        <w:rPr>
          <w:rFonts w:hint="eastAsia" w:cs="宋体"/>
          <w:b/>
          <w:bCs/>
          <w:color w:val="auto"/>
          <w:kern w:val="2"/>
          <w:sz w:val="24"/>
          <w:szCs w:val="24"/>
          <w:highlight w:val="none"/>
          <w:lang w:val="en-US" w:eastAsia="zh-CN"/>
        </w:rPr>
        <w:t>响应</w:t>
      </w:r>
      <w:r>
        <w:rPr>
          <w:rFonts w:hint="eastAsia" w:ascii="宋体" w:hAnsi="宋体" w:eastAsia="宋体" w:cs="宋体"/>
          <w:b/>
          <w:bCs/>
          <w:color w:val="auto"/>
          <w:kern w:val="2"/>
          <w:sz w:val="24"/>
          <w:szCs w:val="24"/>
          <w:highlight w:val="none"/>
          <w:lang w:val="en-US" w:eastAsia="zh-CN"/>
        </w:rPr>
        <w:t>文件须知：</w:t>
      </w:r>
    </w:p>
    <w:p w14:paraId="01B5AA20">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1.供应商按照本部分的顺序编制响应文件，编制中涉及格式资料的，应按照本部分提供的内容和格式（所有表格的格式可扩展）填写提交。</w:t>
      </w:r>
    </w:p>
    <w:p w14:paraId="46360E98">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color w:val="auto"/>
          <w:kern w:val="2"/>
          <w:sz w:val="24"/>
          <w:szCs w:val="24"/>
          <w:highlight w:val="none"/>
          <w:lang w:val="en-US" w:eastAsia="zh-CN"/>
        </w:rPr>
        <w:t>否则响应无效</w:t>
      </w:r>
      <w:r>
        <w:rPr>
          <w:rFonts w:hint="eastAsia" w:ascii="宋体" w:hAnsi="宋体" w:eastAsia="宋体" w:cs="宋体"/>
          <w:color w:val="auto"/>
          <w:kern w:val="2"/>
          <w:sz w:val="24"/>
          <w:szCs w:val="24"/>
          <w:highlight w:val="none"/>
          <w:lang w:val="en-US" w:eastAsia="zh-CN"/>
        </w:rPr>
        <w:t>。未标记“实质性格式”的文件和竞争性磋商文件未提供格式的内容，可由供应商自行编写。</w:t>
      </w:r>
    </w:p>
    <w:p w14:paraId="13187DA3">
      <w:pPr>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3.全部声明和问题的回答及所附材料必须是真实的、准确的和完整的。</w:t>
      </w:r>
    </w:p>
    <w:p w14:paraId="1CC6E914">
      <w:pPr>
        <w:spacing w:line="306" w:lineRule="exact"/>
        <w:rPr>
          <w:rFonts w:ascii="Times New Roman" w:hAnsi="Times New Roman" w:cs="Times New Roman"/>
          <w:color w:val="auto"/>
          <w:highlight w:val="none"/>
          <w:lang w:eastAsia="zh-CN"/>
        </w:rPr>
        <w:sectPr>
          <w:pgSz w:w="11910" w:h="16840"/>
          <w:pgMar w:top="1417" w:right="1134" w:bottom="1417" w:left="1134" w:header="879" w:footer="892" w:gutter="0"/>
          <w:pgNumType w:fmt="decimal"/>
          <w:cols w:space="720" w:num="1"/>
        </w:sectPr>
      </w:pPr>
    </w:p>
    <w:p w14:paraId="1A627D1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48"/>
          <w:szCs w:val="48"/>
          <w:highlight w:val="none"/>
        </w:rPr>
      </w:pPr>
      <w:bookmarkStart w:id="60" w:name="_Toc9343"/>
      <w:r>
        <w:rPr>
          <w:rFonts w:hint="eastAsia" w:ascii="宋体" w:hAnsi="宋体" w:eastAsia="宋体" w:cs="宋体"/>
          <w:b/>
          <w:bCs/>
          <w:color w:val="auto"/>
          <w:sz w:val="48"/>
          <w:szCs w:val="48"/>
          <w:highlight w:val="none"/>
        </w:rPr>
        <w:t>资格证明文件格式</w:t>
      </w:r>
      <w:bookmarkEnd w:id="60"/>
    </w:p>
    <w:p w14:paraId="2B539988">
      <w:pPr>
        <w:pStyle w:val="3"/>
        <w:spacing w:line="240" w:lineRule="auto"/>
        <w:ind w:left="0" w:leftChars="0" w:firstLine="0" w:firstLineChars="0"/>
        <w:jc w:val="both"/>
        <w:rPr>
          <w:rFonts w:hint="eastAsia" w:ascii="宋体" w:hAnsi="宋体" w:eastAsia="宋体" w:cs="宋体"/>
          <w:b/>
          <w:bCs/>
          <w:color w:val="auto"/>
          <w:szCs w:val="21"/>
          <w:highlight w:val="none"/>
        </w:rPr>
      </w:pPr>
      <w:r>
        <w:rPr>
          <w:rFonts w:hint="eastAsia" w:ascii="宋体" w:hAnsi="宋体" w:eastAsia="宋体" w:cs="宋体"/>
          <w:b/>
          <w:bCs/>
          <w:color w:val="auto"/>
          <w:szCs w:val="28"/>
          <w:highlight w:val="none"/>
          <w:lang w:val="en-US" w:eastAsia="zh-CN"/>
        </w:rPr>
        <w:t>响应</w:t>
      </w:r>
      <w:r>
        <w:rPr>
          <w:rFonts w:hint="eastAsia" w:ascii="宋体" w:hAnsi="宋体" w:eastAsia="宋体" w:cs="宋体"/>
          <w:b/>
          <w:bCs/>
          <w:color w:val="auto"/>
          <w:szCs w:val="28"/>
          <w:highlight w:val="none"/>
        </w:rPr>
        <w:t>文件（资格证明文件）封面（非实质性格式）</w:t>
      </w:r>
    </w:p>
    <w:p w14:paraId="37D5BAFE">
      <w:pPr>
        <w:spacing w:line="360" w:lineRule="auto"/>
        <w:ind w:right="160"/>
        <w:jc w:val="right"/>
        <w:rPr>
          <w:rFonts w:hint="eastAsia" w:ascii="宋体" w:hAnsi="宋体" w:eastAsia="宋体" w:cs="宋体"/>
          <w:b/>
          <w:color w:val="auto"/>
          <w:sz w:val="32"/>
          <w:szCs w:val="32"/>
          <w:highlight w:val="none"/>
        </w:rPr>
      </w:pPr>
    </w:p>
    <w:p w14:paraId="797EE902">
      <w:pPr>
        <w:adjustRightInd w:val="0"/>
        <w:snapToGrid w:val="0"/>
        <w:spacing w:line="360" w:lineRule="auto"/>
        <w:jc w:val="center"/>
        <w:rPr>
          <w:rFonts w:hint="eastAsia" w:ascii="宋体" w:hAnsi="宋体" w:eastAsia="宋体" w:cs="宋体"/>
          <w:b/>
          <w:color w:val="auto"/>
          <w:sz w:val="28"/>
          <w:szCs w:val="28"/>
          <w:highlight w:val="none"/>
          <w:u w:val="single"/>
        </w:rPr>
      </w:pPr>
    </w:p>
    <w:p w14:paraId="32BE92B8">
      <w:pPr>
        <w:adjustRightInd w:val="0"/>
        <w:snapToGrid w:val="0"/>
        <w:spacing w:line="360" w:lineRule="auto"/>
        <w:jc w:val="center"/>
        <w:rPr>
          <w:rFonts w:hint="eastAsia" w:ascii="宋体" w:hAnsi="宋体" w:eastAsia="宋体" w:cs="宋体"/>
          <w:b/>
          <w:color w:val="auto"/>
          <w:sz w:val="28"/>
          <w:szCs w:val="28"/>
          <w:highlight w:val="none"/>
          <w:u w:val="single"/>
        </w:rPr>
      </w:pPr>
    </w:p>
    <w:p w14:paraId="3F5AB2E6">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9"/>
        <w:rPr>
          <w:rFonts w:hint="eastAsia" w:ascii="宋体" w:hAnsi="宋体" w:eastAsia="宋体" w:cs="宋体"/>
          <w:b/>
          <w:bCs/>
          <w:color w:val="auto"/>
          <w:sz w:val="44"/>
          <w:szCs w:val="44"/>
          <w:highlight w:val="none"/>
          <w:lang w:eastAsia="zh-CN"/>
        </w:rPr>
      </w:pPr>
      <w:r>
        <w:rPr>
          <w:rFonts w:hint="eastAsia" w:cs="宋体"/>
          <w:b/>
          <w:bCs/>
          <w:color w:val="auto"/>
          <w:sz w:val="44"/>
          <w:szCs w:val="44"/>
          <w:highlight w:val="none"/>
          <w:lang w:eastAsia="zh-CN"/>
        </w:rPr>
        <w:t>巧家县公安局交通管理大队2026年科技管控建设项目—玉屏街道岩湾安置区综合治理系统</w:t>
      </w:r>
    </w:p>
    <w:p w14:paraId="2C02B426">
      <w:pPr>
        <w:adjustRightInd w:val="0"/>
        <w:snapToGrid w:val="0"/>
        <w:spacing w:line="360" w:lineRule="auto"/>
        <w:jc w:val="center"/>
        <w:rPr>
          <w:rFonts w:hint="eastAsia" w:ascii="宋体" w:hAnsi="宋体" w:eastAsia="宋体" w:cs="宋体"/>
          <w:b/>
          <w:color w:val="auto"/>
          <w:sz w:val="28"/>
          <w:szCs w:val="28"/>
          <w:highlight w:val="none"/>
        </w:rPr>
      </w:pPr>
    </w:p>
    <w:p w14:paraId="3B87BEED">
      <w:pPr>
        <w:adjustRightInd w:val="0"/>
        <w:snapToGrid w:val="0"/>
        <w:spacing w:line="360" w:lineRule="auto"/>
        <w:jc w:val="center"/>
        <w:rPr>
          <w:rFonts w:hint="eastAsia" w:ascii="宋体" w:hAnsi="宋体" w:eastAsia="宋体" w:cs="宋体"/>
          <w:b/>
          <w:color w:val="auto"/>
          <w:sz w:val="28"/>
          <w:szCs w:val="28"/>
          <w:highlight w:val="none"/>
        </w:rPr>
      </w:pPr>
    </w:p>
    <w:p w14:paraId="53FE1C57">
      <w:pPr>
        <w:adjustRightInd w:val="0"/>
        <w:snapToGrid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 应 文 件</w:t>
      </w:r>
    </w:p>
    <w:p w14:paraId="20EA037C">
      <w:pPr>
        <w:adjustRightInd w:val="0"/>
        <w:snapToGrid w:val="0"/>
        <w:spacing w:line="360" w:lineRule="auto"/>
        <w:jc w:val="center"/>
        <w:rPr>
          <w:rFonts w:hint="eastAsia" w:ascii="宋体" w:hAnsi="宋体" w:eastAsia="宋体" w:cs="宋体"/>
          <w:b/>
          <w:color w:val="auto"/>
          <w:sz w:val="48"/>
          <w:szCs w:val="48"/>
          <w:highlight w:val="none"/>
          <w:lang w:eastAsia="zh-CN"/>
        </w:rPr>
      </w:pPr>
      <w:r>
        <w:rPr>
          <w:rFonts w:hint="eastAsia" w:cs="宋体"/>
          <w:b/>
          <w:color w:val="auto"/>
          <w:sz w:val="48"/>
          <w:szCs w:val="48"/>
          <w:highlight w:val="none"/>
          <w:lang w:eastAsia="zh-CN"/>
        </w:rPr>
        <w:t>（</w:t>
      </w:r>
      <w:r>
        <w:rPr>
          <w:rFonts w:hint="eastAsia" w:cs="宋体"/>
          <w:b/>
          <w:color w:val="auto"/>
          <w:sz w:val="48"/>
          <w:szCs w:val="48"/>
          <w:highlight w:val="none"/>
          <w:lang w:val="en-US" w:eastAsia="zh-CN"/>
        </w:rPr>
        <w:t>资格审查文件</w:t>
      </w:r>
      <w:r>
        <w:rPr>
          <w:rFonts w:hint="eastAsia" w:cs="宋体"/>
          <w:b/>
          <w:color w:val="auto"/>
          <w:sz w:val="48"/>
          <w:szCs w:val="48"/>
          <w:highlight w:val="none"/>
          <w:lang w:eastAsia="zh-CN"/>
        </w:rPr>
        <w:t>）</w:t>
      </w:r>
    </w:p>
    <w:p w14:paraId="0CAA809B">
      <w:pPr>
        <w:adjustRightInd w:val="0"/>
        <w:snapToGrid w:val="0"/>
        <w:spacing w:line="360" w:lineRule="auto"/>
        <w:rPr>
          <w:rFonts w:hint="eastAsia" w:ascii="宋体" w:hAnsi="宋体" w:eastAsia="宋体" w:cs="宋体"/>
          <w:b/>
          <w:color w:val="auto"/>
          <w:sz w:val="28"/>
          <w:szCs w:val="28"/>
          <w:highlight w:val="none"/>
        </w:rPr>
      </w:pPr>
    </w:p>
    <w:p w14:paraId="2B1E67AA">
      <w:pPr>
        <w:adjustRightInd w:val="0"/>
        <w:snapToGrid w:val="0"/>
        <w:spacing w:line="360" w:lineRule="auto"/>
        <w:rPr>
          <w:rFonts w:hint="eastAsia" w:ascii="宋体" w:hAnsi="宋体" w:eastAsia="宋体" w:cs="宋体"/>
          <w:b/>
          <w:color w:val="auto"/>
          <w:sz w:val="28"/>
          <w:szCs w:val="28"/>
          <w:highlight w:val="none"/>
        </w:rPr>
      </w:pPr>
    </w:p>
    <w:p w14:paraId="22F4FDF7">
      <w:pPr>
        <w:adjustRightInd w:val="0"/>
        <w:snapToGrid w:val="0"/>
        <w:spacing w:line="360" w:lineRule="auto"/>
        <w:rPr>
          <w:rFonts w:hint="eastAsia" w:ascii="宋体" w:hAnsi="宋体" w:eastAsia="宋体" w:cs="宋体"/>
          <w:b/>
          <w:color w:val="auto"/>
          <w:sz w:val="28"/>
          <w:szCs w:val="28"/>
          <w:highlight w:val="none"/>
        </w:rPr>
      </w:pPr>
    </w:p>
    <w:p w14:paraId="36B4A0FE">
      <w:pPr>
        <w:adjustRightInd w:val="0"/>
        <w:snapToGrid w:val="0"/>
        <w:spacing w:line="360" w:lineRule="auto"/>
        <w:jc w:val="center"/>
        <w:rPr>
          <w:rFonts w:hint="eastAsia" w:ascii="宋体" w:hAnsi="宋体" w:eastAsia="宋体" w:cs="宋体"/>
          <w:b/>
          <w:color w:val="auto"/>
          <w:sz w:val="28"/>
          <w:szCs w:val="28"/>
          <w:highlight w:val="none"/>
        </w:rPr>
      </w:pPr>
    </w:p>
    <w:p w14:paraId="109C4884">
      <w:pPr>
        <w:adjustRightInd w:val="0"/>
        <w:snapToGrid w:val="0"/>
        <w:spacing w:line="360" w:lineRule="auto"/>
        <w:jc w:val="center"/>
        <w:rPr>
          <w:rFonts w:hint="eastAsia" w:ascii="宋体" w:hAnsi="宋体" w:eastAsia="宋体" w:cs="宋体"/>
          <w:b/>
          <w:color w:val="auto"/>
          <w:sz w:val="44"/>
          <w:szCs w:val="44"/>
          <w:highlight w:val="none"/>
        </w:rPr>
      </w:pPr>
    </w:p>
    <w:p w14:paraId="3511E75E">
      <w:pPr>
        <w:adjustRightInd w:val="0"/>
        <w:snapToGrid w:val="0"/>
        <w:spacing w:line="360" w:lineRule="auto"/>
        <w:jc w:val="center"/>
        <w:rPr>
          <w:rFonts w:hint="eastAsia" w:ascii="宋体" w:hAnsi="宋体" w:eastAsia="宋体" w:cs="宋体"/>
          <w:b/>
          <w:color w:val="auto"/>
          <w:sz w:val="44"/>
          <w:szCs w:val="44"/>
          <w:highlight w:val="none"/>
        </w:rPr>
      </w:pPr>
    </w:p>
    <w:p w14:paraId="401A2FE5">
      <w:pPr>
        <w:adjustRightInd w:val="0"/>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供应商：</w:t>
      </w: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w:t>
      </w:r>
      <w:r>
        <w:rPr>
          <w:rFonts w:hint="eastAsia" w:ascii="宋体" w:hAnsi="宋体" w:eastAsia="宋体" w:cs="宋体"/>
          <w:b/>
          <w:color w:val="auto"/>
          <w:sz w:val="44"/>
          <w:szCs w:val="44"/>
          <w:highlight w:val="none"/>
          <w:lang w:val="en-US" w:eastAsia="zh-CN"/>
        </w:rPr>
        <w:t>电子签章</w:t>
      </w:r>
      <w:r>
        <w:rPr>
          <w:rFonts w:hint="eastAsia" w:ascii="宋体" w:hAnsi="宋体" w:eastAsia="宋体" w:cs="宋体"/>
          <w:b/>
          <w:color w:val="auto"/>
          <w:sz w:val="44"/>
          <w:szCs w:val="44"/>
          <w:highlight w:val="none"/>
        </w:rPr>
        <w:t>）</w:t>
      </w:r>
    </w:p>
    <w:p w14:paraId="580AD0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48"/>
          <w:szCs w:val="48"/>
          <w:highlight w:val="none"/>
        </w:rPr>
        <w:sectPr>
          <w:pgSz w:w="11907" w:h="16840"/>
          <w:pgMar w:top="1417" w:right="1134" w:bottom="1417" w:left="1134" w:header="850" w:footer="850" w:gutter="0"/>
          <w:pgNumType w:fmt="decimal"/>
          <w:cols w:space="720" w:num="1"/>
          <w:docGrid w:linePitch="312" w:charSpace="0"/>
        </w:sectPr>
      </w:pPr>
    </w:p>
    <w:p w14:paraId="5378D6F8">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宋体" w:hAnsi="宋体" w:eastAsia="宋体" w:cs="宋体"/>
          <w:b/>
          <w:bCs w:val="0"/>
          <w:color w:val="auto"/>
          <w:kern w:val="0"/>
          <w:szCs w:val="28"/>
          <w:highlight w:val="none"/>
          <w:lang w:val="en-US" w:eastAsia="zh-CN"/>
        </w:rPr>
      </w:pPr>
      <w:bookmarkStart w:id="61" w:name="_Toc18099"/>
      <w:bookmarkStart w:id="62" w:name="_Toc10493"/>
      <w:bookmarkStart w:id="63" w:name="_Toc9014"/>
      <w:bookmarkStart w:id="64" w:name="_Toc96425990"/>
      <w:bookmarkStart w:id="65" w:name="_Toc91361798"/>
      <w:bookmarkStart w:id="66" w:name="_Toc92265449"/>
      <w:r>
        <w:rPr>
          <w:rFonts w:hint="eastAsia" w:ascii="宋体" w:hAnsi="宋体" w:eastAsia="宋体" w:cs="宋体"/>
          <w:b/>
          <w:bCs w:val="0"/>
          <w:color w:val="auto"/>
          <w:kern w:val="0"/>
          <w:szCs w:val="28"/>
          <w:highlight w:val="none"/>
          <w:lang w:eastAsia="zh-CN"/>
        </w:rPr>
        <w:t>（一）满足《中华人民共和国政府采购法》第二十二条规定</w:t>
      </w:r>
      <w:bookmarkEnd w:id="61"/>
      <w:bookmarkEnd w:id="62"/>
      <w:bookmarkEnd w:id="63"/>
    </w:p>
    <w:p w14:paraId="1E61F929">
      <w:pPr>
        <w:pStyle w:val="20"/>
        <w:keepNext/>
        <w:keepLines w:val="0"/>
        <w:pageBreakBefore w:val="0"/>
        <w:widowControl w:val="0"/>
        <w:kinsoku/>
        <w:wordWrap/>
        <w:overflowPunct w:val="0"/>
        <w:topLinePunct w:val="0"/>
        <w:autoSpaceDE/>
        <w:autoSpaceDN/>
        <w:bidi w:val="0"/>
        <w:adjustRightInd w:val="0"/>
        <w:snapToGrid/>
        <w:spacing w:before="120" w:after="120" w:line="360" w:lineRule="auto"/>
        <w:jc w:val="both"/>
        <w:textAlignment w:val="auto"/>
        <w:outlineLvl w:val="9"/>
        <w:rPr>
          <w:rFonts w:hint="eastAsia" w:ascii="宋体" w:hAnsi="宋体" w:eastAsia="宋体" w:cs="宋体"/>
          <w:b w:val="0"/>
          <w:color w:val="auto"/>
          <w:sz w:val="24"/>
          <w:szCs w:val="22"/>
          <w:highlight w:val="none"/>
          <w:lang w:val="en-US" w:eastAsia="zh-CN"/>
        </w:rPr>
      </w:pPr>
      <w:bookmarkStart w:id="67" w:name="_Toc31080"/>
      <w:bookmarkStart w:id="68" w:name="_Toc18126"/>
      <w:bookmarkStart w:id="69" w:name="_Toc30997"/>
      <w:r>
        <w:rPr>
          <w:rFonts w:hint="eastAsia" w:ascii="宋体" w:hAnsi="宋体" w:eastAsia="宋体" w:cs="宋体"/>
          <w:b w:val="0"/>
          <w:color w:val="auto"/>
          <w:sz w:val="24"/>
          <w:szCs w:val="22"/>
          <w:highlight w:val="none"/>
          <w:lang w:val="en-US" w:eastAsia="zh-CN"/>
        </w:rPr>
        <w:t>注：新成立企业不满足采购人年度要求的，供应商只提供成立后相应年度的资料。</w:t>
      </w:r>
      <w:bookmarkEnd w:id="67"/>
      <w:bookmarkEnd w:id="68"/>
      <w:bookmarkEnd w:id="69"/>
    </w:p>
    <w:p w14:paraId="327E9883">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2"/>
        <w:rPr>
          <w:rFonts w:hint="eastAsia" w:ascii="宋体" w:hAnsi="宋体" w:eastAsia="宋体" w:cs="宋体"/>
          <w:b/>
          <w:bCs/>
          <w:color w:val="auto"/>
          <w:sz w:val="24"/>
          <w:szCs w:val="24"/>
          <w:highlight w:val="none"/>
        </w:rPr>
      </w:pPr>
      <w:bookmarkStart w:id="70" w:name="_Toc6635"/>
      <w:bookmarkStart w:id="71" w:name="_Toc23239"/>
      <w:bookmarkStart w:id="72" w:name="_Toc21251"/>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基本情况表</w:t>
      </w:r>
      <w:bookmarkEnd w:id="64"/>
      <w:bookmarkEnd w:id="65"/>
      <w:bookmarkEnd w:id="66"/>
      <w:bookmarkEnd w:id="70"/>
      <w:bookmarkEnd w:id="71"/>
      <w:bookmarkEnd w:id="72"/>
    </w:p>
    <w:tbl>
      <w:tblPr>
        <w:tblStyle w:val="22"/>
        <w:tblW w:w="967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86"/>
        <w:gridCol w:w="1040"/>
        <w:gridCol w:w="2196"/>
        <w:gridCol w:w="1808"/>
        <w:gridCol w:w="1849"/>
      </w:tblGrid>
      <w:tr w14:paraId="79687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4C431E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6893" w:type="dxa"/>
            <w:gridSpan w:val="4"/>
            <w:noWrap w:val="0"/>
            <w:vAlign w:val="center"/>
          </w:tcPr>
          <w:p w14:paraId="782424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659E5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61F69E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236" w:type="dxa"/>
            <w:gridSpan w:val="2"/>
            <w:noWrap w:val="0"/>
            <w:vAlign w:val="center"/>
          </w:tcPr>
          <w:p w14:paraId="2B5CFA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c>
          <w:tcPr>
            <w:tcW w:w="1808" w:type="dxa"/>
            <w:noWrap w:val="0"/>
            <w:vAlign w:val="center"/>
          </w:tcPr>
          <w:p w14:paraId="31ABE3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849" w:type="dxa"/>
            <w:noWrap w:val="0"/>
            <w:vAlign w:val="center"/>
          </w:tcPr>
          <w:p w14:paraId="0F9217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0AA1F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vMerge w:val="restart"/>
            <w:noWrap w:val="0"/>
            <w:vAlign w:val="center"/>
          </w:tcPr>
          <w:p w14:paraId="51A4AA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040" w:type="dxa"/>
            <w:noWrap w:val="0"/>
            <w:vAlign w:val="center"/>
          </w:tcPr>
          <w:p w14:paraId="3B4CBC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196" w:type="dxa"/>
            <w:noWrap w:val="0"/>
            <w:vAlign w:val="center"/>
          </w:tcPr>
          <w:p w14:paraId="1DE01A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c>
          <w:tcPr>
            <w:tcW w:w="1808" w:type="dxa"/>
            <w:noWrap w:val="0"/>
            <w:vAlign w:val="center"/>
          </w:tcPr>
          <w:p w14:paraId="018D5C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849" w:type="dxa"/>
            <w:noWrap w:val="0"/>
            <w:vAlign w:val="center"/>
          </w:tcPr>
          <w:p w14:paraId="3A6033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1BBE7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vMerge w:val="continue"/>
            <w:noWrap w:val="0"/>
            <w:vAlign w:val="center"/>
          </w:tcPr>
          <w:p w14:paraId="5A84AE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p>
        </w:tc>
        <w:tc>
          <w:tcPr>
            <w:tcW w:w="1040" w:type="dxa"/>
            <w:noWrap w:val="0"/>
            <w:vAlign w:val="center"/>
          </w:tcPr>
          <w:p w14:paraId="30E88A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196" w:type="dxa"/>
            <w:noWrap w:val="0"/>
            <w:vAlign w:val="center"/>
          </w:tcPr>
          <w:p w14:paraId="202407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c>
          <w:tcPr>
            <w:tcW w:w="1808" w:type="dxa"/>
            <w:noWrap w:val="0"/>
            <w:vAlign w:val="center"/>
          </w:tcPr>
          <w:p w14:paraId="031A60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1849" w:type="dxa"/>
            <w:noWrap w:val="0"/>
            <w:vAlign w:val="center"/>
          </w:tcPr>
          <w:p w14:paraId="6A4E51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43AEC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4" w:hRule="atLeast"/>
          <w:jc w:val="center"/>
        </w:trPr>
        <w:tc>
          <w:tcPr>
            <w:tcW w:w="2786" w:type="dxa"/>
            <w:noWrap w:val="0"/>
            <w:vAlign w:val="center"/>
          </w:tcPr>
          <w:p w14:paraId="289B27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040" w:type="dxa"/>
            <w:noWrap w:val="0"/>
            <w:vAlign w:val="center"/>
          </w:tcPr>
          <w:p w14:paraId="2A0C7B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96" w:type="dxa"/>
            <w:noWrap w:val="0"/>
            <w:vAlign w:val="center"/>
          </w:tcPr>
          <w:p w14:paraId="49920D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highlight w:val="none"/>
              </w:rPr>
            </w:pPr>
          </w:p>
        </w:tc>
        <w:tc>
          <w:tcPr>
            <w:tcW w:w="1808" w:type="dxa"/>
            <w:noWrap w:val="0"/>
            <w:vAlign w:val="center"/>
          </w:tcPr>
          <w:p w14:paraId="5BEE3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849" w:type="dxa"/>
            <w:noWrap w:val="0"/>
            <w:vAlign w:val="center"/>
          </w:tcPr>
          <w:p w14:paraId="35EF58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p>
        </w:tc>
      </w:tr>
      <w:tr w14:paraId="7308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6" w:hRule="atLeast"/>
          <w:jc w:val="center"/>
        </w:trPr>
        <w:tc>
          <w:tcPr>
            <w:tcW w:w="2786" w:type="dxa"/>
            <w:noWrap w:val="0"/>
            <w:vAlign w:val="center"/>
          </w:tcPr>
          <w:p w14:paraId="75FC8D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质量管理体系证书</w:t>
            </w:r>
          </w:p>
          <w:p w14:paraId="02E89D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（如有）</w:t>
            </w:r>
          </w:p>
        </w:tc>
        <w:tc>
          <w:tcPr>
            <w:tcW w:w="6893" w:type="dxa"/>
            <w:gridSpan w:val="4"/>
            <w:noWrap w:val="0"/>
            <w:vAlign w:val="center"/>
          </w:tcPr>
          <w:p w14:paraId="233FA4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类型：             等级：            证书号：</w:t>
            </w:r>
          </w:p>
        </w:tc>
      </w:tr>
      <w:tr w14:paraId="2A4E7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4EDEBD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社会统一信用代码</w:t>
            </w:r>
          </w:p>
        </w:tc>
        <w:tc>
          <w:tcPr>
            <w:tcW w:w="6893" w:type="dxa"/>
            <w:gridSpan w:val="4"/>
            <w:noWrap w:val="0"/>
            <w:vAlign w:val="center"/>
          </w:tcPr>
          <w:p w14:paraId="14C077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4F6AC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756C03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6893" w:type="dxa"/>
            <w:gridSpan w:val="4"/>
            <w:noWrap w:val="0"/>
            <w:vAlign w:val="center"/>
          </w:tcPr>
          <w:p w14:paraId="43A720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44349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58DFE9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6893" w:type="dxa"/>
            <w:gridSpan w:val="4"/>
            <w:noWrap w:val="0"/>
            <w:vAlign w:val="center"/>
          </w:tcPr>
          <w:p w14:paraId="0335D2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0CB5F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170D09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6893" w:type="dxa"/>
            <w:gridSpan w:val="4"/>
            <w:noWrap w:val="0"/>
            <w:vAlign w:val="center"/>
          </w:tcPr>
          <w:p w14:paraId="66B86B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77B92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jc w:val="center"/>
        </w:trPr>
        <w:tc>
          <w:tcPr>
            <w:tcW w:w="2786" w:type="dxa"/>
            <w:noWrap w:val="0"/>
            <w:vAlign w:val="center"/>
          </w:tcPr>
          <w:p w14:paraId="2A3A50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893" w:type="dxa"/>
            <w:gridSpan w:val="4"/>
            <w:noWrap w:val="0"/>
            <w:vAlign w:val="center"/>
          </w:tcPr>
          <w:p w14:paraId="05EDF5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2C9B3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6" w:hRule="atLeast"/>
          <w:jc w:val="center"/>
        </w:trPr>
        <w:tc>
          <w:tcPr>
            <w:tcW w:w="2786" w:type="dxa"/>
            <w:noWrap w:val="0"/>
            <w:vAlign w:val="center"/>
          </w:tcPr>
          <w:p w14:paraId="6FFEA2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与供应商的单位负责人为同一人的单位</w:t>
            </w:r>
          </w:p>
        </w:tc>
        <w:tc>
          <w:tcPr>
            <w:tcW w:w="6893" w:type="dxa"/>
            <w:gridSpan w:val="4"/>
            <w:noWrap w:val="0"/>
            <w:vAlign w:val="center"/>
          </w:tcPr>
          <w:p w14:paraId="3FF2F2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49DD7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6" w:hRule="atLeast"/>
          <w:jc w:val="center"/>
        </w:trPr>
        <w:tc>
          <w:tcPr>
            <w:tcW w:w="2786" w:type="dxa"/>
            <w:noWrap w:val="0"/>
            <w:vAlign w:val="center"/>
          </w:tcPr>
          <w:p w14:paraId="69EE98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与供应商存在控股关系的单位</w:t>
            </w:r>
          </w:p>
        </w:tc>
        <w:tc>
          <w:tcPr>
            <w:tcW w:w="6893" w:type="dxa"/>
            <w:gridSpan w:val="4"/>
            <w:noWrap w:val="0"/>
            <w:vAlign w:val="center"/>
          </w:tcPr>
          <w:p w14:paraId="56A377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p>
        </w:tc>
      </w:tr>
      <w:tr w14:paraId="13B29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6" w:hRule="atLeast"/>
          <w:jc w:val="center"/>
        </w:trPr>
        <w:tc>
          <w:tcPr>
            <w:tcW w:w="2786" w:type="dxa"/>
            <w:noWrap w:val="0"/>
            <w:vAlign w:val="center"/>
          </w:tcPr>
          <w:p w14:paraId="43F5B9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与供应商存在管理关系的单位</w:t>
            </w:r>
          </w:p>
        </w:tc>
        <w:tc>
          <w:tcPr>
            <w:tcW w:w="6893" w:type="dxa"/>
            <w:gridSpan w:val="4"/>
            <w:noWrap w:val="0"/>
            <w:vAlign w:val="center"/>
          </w:tcPr>
          <w:p w14:paraId="3F5607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r w14:paraId="558BE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 w:hRule="atLeast"/>
          <w:jc w:val="center"/>
        </w:trPr>
        <w:tc>
          <w:tcPr>
            <w:tcW w:w="2786" w:type="dxa"/>
            <w:noWrap w:val="0"/>
            <w:vAlign w:val="center"/>
          </w:tcPr>
          <w:p w14:paraId="41BBF5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893" w:type="dxa"/>
            <w:gridSpan w:val="4"/>
            <w:noWrap w:val="0"/>
            <w:vAlign w:val="center"/>
          </w:tcPr>
          <w:p w14:paraId="1CF0EE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p>
        </w:tc>
      </w:tr>
    </w:tbl>
    <w:p w14:paraId="6F35E424">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供应商在本表后附营业执照和组织机构代码证（按照“三证合一”或“五证合一”登记制度进行登记的，可仅提供营业执照）</w:t>
      </w:r>
      <w:r>
        <w:rPr>
          <w:rFonts w:hint="eastAsia" w:ascii="宋体" w:hAnsi="宋体" w:eastAsia="宋体" w:cs="宋体"/>
          <w:color w:val="auto"/>
          <w:sz w:val="24"/>
          <w:highlight w:val="none"/>
          <w:lang w:val="en-US" w:eastAsia="zh-CN"/>
        </w:rPr>
        <w:t>等法定证明文件</w:t>
      </w:r>
      <w:r>
        <w:rPr>
          <w:rFonts w:hint="eastAsia" w:ascii="宋体" w:hAnsi="宋体" w:eastAsia="宋体" w:cs="宋体"/>
          <w:color w:val="auto"/>
          <w:sz w:val="24"/>
          <w:highlight w:val="none"/>
        </w:rPr>
        <w:t>的扫描件</w:t>
      </w:r>
      <w:r>
        <w:rPr>
          <w:rFonts w:hint="eastAsia" w:cs="宋体"/>
          <w:color w:val="auto"/>
          <w:sz w:val="24"/>
          <w:highlight w:val="none"/>
          <w:lang w:val="en-US" w:eastAsia="zh-CN"/>
        </w:rPr>
        <w:t>。</w:t>
      </w:r>
    </w:p>
    <w:p w14:paraId="124D3178">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br w:type="page"/>
      </w:r>
      <w:bookmarkStart w:id="73" w:name="_Toc30793"/>
      <w:bookmarkStart w:id="74" w:name="_Toc18605"/>
      <w:bookmarkStart w:id="75" w:name="_Toc25411"/>
      <w:bookmarkStart w:id="76" w:name="_Toc90807416"/>
      <w:r>
        <w:rPr>
          <w:rFonts w:hint="eastAsia" w:ascii="宋体" w:hAnsi="宋体" w:eastAsia="宋体" w:cs="宋体"/>
          <w:b/>
          <w:bCs/>
          <w:color w:val="auto"/>
          <w:sz w:val="24"/>
          <w:szCs w:val="24"/>
          <w:highlight w:val="none"/>
          <w:lang w:val="en-US" w:eastAsia="zh-CN"/>
        </w:rPr>
        <w:t>2.具有良好的商业信誉和健全的财务会计制度</w:t>
      </w:r>
      <w:bookmarkEnd w:id="73"/>
      <w:bookmarkEnd w:id="74"/>
      <w:bookmarkEnd w:id="75"/>
      <w:bookmarkEnd w:id="76"/>
    </w:p>
    <w:p w14:paraId="197A99D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提供下列两项证明材料之一：</w:t>
      </w:r>
    </w:p>
    <w:p w14:paraId="1B5763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1</w:t>
      </w:r>
      <w:r>
        <w:rPr>
          <w:rFonts w:hint="eastAsia" w:cs="宋体"/>
          <w:color w:val="auto"/>
          <w:sz w:val="24"/>
          <w:highlight w:val="none"/>
          <w:lang w:eastAsia="zh-CN"/>
        </w:rPr>
        <w:t>）</w:t>
      </w:r>
      <w:r>
        <w:rPr>
          <w:rFonts w:hint="eastAsia" w:ascii="宋体" w:hAnsi="宋体" w:eastAsia="宋体" w:cs="宋体"/>
          <w:color w:val="auto"/>
          <w:sz w:val="24"/>
          <w:highlight w:val="none"/>
        </w:rPr>
        <w:t>提供2023年度或2024年度</w:t>
      </w:r>
      <w:r>
        <w:rPr>
          <w:rFonts w:hint="eastAsia" w:cs="宋体"/>
          <w:color w:val="auto"/>
          <w:sz w:val="24"/>
          <w:highlight w:val="none"/>
          <w:lang w:val="en-US" w:eastAsia="zh-CN"/>
        </w:rPr>
        <w:t>经</w:t>
      </w:r>
      <w:r>
        <w:rPr>
          <w:rFonts w:hint="eastAsia" w:ascii="宋体" w:hAnsi="宋体" w:eastAsia="宋体" w:cs="宋体"/>
          <w:color w:val="auto"/>
          <w:sz w:val="24"/>
          <w:highlight w:val="none"/>
        </w:rPr>
        <w:t>会计师事务所出具的财务审计报告正文和必要的财务报表（至少包括资产负债表、现金流量表、利润表/损益表、财务报表附注）扫描件，根据《财政部关于注册会计师在审计报告上签字盖章有关问题的通知》、《关于加强审计报告查验工作的通知》，2022年及之后的审计报告应在注册会计师行业统一监管平台（网址http://acc.mof.gov.cn）赋验证码，审计报告盖有会计师事务所公章和两名中国注册会计师签名盖章，并附有会计师事务所营业执照、会计师事务所执业证书、注册会计师证书；成立时间不足一个完整会计年度的供应商，响应文件中提供提交首次响应文件截止时间前近三个月内基本开户银行出具的资信证明扫描件和基本账户开户证明扫描件。</w:t>
      </w:r>
    </w:p>
    <w:p w14:paraId="745713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2</w:t>
      </w:r>
      <w:r>
        <w:rPr>
          <w:rFonts w:hint="eastAsia" w:cs="宋体"/>
          <w:color w:val="auto"/>
          <w:sz w:val="24"/>
          <w:highlight w:val="none"/>
          <w:lang w:eastAsia="zh-CN"/>
        </w:rPr>
        <w:t>）</w:t>
      </w:r>
      <w:r>
        <w:rPr>
          <w:rFonts w:hint="eastAsia" w:ascii="宋体" w:hAnsi="宋体" w:eastAsia="宋体" w:cs="宋体"/>
          <w:color w:val="auto"/>
          <w:sz w:val="24"/>
          <w:highlight w:val="none"/>
        </w:rPr>
        <w:t>提供具有良好的商业信誉和健全的财务会计制度且财务状况良好的书面承诺函</w:t>
      </w:r>
      <w:r>
        <w:rPr>
          <w:rFonts w:hint="eastAsia" w:cs="宋体"/>
          <w:color w:val="auto"/>
          <w:sz w:val="24"/>
          <w:highlight w:val="none"/>
          <w:lang w:val="en-US" w:eastAsia="zh-CN"/>
        </w:rPr>
        <w:t>电子</w:t>
      </w:r>
      <w:r>
        <w:rPr>
          <w:rFonts w:hint="eastAsia" w:ascii="宋体" w:hAnsi="宋体" w:eastAsia="宋体" w:cs="宋体"/>
          <w:color w:val="auto"/>
          <w:sz w:val="24"/>
          <w:highlight w:val="none"/>
        </w:rPr>
        <w:t>件（格式自拟）。</w:t>
      </w:r>
    </w:p>
    <w:p w14:paraId="27899967">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4"/>
          <w:highlight w:val="none"/>
        </w:rPr>
      </w:pPr>
    </w:p>
    <w:p w14:paraId="1B04395A">
      <w:pPr>
        <w:spacing w:line="360" w:lineRule="auto"/>
        <w:rPr>
          <w:rFonts w:hint="eastAsia" w:ascii="宋体" w:hAnsi="宋体" w:eastAsia="宋体" w:cs="宋体"/>
          <w:color w:val="auto"/>
          <w:sz w:val="24"/>
          <w:highlight w:val="none"/>
        </w:rPr>
      </w:pPr>
    </w:p>
    <w:p w14:paraId="79A790F2">
      <w:pPr>
        <w:spacing w:line="360" w:lineRule="auto"/>
        <w:rPr>
          <w:rFonts w:hint="eastAsia" w:ascii="宋体" w:hAnsi="宋体" w:eastAsia="宋体" w:cs="宋体"/>
          <w:color w:val="auto"/>
          <w:sz w:val="24"/>
          <w:highlight w:val="none"/>
        </w:rPr>
      </w:pPr>
    </w:p>
    <w:p w14:paraId="441319DC">
      <w:pPr>
        <w:spacing w:line="360" w:lineRule="auto"/>
        <w:rPr>
          <w:rFonts w:hint="eastAsia" w:ascii="宋体" w:hAnsi="宋体" w:eastAsia="宋体" w:cs="宋体"/>
          <w:b/>
          <w:bCs/>
          <w:color w:val="auto"/>
          <w:sz w:val="24"/>
          <w:highlight w:val="none"/>
        </w:rPr>
      </w:pPr>
    </w:p>
    <w:p w14:paraId="6C063297">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bookmarkStart w:id="77" w:name="_Toc25067"/>
      <w:bookmarkStart w:id="78" w:name="_Toc3445"/>
      <w:bookmarkStart w:id="79" w:name="_Toc90807417"/>
      <w:bookmarkStart w:id="80" w:name="_Toc8791"/>
      <w:r>
        <w:rPr>
          <w:rFonts w:hint="eastAsia" w:ascii="宋体" w:hAnsi="宋体" w:eastAsia="宋体" w:cs="宋体"/>
          <w:b/>
          <w:bCs/>
          <w:color w:val="auto"/>
          <w:sz w:val="24"/>
          <w:szCs w:val="24"/>
          <w:highlight w:val="none"/>
          <w:lang w:val="en-US" w:eastAsia="zh-CN"/>
        </w:rPr>
        <w:t>3.具有履行合同所必需的设备和专业技术能力</w:t>
      </w:r>
      <w:bookmarkEnd w:id="77"/>
      <w:bookmarkEnd w:id="78"/>
      <w:bookmarkEnd w:id="79"/>
      <w:bookmarkEnd w:id="80"/>
    </w:p>
    <w:p w14:paraId="1A6998E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承诺函（实质性格式）</w:t>
      </w:r>
    </w:p>
    <w:p w14:paraId="3C1B22DB">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（采购人）   </w:t>
      </w:r>
    </w:p>
    <w:p w14:paraId="047F10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我方已认真阅读了全部</w:t>
      </w:r>
      <w:r>
        <w:rPr>
          <w:rFonts w:hint="eastAsia" w:ascii="宋体" w:hAnsi="宋体" w:eastAsia="宋体" w:cs="宋体"/>
          <w:bCs/>
          <w:color w:val="auto"/>
          <w:sz w:val="24"/>
          <w:highlight w:val="none"/>
          <w:lang w:val="en-US" w:eastAsia="zh-CN"/>
        </w:rPr>
        <w:t>竞争性磋商</w:t>
      </w:r>
      <w:r>
        <w:rPr>
          <w:rFonts w:hint="eastAsia" w:ascii="宋体" w:hAnsi="宋体" w:eastAsia="宋体" w:cs="宋体"/>
          <w:bCs/>
          <w:color w:val="auto"/>
          <w:sz w:val="24"/>
          <w:highlight w:val="none"/>
        </w:rPr>
        <w:t>文件及其他相关文件，完全清楚理解其内容及规约，我方特此承诺：</w:t>
      </w:r>
      <w:r>
        <w:rPr>
          <w:rFonts w:hint="eastAsia" w:ascii="宋体" w:hAnsi="宋体" w:eastAsia="宋体" w:cs="宋体"/>
          <w:b/>
          <w:bCs/>
          <w:color w:val="auto"/>
          <w:sz w:val="24"/>
          <w:highlight w:val="none"/>
          <w:u w:val="single"/>
        </w:rPr>
        <w:t>我方</w:t>
      </w:r>
      <w:r>
        <w:rPr>
          <w:rFonts w:hint="eastAsia" w:ascii="宋体" w:hAnsi="宋体" w:eastAsia="宋体" w:cs="宋体"/>
          <w:b/>
          <w:color w:val="auto"/>
          <w:sz w:val="24"/>
          <w:highlight w:val="none"/>
          <w:u w:val="single"/>
        </w:rPr>
        <w:t>具备履行合同所必须的设备和专业技术能力</w:t>
      </w:r>
      <w:r>
        <w:rPr>
          <w:rFonts w:hint="eastAsia" w:ascii="宋体" w:hAnsi="宋体" w:eastAsia="宋体" w:cs="宋体"/>
          <w:color w:val="auto"/>
          <w:sz w:val="24"/>
          <w:highlight w:val="none"/>
        </w:rPr>
        <w:t>。如有任何虚假和不实，我方自愿放弃</w:t>
      </w:r>
      <w:r>
        <w:rPr>
          <w:rFonts w:hint="eastAsia" w:cs="宋体"/>
          <w:color w:val="auto"/>
          <w:sz w:val="24"/>
          <w:highlight w:val="none"/>
          <w:lang w:val="en-US" w:eastAsia="zh-CN"/>
        </w:rPr>
        <w:t>磋商</w:t>
      </w:r>
      <w:r>
        <w:rPr>
          <w:rFonts w:hint="eastAsia" w:ascii="宋体" w:hAnsi="宋体" w:eastAsia="宋体" w:cs="宋体"/>
          <w:color w:val="auto"/>
          <w:sz w:val="24"/>
          <w:highlight w:val="none"/>
        </w:rPr>
        <w:t>资格并承担一切相关责任。</w:t>
      </w:r>
    </w:p>
    <w:p w14:paraId="5CA820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58EFAF0">
      <w:pPr>
        <w:spacing w:line="360" w:lineRule="auto"/>
        <w:ind w:left="420"/>
        <w:rPr>
          <w:rFonts w:hint="eastAsia" w:ascii="宋体" w:hAnsi="宋体" w:eastAsia="宋体" w:cs="宋体"/>
          <w:color w:val="auto"/>
          <w:sz w:val="24"/>
          <w:highlight w:val="none"/>
        </w:rPr>
      </w:pPr>
    </w:p>
    <w:p w14:paraId="6812B897">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3691204">
      <w:pPr>
        <w:spacing w:line="360" w:lineRule="auto"/>
        <w:ind w:left="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法定代表人（或非法人组织负责人）或其委托代理人：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6CEFFC8">
      <w:pPr>
        <w:spacing w:line="360" w:lineRule="auto"/>
        <w:ind w:left="42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日</w:t>
      </w:r>
    </w:p>
    <w:p w14:paraId="2B7B036D">
      <w:pPr>
        <w:spacing w:line="360" w:lineRule="auto"/>
        <w:rPr>
          <w:rFonts w:hint="eastAsia" w:ascii="宋体" w:hAnsi="宋体" w:eastAsia="宋体" w:cs="宋体"/>
          <w:color w:val="auto"/>
          <w:sz w:val="24"/>
          <w:highlight w:val="none"/>
        </w:rPr>
      </w:pPr>
    </w:p>
    <w:p w14:paraId="476F7B68">
      <w:pPr>
        <w:spacing w:line="360" w:lineRule="auto"/>
        <w:rPr>
          <w:rFonts w:hint="eastAsia" w:ascii="宋体" w:hAnsi="宋体" w:eastAsia="宋体" w:cs="宋体"/>
          <w:b/>
          <w:bCs/>
          <w:color w:val="auto"/>
          <w:sz w:val="24"/>
          <w:highlight w:val="none"/>
        </w:rPr>
      </w:pPr>
    </w:p>
    <w:p w14:paraId="17693153">
      <w:pPr>
        <w:spacing w:line="360" w:lineRule="auto"/>
        <w:ind w:left="420"/>
        <w:rPr>
          <w:rFonts w:hint="eastAsia" w:ascii="宋体" w:hAnsi="宋体" w:eastAsia="宋体" w:cs="宋体"/>
          <w:color w:val="auto"/>
          <w:sz w:val="24"/>
          <w:highlight w:val="none"/>
        </w:rPr>
      </w:pPr>
    </w:p>
    <w:p w14:paraId="269262AB">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Cs/>
          <w:color w:val="auto"/>
          <w:sz w:val="24"/>
          <w:highlight w:val="none"/>
        </w:rPr>
        <w:br w:type="page"/>
      </w:r>
      <w:bookmarkStart w:id="81" w:name="_Toc12258"/>
      <w:bookmarkStart w:id="82" w:name="_Toc2431"/>
      <w:bookmarkStart w:id="83" w:name="_Toc90807418"/>
      <w:bookmarkStart w:id="84" w:name="_Toc30673"/>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有依法缴纳税收和社会保障资金的良好记录</w:t>
      </w:r>
      <w:bookmarkEnd w:id="81"/>
      <w:bookmarkEnd w:id="82"/>
      <w:bookmarkEnd w:id="83"/>
      <w:bookmarkEnd w:id="84"/>
    </w:p>
    <w:p w14:paraId="70B182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1</w:t>
      </w:r>
      <w:r>
        <w:rPr>
          <w:rFonts w:hint="eastAsia" w:cs="宋体"/>
          <w:color w:val="auto"/>
          <w:sz w:val="24"/>
          <w:highlight w:val="none"/>
          <w:lang w:eastAsia="zh-CN"/>
        </w:rPr>
        <w:t>）</w:t>
      </w:r>
      <w:r>
        <w:rPr>
          <w:rFonts w:hint="eastAsia" w:ascii="宋体" w:hAnsi="宋体" w:eastAsia="宋体" w:cs="宋体"/>
          <w:color w:val="auto"/>
          <w:sz w:val="24"/>
          <w:highlight w:val="none"/>
        </w:rPr>
        <w:t>提供自公司成立以来至今任意一个月缴纳税收证明文件（银行出具的缴税凭证或税务机关出具的证明）或免税证明</w:t>
      </w:r>
      <w:r>
        <w:rPr>
          <w:rFonts w:hint="eastAsia" w:cs="宋体"/>
          <w:color w:val="auto"/>
          <w:sz w:val="24"/>
          <w:highlight w:val="none"/>
          <w:lang w:val="en-US" w:eastAsia="zh-CN"/>
        </w:rPr>
        <w:t>扫描件</w:t>
      </w:r>
      <w:r>
        <w:rPr>
          <w:rFonts w:hint="eastAsia" w:ascii="宋体" w:hAnsi="宋体" w:eastAsia="宋体" w:cs="宋体"/>
          <w:color w:val="auto"/>
          <w:sz w:val="24"/>
          <w:highlight w:val="none"/>
        </w:rPr>
        <w:t>，或供应商自行出具的有依法缴纳税收的承诺函</w:t>
      </w:r>
      <w:r>
        <w:rPr>
          <w:rFonts w:hint="eastAsia" w:cs="宋体"/>
          <w:color w:val="auto"/>
          <w:sz w:val="24"/>
          <w:highlight w:val="none"/>
          <w:lang w:val="en-US" w:eastAsia="zh-CN"/>
        </w:rPr>
        <w:t>电子件（格式自拟）</w:t>
      </w:r>
      <w:r>
        <w:rPr>
          <w:rFonts w:hint="eastAsia" w:ascii="宋体" w:hAnsi="宋体" w:eastAsia="宋体" w:cs="宋体"/>
          <w:color w:val="auto"/>
          <w:sz w:val="24"/>
          <w:highlight w:val="none"/>
        </w:rPr>
        <w:t>。</w:t>
      </w:r>
    </w:p>
    <w:p w14:paraId="24F727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2</w:t>
      </w:r>
      <w:r>
        <w:rPr>
          <w:rFonts w:hint="eastAsia" w:cs="宋体"/>
          <w:color w:val="auto"/>
          <w:sz w:val="24"/>
          <w:highlight w:val="none"/>
          <w:lang w:eastAsia="zh-CN"/>
        </w:rPr>
        <w:t>）</w:t>
      </w:r>
      <w:r>
        <w:rPr>
          <w:rFonts w:hint="eastAsia" w:ascii="宋体" w:hAnsi="宋体" w:eastAsia="宋体" w:cs="宋体"/>
          <w:color w:val="auto"/>
          <w:sz w:val="24"/>
          <w:highlight w:val="none"/>
        </w:rPr>
        <w:t>提供自公司成立以来至今任意一个月的社会保障资金缴纳记录（其中基本养老保险、基本医疗保险（含生育保险）、工伤保险、失业保险均须依法缴纳）或免缴纳证明</w:t>
      </w:r>
      <w:r>
        <w:rPr>
          <w:rFonts w:hint="eastAsia" w:cs="宋体"/>
          <w:color w:val="auto"/>
          <w:sz w:val="24"/>
          <w:highlight w:val="none"/>
          <w:lang w:val="en-US" w:eastAsia="zh-CN"/>
        </w:rPr>
        <w:t>扫描件</w:t>
      </w:r>
      <w:r>
        <w:rPr>
          <w:rFonts w:hint="eastAsia" w:ascii="宋体" w:hAnsi="宋体" w:eastAsia="宋体" w:cs="宋体"/>
          <w:color w:val="auto"/>
          <w:sz w:val="24"/>
          <w:highlight w:val="none"/>
        </w:rPr>
        <w:t>，或供应商自行出具的有依法缴纳社会保障资金的良好记录的承诺函</w:t>
      </w:r>
      <w:r>
        <w:rPr>
          <w:rFonts w:hint="eastAsia" w:cs="宋体"/>
          <w:color w:val="auto"/>
          <w:sz w:val="24"/>
          <w:highlight w:val="none"/>
          <w:lang w:val="en-US" w:eastAsia="zh-CN"/>
        </w:rPr>
        <w:t>电子件（格式自拟）</w:t>
      </w:r>
      <w:r>
        <w:rPr>
          <w:rFonts w:hint="eastAsia" w:ascii="宋体" w:hAnsi="宋体" w:eastAsia="宋体" w:cs="宋体"/>
          <w:color w:val="auto"/>
          <w:sz w:val="24"/>
          <w:highlight w:val="none"/>
        </w:rPr>
        <w:t>。</w:t>
      </w:r>
    </w:p>
    <w:p w14:paraId="0BE944D5">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bookmarkStart w:id="85" w:name="_Toc25023"/>
      <w:bookmarkStart w:id="86" w:name="_Toc22702"/>
      <w:bookmarkStart w:id="87" w:name="_Toc19785"/>
      <w:bookmarkStart w:id="88" w:name="_Toc90807419"/>
      <w:r>
        <w:rPr>
          <w:rFonts w:hint="eastAsia" w:ascii="宋体" w:hAnsi="宋体" w:eastAsia="宋体" w:cs="宋体"/>
          <w:b/>
          <w:bCs/>
          <w:color w:val="auto"/>
          <w:sz w:val="24"/>
          <w:szCs w:val="24"/>
          <w:highlight w:val="none"/>
          <w:lang w:val="en-US" w:eastAsia="zh-CN"/>
        </w:rPr>
        <w:t>5.参加本次采购活动前三年内，在经营活动中没有重大违法记录</w:t>
      </w:r>
      <w:bookmarkEnd w:id="85"/>
      <w:bookmarkEnd w:id="86"/>
      <w:bookmarkEnd w:id="87"/>
      <w:bookmarkEnd w:id="88"/>
    </w:p>
    <w:p w14:paraId="4CF15029">
      <w:pPr>
        <w:widowControl/>
        <w:spacing w:line="360" w:lineRule="auto"/>
        <w:ind w:left="42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书面声明（实质性格式）</w:t>
      </w:r>
    </w:p>
    <w:p w14:paraId="05D917DE">
      <w:pPr>
        <w:widowControl/>
        <w:spacing w:line="360" w:lineRule="auto"/>
        <w:ind w:left="4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致：</w:t>
      </w:r>
      <w:r>
        <w:rPr>
          <w:rFonts w:hint="eastAsia" w:ascii="宋体" w:hAnsi="宋体" w:eastAsia="宋体" w:cs="宋体"/>
          <w:b/>
          <w:color w:val="auto"/>
          <w:sz w:val="24"/>
          <w:highlight w:val="none"/>
          <w:u w:val="single"/>
        </w:rPr>
        <w:t xml:space="preserve"> （采购人）</w:t>
      </w:r>
    </w:p>
    <w:p w14:paraId="7337DEA4">
      <w:pPr>
        <w:widowControl/>
        <w:spacing w:line="360" w:lineRule="auto"/>
        <w:ind w:lef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在本项目递交</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文件截止时间前，我单位参加本次采购活动前3年内在经营活动中没有因违法经营受到刑事处罚或者责令停产停业、吊销许可证或者执照、较大数额罚款等行政处罚的重大违法记录。</w:t>
      </w:r>
    </w:p>
    <w:p w14:paraId="79E44AF2">
      <w:pPr>
        <w:widowControl/>
        <w:spacing w:line="360" w:lineRule="auto"/>
        <w:ind w:lef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如发现我单位提供的声明函不实时，我单位将按照《中华人民共和国政府采购法》有关提供虚假材料的规定，接受处罚。</w:t>
      </w:r>
    </w:p>
    <w:p w14:paraId="4005DBBD">
      <w:pPr>
        <w:spacing w:line="360" w:lineRule="auto"/>
        <w:ind w:left="420"/>
        <w:rPr>
          <w:rFonts w:hint="eastAsia" w:ascii="宋体" w:hAnsi="宋体" w:eastAsia="宋体" w:cs="宋体"/>
          <w:color w:val="auto"/>
          <w:sz w:val="24"/>
          <w:highlight w:val="none"/>
        </w:rPr>
      </w:pPr>
    </w:p>
    <w:p w14:paraId="4B824A7F">
      <w:pPr>
        <w:spacing w:line="360" w:lineRule="auto"/>
        <w:ind w:left="420"/>
        <w:rPr>
          <w:rFonts w:hint="eastAsia" w:ascii="宋体" w:hAnsi="宋体" w:eastAsia="宋体" w:cs="宋体"/>
          <w:color w:val="auto"/>
          <w:sz w:val="24"/>
          <w:highlight w:val="none"/>
        </w:rPr>
      </w:pPr>
    </w:p>
    <w:p w14:paraId="0B372903">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69439D8B">
      <w:pPr>
        <w:spacing w:line="360" w:lineRule="auto"/>
        <w:ind w:left="420"/>
        <w:rPr>
          <w:rFonts w:hint="eastAsia" w:ascii="宋体" w:hAnsi="宋体" w:eastAsia="宋体" w:cs="宋体"/>
          <w:sz w:val="24"/>
          <w:highlight w:val="none"/>
          <w:u w:val="single"/>
        </w:rPr>
      </w:pPr>
      <w:r>
        <w:rPr>
          <w:rFonts w:hint="eastAsia" w:ascii="宋体" w:hAnsi="宋体" w:eastAsia="宋体" w:cs="宋体"/>
          <w:sz w:val="24"/>
          <w:highlight w:val="none"/>
        </w:rPr>
        <w:t>法定代表人（或非法人组织负责人）或其委托代理人：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1029D8A9">
      <w:pPr>
        <w:spacing w:line="360" w:lineRule="auto"/>
        <w:ind w:left="420"/>
        <w:rPr>
          <w:rFonts w:hint="eastAsia" w:ascii="宋体" w:hAnsi="宋体" w:eastAsia="宋体" w:cs="宋体"/>
          <w:sz w:val="24"/>
          <w:highlight w:val="none"/>
          <w:u w:val="single"/>
        </w:rPr>
      </w:pPr>
      <w:r>
        <w:rPr>
          <w:rFonts w:hint="eastAsia" w:ascii="宋体" w:hAnsi="宋体" w:eastAsia="宋体" w:cs="宋体"/>
          <w:bCs/>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日</w:t>
      </w:r>
    </w:p>
    <w:p w14:paraId="4C92F7B7">
      <w:pPr>
        <w:pStyle w:val="20"/>
        <w:spacing w:before="120" w:after="120" w:line="360" w:lineRule="auto"/>
        <w:jc w:val="center"/>
        <w:outlineLvl w:val="9"/>
        <w:rPr>
          <w:rFonts w:hint="eastAsia" w:ascii="宋体" w:hAnsi="宋体" w:eastAsia="宋体" w:cs="宋体"/>
          <w:sz w:val="24"/>
          <w:highlight w:val="none"/>
        </w:rPr>
        <w:sectPr>
          <w:pgSz w:w="11907" w:h="16840"/>
          <w:pgMar w:top="1417" w:right="1134" w:bottom="1417" w:left="1134" w:header="850" w:footer="850" w:gutter="0"/>
          <w:pgNumType w:fmt="decimal"/>
          <w:cols w:space="720" w:num="1"/>
          <w:docGrid w:linePitch="312" w:charSpace="0"/>
        </w:sectPr>
      </w:pPr>
      <w:r>
        <w:rPr>
          <w:rFonts w:hint="eastAsia" w:ascii="宋体" w:hAnsi="宋体" w:eastAsia="宋体" w:cs="宋体"/>
          <w:sz w:val="24"/>
          <w:highlight w:val="none"/>
        </w:rPr>
        <w:br w:type="page"/>
      </w:r>
    </w:p>
    <w:p w14:paraId="34C0CD46">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宋体" w:hAnsi="宋体" w:eastAsia="宋体" w:cs="宋体"/>
          <w:b/>
          <w:bCs w:val="0"/>
          <w:kern w:val="0"/>
          <w:szCs w:val="28"/>
          <w:highlight w:val="none"/>
          <w:lang w:eastAsia="zh-CN"/>
        </w:rPr>
      </w:pPr>
      <w:bookmarkStart w:id="89" w:name="_Toc23384"/>
      <w:bookmarkStart w:id="90" w:name="_Toc24631"/>
      <w:bookmarkStart w:id="91" w:name="_Toc9474"/>
      <w:r>
        <w:rPr>
          <w:rFonts w:hint="eastAsia" w:ascii="宋体" w:hAnsi="宋体" w:eastAsia="宋体" w:cs="宋体"/>
          <w:b/>
          <w:bCs w:val="0"/>
          <w:kern w:val="0"/>
          <w:szCs w:val="28"/>
          <w:highlight w:val="none"/>
          <w:lang w:eastAsia="zh-CN"/>
        </w:rPr>
        <w:t>（</w:t>
      </w:r>
      <w:r>
        <w:rPr>
          <w:rFonts w:hint="eastAsia" w:ascii="宋体" w:hAnsi="宋体" w:eastAsia="宋体" w:cs="宋体"/>
          <w:b/>
          <w:bCs w:val="0"/>
          <w:kern w:val="0"/>
          <w:szCs w:val="28"/>
          <w:highlight w:val="none"/>
          <w:lang w:val="en-US" w:eastAsia="zh-CN"/>
        </w:rPr>
        <w:t>二</w:t>
      </w:r>
      <w:r>
        <w:rPr>
          <w:rFonts w:hint="eastAsia" w:ascii="宋体" w:hAnsi="宋体" w:eastAsia="宋体" w:cs="宋体"/>
          <w:b/>
          <w:bCs w:val="0"/>
          <w:kern w:val="0"/>
          <w:szCs w:val="28"/>
          <w:highlight w:val="none"/>
          <w:lang w:eastAsia="zh-CN"/>
        </w:rPr>
        <w:t>）</w:t>
      </w:r>
      <w:bookmarkEnd w:id="89"/>
      <w:bookmarkEnd w:id="90"/>
      <w:bookmarkEnd w:id="91"/>
      <w:r>
        <w:rPr>
          <w:rFonts w:hint="eastAsia" w:ascii="宋体" w:hAnsi="宋体" w:eastAsia="宋体" w:cs="宋体"/>
          <w:b/>
          <w:bCs w:val="0"/>
          <w:kern w:val="0"/>
          <w:szCs w:val="28"/>
          <w:highlight w:val="none"/>
          <w:lang w:eastAsia="zh-CN"/>
        </w:rPr>
        <w:t>本项目的特定资格要求</w:t>
      </w:r>
    </w:p>
    <w:p w14:paraId="4141CE77">
      <w:pPr>
        <w:pStyle w:val="20"/>
        <w:keepLines w:val="0"/>
        <w:pageBreakBefore w:val="0"/>
        <w:numPr>
          <w:ilvl w:val="0"/>
          <w:numId w:val="0"/>
        </w:numPr>
        <w:kinsoku/>
        <w:wordWrap/>
        <w:topLinePunct w:val="0"/>
        <w:bidi w:val="0"/>
        <w:snapToGrid/>
        <w:spacing w:before="120" w:after="120" w:line="360" w:lineRule="auto"/>
        <w:ind w:left="0" w:leftChars="0" w:firstLine="482" w:firstLineChars="200"/>
        <w:jc w:val="center"/>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1.承诺函</w:t>
      </w:r>
    </w:p>
    <w:p w14:paraId="264082A1">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lang w:eastAsia="zh-CN"/>
        </w:rPr>
        <w:t>（</w:t>
      </w:r>
      <w:r>
        <w:rPr>
          <w:rFonts w:hint="eastAsia" w:ascii="宋体" w:hAnsi="宋体" w:eastAsia="宋体" w:cs="宋体"/>
          <w:b/>
          <w:sz w:val="24"/>
          <w:szCs w:val="24"/>
          <w:highlight w:val="none"/>
          <w:u w:val="single"/>
          <w:lang w:val="en-US" w:eastAsia="zh-CN"/>
        </w:rPr>
        <w:t>采购人</w:t>
      </w:r>
      <w:r>
        <w:rPr>
          <w:rFonts w:hint="eastAsia" w:ascii="宋体" w:hAnsi="宋体" w:eastAsia="宋体" w:cs="宋体"/>
          <w:b/>
          <w:sz w:val="24"/>
          <w:szCs w:val="24"/>
          <w:highlight w:val="none"/>
          <w:u w:val="single"/>
          <w:lang w:eastAsia="zh-CN"/>
        </w:rPr>
        <w:t>）</w:t>
      </w:r>
      <w:r>
        <w:rPr>
          <w:rFonts w:hint="eastAsia" w:ascii="宋体" w:hAnsi="宋体" w:eastAsia="宋体" w:cs="宋体"/>
          <w:b/>
          <w:sz w:val="24"/>
          <w:szCs w:val="24"/>
          <w:highlight w:val="none"/>
          <w:u w:val="single"/>
          <w:lang w:val="en-US" w:eastAsia="zh-CN"/>
        </w:rPr>
        <w:t xml:space="preserve">   </w:t>
      </w:r>
    </w:p>
    <w:p w14:paraId="3735C70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rPr>
        <w:t>我方</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rPr>
        <w:t xml:space="preserve">不属于 </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lang w:val="en-US" w:eastAsia="zh-CN"/>
        </w:rPr>
        <w:t xml:space="preserve">属于 </w:t>
      </w:r>
      <w:r>
        <w:rPr>
          <w:rFonts w:hint="eastAsia" w:ascii="宋体" w:hAnsi="宋体" w:eastAsia="宋体" w:cs="宋体"/>
          <w:b w:val="0"/>
          <w:bCs/>
          <w:sz w:val="24"/>
          <w:szCs w:val="24"/>
          <w:highlight w:val="none"/>
          <w:lang w:val="en-US" w:eastAsia="zh-CN"/>
        </w:rPr>
        <w:t>（请供应商勾选）</w:t>
      </w:r>
      <w:r>
        <w:rPr>
          <w:rFonts w:hint="eastAsia" w:ascii="宋体" w:hAnsi="宋体" w:eastAsia="宋体" w:cs="宋体"/>
          <w:sz w:val="24"/>
          <w:szCs w:val="24"/>
          <w:highlight w:val="none"/>
          <w:lang w:val="en-US" w:eastAsia="zh-CN"/>
        </w:rPr>
        <w:t>与采购人存在利害关系可能影响采购公正性的法人、其他组织或者个人参加磋商的情形。</w:t>
      </w:r>
    </w:p>
    <w:p w14:paraId="1D4BC73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u w:val="single"/>
          <w:lang w:val="en-US" w:eastAsia="zh-CN"/>
        </w:rPr>
        <w:t>我方</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rPr>
        <w:t xml:space="preserve">不属于 </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lang w:val="en-US" w:eastAsia="zh-CN"/>
        </w:rPr>
        <w:t>属于</w:t>
      </w:r>
      <w:r>
        <w:rPr>
          <w:rFonts w:hint="eastAsia" w:ascii="宋体" w:hAnsi="宋体" w:eastAsia="宋体" w:cs="宋体"/>
          <w:b w:val="0"/>
          <w:bCs/>
          <w:sz w:val="24"/>
          <w:szCs w:val="24"/>
          <w:highlight w:val="none"/>
          <w:lang w:val="en-US" w:eastAsia="zh-CN"/>
        </w:rPr>
        <w:t>（请供应商勾选）</w:t>
      </w:r>
      <w:r>
        <w:rPr>
          <w:rFonts w:hint="eastAsia" w:ascii="宋体" w:hAnsi="宋体" w:eastAsia="宋体" w:cs="宋体"/>
          <w:b w:val="0"/>
          <w:bCs/>
          <w:sz w:val="24"/>
          <w:szCs w:val="24"/>
          <w:highlight w:val="none"/>
        </w:rPr>
        <w:t>单位负责人为同一人或者</w:t>
      </w:r>
      <w:r>
        <w:rPr>
          <w:rFonts w:hint="eastAsia" w:ascii="宋体" w:hAnsi="宋体" w:eastAsia="宋体" w:cs="宋体"/>
          <w:b w:val="0"/>
          <w:bCs/>
          <w:sz w:val="24"/>
          <w:szCs w:val="24"/>
          <w:highlight w:val="none"/>
          <w:lang w:eastAsia="zh-CN"/>
        </w:rPr>
        <w:t>存在直接控股</w:t>
      </w:r>
      <w:r>
        <w:rPr>
          <w:rFonts w:hint="eastAsia" w:ascii="宋体" w:hAnsi="宋体" w:eastAsia="宋体" w:cs="宋体"/>
          <w:b w:val="0"/>
          <w:bCs/>
          <w:sz w:val="24"/>
          <w:szCs w:val="24"/>
          <w:highlight w:val="none"/>
        </w:rPr>
        <w:t>、管理关系的不同单位同时参加本项目的</w:t>
      </w:r>
      <w:r>
        <w:rPr>
          <w:rFonts w:hint="eastAsia" w:ascii="宋体" w:hAnsi="宋体" w:eastAsia="宋体" w:cs="宋体"/>
          <w:b w:val="0"/>
          <w:bCs/>
          <w:sz w:val="24"/>
          <w:szCs w:val="24"/>
          <w:highlight w:val="none"/>
          <w:lang w:val="en-US" w:eastAsia="zh-CN"/>
        </w:rPr>
        <w:t>磋商</w:t>
      </w:r>
      <w:r>
        <w:rPr>
          <w:rFonts w:hint="eastAsia" w:ascii="宋体" w:hAnsi="宋体" w:eastAsia="宋体" w:cs="宋体"/>
          <w:b w:val="0"/>
          <w:bCs/>
          <w:sz w:val="24"/>
          <w:szCs w:val="24"/>
          <w:highlight w:val="none"/>
        </w:rPr>
        <w:t>的情形。</w:t>
      </w:r>
    </w:p>
    <w:p w14:paraId="687E8F2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我方</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rPr>
        <w:t xml:space="preserve">不属于 </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lang w:val="en-US" w:eastAsia="zh-CN"/>
        </w:rPr>
        <w:t xml:space="preserve">属于 </w:t>
      </w:r>
      <w:r>
        <w:rPr>
          <w:rFonts w:hint="eastAsia" w:ascii="宋体" w:hAnsi="宋体" w:eastAsia="宋体" w:cs="宋体"/>
          <w:b w:val="0"/>
          <w:bCs/>
          <w:sz w:val="24"/>
          <w:szCs w:val="24"/>
          <w:highlight w:val="none"/>
          <w:lang w:val="en-US" w:eastAsia="zh-CN"/>
        </w:rPr>
        <w:t>（请供应商勾选）</w:t>
      </w:r>
      <w:r>
        <w:rPr>
          <w:rFonts w:hint="eastAsia" w:ascii="宋体" w:hAnsi="宋体" w:eastAsia="宋体" w:cs="宋体"/>
          <w:b w:val="0"/>
          <w:bCs/>
          <w:sz w:val="24"/>
          <w:szCs w:val="24"/>
          <w:highlight w:val="none"/>
        </w:rPr>
        <w:t>为本项目提供整体设计、规范编制或者项目管理、监理、检测等服务的</w:t>
      </w:r>
      <w:r>
        <w:rPr>
          <w:rFonts w:hint="eastAsia" w:ascii="宋体" w:hAnsi="宋体" w:eastAsia="宋体" w:cs="宋体"/>
          <w:b w:val="0"/>
          <w:bCs/>
          <w:sz w:val="24"/>
          <w:szCs w:val="24"/>
          <w:highlight w:val="none"/>
          <w:lang w:val="en-US" w:eastAsia="zh-CN"/>
        </w:rPr>
        <w:t>供应商</w:t>
      </w:r>
      <w:r>
        <w:rPr>
          <w:rFonts w:hint="eastAsia" w:ascii="宋体" w:hAnsi="宋体" w:eastAsia="宋体" w:cs="宋体"/>
          <w:b w:val="0"/>
          <w:bCs/>
          <w:sz w:val="24"/>
          <w:szCs w:val="24"/>
          <w:highlight w:val="none"/>
        </w:rPr>
        <w:t>。</w:t>
      </w:r>
    </w:p>
    <w:p w14:paraId="7001F182">
      <w:pPr>
        <w:keepLines w:val="0"/>
        <w:pageBreakBefore w:val="0"/>
        <w:kinsoku/>
        <w:wordWrap/>
        <w:topLinePunct w:val="0"/>
        <w:bidi w:val="0"/>
        <w:snapToGrid/>
        <w:spacing w:line="360" w:lineRule="auto"/>
        <w:ind w:firstLine="480" w:firstLineChars="200"/>
        <w:rPr>
          <w:rFonts w:hint="eastAsia" w:ascii="宋体" w:hAnsi="宋体" w:eastAsia="宋体" w:cs="宋体"/>
          <w:b w:val="0"/>
          <w:sz w:val="24"/>
          <w:szCs w:val="24"/>
          <w:highlight w:val="none"/>
        </w:rPr>
      </w:pPr>
    </w:p>
    <w:p w14:paraId="117E5D56">
      <w:pPr>
        <w:keepNext w:val="0"/>
        <w:keepLines w:val="0"/>
        <w:pageBreakBefore w:val="0"/>
        <w:widowControl w:val="0"/>
        <w:kinsoku/>
        <w:wordWrap/>
        <w:overflowPunct/>
        <w:topLinePunct w:val="0"/>
        <w:autoSpaceDE w:val="0"/>
        <w:autoSpaceDN w:val="0"/>
        <w:bidi w:val="0"/>
        <w:adjustRightInd/>
        <w:snapToGrid/>
        <w:spacing w:line="360" w:lineRule="auto"/>
        <w:ind w:left="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电子签章</w:t>
      </w:r>
      <w:r>
        <w:rPr>
          <w:rFonts w:hint="eastAsia" w:ascii="宋体" w:hAnsi="宋体" w:eastAsia="宋体" w:cs="宋体"/>
          <w:sz w:val="24"/>
          <w:szCs w:val="24"/>
          <w:highlight w:val="none"/>
        </w:rPr>
        <w:t>）</w:t>
      </w:r>
    </w:p>
    <w:p w14:paraId="5A746D5C">
      <w:pPr>
        <w:keepNext w:val="0"/>
        <w:keepLines w:val="0"/>
        <w:pageBreakBefore w:val="0"/>
        <w:widowControl w:val="0"/>
        <w:kinsoku/>
        <w:wordWrap/>
        <w:overflowPunct/>
        <w:topLinePunct w:val="0"/>
        <w:autoSpaceDE w:val="0"/>
        <w:autoSpaceDN w:val="0"/>
        <w:bidi w:val="0"/>
        <w:adjustRightInd/>
        <w:snapToGrid/>
        <w:spacing w:line="360" w:lineRule="auto"/>
        <w:ind w:left="42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法定代表人（或非法人组织负责人）或其委托代理人：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电子签章</w:t>
      </w:r>
      <w:r>
        <w:rPr>
          <w:rFonts w:hint="eastAsia" w:ascii="宋体" w:hAnsi="宋体" w:eastAsia="宋体" w:cs="宋体"/>
          <w:sz w:val="24"/>
          <w:szCs w:val="24"/>
          <w:highlight w:val="none"/>
        </w:rPr>
        <w:t>）</w:t>
      </w:r>
    </w:p>
    <w:p w14:paraId="1C31D03D">
      <w:pPr>
        <w:keepNext w:val="0"/>
        <w:keepLines w:val="0"/>
        <w:pageBreakBefore w:val="0"/>
        <w:widowControl w:val="0"/>
        <w:kinsoku/>
        <w:wordWrap/>
        <w:overflowPunct/>
        <w:topLinePunct w:val="0"/>
        <w:autoSpaceDE w:val="0"/>
        <w:autoSpaceDN w:val="0"/>
        <w:bidi w:val="0"/>
        <w:adjustRightInd/>
        <w:snapToGrid/>
        <w:spacing w:line="360" w:lineRule="auto"/>
        <w:ind w:left="42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日</w:t>
      </w:r>
    </w:p>
    <w:p w14:paraId="5DDC43A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p>
    <w:p w14:paraId="13240E2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p>
    <w:p w14:paraId="4F021BD4">
      <w:pPr>
        <w:pStyle w:val="20"/>
        <w:keepLines w:val="0"/>
        <w:pageBreakBefore w:val="0"/>
        <w:numPr>
          <w:ilvl w:val="0"/>
          <w:numId w:val="0"/>
        </w:numPr>
        <w:kinsoku/>
        <w:wordWrap/>
        <w:topLinePunct w:val="0"/>
        <w:bidi w:val="0"/>
        <w:snapToGrid/>
        <w:spacing w:before="120" w:after="120" w:line="360" w:lineRule="auto"/>
        <w:ind w:left="0" w:leftChars="0" w:firstLine="482" w:firstLineChars="200"/>
        <w:jc w:val="center"/>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非联合体</w:t>
      </w:r>
      <w:r>
        <w:rPr>
          <w:rFonts w:hint="eastAsia" w:ascii="宋体" w:hAnsi="宋体" w:eastAsia="宋体" w:cs="宋体"/>
          <w:b/>
          <w:bCs/>
          <w:sz w:val="24"/>
          <w:szCs w:val="24"/>
          <w:highlight w:val="none"/>
          <w:lang w:val="en-US" w:eastAsia="zh-CN"/>
        </w:rPr>
        <w:t>参与磋商</w:t>
      </w:r>
      <w:r>
        <w:rPr>
          <w:rFonts w:hint="eastAsia" w:ascii="宋体" w:hAnsi="宋体" w:eastAsia="宋体" w:cs="宋体"/>
          <w:b/>
          <w:bCs/>
          <w:sz w:val="24"/>
          <w:szCs w:val="24"/>
          <w:highlight w:val="none"/>
        </w:rPr>
        <w:t>声明</w:t>
      </w:r>
    </w:p>
    <w:p w14:paraId="35563E06">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lang w:eastAsia="zh-CN"/>
        </w:rPr>
        <w:t>（</w:t>
      </w:r>
      <w:r>
        <w:rPr>
          <w:rFonts w:hint="eastAsia" w:ascii="宋体" w:hAnsi="宋体" w:eastAsia="宋体" w:cs="宋体"/>
          <w:b/>
          <w:sz w:val="24"/>
          <w:szCs w:val="24"/>
          <w:highlight w:val="none"/>
          <w:u w:val="single"/>
          <w:lang w:val="en-US" w:eastAsia="zh-CN"/>
        </w:rPr>
        <w:t>采购人</w:t>
      </w:r>
      <w:r>
        <w:rPr>
          <w:rFonts w:hint="eastAsia" w:ascii="宋体" w:hAnsi="宋体" w:eastAsia="宋体" w:cs="宋体"/>
          <w:b/>
          <w:sz w:val="24"/>
          <w:szCs w:val="24"/>
          <w:highlight w:val="none"/>
          <w:u w:val="single"/>
          <w:lang w:eastAsia="zh-CN"/>
        </w:rPr>
        <w:t>）</w:t>
      </w:r>
      <w:r>
        <w:rPr>
          <w:rFonts w:hint="eastAsia" w:ascii="宋体" w:hAnsi="宋体" w:eastAsia="宋体" w:cs="宋体"/>
          <w:b/>
          <w:sz w:val="24"/>
          <w:szCs w:val="24"/>
          <w:highlight w:val="none"/>
          <w:u w:val="single"/>
          <w:lang w:val="en-US" w:eastAsia="zh-CN"/>
        </w:rPr>
        <w:t xml:space="preserve">   </w:t>
      </w:r>
    </w:p>
    <w:p w14:paraId="73298EA3">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我方</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rPr>
        <w:t xml:space="preserve">不属于 </w:t>
      </w:r>
      <w:r>
        <w:rPr>
          <w:rFonts w:hint="eastAsia" w:ascii="宋体" w:hAnsi="宋体" w:eastAsia="宋体" w:cs="宋体"/>
          <w:b w:val="0"/>
          <w:bCs/>
          <w:sz w:val="24"/>
          <w:szCs w:val="24"/>
          <w:highlight w:val="none"/>
          <w:u w:val="single"/>
          <w:lang w:eastAsia="zh-CN"/>
        </w:rPr>
        <w:t>（）</w:t>
      </w:r>
      <w:r>
        <w:rPr>
          <w:rFonts w:hint="eastAsia" w:ascii="宋体" w:hAnsi="宋体" w:eastAsia="宋体" w:cs="宋体"/>
          <w:b w:val="0"/>
          <w:bCs/>
          <w:sz w:val="24"/>
          <w:szCs w:val="24"/>
          <w:highlight w:val="none"/>
          <w:u w:val="single"/>
          <w:lang w:val="en-US" w:eastAsia="zh-CN"/>
        </w:rPr>
        <w:t xml:space="preserve">属于 </w:t>
      </w:r>
      <w:r>
        <w:rPr>
          <w:rFonts w:hint="eastAsia" w:ascii="宋体" w:hAnsi="宋体" w:eastAsia="宋体" w:cs="宋体"/>
          <w:b w:val="0"/>
          <w:bCs/>
          <w:sz w:val="24"/>
          <w:szCs w:val="24"/>
          <w:highlight w:val="none"/>
          <w:lang w:val="en-US" w:eastAsia="zh-CN"/>
        </w:rPr>
        <w:t>（请供应商勾选）联合体参与磋商</w:t>
      </w:r>
      <w:r>
        <w:rPr>
          <w:rFonts w:hint="eastAsia" w:ascii="宋体" w:hAnsi="宋体" w:eastAsia="宋体" w:cs="宋体"/>
          <w:b w:val="0"/>
          <w:bCs/>
          <w:sz w:val="24"/>
          <w:szCs w:val="24"/>
          <w:highlight w:val="none"/>
        </w:rPr>
        <w:t>。</w:t>
      </w:r>
    </w:p>
    <w:p w14:paraId="5BD91B25">
      <w:pPr>
        <w:pStyle w:val="47"/>
        <w:keepLines w:val="0"/>
        <w:pageBreakBefore w:val="0"/>
        <w:tabs>
          <w:tab w:val="left" w:pos="0"/>
          <w:tab w:val="clear" w:pos="1843"/>
        </w:tabs>
        <w:kinsoku/>
        <w:wordWrap/>
        <w:topLinePunct w:val="0"/>
        <w:autoSpaceDE w:val="0"/>
        <w:autoSpaceDN w:val="0"/>
        <w:bidi w:val="0"/>
        <w:adjustRightInd/>
        <w:snapToGrid/>
        <w:spacing w:before="0" w:after="0" w:line="360" w:lineRule="auto"/>
        <w:ind w:left="0" w:right="0" w:rightChars="0" w:firstLine="480" w:firstLineChars="200"/>
        <w:jc w:val="left"/>
        <w:textAlignment w:val="bottom"/>
        <w:rPr>
          <w:rFonts w:hint="eastAsia" w:ascii="宋体" w:hAnsi="宋体" w:eastAsia="宋体" w:cs="宋体"/>
          <w:b w:val="0"/>
          <w:sz w:val="24"/>
          <w:szCs w:val="24"/>
          <w:highlight w:val="none"/>
        </w:rPr>
      </w:pPr>
    </w:p>
    <w:p w14:paraId="4EA90F9C">
      <w:pPr>
        <w:keepNext w:val="0"/>
        <w:keepLines w:val="0"/>
        <w:pageBreakBefore w:val="0"/>
        <w:widowControl w:val="0"/>
        <w:kinsoku/>
        <w:wordWrap/>
        <w:overflowPunct/>
        <w:topLinePunct w:val="0"/>
        <w:autoSpaceDE w:val="0"/>
        <w:autoSpaceDN w:val="0"/>
        <w:bidi w:val="0"/>
        <w:adjustRightInd/>
        <w:snapToGrid/>
        <w:spacing w:line="360" w:lineRule="auto"/>
        <w:ind w:left="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电子签章</w:t>
      </w:r>
      <w:r>
        <w:rPr>
          <w:rFonts w:hint="eastAsia" w:ascii="宋体" w:hAnsi="宋体" w:eastAsia="宋体" w:cs="宋体"/>
          <w:sz w:val="24"/>
          <w:szCs w:val="24"/>
          <w:highlight w:val="none"/>
        </w:rPr>
        <w:t>）</w:t>
      </w:r>
    </w:p>
    <w:p w14:paraId="511DA4E3">
      <w:pPr>
        <w:keepNext w:val="0"/>
        <w:keepLines w:val="0"/>
        <w:pageBreakBefore w:val="0"/>
        <w:widowControl w:val="0"/>
        <w:kinsoku/>
        <w:wordWrap/>
        <w:overflowPunct/>
        <w:topLinePunct w:val="0"/>
        <w:autoSpaceDE w:val="0"/>
        <w:autoSpaceDN w:val="0"/>
        <w:bidi w:val="0"/>
        <w:adjustRightInd/>
        <w:snapToGrid/>
        <w:spacing w:line="360" w:lineRule="auto"/>
        <w:ind w:left="42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法定代表人（或非法人组织负责人）或其委托代理人：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电子签章</w:t>
      </w:r>
      <w:r>
        <w:rPr>
          <w:rFonts w:hint="eastAsia" w:ascii="宋体" w:hAnsi="宋体" w:eastAsia="宋体" w:cs="宋体"/>
          <w:sz w:val="24"/>
          <w:szCs w:val="24"/>
          <w:highlight w:val="none"/>
        </w:rPr>
        <w:t>）</w:t>
      </w:r>
    </w:p>
    <w:p w14:paraId="59B446FE">
      <w:pPr>
        <w:keepNext w:val="0"/>
        <w:keepLines w:val="0"/>
        <w:pageBreakBefore w:val="0"/>
        <w:widowControl w:val="0"/>
        <w:kinsoku/>
        <w:wordWrap/>
        <w:overflowPunct/>
        <w:topLinePunct w:val="0"/>
        <w:autoSpaceDE w:val="0"/>
        <w:autoSpaceDN w:val="0"/>
        <w:bidi w:val="0"/>
        <w:adjustRightInd/>
        <w:snapToGrid/>
        <w:spacing w:line="360" w:lineRule="auto"/>
        <w:ind w:left="42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日</w:t>
      </w:r>
    </w:p>
    <w:p w14:paraId="5C7B08D2">
      <w:pPr>
        <w:pStyle w:val="3"/>
        <w:widowControl/>
        <w:spacing w:before="120" w:after="120" w:line="240" w:lineRule="auto"/>
        <w:jc w:val="both"/>
        <w:outlineLvl w:val="9"/>
        <w:rPr>
          <w:rFonts w:hint="eastAsia" w:ascii="宋体" w:hAnsi="宋体" w:eastAsia="宋体" w:cs="宋体"/>
          <w:b w:val="0"/>
          <w:szCs w:val="28"/>
          <w:highlight w:val="none"/>
        </w:rPr>
        <w:sectPr>
          <w:pgSz w:w="11907" w:h="16840"/>
          <w:pgMar w:top="1417" w:right="1134" w:bottom="1417" w:left="1134" w:header="850" w:footer="850" w:gutter="0"/>
          <w:pgNumType w:fmt="decimal"/>
          <w:cols w:space="720" w:num="1"/>
          <w:docGrid w:linePitch="312" w:charSpace="0"/>
        </w:sectPr>
      </w:pPr>
    </w:p>
    <w:p w14:paraId="284F26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z w:val="48"/>
          <w:szCs w:val="48"/>
          <w:highlight w:val="none"/>
        </w:rPr>
      </w:pPr>
      <w:bookmarkStart w:id="92" w:name="_Toc11674"/>
      <w:r>
        <w:rPr>
          <w:rFonts w:hint="eastAsia" w:ascii="宋体" w:hAnsi="宋体" w:eastAsia="宋体" w:cs="宋体"/>
          <w:b/>
          <w:bCs/>
          <w:sz w:val="48"/>
          <w:szCs w:val="48"/>
          <w:highlight w:val="none"/>
        </w:rPr>
        <w:t>商务技术文件格式</w:t>
      </w:r>
      <w:bookmarkEnd w:id="92"/>
    </w:p>
    <w:p w14:paraId="32B9E756">
      <w:pPr>
        <w:pStyle w:val="3"/>
        <w:spacing w:line="240" w:lineRule="auto"/>
        <w:ind w:left="0" w:leftChars="0" w:firstLine="0" w:firstLineChars="0"/>
        <w:jc w:val="both"/>
        <w:rPr>
          <w:rFonts w:hint="eastAsia" w:ascii="宋体" w:hAnsi="宋体" w:eastAsia="宋体" w:cs="宋体"/>
          <w:b/>
          <w:bCs/>
          <w:szCs w:val="21"/>
          <w:highlight w:val="none"/>
        </w:rPr>
      </w:pPr>
      <w:r>
        <w:rPr>
          <w:rFonts w:hint="eastAsia" w:ascii="宋体" w:hAnsi="宋体" w:eastAsia="宋体" w:cs="宋体"/>
          <w:b/>
          <w:bCs/>
          <w:szCs w:val="28"/>
          <w:highlight w:val="none"/>
          <w:lang w:val="en-US" w:eastAsia="zh-CN"/>
        </w:rPr>
        <w:t>响应</w:t>
      </w:r>
      <w:r>
        <w:rPr>
          <w:rFonts w:hint="eastAsia" w:ascii="宋体" w:hAnsi="宋体" w:eastAsia="宋体" w:cs="宋体"/>
          <w:b/>
          <w:bCs/>
          <w:szCs w:val="28"/>
          <w:highlight w:val="none"/>
        </w:rPr>
        <w:t>文件（商务技术文件）封面（非实质性格式）</w:t>
      </w:r>
    </w:p>
    <w:p w14:paraId="60B450B9">
      <w:pPr>
        <w:spacing w:line="360" w:lineRule="auto"/>
        <w:ind w:right="160"/>
        <w:jc w:val="right"/>
        <w:rPr>
          <w:rFonts w:hint="eastAsia" w:ascii="宋体" w:hAnsi="宋体" w:eastAsia="宋体" w:cs="宋体"/>
          <w:b/>
          <w:sz w:val="32"/>
          <w:szCs w:val="32"/>
          <w:highlight w:val="none"/>
        </w:rPr>
      </w:pPr>
    </w:p>
    <w:p w14:paraId="70183DEF">
      <w:pPr>
        <w:adjustRightInd w:val="0"/>
        <w:snapToGrid w:val="0"/>
        <w:spacing w:line="360" w:lineRule="auto"/>
        <w:jc w:val="center"/>
        <w:rPr>
          <w:rFonts w:hint="eastAsia" w:ascii="宋体" w:hAnsi="宋体" w:eastAsia="宋体" w:cs="宋体"/>
          <w:b/>
          <w:sz w:val="28"/>
          <w:szCs w:val="28"/>
          <w:highlight w:val="none"/>
          <w:u w:val="single"/>
        </w:rPr>
      </w:pPr>
    </w:p>
    <w:p w14:paraId="4C10470C">
      <w:pPr>
        <w:adjustRightInd w:val="0"/>
        <w:snapToGrid w:val="0"/>
        <w:spacing w:line="360" w:lineRule="auto"/>
        <w:jc w:val="center"/>
        <w:rPr>
          <w:rFonts w:hint="eastAsia" w:ascii="宋体" w:hAnsi="宋体" w:eastAsia="宋体" w:cs="宋体"/>
          <w:b/>
          <w:sz w:val="28"/>
          <w:szCs w:val="28"/>
          <w:highlight w:val="none"/>
          <w:u w:val="single"/>
        </w:rPr>
      </w:pPr>
    </w:p>
    <w:p w14:paraId="11BCEB81">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9"/>
        <w:rPr>
          <w:rFonts w:hint="eastAsia" w:ascii="宋体" w:hAnsi="宋体" w:eastAsia="宋体" w:cs="宋体"/>
          <w:b/>
          <w:bCs/>
          <w:sz w:val="44"/>
          <w:szCs w:val="44"/>
          <w:highlight w:val="none"/>
          <w:lang w:eastAsia="zh-CN"/>
        </w:rPr>
      </w:pPr>
      <w:r>
        <w:rPr>
          <w:rFonts w:hint="eastAsia" w:cs="宋体"/>
          <w:b/>
          <w:bCs/>
          <w:sz w:val="44"/>
          <w:szCs w:val="44"/>
          <w:highlight w:val="none"/>
          <w:lang w:eastAsia="zh-CN"/>
        </w:rPr>
        <w:t>巧家县公安局交通管理大队2026年科技管控建设项目—玉屏街道岩湾安置区综合治理系统</w:t>
      </w:r>
    </w:p>
    <w:p w14:paraId="13A4213D">
      <w:pPr>
        <w:adjustRightInd w:val="0"/>
        <w:snapToGrid w:val="0"/>
        <w:spacing w:line="360" w:lineRule="auto"/>
        <w:jc w:val="center"/>
        <w:rPr>
          <w:rFonts w:hint="eastAsia" w:ascii="宋体" w:hAnsi="宋体" w:eastAsia="宋体" w:cs="宋体"/>
          <w:b/>
          <w:sz w:val="28"/>
          <w:szCs w:val="28"/>
          <w:highlight w:val="none"/>
        </w:rPr>
      </w:pPr>
    </w:p>
    <w:p w14:paraId="63DC869C">
      <w:pPr>
        <w:adjustRightInd w:val="0"/>
        <w:snapToGrid w:val="0"/>
        <w:spacing w:line="360" w:lineRule="auto"/>
        <w:jc w:val="center"/>
        <w:rPr>
          <w:rFonts w:hint="eastAsia" w:ascii="宋体" w:hAnsi="宋体" w:eastAsia="宋体" w:cs="宋体"/>
          <w:b/>
          <w:sz w:val="28"/>
          <w:szCs w:val="28"/>
          <w:highlight w:val="none"/>
        </w:rPr>
      </w:pPr>
    </w:p>
    <w:p w14:paraId="09B8F4BF">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响 应 文 件</w:t>
      </w:r>
    </w:p>
    <w:p w14:paraId="406DC680">
      <w:pPr>
        <w:adjustRightInd w:val="0"/>
        <w:snapToGrid w:val="0"/>
        <w:spacing w:line="360" w:lineRule="auto"/>
        <w:jc w:val="center"/>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lang w:eastAsia="zh-CN"/>
        </w:rPr>
        <w:t>（</w:t>
      </w:r>
      <w:r>
        <w:rPr>
          <w:rFonts w:hint="eastAsia" w:ascii="宋体" w:hAnsi="宋体" w:eastAsia="宋体" w:cs="宋体"/>
          <w:b/>
          <w:sz w:val="48"/>
          <w:szCs w:val="48"/>
          <w:highlight w:val="none"/>
          <w:lang w:val="en-US" w:eastAsia="zh-CN"/>
        </w:rPr>
        <w:t>商务技术文件</w:t>
      </w:r>
      <w:r>
        <w:rPr>
          <w:rFonts w:hint="eastAsia" w:ascii="宋体" w:hAnsi="宋体" w:eastAsia="宋体" w:cs="宋体"/>
          <w:b/>
          <w:sz w:val="48"/>
          <w:szCs w:val="48"/>
          <w:highlight w:val="none"/>
          <w:lang w:eastAsia="zh-CN"/>
        </w:rPr>
        <w:t>）</w:t>
      </w:r>
    </w:p>
    <w:p w14:paraId="53D3819D">
      <w:pPr>
        <w:adjustRightInd w:val="0"/>
        <w:snapToGrid w:val="0"/>
        <w:spacing w:line="360" w:lineRule="auto"/>
        <w:jc w:val="center"/>
        <w:rPr>
          <w:rFonts w:hint="eastAsia" w:ascii="宋体" w:hAnsi="宋体" w:eastAsia="宋体" w:cs="宋体"/>
          <w:b/>
          <w:sz w:val="48"/>
          <w:szCs w:val="48"/>
          <w:highlight w:val="none"/>
        </w:rPr>
      </w:pPr>
    </w:p>
    <w:p w14:paraId="21899822">
      <w:pPr>
        <w:adjustRightInd w:val="0"/>
        <w:snapToGrid w:val="0"/>
        <w:spacing w:line="360" w:lineRule="auto"/>
        <w:rPr>
          <w:rFonts w:hint="eastAsia" w:ascii="宋体" w:hAnsi="宋体" w:eastAsia="宋体" w:cs="宋体"/>
          <w:b/>
          <w:sz w:val="28"/>
          <w:szCs w:val="28"/>
          <w:highlight w:val="none"/>
        </w:rPr>
      </w:pPr>
    </w:p>
    <w:p w14:paraId="10D0E749">
      <w:pPr>
        <w:adjustRightInd w:val="0"/>
        <w:snapToGrid w:val="0"/>
        <w:spacing w:line="360" w:lineRule="auto"/>
        <w:rPr>
          <w:rFonts w:hint="eastAsia" w:ascii="宋体" w:hAnsi="宋体" w:eastAsia="宋体" w:cs="宋体"/>
          <w:b/>
          <w:sz w:val="28"/>
          <w:szCs w:val="28"/>
          <w:highlight w:val="none"/>
        </w:rPr>
      </w:pPr>
    </w:p>
    <w:p w14:paraId="35DF3BA0">
      <w:pPr>
        <w:adjustRightInd w:val="0"/>
        <w:snapToGrid w:val="0"/>
        <w:spacing w:line="360" w:lineRule="auto"/>
        <w:rPr>
          <w:rFonts w:hint="eastAsia" w:ascii="宋体" w:hAnsi="宋体" w:eastAsia="宋体" w:cs="宋体"/>
          <w:b/>
          <w:sz w:val="28"/>
          <w:szCs w:val="28"/>
          <w:highlight w:val="none"/>
        </w:rPr>
      </w:pPr>
    </w:p>
    <w:p w14:paraId="345CC872">
      <w:pPr>
        <w:adjustRightInd w:val="0"/>
        <w:snapToGrid w:val="0"/>
        <w:spacing w:line="360" w:lineRule="auto"/>
        <w:jc w:val="center"/>
        <w:rPr>
          <w:rFonts w:hint="eastAsia" w:ascii="宋体" w:hAnsi="宋体" w:eastAsia="宋体" w:cs="宋体"/>
          <w:b/>
          <w:sz w:val="28"/>
          <w:szCs w:val="28"/>
          <w:highlight w:val="none"/>
        </w:rPr>
      </w:pPr>
    </w:p>
    <w:p w14:paraId="105D494C">
      <w:pPr>
        <w:adjustRightInd w:val="0"/>
        <w:snapToGrid w:val="0"/>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供应商：</w:t>
      </w:r>
      <w:r>
        <w:rPr>
          <w:rFonts w:hint="eastAsia" w:ascii="宋体" w:hAnsi="宋体" w:eastAsia="宋体" w:cs="宋体"/>
          <w:b/>
          <w:sz w:val="44"/>
          <w:szCs w:val="44"/>
          <w:highlight w:val="none"/>
          <w:u w:val="single"/>
        </w:rPr>
        <w:t xml:space="preserve">                 </w:t>
      </w:r>
      <w:r>
        <w:rPr>
          <w:rFonts w:hint="eastAsia" w:ascii="宋体" w:hAnsi="宋体" w:eastAsia="宋体" w:cs="宋体"/>
          <w:b/>
          <w:sz w:val="44"/>
          <w:szCs w:val="44"/>
          <w:highlight w:val="none"/>
        </w:rPr>
        <w:t>（</w:t>
      </w:r>
      <w:r>
        <w:rPr>
          <w:rFonts w:hint="eastAsia" w:ascii="宋体" w:hAnsi="宋体" w:eastAsia="宋体" w:cs="宋体"/>
          <w:b/>
          <w:sz w:val="44"/>
          <w:szCs w:val="44"/>
          <w:highlight w:val="none"/>
          <w:lang w:val="en-US" w:eastAsia="zh-CN"/>
        </w:rPr>
        <w:t>电子签章</w:t>
      </w:r>
      <w:r>
        <w:rPr>
          <w:rFonts w:hint="eastAsia" w:ascii="宋体" w:hAnsi="宋体" w:eastAsia="宋体" w:cs="宋体"/>
          <w:b/>
          <w:sz w:val="44"/>
          <w:szCs w:val="44"/>
          <w:highlight w:val="none"/>
        </w:rPr>
        <w:t>）</w:t>
      </w:r>
    </w:p>
    <w:p w14:paraId="1F8D97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48"/>
          <w:szCs w:val="48"/>
          <w:highlight w:val="none"/>
        </w:rPr>
        <w:sectPr>
          <w:pgSz w:w="11907" w:h="16840"/>
          <w:pgMar w:top="1417" w:right="1134" w:bottom="1417" w:left="1134" w:header="850" w:footer="850" w:gutter="0"/>
          <w:pgNumType w:fmt="decimal"/>
          <w:cols w:space="720" w:num="1"/>
          <w:docGrid w:linePitch="312" w:charSpace="0"/>
        </w:sectPr>
      </w:pPr>
    </w:p>
    <w:p w14:paraId="5A8DAA88">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宋体" w:hAnsi="宋体" w:eastAsia="宋体" w:cs="宋体"/>
          <w:b/>
          <w:bCs w:val="0"/>
          <w:kern w:val="0"/>
          <w:szCs w:val="28"/>
          <w:highlight w:val="none"/>
          <w:lang w:eastAsia="zh-CN"/>
        </w:rPr>
      </w:pPr>
      <w:bookmarkStart w:id="93" w:name="_Toc3687"/>
      <w:r>
        <w:rPr>
          <w:rFonts w:hint="eastAsia" w:ascii="宋体" w:hAnsi="宋体" w:eastAsia="宋体" w:cs="宋体"/>
          <w:b/>
          <w:bCs w:val="0"/>
          <w:kern w:val="0"/>
          <w:szCs w:val="28"/>
          <w:highlight w:val="none"/>
          <w:lang w:eastAsia="zh-CN"/>
        </w:rPr>
        <w:t>（一）</w:t>
      </w:r>
      <w:r>
        <w:rPr>
          <w:rFonts w:hint="eastAsia" w:ascii="宋体" w:hAnsi="宋体" w:eastAsia="宋体" w:cs="宋体"/>
          <w:b/>
          <w:bCs w:val="0"/>
          <w:kern w:val="0"/>
          <w:szCs w:val="28"/>
          <w:highlight w:val="none"/>
          <w:lang w:val="en-US" w:eastAsia="zh-CN"/>
        </w:rPr>
        <w:t>响应</w:t>
      </w:r>
      <w:r>
        <w:rPr>
          <w:rFonts w:hint="eastAsia" w:ascii="宋体" w:hAnsi="宋体" w:eastAsia="宋体" w:cs="宋体"/>
          <w:b/>
          <w:bCs w:val="0"/>
          <w:kern w:val="0"/>
          <w:szCs w:val="28"/>
          <w:highlight w:val="none"/>
          <w:lang w:eastAsia="zh-CN"/>
        </w:rPr>
        <w:t>函</w:t>
      </w:r>
      <w:bookmarkEnd w:id="93"/>
      <w:r>
        <w:rPr>
          <w:rFonts w:hint="eastAsia" w:ascii="宋体" w:hAnsi="宋体" w:eastAsia="宋体" w:cs="宋体"/>
          <w:b/>
          <w:bCs w:val="0"/>
          <w:kern w:val="0"/>
          <w:szCs w:val="28"/>
          <w:highlight w:val="none"/>
          <w:lang w:eastAsia="zh-CN"/>
        </w:rPr>
        <w:t>（实质性格式）</w:t>
      </w:r>
    </w:p>
    <w:p w14:paraId="664EA538">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（采购人名称）：</w:t>
      </w:r>
    </w:p>
    <w:p w14:paraId="611C071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根据贵方</w:t>
      </w:r>
      <w:r>
        <w:rPr>
          <w:rFonts w:hint="eastAsia" w:ascii="宋体" w:hAnsi="宋体" w:eastAsia="宋体" w:cs="宋体"/>
          <w:sz w:val="24"/>
          <w:highlight w:val="none"/>
          <w:u w:val="single"/>
        </w:rPr>
        <w:t xml:space="preserve">   (项目名称、</w:t>
      </w:r>
      <w:r>
        <w:rPr>
          <w:rFonts w:hint="eastAsia" w:cs="宋体"/>
          <w:sz w:val="24"/>
          <w:highlight w:val="none"/>
          <w:u w:val="single"/>
          <w:lang w:eastAsia="zh-CN"/>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的竞争性磋商文件，签字代表</w:t>
      </w:r>
      <w:r>
        <w:rPr>
          <w:rFonts w:hint="eastAsia" w:ascii="宋体" w:hAnsi="宋体" w:eastAsia="宋体" w:cs="宋体"/>
          <w:sz w:val="24"/>
          <w:highlight w:val="none"/>
          <w:u w:val="single"/>
        </w:rPr>
        <w:t xml:space="preserve"> (姓名、职务)</w:t>
      </w:r>
      <w:r>
        <w:rPr>
          <w:rFonts w:hint="eastAsia" w:ascii="宋体" w:hAnsi="宋体" w:eastAsia="宋体" w:cs="宋体"/>
          <w:sz w:val="24"/>
          <w:highlight w:val="none"/>
        </w:rPr>
        <w:t xml:space="preserve"> 经正式授权并代表</w:t>
      </w:r>
      <w:r>
        <w:rPr>
          <w:rFonts w:hint="eastAsia" w:ascii="宋体" w:hAnsi="宋体" w:eastAsia="宋体" w:cs="宋体"/>
          <w:sz w:val="24"/>
          <w:highlight w:val="none"/>
          <w:u w:val="single"/>
        </w:rPr>
        <w:t xml:space="preserve"> （供应商名称） </w:t>
      </w:r>
      <w:r>
        <w:rPr>
          <w:rFonts w:hint="eastAsia" w:ascii="宋体" w:hAnsi="宋体" w:eastAsia="宋体" w:cs="宋体"/>
          <w:sz w:val="24"/>
          <w:highlight w:val="none"/>
        </w:rPr>
        <w:t>提交电子响应文件。</w:t>
      </w:r>
    </w:p>
    <w:p w14:paraId="4B9816E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据此，签字代表宣布同意如下：</w:t>
      </w:r>
    </w:p>
    <w:p w14:paraId="7C6135B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（1）若我方成交，愿意以我方在</w:t>
      </w:r>
      <w:r>
        <w:rPr>
          <w:rFonts w:hint="eastAsia" w:cs="宋体"/>
          <w:sz w:val="24"/>
          <w:highlight w:val="none"/>
          <w:lang w:eastAsia="zh-CN"/>
        </w:rPr>
        <w:t>“</w:t>
      </w:r>
      <w:r>
        <w:rPr>
          <w:rFonts w:hint="eastAsia" w:ascii="宋体" w:hAnsi="宋体" w:eastAsia="宋体" w:cs="宋体"/>
          <w:sz w:val="24"/>
          <w:highlight w:val="none"/>
        </w:rPr>
        <w:t>已标价工程量清单（最后）</w:t>
      </w:r>
      <w:r>
        <w:rPr>
          <w:rFonts w:hint="eastAsia" w:cs="宋体"/>
          <w:sz w:val="24"/>
          <w:highlight w:val="none"/>
          <w:lang w:eastAsia="zh-CN"/>
        </w:rPr>
        <w:t>”</w:t>
      </w:r>
      <w:r>
        <w:rPr>
          <w:rFonts w:hint="eastAsia" w:cs="宋体"/>
          <w:sz w:val="24"/>
          <w:highlight w:val="none"/>
          <w:lang w:val="en-US" w:eastAsia="zh-CN"/>
        </w:rPr>
        <w:t>中</w:t>
      </w:r>
      <w:r>
        <w:rPr>
          <w:rFonts w:hint="eastAsia" w:ascii="宋体" w:hAnsi="宋体" w:eastAsia="宋体" w:cs="宋体"/>
          <w:sz w:val="24"/>
          <w:highlight w:val="none"/>
        </w:rPr>
        <w:t>填报的全费用综合单价据实结算，我方承诺我方填报的首轮报价和最终报价均包括了我方成交后为完成合同规定的全部内容需支付的一切费用和拟获得的利润，并考虑了应承担的风险。</w:t>
      </w:r>
    </w:p>
    <w:p w14:paraId="0C6C96E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（2）本响应有效期为自递交响应文件截止之日起60日历日。</w:t>
      </w:r>
    </w:p>
    <w:p w14:paraId="2BC9081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（3）已详细审查全部竞争性磋商文件，包括所有补充通知（如果有的话）。</w:t>
      </w:r>
    </w:p>
    <w:p w14:paraId="507F9A3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）我方不是为本项目提供整体设计、规范编制或者项目管理等服务的供应商，我方不是采购代理机构的附属机构。</w:t>
      </w:r>
    </w:p>
    <w:p w14:paraId="6DEEFC8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）在领取成交通知书的同时按竞争性磋商文件规定的形式，向采购代理机构一次性支付委托代理服务费。</w:t>
      </w:r>
    </w:p>
    <w:p w14:paraId="413463E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）按照贵方要求，提供与其响应有关的一切数据或资料，完全理解贵方不一定接受最低价的响应。</w:t>
      </w:r>
    </w:p>
    <w:p w14:paraId="71DD96D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）按照竞争性磋商文件的规定履行合同责任和义务。</w:t>
      </w:r>
    </w:p>
    <w:p w14:paraId="51A393F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）我方承诺响应文件中的证明材料真实、合法、有效。</w:t>
      </w:r>
    </w:p>
    <w:p w14:paraId="319544EF">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 xml:space="preserve">                          </w:t>
      </w:r>
      <w:bookmarkStart w:id="94" w:name="_Hlk91168380"/>
      <w:r>
        <w:rPr>
          <w:rFonts w:hint="eastAsia" w:ascii="宋体" w:hAnsi="宋体" w:eastAsia="宋体" w:cs="宋体"/>
          <w:bCs/>
          <w:sz w:val="24"/>
          <w:highlight w:val="none"/>
        </w:rPr>
        <w:t xml:space="preserve">  </w:t>
      </w:r>
    </w:p>
    <w:p w14:paraId="214E1DD1">
      <w:pPr>
        <w:adjustRightInd w:val="0"/>
        <w:snapToGrid w:val="0"/>
        <w:spacing w:line="360" w:lineRule="auto"/>
        <w:ind w:firstLine="1920" w:firstLineChars="800"/>
        <w:rPr>
          <w:rFonts w:hint="eastAsia" w:ascii="宋体" w:hAnsi="宋体" w:eastAsia="宋体" w:cs="宋体"/>
          <w:bCs/>
          <w:sz w:val="24"/>
          <w:highlight w:val="none"/>
        </w:rPr>
      </w:pPr>
      <w:r>
        <w:rPr>
          <w:rFonts w:hint="eastAsia" w:ascii="宋体" w:hAnsi="宋体" w:eastAsia="宋体" w:cs="宋体"/>
          <w:bCs/>
          <w:sz w:val="24"/>
          <w:highlight w:val="none"/>
        </w:rPr>
        <w:t xml:space="preserve">供应商：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（电子签章）</w:t>
      </w:r>
    </w:p>
    <w:p w14:paraId="47F79AC4">
      <w:pPr>
        <w:adjustRightInd w:val="0"/>
        <w:snapToGrid w:val="0"/>
        <w:spacing w:line="360" w:lineRule="auto"/>
        <w:ind w:firstLine="1920" w:firstLineChars="800"/>
        <w:rPr>
          <w:rFonts w:hint="eastAsia" w:ascii="宋体" w:hAnsi="宋体" w:eastAsia="宋体" w:cs="宋体"/>
          <w:bCs/>
          <w:sz w:val="24"/>
          <w:highlight w:val="none"/>
        </w:rPr>
      </w:pPr>
      <w:r>
        <w:rPr>
          <w:rFonts w:hint="eastAsia" w:ascii="宋体" w:hAnsi="宋体" w:eastAsia="宋体" w:cs="宋体"/>
          <w:bCs/>
          <w:sz w:val="24"/>
          <w:highlight w:val="none"/>
        </w:rPr>
        <w:t>法定代表人（或非法人组织负责人）或其委托代理人：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（电子签章）</w:t>
      </w:r>
    </w:p>
    <w:p w14:paraId="170CBCCD">
      <w:pPr>
        <w:adjustRightInd w:val="0"/>
        <w:snapToGrid w:val="0"/>
        <w:spacing w:line="360" w:lineRule="auto"/>
        <w:ind w:firstLine="1920" w:firstLineChars="800"/>
        <w:rPr>
          <w:rFonts w:hint="eastAsia" w:ascii="宋体" w:hAnsi="宋体" w:eastAsia="宋体" w:cs="宋体"/>
          <w:bCs/>
          <w:sz w:val="24"/>
          <w:highlight w:val="none"/>
        </w:rPr>
      </w:pPr>
      <w:r>
        <w:rPr>
          <w:rFonts w:hint="eastAsia" w:ascii="宋体" w:hAnsi="宋体" w:eastAsia="宋体" w:cs="宋体"/>
          <w:bCs/>
          <w:sz w:val="24"/>
          <w:highlight w:val="none"/>
        </w:rPr>
        <w:t>地    址：</w:t>
      </w:r>
      <w:r>
        <w:rPr>
          <w:rFonts w:hint="eastAsia" w:ascii="宋体" w:hAnsi="宋体" w:eastAsia="宋体" w:cs="宋体"/>
          <w:bCs/>
          <w:sz w:val="24"/>
          <w:highlight w:val="none"/>
          <w:u w:val="single"/>
        </w:rPr>
        <w:t xml:space="preserve">                             </w:t>
      </w:r>
    </w:p>
    <w:p w14:paraId="51A56DEF">
      <w:pPr>
        <w:adjustRightInd w:val="0"/>
        <w:snapToGrid w:val="0"/>
        <w:spacing w:line="360" w:lineRule="auto"/>
        <w:ind w:firstLine="1920" w:firstLineChars="800"/>
        <w:rPr>
          <w:rFonts w:hint="eastAsia" w:ascii="宋体" w:hAnsi="宋体" w:eastAsia="宋体" w:cs="宋体"/>
          <w:bCs/>
          <w:sz w:val="24"/>
          <w:highlight w:val="none"/>
        </w:rPr>
      </w:pPr>
      <w:r>
        <w:rPr>
          <w:rFonts w:hint="eastAsia" w:ascii="宋体" w:hAnsi="宋体" w:eastAsia="宋体" w:cs="宋体"/>
          <w:bCs/>
          <w:sz w:val="24"/>
          <w:highlight w:val="none"/>
        </w:rPr>
        <w:t>联系电话：</w:t>
      </w:r>
      <w:r>
        <w:rPr>
          <w:rFonts w:hint="eastAsia" w:ascii="宋体" w:hAnsi="宋体" w:eastAsia="宋体" w:cs="宋体"/>
          <w:bCs/>
          <w:sz w:val="24"/>
          <w:highlight w:val="none"/>
          <w:u w:val="single"/>
        </w:rPr>
        <w:t xml:space="preserve">                             </w:t>
      </w:r>
    </w:p>
    <w:p w14:paraId="0A211FAE">
      <w:pPr>
        <w:adjustRightInd w:val="0"/>
        <w:snapToGrid w:val="0"/>
        <w:spacing w:line="360" w:lineRule="auto"/>
        <w:ind w:firstLine="1920" w:firstLineChars="800"/>
        <w:rPr>
          <w:rFonts w:hint="eastAsia" w:ascii="宋体" w:hAnsi="宋体" w:eastAsia="宋体" w:cs="宋体"/>
          <w:bCs/>
          <w:sz w:val="24"/>
          <w:highlight w:val="none"/>
        </w:rPr>
      </w:pPr>
      <w:r>
        <w:rPr>
          <w:rFonts w:hint="eastAsia" w:ascii="宋体" w:hAnsi="宋体" w:eastAsia="宋体" w:cs="宋体"/>
          <w:bCs/>
          <w:sz w:val="24"/>
          <w:highlight w:val="none"/>
        </w:rPr>
        <w:t>传    真：</w:t>
      </w:r>
      <w:r>
        <w:rPr>
          <w:rFonts w:hint="eastAsia" w:ascii="宋体" w:hAnsi="宋体" w:eastAsia="宋体" w:cs="宋体"/>
          <w:bCs/>
          <w:sz w:val="24"/>
          <w:highlight w:val="none"/>
          <w:u w:val="single"/>
        </w:rPr>
        <w:t xml:space="preserve">                             </w:t>
      </w:r>
    </w:p>
    <w:p w14:paraId="15C7A853">
      <w:pPr>
        <w:adjustRightInd w:val="0"/>
        <w:snapToGrid w:val="0"/>
        <w:spacing w:line="360" w:lineRule="auto"/>
        <w:ind w:firstLine="1920" w:firstLineChars="800"/>
        <w:rPr>
          <w:rFonts w:hint="eastAsia" w:ascii="宋体" w:hAnsi="宋体" w:eastAsia="宋体" w:cs="宋体"/>
          <w:bCs/>
          <w:sz w:val="24"/>
          <w:highlight w:val="none"/>
          <w:u w:val="single"/>
        </w:rPr>
      </w:pPr>
      <w:r>
        <w:rPr>
          <w:rFonts w:hint="eastAsia" w:ascii="宋体" w:hAnsi="宋体" w:eastAsia="宋体" w:cs="宋体"/>
          <w:bCs/>
          <w:sz w:val="24"/>
          <w:highlight w:val="none"/>
        </w:rPr>
        <w:t>邮政编码：</w:t>
      </w:r>
      <w:r>
        <w:rPr>
          <w:rFonts w:hint="eastAsia" w:ascii="宋体" w:hAnsi="宋体" w:eastAsia="宋体" w:cs="宋体"/>
          <w:bCs/>
          <w:sz w:val="24"/>
          <w:highlight w:val="none"/>
          <w:u w:val="single"/>
        </w:rPr>
        <w:t xml:space="preserve">                           </w:t>
      </w:r>
    </w:p>
    <w:p w14:paraId="65ABF6DD">
      <w:pPr>
        <w:adjustRightInd w:val="0"/>
        <w:snapToGrid w:val="0"/>
        <w:spacing w:line="360" w:lineRule="auto"/>
        <w:ind w:firstLine="1920" w:firstLineChars="8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日</w:t>
      </w:r>
      <w:bookmarkEnd w:id="94"/>
    </w:p>
    <w:p w14:paraId="3C51736E">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宋体" w:hAnsi="宋体" w:eastAsia="宋体" w:cs="宋体"/>
          <w:bCs/>
          <w:kern w:val="0"/>
          <w:szCs w:val="28"/>
          <w:highlight w:val="none"/>
        </w:rPr>
      </w:pPr>
      <w:r>
        <w:rPr>
          <w:rFonts w:hint="eastAsia" w:ascii="宋体" w:hAnsi="宋体" w:eastAsia="宋体" w:cs="宋体"/>
          <w:sz w:val="24"/>
          <w:highlight w:val="none"/>
        </w:rPr>
        <w:br w:type="page"/>
      </w:r>
      <w:bookmarkStart w:id="95" w:name="_Toc28214"/>
      <w:bookmarkStart w:id="96" w:name="_Toc3401_WPSOffice_Level2"/>
      <w:bookmarkStart w:id="97" w:name="_Toc16924_WPSOffice_Level2"/>
      <w:r>
        <w:rPr>
          <w:rFonts w:hint="eastAsia" w:ascii="宋体" w:hAnsi="宋体" w:eastAsia="宋体" w:cs="宋体"/>
          <w:b/>
          <w:bCs w:val="0"/>
          <w:kern w:val="0"/>
          <w:szCs w:val="28"/>
          <w:highlight w:val="none"/>
          <w:lang w:eastAsia="zh-CN"/>
        </w:rPr>
        <w:t>（</w:t>
      </w:r>
      <w:r>
        <w:rPr>
          <w:rFonts w:hint="eastAsia" w:ascii="宋体" w:hAnsi="宋体" w:eastAsia="宋体" w:cs="宋体"/>
          <w:b/>
          <w:bCs w:val="0"/>
          <w:kern w:val="0"/>
          <w:szCs w:val="28"/>
          <w:highlight w:val="none"/>
          <w:lang w:val="en-US" w:eastAsia="zh-CN"/>
        </w:rPr>
        <w:t>二</w:t>
      </w:r>
      <w:r>
        <w:rPr>
          <w:rFonts w:hint="eastAsia" w:ascii="宋体" w:hAnsi="宋体" w:eastAsia="宋体" w:cs="宋体"/>
          <w:b/>
          <w:bCs w:val="0"/>
          <w:kern w:val="0"/>
          <w:szCs w:val="28"/>
          <w:highlight w:val="none"/>
          <w:lang w:eastAsia="zh-CN"/>
        </w:rPr>
        <w:t>）</w:t>
      </w:r>
      <w:r>
        <w:rPr>
          <w:rFonts w:hint="eastAsia" w:ascii="宋体" w:hAnsi="宋体" w:eastAsia="宋体" w:cs="宋体"/>
          <w:b/>
          <w:bCs w:val="0"/>
          <w:kern w:val="0"/>
          <w:szCs w:val="28"/>
          <w:highlight w:val="none"/>
        </w:rPr>
        <w:t>法定代表人（或非法人组织负责人）身份证明书及授权委托书</w:t>
      </w:r>
      <w:bookmarkEnd w:id="95"/>
    </w:p>
    <w:bookmarkEnd w:id="96"/>
    <w:bookmarkEnd w:id="97"/>
    <w:p w14:paraId="4A62E590">
      <w:pPr>
        <w:spacing w:before="156" w:beforeLines="50" w:after="156" w:afterLines="50"/>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sz w:val="24"/>
          <w:szCs w:val="32"/>
          <w:highlight w:val="none"/>
        </w:rPr>
        <w:t>法定代表人（或非法人组织负责人）身份证明书（实质性格式）</w:t>
      </w:r>
    </w:p>
    <w:p w14:paraId="677F50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DFCB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498145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的法定代表人（或非法人组织负责人）。</w:t>
      </w:r>
    </w:p>
    <w:p w14:paraId="14F15A25">
      <w:pPr>
        <w:spacing w:line="360" w:lineRule="auto"/>
        <w:ind w:left="528" w:left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B95E3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cr/>
      </w:r>
      <w:r>
        <w:rPr>
          <w:rFonts w:hint="eastAsia" w:ascii="宋体" w:hAnsi="宋体" w:eastAsia="宋体" w:cs="宋体"/>
          <w:bCs/>
          <w:color w:val="auto"/>
          <w:sz w:val="24"/>
          <w:highlight w:val="none"/>
        </w:rPr>
        <w:t>附：法定代表人（或非法人组织负责人）身份证</w:t>
      </w:r>
      <w:r>
        <w:rPr>
          <w:rFonts w:hint="eastAsia" w:ascii="宋体" w:hAnsi="宋体" w:eastAsia="宋体" w:cs="宋体"/>
          <w:bCs/>
          <w:color w:val="auto"/>
          <w:sz w:val="24"/>
          <w:highlight w:val="none"/>
          <w:lang w:val="en-US" w:eastAsia="zh-CN"/>
        </w:rPr>
        <w:t>扫描件</w:t>
      </w:r>
      <w:r>
        <w:rPr>
          <w:rFonts w:hint="eastAsia" w:ascii="宋体" w:hAnsi="宋体" w:eastAsia="宋体" w:cs="宋体"/>
          <w:b/>
          <w:color w:val="auto"/>
          <w:sz w:val="24"/>
          <w:highlight w:val="none"/>
        </w:rPr>
        <w:cr/>
      </w:r>
    </w:p>
    <w:p w14:paraId="425F00E2">
      <w:pPr>
        <w:spacing w:line="360" w:lineRule="auto"/>
        <w:rPr>
          <w:rFonts w:hint="eastAsia" w:ascii="宋体" w:hAnsi="宋体" w:eastAsia="宋体" w:cs="宋体"/>
          <w:color w:val="auto"/>
          <w:sz w:val="24"/>
          <w:highlight w:val="none"/>
        </w:rPr>
      </w:pPr>
    </w:p>
    <w:p w14:paraId="1C5611E6">
      <w:pPr>
        <w:spacing w:line="360" w:lineRule="auto"/>
        <w:rPr>
          <w:rFonts w:hint="eastAsia" w:ascii="宋体" w:hAnsi="宋体" w:eastAsia="宋体" w:cs="宋体"/>
          <w:color w:val="auto"/>
          <w:sz w:val="24"/>
          <w:highlight w:val="none"/>
        </w:rPr>
      </w:pPr>
    </w:p>
    <w:p w14:paraId="32A34EDF">
      <w:pPr>
        <w:adjustRightInd w:val="0"/>
        <w:snapToGrid w:val="0"/>
        <w:spacing w:line="360" w:lineRule="auto"/>
        <w:jc w:val="right"/>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 xml:space="preserve">供应商：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（电子签章）                           </w:t>
      </w:r>
    </w:p>
    <w:p w14:paraId="3CB84D32">
      <w:pPr>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日  期：</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日</w:t>
      </w:r>
    </w:p>
    <w:p w14:paraId="544E1D69">
      <w:pPr>
        <w:spacing w:line="360" w:lineRule="auto"/>
        <w:ind w:firstLine="480" w:firstLineChars="200"/>
        <w:rPr>
          <w:rFonts w:hint="eastAsia" w:ascii="宋体" w:hAnsi="宋体" w:eastAsia="宋体" w:cs="宋体"/>
          <w:bCs/>
          <w:color w:val="auto"/>
          <w:sz w:val="24"/>
          <w:highlight w:val="none"/>
        </w:rPr>
      </w:pPr>
    </w:p>
    <w:p w14:paraId="308CF66D">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注：法定代表人（或非法人组织负责人）亲自参加磋商而不委托代理人参加适用。</w:t>
      </w:r>
    </w:p>
    <w:p w14:paraId="027E838F">
      <w:pPr>
        <w:spacing w:before="156" w:beforeLines="50" w:after="156" w:afterLines="50"/>
        <w:jc w:val="center"/>
        <w:rPr>
          <w:rFonts w:hint="eastAsia" w:ascii="宋体" w:hAnsi="宋体" w:eastAsia="宋体" w:cs="宋体"/>
          <w:b/>
          <w:bCs/>
          <w:color w:val="auto"/>
          <w:sz w:val="24"/>
          <w:szCs w:val="32"/>
          <w:highlight w:val="none"/>
        </w:rPr>
      </w:pPr>
      <w:r>
        <w:rPr>
          <w:rFonts w:hint="eastAsia" w:ascii="宋体" w:hAnsi="宋体" w:eastAsia="宋体" w:cs="宋体"/>
          <w:color w:val="auto"/>
          <w:szCs w:val="21"/>
          <w:highlight w:val="none"/>
        </w:rPr>
        <w:br w:type="page"/>
      </w:r>
      <w:bookmarkStart w:id="98" w:name="_Toc21833_WPSOffice_Level2"/>
      <w:bookmarkStart w:id="99" w:name="_Toc122_WPSOffice_Level2"/>
      <w:r>
        <w:rPr>
          <w:rFonts w:hint="eastAsia" w:ascii="宋体" w:hAnsi="宋体" w:eastAsia="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t>法定代表人（或非法人组织负责人）授权委托书</w:t>
      </w:r>
      <w:bookmarkEnd w:id="98"/>
      <w:bookmarkEnd w:id="99"/>
      <w:r>
        <w:rPr>
          <w:rFonts w:hint="eastAsia" w:ascii="宋体" w:hAnsi="宋体" w:eastAsia="宋体" w:cs="宋体"/>
          <w:b/>
          <w:bCs/>
          <w:color w:val="auto"/>
          <w:sz w:val="24"/>
          <w:szCs w:val="32"/>
          <w:highlight w:val="none"/>
        </w:rPr>
        <w:t>（实质性格式）</w:t>
      </w:r>
    </w:p>
    <w:p w14:paraId="4EFCFEA4">
      <w:pPr>
        <w:pStyle w:val="47"/>
        <w:keepNext w:val="0"/>
        <w:keepLines w:val="0"/>
        <w:pageBreakBefore w:val="0"/>
        <w:widowControl w:val="0"/>
        <w:tabs>
          <w:tab w:val="left" w:pos="0"/>
          <w:tab w:val="clear" w:pos="1843"/>
        </w:tabs>
        <w:kinsoku/>
        <w:wordWrap/>
        <w:overflowPunct/>
        <w:topLinePunct w:val="0"/>
        <w:autoSpaceDE w:val="0"/>
        <w:autoSpaceDN w:val="0"/>
        <w:bidi w:val="0"/>
        <w:adjustRightInd/>
        <w:snapToGrid/>
        <w:spacing w:before="0" w:after="0" w:line="360" w:lineRule="auto"/>
        <w:ind w:left="0" w:right="0" w:rightChars="0" w:firstLine="480" w:firstLineChars="200"/>
        <w:jc w:val="both"/>
        <w:textAlignment w:val="bottom"/>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本人</w:t>
      </w:r>
      <w:r>
        <w:rPr>
          <w:rFonts w:hint="eastAsia" w:ascii="宋体" w:hAnsi="宋体" w:eastAsia="宋体" w:cs="宋体"/>
          <w:color w:val="auto"/>
          <w:kern w:val="2"/>
          <w:szCs w:val="24"/>
          <w:highlight w:val="none"/>
          <w:u w:val="single"/>
        </w:rPr>
        <w:t xml:space="preserve">   （姓名）   </w:t>
      </w:r>
      <w:r>
        <w:rPr>
          <w:rFonts w:hint="eastAsia" w:ascii="宋体" w:hAnsi="宋体" w:eastAsia="宋体" w:cs="宋体"/>
          <w:color w:val="auto"/>
          <w:kern w:val="2"/>
          <w:szCs w:val="24"/>
          <w:highlight w:val="none"/>
        </w:rPr>
        <w:t>系</w:t>
      </w:r>
      <w:r>
        <w:rPr>
          <w:rFonts w:hint="eastAsia" w:ascii="宋体" w:hAnsi="宋体" w:eastAsia="宋体" w:cs="宋体"/>
          <w:color w:val="auto"/>
          <w:kern w:val="2"/>
          <w:szCs w:val="24"/>
          <w:highlight w:val="none"/>
          <w:u w:val="single"/>
        </w:rPr>
        <w:t xml:space="preserve">   （供应商全称）   </w:t>
      </w:r>
      <w:r>
        <w:rPr>
          <w:rFonts w:hint="eastAsia" w:ascii="宋体" w:hAnsi="宋体" w:eastAsia="宋体" w:cs="宋体"/>
          <w:color w:val="auto"/>
          <w:kern w:val="2"/>
          <w:szCs w:val="24"/>
          <w:highlight w:val="none"/>
        </w:rPr>
        <w:t xml:space="preserve">的法定代表人（或非法人组织负责人），现授权委托 </w:t>
      </w:r>
      <w:r>
        <w:rPr>
          <w:rFonts w:hint="eastAsia" w:ascii="宋体" w:hAnsi="宋体" w:eastAsia="宋体" w:cs="宋体"/>
          <w:color w:val="auto"/>
          <w:kern w:val="2"/>
          <w:szCs w:val="24"/>
          <w:highlight w:val="none"/>
          <w:u w:val="single"/>
        </w:rPr>
        <w:t xml:space="preserve">   （姓名）  </w:t>
      </w:r>
      <w:r>
        <w:rPr>
          <w:rFonts w:hint="eastAsia" w:ascii="宋体" w:hAnsi="宋体" w:eastAsia="宋体" w:cs="宋体"/>
          <w:color w:val="auto"/>
          <w:kern w:val="2"/>
          <w:szCs w:val="24"/>
          <w:highlight w:val="none"/>
        </w:rPr>
        <w:t>为我方代理人。代理人根据授权，以我方名义签署、澄清确认、递交、撤回、修改</w:t>
      </w:r>
      <w:r>
        <w:rPr>
          <w:rFonts w:hint="eastAsia" w:ascii="宋体" w:hAnsi="宋体" w:eastAsia="宋体" w:cs="宋体"/>
          <w:color w:val="auto"/>
          <w:kern w:val="2"/>
          <w:szCs w:val="24"/>
          <w:highlight w:val="none"/>
          <w:u w:val="single"/>
        </w:rPr>
        <w:t xml:space="preserve">    （项目名称、</w:t>
      </w:r>
      <w:r>
        <w:rPr>
          <w:rFonts w:hint="eastAsia" w:ascii="宋体" w:hAnsi="宋体" w:cs="宋体"/>
          <w:color w:val="auto"/>
          <w:kern w:val="2"/>
          <w:szCs w:val="24"/>
          <w:highlight w:val="none"/>
          <w:u w:val="single"/>
          <w:lang w:eastAsia="zh-CN"/>
        </w:rPr>
        <w:t>项目编号</w:t>
      </w:r>
      <w:r>
        <w:rPr>
          <w:rFonts w:hint="eastAsia" w:ascii="宋体" w:hAnsi="宋体" w:eastAsia="宋体" w:cs="宋体"/>
          <w:color w:val="auto"/>
          <w:kern w:val="2"/>
          <w:szCs w:val="24"/>
          <w:highlight w:val="none"/>
          <w:u w:val="single"/>
        </w:rPr>
        <w:t xml:space="preserve">）   </w:t>
      </w:r>
      <w:r>
        <w:rPr>
          <w:rFonts w:hint="eastAsia" w:ascii="宋体" w:hAnsi="宋体" w:eastAsia="宋体" w:cs="宋体"/>
          <w:color w:val="auto"/>
          <w:kern w:val="2"/>
          <w:szCs w:val="24"/>
          <w:highlight w:val="none"/>
        </w:rPr>
        <w:t>响应文件、签订合同和处理有关事宜，其法律后果由我方承担。</w:t>
      </w:r>
    </w:p>
    <w:p w14:paraId="521DBC92">
      <w:pPr>
        <w:pStyle w:val="47"/>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委托期限：自本授权委托书签署之日起至“响应有效期”结束为止。</w:t>
      </w:r>
    </w:p>
    <w:p w14:paraId="4AD55A13">
      <w:pPr>
        <w:pStyle w:val="47"/>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代理人无转委托权。</w:t>
      </w:r>
    </w:p>
    <w:p w14:paraId="6097AF37">
      <w:pPr>
        <w:pStyle w:val="47"/>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eastAsia="宋体" w:cs="宋体"/>
          <w:color w:val="auto"/>
          <w:kern w:val="2"/>
          <w:szCs w:val="24"/>
          <w:highlight w:val="none"/>
        </w:rPr>
      </w:pPr>
    </w:p>
    <w:p w14:paraId="4A19E9E7">
      <w:pPr>
        <w:pStyle w:val="47"/>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t>附：委托代理人身份证</w:t>
      </w:r>
      <w:r>
        <w:rPr>
          <w:rFonts w:hint="eastAsia" w:ascii="宋体" w:hAnsi="宋体" w:eastAsia="宋体" w:cs="宋体"/>
          <w:color w:val="auto"/>
          <w:kern w:val="2"/>
          <w:szCs w:val="24"/>
          <w:highlight w:val="none"/>
          <w:lang w:val="en-US" w:eastAsia="zh-CN"/>
        </w:rPr>
        <w:t>扫描件</w:t>
      </w:r>
    </w:p>
    <w:p w14:paraId="62C71870">
      <w:pPr>
        <w:pStyle w:val="47"/>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eastAsia="宋体" w:cs="宋体"/>
          <w:color w:val="auto"/>
          <w:kern w:val="2"/>
          <w:szCs w:val="24"/>
          <w:highlight w:val="none"/>
        </w:rPr>
      </w:pPr>
    </w:p>
    <w:p w14:paraId="3F1E4220">
      <w:pPr>
        <w:spacing w:line="360" w:lineRule="auto"/>
        <w:ind w:firstLine="5400" w:firstLineChars="2250"/>
        <w:rPr>
          <w:rFonts w:hint="eastAsia" w:ascii="宋体" w:hAnsi="宋体" w:eastAsia="宋体" w:cs="宋体"/>
          <w:color w:val="auto"/>
          <w:sz w:val="24"/>
          <w:highlight w:val="none"/>
        </w:rPr>
      </w:pPr>
    </w:p>
    <w:p w14:paraId="435DC19D">
      <w:pPr>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FF74CDA">
      <w:pPr>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法定代表人（或非法人组织负责人）：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7A93AD9F">
      <w:pPr>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29E3CA">
      <w:pPr>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B706AE8">
      <w:pPr>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3903CEB">
      <w:pPr>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56BA6A7">
      <w:pPr>
        <w:spacing w:line="360" w:lineRule="auto"/>
        <w:rPr>
          <w:rFonts w:hint="eastAsia" w:ascii="宋体" w:hAnsi="宋体" w:eastAsia="宋体" w:cs="宋体"/>
          <w:color w:val="auto"/>
          <w:sz w:val="24"/>
          <w:highlight w:val="none"/>
        </w:rPr>
      </w:pPr>
    </w:p>
    <w:p w14:paraId="45457EF6">
      <w:pPr>
        <w:spacing w:line="360" w:lineRule="auto"/>
        <w:rPr>
          <w:rFonts w:hint="eastAsia" w:ascii="宋体" w:hAnsi="宋体" w:eastAsia="宋体" w:cs="宋体"/>
          <w:sz w:val="24"/>
          <w:highlight w:val="none"/>
        </w:rPr>
        <w:sectPr>
          <w:pgSz w:w="11907" w:h="16840"/>
          <w:pgMar w:top="1417" w:right="1134" w:bottom="1417" w:left="1134" w:header="850" w:footer="850" w:gutter="0"/>
          <w:pgNumType w:fmt="decimal"/>
          <w:cols w:space="720" w:num="1"/>
          <w:docGrid w:linePitch="312" w:charSpace="0"/>
        </w:sectPr>
      </w:pPr>
      <w:r>
        <w:rPr>
          <w:rFonts w:hint="eastAsia" w:ascii="宋体" w:hAnsi="宋体" w:eastAsia="宋体" w:cs="宋体"/>
          <w:color w:val="auto"/>
          <w:sz w:val="24"/>
          <w:highlight w:val="none"/>
        </w:rPr>
        <w:t>注</w:t>
      </w:r>
      <w:r>
        <w:rPr>
          <w:rFonts w:hint="eastAsia" w:cs="宋体"/>
          <w:color w:val="auto"/>
          <w:sz w:val="24"/>
          <w:highlight w:val="none"/>
          <w:lang w:eastAsia="zh-CN"/>
        </w:rPr>
        <w:t>：</w:t>
      </w:r>
      <w:r>
        <w:rPr>
          <w:rFonts w:hint="eastAsia" w:ascii="宋体" w:hAnsi="宋体" w:eastAsia="宋体" w:cs="宋体"/>
          <w:color w:val="auto"/>
          <w:sz w:val="24"/>
          <w:highlight w:val="none"/>
        </w:rPr>
        <w:t>如供应商由法定代表人亲自签署响应文件并参与相关活动，则不需要办理授权。如有被授权的授权委托人签署上述文件，则必须按本格式规定填报并提交授权书，否则授权委托人将不被认可。</w:t>
      </w:r>
    </w:p>
    <w:p w14:paraId="33ACA31C">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default" w:ascii="宋体" w:hAnsi="宋体" w:eastAsia="宋体" w:cs="宋体"/>
          <w:b/>
          <w:bCs w:val="0"/>
          <w:kern w:val="0"/>
          <w:szCs w:val="28"/>
          <w:highlight w:val="none"/>
          <w:lang w:val="en-US" w:eastAsia="zh-CN"/>
        </w:rPr>
      </w:pPr>
      <w:bookmarkStart w:id="100" w:name="_Toc12890"/>
      <w:r>
        <w:rPr>
          <w:rFonts w:hint="eastAsia" w:ascii="宋体" w:hAnsi="宋体" w:eastAsia="宋体" w:cs="宋体"/>
          <w:b/>
          <w:bCs w:val="0"/>
          <w:kern w:val="0"/>
          <w:szCs w:val="28"/>
          <w:highlight w:val="none"/>
          <w:lang w:eastAsia="zh-CN"/>
        </w:rPr>
        <w:t>（</w:t>
      </w:r>
      <w:r>
        <w:rPr>
          <w:rFonts w:hint="eastAsia" w:ascii="宋体" w:hAnsi="宋体" w:eastAsia="宋体" w:cs="宋体"/>
          <w:b/>
          <w:bCs w:val="0"/>
          <w:kern w:val="0"/>
          <w:szCs w:val="28"/>
          <w:highlight w:val="none"/>
          <w:lang w:val="en-US" w:eastAsia="zh-CN"/>
        </w:rPr>
        <w:t>三</w:t>
      </w:r>
      <w:r>
        <w:rPr>
          <w:rFonts w:hint="eastAsia" w:ascii="宋体" w:hAnsi="宋体" w:eastAsia="宋体" w:cs="宋体"/>
          <w:b/>
          <w:bCs w:val="0"/>
          <w:kern w:val="0"/>
          <w:szCs w:val="28"/>
          <w:highlight w:val="none"/>
          <w:lang w:eastAsia="zh-CN"/>
        </w:rPr>
        <w:t>）</w:t>
      </w:r>
      <w:r>
        <w:rPr>
          <w:rFonts w:hint="eastAsia" w:ascii="宋体" w:hAnsi="宋体" w:eastAsia="宋体" w:cs="宋体"/>
          <w:b/>
          <w:bCs w:val="0"/>
          <w:kern w:val="0"/>
          <w:szCs w:val="28"/>
          <w:highlight w:val="none"/>
          <w:lang w:val="en-US" w:eastAsia="zh-CN"/>
        </w:rPr>
        <w:t>响应报价（实质性格式）</w:t>
      </w:r>
    </w:p>
    <w:p w14:paraId="56566183">
      <w:pPr>
        <w:pStyle w:val="20"/>
        <w:keepNext/>
        <w:keepLines w:val="0"/>
        <w:pageBreakBefore w:val="0"/>
        <w:widowControl w:val="0"/>
        <w:kinsoku/>
        <w:wordWrap/>
        <w:overflowPunct w:val="0"/>
        <w:topLinePunct w:val="0"/>
        <w:autoSpaceDE/>
        <w:autoSpaceDN/>
        <w:bidi w:val="0"/>
        <w:adjustRightInd w:val="0"/>
        <w:snapToGrid/>
        <w:spacing w:before="120" w:after="0" w:line="360" w:lineRule="auto"/>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1.报价一览表（首轮）</w:t>
      </w:r>
      <w:bookmarkEnd w:id="100"/>
    </w:p>
    <w:p w14:paraId="48ABE37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Cs/>
          <w:color w:val="auto"/>
          <w:sz w:val="24"/>
          <w:highlight w:val="none"/>
          <w:u w:val="single"/>
        </w:rPr>
        <w:t xml:space="preserve">                          </w:t>
      </w:r>
    </w:p>
    <w:p w14:paraId="05A2E75A">
      <w:pPr>
        <w:spacing w:line="360" w:lineRule="auto"/>
        <w:rPr>
          <w:rFonts w:hint="eastAsia" w:ascii="宋体" w:hAnsi="宋体" w:eastAsia="宋体" w:cs="宋体"/>
          <w:b/>
          <w:color w:val="auto"/>
          <w:sz w:val="24"/>
          <w:highlight w:val="none"/>
        </w:rPr>
      </w:pPr>
      <w:r>
        <w:rPr>
          <w:rFonts w:hint="eastAsia" w:cs="宋体"/>
          <w:b/>
          <w:color w:val="auto"/>
          <w:sz w:val="24"/>
          <w:highlight w:val="none"/>
          <w:lang w:eastAsia="zh-CN"/>
        </w:rPr>
        <w:t>项目编号</w:t>
      </w:r>
      <w:r>
        <w:rPr>
          <w:rFonts w:hint="eastAsia" w:ascii="宋体" w:hAnsi="宋体" w:eastAsia="宋体" w:cs="宋体"/>
          <w:b/>
          <w:color w:val="auto"/>
          <w:sz w:val="24"/>
          <w:highlight w:val="none"/>
        </w:rPr>
        <w:t>：</w:t>
      </w:r>
      <w:r>
        <w:rPr>
          <w:rFonts w:hint="eastAsia" w:ascii="宋体" w:hAnsi="宋体" w:eastAsia="宋体" w:cs="宋体"/>
          <w:bCs/>
          <w:color w:val="auto"/>
          <w:sz w:val="24"/>
          <w:highlight w:val="none"/>
          <w:u w:val="single"/>
        </w:rPr>
        <w:t xml:space="preserve">                          </w:t>
      </w:r>
    </w:p>
    <w:tbl>
      <w:tblPr>
        <w:tblStyle w:val="2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437"/>
        <w:gridCol w:w="6172"/>
      </w:tblGrid>
      <w:tr w14:paraId="66A8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37E2ECA7">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序号</w:t>
            </w:r>
          </w:p>
        </w:tc>
        <w:tc>
          <w:tcPr>
            <w:tcW w:w="2437" w:type="dxa"/>
            <w:noWrap w:val="0"/>
            <w:vAlign w:val="center"/>
          </w:tcPr>
          <w:p w14:paraId="4D5B2268">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项目</w:t>
            </w:r>
          </w:p>
        </w:tc>
        <w:tc>
          <w:tcPr>
            <w:tcW w:w="6172" w:type="dxa"/>
            <w:noWrap w:val="0"/>
            <w:vAlign w:val="center"/>
          </w:tcPr>
          <w:p w14:paraId="3D7EEE3D">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响应内容</w:t>
            </w:r>
          </w:p>
        </w:tc>
      </w:tr>
      <w:tr w14:paraId="7889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394556EB">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w:t>
            </w:r>
          </w:p>
        </w:tc>
        <w:tc>
          <w:tcPr>
            <w:tcW w:w="2437" w:type="dxa"/>
            <w:noWrap w:val="0"/>
            <w:vAlign w:val="center"/>
          </w:tcPr>
          <w:p w14:paraId="7A9DDDBE">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响应总价</w:t>
            </w:r>
          </w:p>
        </w:tc>
        <w:tc>
          <w:tcPr>
            <w:tcW w:w="6172" w:type="dxa"/>
            <w:noWrap w:val="0"/>
            <w:vAlign w:val="center"/>
          </w:tcPr>
          <w:p w14:paraId="4DD13A39">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人民币（大写）        元整（¥          元）             </w:t>
            </w:r>
          </w:p>
        </w:tc>
      </w:tr>
      <w:tr w14:paraId="573E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49395DFD">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w:t>
            </w:r>
          </w:p>
        </w:tc>
        <w:tc>
          <w:tcPr>
            <w:tcW w:w="2437" w:type="dxa"/>
            <w:noWrap w:val="0"/>
            <w:vAlign w:val="center"/>
          </w:tcPr>
          <w:p w14:paraId="47BB1737">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合同履行期限</w:t>
            </w:r>
          </w:p>
        </w:tc>
        <w:tc>
          <w:tcPr>
            <w:tcW w:w="6172" w:type="dxa"/>
            <w:noWrap w:val="0"/>
            <w:vAlign w:val="center"/>
          </w:tcPr>
          <w:p w14:paraId="3E4CCED6">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b w:val="0"/>
                <w:bCs w:val="0"/>
                <w:color w:val="000000"/>
                <w:kern w:val="0"/>
                <w:sz w:val="24"/>
                <w:szCs w:val="24"/>
                <w:highlight w:val="none"/>
                <w:lang w:val="en-US" w:eastAsia="zh-CN"/>
              </w:rPr>
            </w:pPr>
          </w:p>
        </w:tc>
      </w:tr>
      <w:tr w14:paraId="37D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6CEED363">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3</w:t>
            </w:r>
          </w:p>
        </w:tc>
        <w:tc>
          <w:tcPr>
            <w:tcW w:w="2437" w:type="dxa"/>
            <w:noWrap w:val="0"/>
            <w:vAlign w:val="center"/>
          </w:tcPr>
          <w:p w14:paraId="4AB7C04F">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质量标准</w:t>
            </w:r>
          </w:p>
        </w:tc>
        <w:tc>
          <w:tcPr>
            <w:tcW w:w="6172" w:type="dxa"/>
            <w:noWrap w:val="0"/>
            <w:vAlign w:val="center"/>
          </w:tcPr>
          <w:p w14:paraId="26C48ED2">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b w:val="0"/>
                <w:bCs w:val="0"/>
                <w:color w:val="000000"/>
                <w:kern w:val="0"/>
                <w:sz w:val="24"/>
                <w:szCs w:val="24"/>
                <w:highlight w:val="none"/>
                <w:lang w:val="en-US" w:eastAsia="zh-CN"/>
              </w:rPr>
            </w:pPr>
          </w:p>
        </w:tc>
      </w:tr>
      <w:tr w14:paraId="758A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389B2E3A">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w:t>
            </w:r>
          </w:p>
        </w:tc>
        <w:tc>
          <w:tcPr>
            <w:tcW w:w="2437" w:type="dxa"/>
            <w:noWrap w:val="0"/>
            <w:vAlign w:val="center"/>
          </w:tcPr>
          <w:p w14:paraId="0D8B86BF">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说明</w:t>
            </w:r>
          </w:p>
        </w:tc>
        <w:tc>
          <w:tcPr>
            <w:tcW w:w="6172" w:type="dxa"/>
            <w:noWrap w:val="0"/>
            <w:vAlign w:val="center"/>
          </w:tcPr>
          <w:p w14:paraId="57B15F54">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b w:val="0"/>
                <w:bCs w:val="0"/>
                <w:color w:val="000000"/>
                <w:kern w:val="0"/>
                <w:sz w:val="24"/>
                <w:szCs w:val="24"/>
                <w:highlight w:val="none"/>
                <w:lang w:val="en-US" w:eastAsia="zh-CN"/>
              </w:rPr>
            </w:pPr>
          </w:p>
        </w:tc>
      </w:tr>
    </w:tbl>
    <w:p w14:paraId="197CD302">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rPr>
          <w:rFonts w:hint="default" w:ascii="宋体" w:hAnsi="宋体" w:eastAsia="宋体" w:cs="宋体"/>
          <w:b/>
          <w:bCs w:val="0"/>
          <w:sz w:val="24"/>
          <w:highlight w:val="none"/>
          <w:lang w:val="en-US" w:eastAsia="zh-CN"/>
        </w:rPr>
      </w:pPr>
      <w:r>
        <w:rPr>
          <w:rFonts w:hint="eastAsia" w:cs="宋体"/>
          <w:b/>
          <w:bCs w:val="0"/>
          <w:sz w:val="24"/>
          <w:highlight w:val="none"/>
          <w:lang w:val="en-US" w:eastAsia="zh-CN"/>
        </w:rPr>
        <w:t>备注：“报价一览表（首轮）”中的响应总价应与“已标价工程量清单”中的总价保持一致。</w:t>
      </w:r>
    </w:p>
    <w:p w14:paraId="1694CBBE">
      <w:pPr>
        <w:adjustRightInd w:val="0"/>
        <w:snapToGrid w:val="0"/>
        <w:spacing w:line="360" w:lineRule="auto"/>
        <w:ind w:right="1920"/>
        <w:rPr>
          <w:rFonts w:hint="eastAsia" w:ascii="宋体" w:hAnsi="宋体" w:eastAsia="宋体" w:cs="宋体"/>
          <w:bCs/>
          <w:sz w:val="24"/>
          <w:highlight w:val="none"/>
        </w:rPr>
      </w:pPr>
    </w:p>
    <w:p w14:paraId="447EC126">
      <w:pPr>
        <w:adjustRightInd w:val="0"/>
        <w:snapToGrid w:val="0"/>
        <w:spacing w:line="360" w:lineRule="auto"/>
        <w:ind w:right="1920"/>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（电子签章）</w:t>
      </w:r>
    </w:p>
    <w:p w14:paraId="13C885E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法定代表人（或非法人组织负责人）或委托代理人：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2B8097EA">
      <w:pPr>
        <w:adjustRightInd w:val="0"/>
        <w:snapToGrid w:val="0"/>
        <w:spacing w:line="360" w:lineRule="auto"/>
        <w:ind w:right="-1"/>
        <w:rPr>
          <w:rFonts w:hint="eastAsia" w:ascii="宋体" w:hAnsi="宋体" w:eastAsia="宋体" w:cs="宋体"/>
          <w:sz w:val="24"/>
          <w:highlight w:val="none"/>
        </w:rPr>
        <w:sectPr>
          <w:pgSz w:w="11907" w:h="16840"/>
          <w:pgMar w:top="1417" w:right="1134" w:bottom="1417" w:left="1134" w:header="850" w:footer="850" w:gutter="0"/>
          <w:pgNumType w:fmt="decimal"/>
          <w:cols w:space="720" w:num="1"/>
          <w:docGrid w:linePitch="312" w:charSpace="0"/>
        </w:sectPr>
      </w:pPr>
      <w:r>
        <w:rPr>
          <w:rFonts w:hint="eastAsia" w:ascii="宋体" w:hAnsi="宋体" w:eastAsia="宋体" w:cs="宋体"/>
          <w:bCs/>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日</w:t>
      </w:r>
    </w:p>
    <w:p w14:paraId="630BBF73">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2"/>
        <w:rPr>
          <w:rFonts w:hint="default" w:ascii="宋体" w:hAnsi="宋体" w:eastAsia="宋体" w:cs="宋体"/>
          <w:b/>
          <w:bCs/>
          <w:sz w:val="24"/>
          <w:szCs w:val="24"/>
          <w:highlight w:val="none"/>
          <w:lang w:val="en-US" w:eastAsia="zh-CN"/>
        </w:rPr>
      </w:pPr>
      <w:bookmarkStart w:id="101" w:name="_Toc15528"/>
      <w:r>
        <w:rPr>
          <w:rFonts w:hint="eastAsia" w:ascii="宋体" w:hAnsi="宋体" w:eastAsia="宋体" w:cs="宋体"/>
          <w:b/>
          <w:bCs/>
          <w:sz w:val="24"/>
          <w:szCs w:val="24"/>
          <w:highlight w:val="none"/>
          <w:lang w:val="en-US" w:eastAsia="zh-CN"/>
        </w:rPr>
        <w:t>2.</w:t>
      </w:r>
      <w:bookmarkEnd w:id="101"/>
      <w:r>
        <w:rPr>
          <w:rFonts w:hint="eastAsia" w:ascii="宋体" w:hAnsi="宋体" w:eastAsia="宋体" w:cs="宋体"/>
          <w:b/>
          <w:bCs/>
          <w:sz w:val="24"/>
          <w:szCs w:val="24"/>
          <w:highlight w:val="none"/>
          <w:lang w:val="en-US" w:eastAsia="zh-CN"/>
        </w:rPr>
        <w:t>已标价工程量清单</w:t>
      </w:r>
    </w:p>
    <w:p w14:paraId="0D7BB90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color w:val="FF0000"/>
          <w:highlight w:val="none"/>
          <w:lang w:val="en-US" w:eastAsia="zh-CN"/>
        </w:rPr>
        <w:t>已标价</w:t>
      </w:r>
      <w:r>
        <w:rPr>
          <w:rFonts w:hint="eastAsia"/>
          <w:color w:val="FF0000"/>
          <w:highlight w:val="none"/>
        </w:rPr>
        <w:t>工程量清单</w:t>
      </w:r>
      <w:r>
        <w:rPr>
          <w:rFonts w:hint="eastAsia"/>
          <w:highlight w:val="none"/>
        </w:rPr>
        <w:t>不需要造价编制人员签字或盖章。</w:t>
      </w:r>
    </w:p>
    <w:p w14:paraId="04AED715">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none"/>
        </w:rPr>
      </w:pPr>
      <w:r>
        <w:rPr>
          <w:rFonts w:hint="eastAsia"/>
          <w:highlight w:val="none"/>
          <w:lang w:val="en-US" w:eastAsia="zh-CN"/>
        </w:rPr>
        <w:t>（2）供应商</w:t>
      </w:r>
      <w:r>
        <w:rPr>
          <w:rFonts w:hint="eastAsia"/>
          <w:highlight w:val="none"/>
        </w:rPr>
        <w:t>在</w:t>
      </w:r>
      <w:r>
        <w:rPr>
          <w:rFonts w:hint="eastAsia"/>
          <w:color w:val="FF0000"/>
          <w:highlight w:val="none"/>
          <w:lang w:val="en-US" w:eastAsia="zh-CN"/>
        </w:rPr>
        <w:t>已标价</w:t>
      </w:r>
      <w:r>
        <w:rPr>
          <w:rFonts w:hint="eastAsia"/>
          <w:color w:val="FF0000"/>
          <w:highlight w:val="none"/>
        </w:rPr>
        <w:t>工程量清单</w:t>
      </w:r>
      <w:r>
        <w:rPr>
          <w:rFonts w:hint="eastAsia"/>
          <w:color w:val="FF0000"/>
          <w:highlight w:val="none"/>
          <w:lang w:eastAsia="zh-CN"/>
        </w:rPr>
        <w:t>中</w:t>
      </w:r>
      <w:r>
        <w:rPr>
          <w:rFonts w:hint="eastAsia"/>
          <w:highlight w:val="none"/>
        </w:rPr>
        <w:t>填报的单价是全费用综合单价</w:t>
      </w:r>
      <w:r>
        <w:rPr>
          <w:rFonts w:hint="eastAsia"/>
          <w:highlight w:val="none"/>
          <w:lang w:eastAsia="zh-CN"/>
        </w:rPr>
        <w:t>，</w:t>
      </w:r>
      <w:r>
        <w:rPr>
          <w:rFonts w:hint="eastAsia"/>
          <w:color w:val="FF0000"/>
          <w:highlight w:val="none"/>
          <w:lang w:eastAsia="zh-CN"/>
        </w:rPr>
        <w:t>全费用综合单价在合同执行过程中不调整</w:t>
      </w:r>
      <w:r>
        <w:rPr>
          <w:rFonts w:hint="eastAsia"/>
          <w:color w:val="FF0000"/>
          <w:highlight w:val="none"/>
        </w:rPr>
        <w:t>。</w:t>
      </w:r>
    </w:p>
    <w:p w14:paraId="31F20BB5">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color w:val="FF0000"/>
          <w:highlight w:val="none"/>
          <w:lang w:eastAsia="zh-CN"/>
        </w:rPr>
      </w:pPr>
      <w:r>
        <w:rPr>
          <w:rFonts w:hint="eastAsia"/>
          <w:color w:val="FF0000"/>
          <w:highlight w:val="none"/>
          <w:lang w:val="en-US" w:eastAsia="zh-CN"/>
        </w:rPr>
        <w:t>（3）供应商在已标价</w:t>
      </w:r>
      <w:r>
        <w:rPr>
          <w:rFonts w:hint="eastAsia"/>
          <w:color w:val="FF0000"/>
          <w:highlight w:val="none"/>
        </w:rPr>
        <w:t>工程量清单</w:t>
      </w:r>
      <w:r>
        <w:rPr>
          <w:rFonts w:hint="eastAsia"/>
          <w:color w:val="FF0000"/>
          <w:highlight w:val="none"/>
          <w:lang w:eastAsia="zh-CN"/>
        </w:rPr>
        <w:t>中</w:t>
      </w:r>
      <w:r>
        <w:rPr>
          <w:rFonts w:hint="eastAsia"/>
          <w:color w:val="FF0000"/>
          <w:highlight w:val="none"/>
        </w:rPr>
        <w:t>填报的</w:t>
      </w:r>
      <w:r>
        <w:rPr>
          <w:rFonts w:hint="eastAsia"/>
          <w:color w:val="FF0000"/>
          <w:highlight w:val="none"/>
          <w:lang w:eastAsia="zh-CN"/>
        </w:rPr>
        <w:t>响应总报价</w:t>
      </w:r>
      <w:r>
        <w:rPr>
          <w:rFonts w:hint="eastAsia"/>
          <w:color w:val="FF0000"/>
          <w:highlight w:val="none"/>
        </w:rPr>
        <w:t>不得超过《招标工程量清单》“最高投标限价公布表”中的招标控制总价</w:t>
      </w:r>
      <w:r>
        <w:rPr>
          <w:rFonts w:hint="eastAsia"/>
          <w:color w:val="FF0000"/>
          <w:highlight w:val="none"/>
          <w:lang w:eastAsia="zh-CN"/>
        </w:rPr>
        <w:t>。</w:t>
      </w:r>
    </w:p>
    <w:p w14:paraId="2075B0D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none"/>
        </w:rPr>
      </w:pPr>
      <w:r>
        <w:rPr>
          <w:rFonts w:hint="eastAsia"/>
          <w:highlight w:val="none"/>
          <w:lang w:val="en-US" w:eastAsia="zh-CN"/>
        </w:rPr>
        <w:t>（4）竞争性</w:t>
      </w:r>
      <w:r>
        <w:rPr>
          <w:rFonts w:hint="eastAsia"/>
          <w:highlight w:val="none"/>
        </w:rPr>
        <w:t>文件</w:t>
      </w:r>
      <w:r>
        <w:rPr>
          <w:rFonts w:hint="eastAsia"/>
          <w:highlight w:val="none"/>
          <w:lang w:val="en-US" w:eastAsia="zh-CN"/>
        </w:rPr>
        <w:t>第四章《采购需求》“招标工程量清单”</w:t>
      </w:r>
      <w:r>
        <w:rPr>
          <w:rFonts w:hint="eastAsia"/>
          <w:highlight w:val="none"/>
        </w:rPr>
        <w:t>给出的工程量清单的顺序</w:t>
      </w:r>
      <w:r>
        <w:rPr>
          <w:rFonts w:hint="eastAsia"/>
          <w:highlight w:val="none"/>
          <w:lang w:eastAsia="zh-CN"/>
        </w:rPr>
        <w:t>、</w:t>
      </w:r>
      <w:r>
        <w:rPr>
          <w:rFonts w:hint="eastAsia"/>
          <w:highlight w:val="none"/>
        </w:rPr>
        <w:t>项目编码、项目名称、项目特征、计量单位、工程量均不得修改，否则</w:t>
      </w:r>
      <w:r>
        <w:rPr>
          <w:rFonts w:hint="eastAsia"/>
          <w:highlight w:val="none"/>
          <w:lang w:val="en-US" w:eastAsia="zh-CN"/>
        </w:rPr>
        <w:t>响应无效</w:t>
      </w:r>
      <w:r>
        <w:rPr>
          <w:rFonts w:hint="eastAsia"/>
          <w:highlight w:val="none"/>
        </w:rPr>
        <w:t>。</w:t>
      </w:r>
    </w:p>
    <w:p w14:paraId="42F1C27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）竞争性文件第四章《采购需求》“招标工程量清单”</w:t>
      </w:r>
      <w:r>
        <w:rPr>
          <w:rFonts w:hint="eastAsia"/>
          <w:highlight w:val="none"/>
        </w:rPr>
        <w:t>中如有暂估价、暂列金的，</w:t>
      </w:r>
      <w:r>
        <w:rPr>
          <w:rFonts w:hint="eastAsia"/>
          <w:highlight w:val="none"/>
          <w:lang w:val="en-US" w:eastAsia="zh-CN"/>
        </w:rPr>
        <w:t>供应商</w:t>
      </w:r>
      <w:r>
        <w:rPr>
          <w:rFonts w:hint="eastAsia"/>
          <w:highlight w:val="none"/>
        </w:rPr>
        <w:t>在填报时不得更改，直接计入</w:t>
      </w:r>
      <w:r>
        <w:rPr>
          <w:rFonts w:hint="eastAsia"/>
          <w:highlight w:val="none"/>
          <w:lang w:val="en-US" w:eastAsia="zh-CN"/>
        </w:rPr>
        <w:t>响应</w:t>
      </w:r>
      <w:r>
        <w:rPr>
          <w:rFonts w:hint="eastAsia"/>
          <w:highlight w:val="none"/>
        </w:rPr>
        <w:t>总价。</w:t>
      </w:r>
    </w:p>
    <w:p w14:paraId="773206A0">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none"/>
        </w:rPr>
        <w:sectPr>
          <w:pgSz w:w="11907" w:h="16840"/>
          <w:pgMar w:top="1417" w:right="1134" w:bottom="1417" w:left="1134" w:header="850" w:footer="850" w:gutter="0"/>
          <w:pgNumType w:fmt="decimal"/>
          <w:cols w:space="720" w:num="1"/>
          <w:docGrid w:linePitch="312" w:charSpace="0"/>
        </w:sect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已标价的工程量清单格式请按照</w:t>
      </w:r>
      <w:r>
        <w:rPr>
          <w:rFonts w:hint="eastAsia"/>
          <w:highlight w:val="none"/>
          <w:lang w:eastAsia="zh-CN"/>
        </w:rPr>
        <w:t>第四章《采购需求》“招标工程量清单”</w:t>
      </w:r>
      <w:r>
        <w:rPr>
          <w:rFonts w:hint="eastAsia"/>
          <w:highlight w:val="none"/>
          <w:lang w:val="en-US" w:eastAsia="zh-CN"/>
        </w:rPr>
        <w:t>给定的格式填写</w:t>
      </w:r>
      <w:r>
        <w:rPr>
          <w:rFonts w:hint="eastAsia"/>
          <w:highlight w:val="none"/>
        </w:rPr>
        <w:t>，可以使用造价软件导出，也可以使用excel编制。</w:t>
      </w:r>
    </w:p>
    <w:p w14:paraId="76EA6034">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宋体" w:hAnsi="宋体" w:eastAsia="宋体" w:cs="宋体"/>
          <w:b/>
          <w:bCs w:val="0"/>
          <w:kern w:val="0"/>
          <w:szCs w:val="28"/>
          <w:highlight w:val="none"/>
          <w:lang w:val="en-US" w:eastAsia="zh-CN"/>
        </w:rPr>
      </w:pPr>
      <w:bookmarkStart w:id="102" w:name="_Toc21820"/>
      <w:r>
        <w:rPr>
          <w:rFonts w:hint="eastAsia" w:ascii="宋体" w:hAnsi="宋体" w:eastAsia="宋体" w:cs="宋体"/>
          <w:b/>
          <w:bCs w:val="0"/>
          <w:kern w:val="0"/>
          <w:szCs w:val="28"/>
          <w:highlight w:val="none"/>
          <w:lang w:val="en-US" w:eastAsia="zh-CN"/>
        </w:rPr>
        <w:t>（四）</w:t>
      </w:r>
      <w:bookmarkEnd w:id="102"/>
      <w:r>
        <w:rPr>
          <w:rFonts w:hint="eastAsia" w:ascii="宋体" w:hAnsi="宋体" w:eastAsia="宋体" w:cs="宋体"/>
          <w:b/>
          <w:bCs w:val="0"/>
          <w:kern w:val="0"/>
          <w:szCs w:val="28"/>
          <w:highlight w:val="none"/>
          <w:lang w:val="en-US" w:eastAsia="zh-CN"/>
        </w:rPr>
        <w:t>货物的技术规格、数量、服务标准、验收等要求的响应</w:t>
      </w:r>
    </w:p>
    <w:p w14:paraId="19DDB08A">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格式自拟，包括但不限于以下内容：</w:t>
      </w:r>
    </w:p>
    <w:p w14:paraId="332BF913">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.项目理解和建议（格式自拟）</w:t>
      </w:r>
    </w:p>
    <w:p w14:paraId="561A5D6F">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highlight w:val="none"/>
          <w:lang w:eastAsia="zh-CN"/>
        </w:rPr>
      </w:pPr>
      <w:bookmarkStart w:id="103" w:name="_Toc213141099"/>
      <w:bookmarkStart w:id="104" w:name="_Toc39908912"/>
      <w:bookmarkStart w:id="105" w:name="_Toc232509442"/>
      <w:r>
        <w:rPr>
          <w:rFonts w:hint="eastAsia" w:ascii="宋体" w:hAnsi="宋体" w:eastAsia="宋体" w:cs="宋体"/>
          <w:sz w:val="24"/>
          <w:highlight w:val="none"/>
        </w:rPr>
        <w:t>2</w:t>
      </w:r>
      <w:r>
        <w:rPr>
          <w:rFonts w:hint="eastAsia" w:ascii="宋体" w:hAnsi="宋体" w:eastAsia="宋体" w:cs="宋体"/>
          <w:sz w:val="24"/>
          <w:highlight w:val="none"/>
          <w:lang w:eastAsia="zh-CN"/>
        </w:rPr>
        <w:t>.</w:t>
      </w:r>
      <w:bookmarkEnd w:id="103"/>
      <w:bookmarkEnd w:id="104"/>
      <w:bookmarkEnd w:id="105"/>
      <w:r>
        <w:rPr>
          <w:rFonts w:hint="eastAsia" w:cs="宋体"/>
          <w:sz w:val="24"/>
          <w:highlight w:val="none"/>
          <w:lang w:val="en-US" w:eastAsia="zh-CN"/>
        </w:rPr>
        <w:t>建设方案</w:t>
      </w:r>
      <w:r>
        <w:rPr>
          <w:rFonts w:hint="eastAsia" w:ascii="宋体" w:hAnsi="宋体" w:eastAsia="宋体" w:cs="宋体"/>
          <w:sz w:val="24"/>
          <w:highlight w:val="none"/>
          <w:lang w:eastAsia="zh-CN"/>
        </w:rPr>
        <w:t>（格式自拟）</w:t>
      </w:r>
    </w:p>
    <w:p w14:paraId="03E47944">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cs="宋体"/>
          <w:color w:val="auto"/>
          <w:sz w:val="24"/>
          <w:highlight w:val="none"/>
          <w:lang w:val="en-US" w:eastAsia="zh-CN"/>
        </w:rPr>
      </w:pPr>
      <w:r>
        <w:rPr>
          <w:rFonts w:hint="eastAsia" w:cs="宋体"/>
          <w:color w:val="auto"/>
          <w:sz w:val="24"/>
          <w:highlight w:val="none"/>
          <w:lang w:val="en-US" w:eastAsia="zh-CN"/>
        </w:rPr>
        <w:t>3.磋商货物标的清单</w:t>
      </w:r>
    </w:p>
    <w:tbl>
      <w:tblPr>
        <w:tblStyle w:val="22"/>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754"/>
        <w:gridCol w:w="781"/>
        <w:gridCol w:w="1238"/>
        <w:gridCol w:w="1097"/>
        <w:gridCol w:w="1101"/>
        <w:gridCol w:w="1258"/>
        <w:gridCol w:w="758"/>
        <w:gridCol w:w="795"/>
        <w:gridCol w:w="740"/>
        <w:gridCol w:w="740"/>
      </w:tblGrid>
      <w:tr w14:paraId="4775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88" w:type="dxa"/>
            <w:noWrap w:val="0"/>
            <w:vAlign w:val="center"/>
          </w:tcPr>
          <w:p w14:paraId="71FA1C81">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754" w:type="dxa"/>
            <w:noWrap w:val="0"/>
            <w:vAlign w:val="center"/>
          </w:tcPr>
          <w:p w14:paraId="773E14A4">
            <w:pPr>
              <w:jc w:val="center"/>
              <w:rPr>
                <w:rFonts w:hint="eastAsia" w:ascii="宋体" w:hAnsi="宋体" w:eastAsia="宋体" w:cs="宋体"/>
                <w:b/>
                <w:color w:val="auto"/>
                <w:sz w:val="24"/>
                <w:highlight w:val="none"/>
              </w:rPr>
            </w:pPr>
            <w:r>
              <w:rPr>
                <w:rFonts w:hint="eastAsia" w:cs="宋体"/>
                <w:b/>
                <w:color w:val="auto"/>
                <w:sz w:val="24"/>
                <w:highlight w:val="none"/>
                <w:lang w:val="en-US" w:eastAsia="zh-CN"/>
              </w:rPr>
              <w:t>货物标的</w:t>
            </w:r>
            <w:r>
              <w:rPr>
                <w:rFonts w:hint="eastAsia" w:ascii="宋体" w:hAnsi="宋体" w:eastAsia="宋体" w:cs="宋体"/>
                <w:b/>
                <w:color w:val="auto"/>
                <w:sz w:val="24"/>
                <w:highlight w:val="none"/>
              </w:rPr>
              <w:t>名称</w:t>
            </w:r>
          </w:p>
        </w:tc>
        <w:tc>
          <w:tcPr>
            <w:tcW w:w="781" w:type="dxa"/>
            <w:noWrap w:val="0"/>
            <w:vAlign w:val="center"/>
          </w:tcPr>
          <w:p w14:paraId="2A51502F">
            <w:pPr>
              <w:jc w:val="center"/>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项目编码</w:t>
            </w:r>
          </w:p>
        </w:tc>
        <w:tc>
          <w:tcPr>
            <w:tcW w:w="1238" w:type="dxa"/>
            <w:noWrap w:val="0"/>
            <w:vAlign w:val="center"/>
          </w:tcPr>
          <w:p w14:paraId="5855362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1097" w:type="dxa"/>
            <w:noWrap w:val="0"/>
            <w:vAlign w:val="center"/>
          </w:tcPr>
          <w:p w14:paraId="43FBFF21">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产地</w:t>
            </w:r>
            <w:r>
              <w:rPr>
                <w:rFonts w:hint="eastAsia" w:ascii="宋体" w:hAnsi="宋体" w:eastAsia="宋体" w:cs="宋体"/>
                <w:b/>
                <w:color w:val="auto"/>
                <w:sz w:val="24"/>
                <w:highlight w:val="none"/>
                <w:lang w:val="en-US" w:eastAsia="zh-CN"/>
              </w:rPr>
              <w:t>/国别</w:t>
            </w:r>
          </w:p>
        </w:tc>
        <w:tc>
          <w:tcPr>
            <w:tcW w:w="1101" w:type="dxa"/>
            <w:noWrap w:val="0"/>
            <w:vAlign w:val="center"/>
          </w:tcPr>
          <w:p w14:paraId="4EFD3232">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制造商</w:t>
            </w:r>
          </w:p>
          <w:p w14:paraId="201E8FDC">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统一信用代码 </w:t>
            </w:r>
          </w:p>
        </w:tc>
        <w:tc>
          <w:tcPr>
            <w:tcW w:w="1258" w:type="dxa"/>
            <w:noWrap w:val="0"/>
            <w:vAlign w:val="center"/>
          </w:tcPr>
          <w:p w14:paraId="5D649F67">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制造商规模 </w:t>
            </w:r>
          </w:p>
        </w:tc>
        <w:tc>
          <w:tcPr>
            <w:tcW w:w="758" w:type="dxa"/>
            <w:noWrap w:val="0"/>
            <w:vAlign w:val="center"/>
          </w:tcPr>
          <w:p w14:paraId="38F108D7">
            <w:pPr>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品牌</w:t>
            </w:r>
          </w:p>
        </w:tc>
        <w:tc>
          <w:tcPr>
            <w:tcW w:w="795" w:type="dxa"/>
            <w:noWrap w:val="0"/>
            <w:vAlign w:val="center"/>
          </w:tcPr>
          <w:p w14:paraId="2B266AF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740" w:type="dxa"/>
            <w:noWrap w:val="0"/>
            <w:vAlign w:val="center"/>
          </w:tcPr>
          <w:p w14:paraId="185D939B">
            <w:pPr>
              <w:jc w:val="center"/>
              <w:rPr>
                <w:rFonts w:hint="eastAsia" w:ascii="宋体" w:hAnsi="宋体" w:eastAsia="宋体" w:cs="宋体"/>
                <w:b/>
                <w:color w:val="auto"/>
                <w:sz w:val="24"/>
                <w:highlight w:val="none"/>
                <w:lang w:val="en-US" w:eastAsia="zh-CN"/>
              </w:rPr>
            </w:pPr>
            <w:r>
              <w:rPr>
                <w:rFonts w:hint="eastAsia" w:cs="宋体"/>
                <w:b/>
                <w:color w:val="auto"/>
                <w:sz w:val="24"/>
                <w:highlight w:val="none"/>
                <w:lang w:val="en-US" w:eastAsia="zh-CN"/>
              </w:rPr>
              <w:t>单位</w:t>
            </w:r>
          </w:p>
        </w:tc>
        <w:tc>
          <w:tcPr>
            <w:tcW w:w="740" w:type="dxa"/>
            <w:noWrap w:val="0"/>
            <w:vAlign w:val="center"/>
          </w:tcPr>
          <w:p w14:paraId="235B0FB0">
            <w:pPr>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数量</w:t>
            </w:r>
          </w:p>
        </w:tc>
      </w:tr>
      <w:tr w14:paraId="5443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noWrap w:val="0"/>
            <w:vAlign w:val="center"/>
          </w:tcPr>
          <w:p w14:paraId="76651B23">
            <w:pPr>
              <w:jc w:val="center"/>
              <w:rPr>
                <w:rFonts w:hint="eastAsia" w:ascii="宋体" w:hAnsi="宋体" w:eastAsia="宋体" w:cs="宋体"/>
                <w:color w:val="auto"/>
                <w:sz w:val="24"/>
                <w:highlight w:val="none"/>
              </w:rPr>
            </w:pPr>
          </w:p>
        </w:tc>
        <w:tc>
          <w:tcPr>
            <w:tcW w:w="754" w:type="dxa"/>
            <w:noWrap w:val="0"/>
            <w:vAlign w:val="center"/>
          </w:tcPr>
          <w:p w14:paraId="36CB618C">
            <w:pPr>
              <w:jc w:val="center"/>
              <w:rPr>
                <w:rFonts w:hint="eastAsia" w:ascii="宋体" w:hAnsi="宋体" w:eastAsia="宋体" w:cs="宋体"/>
                <w:color w:val="auto"/>
                <w:sz w:val="24"/>
                <w:highlight w:val="none"/>
              </w:rPr>
            </w:pPr>
          </w:p>
        </w:tc>
        <w:tc>
          <w:tcPr>
            <w:tcW w:w="781" w:type="dxa"/>
            <w:noWrap w:val="0"/>
            <w:vAlign w:val="center"/>
          </w:tcPr>
          <w:p w14:paraId="6995910A">
            <w:pPr>
              <w:jc w:val="center"/>
              <w:rPr>
                <w:rFonts w:hint="eastAsia" w:ascii="宋体" w:hAnsi="宋体" w:eastAsia="宋体" w:cs="宋体"/>
                <w:color w:val="auto"/>
                <w:sz w:val="24"/>
                <w:highlight w:val="none"/>
              </w:rPr>
            </w:pPr>
          </w:p>
        </w:tc>
        <w:tc>
          <w:tcPr>
            <w:tcW w:w="1238" w:type="dxa"/>
            <w:noWrap w:val="0"/>
            <w:vAlign w:val="center"/>
          </w:tcPr>
          <w:p w14:paraId="2C588B3D">
            <w:pPr>
              <w:jc w:val="center"/>
              <w:rPr>
                <w:rFonts w:hint="eastAsia" w:ascii="宋体" w:hAnsi="宋体" w:eastAsia="宋体" w:cs="宋体"/>
                <w:color w:val="auto"/>
                <w:sz w:val="24"/>
                <w:highlight w:val="none"/>
              </w:rPr>
            </w:pPr>
          </w:p>
        </w:tc>
        <w:tc>
          <w:tcPr>
            <w:tcW w:w="1097" w:type="dxa"/>
            <w:noWrap w:val="0"/>
            <w:vAlign w:val="center"/>
          </w:tcPr>
          <w:p w14:paraId="36C6A96D">
            <w:pPr>
              <w:jc w:val="center"/>
              <w:rPr>
                <w:rFonts w:hint="eastAsia" w:ascii="宋体" w:hAnsi="宋体" w:eastAsia="宋体" w:cs="宋体"/>
                <w:color w:val="auto"/>
                <w:sz w:val="24"/>
                <w:highlight w:val="none"/>
              </w:rPr>
            </w:pPr>
          </w:p>
        </w:tc>
        <w:tc>
          <w:tcPr>
            <w:tcW w:w="1101" w:type="dxa"/>
            <w:noWrap w:val="0"/>
            <w:vAlign w:val="center"/>
          </w:tcPr>
          <w:p w14:paraId="02834B85">
            <w:pPr>
              <w:jc w:val="center"/>
              <w:rPr>
                <w:rFonts w:hint="eastAsia" w:ascii="宋体" w:hAnsi="宋体" w:eastAsia="宋体" w:cs="宋体"/>
                <w:color w:val="auto"/>
                <w:sz w:val="24"/>
                <w:highlight w:val="none"/>
              </w:rPr>
            </w:pPr>
          </w:p>
        </w:tc>
        <w:tc>
          <w:tcPr>
            <w:tcW w:w="1258" w:type="dxa"/>
            <w:noWrap w:val="0"/>
            <w:vAlign w:val="center"/>
          </w:tcPr>
          <w:p w14:paraId="25F7DDD3">
            <w:pPr>
              <w:jc w:val="center"/>
              <w:rPr>
                <w:rFonts w:hint="eastAsia" w:ascii="宋体" w:hAnsi="宋体" w:eastAsia="宋体" w:cs="宋体"/>
                <w:color w:val="auto"/>
                <w:sz w:val="24"/>
                <w:highlight w:val="none"/>
              </w:rPr>
            </w:pPr>
          </w:p>
        </w:tc>
        <w:tc>
          <w:tcPr>
            <w:tcW w:w="758" w:type="dxa"/>
            <w:noWrap w:val="0"/>
            <w:vAlign w:val="center"/>
          </w:tcPr>
          <w:p w14:paraId="60A29969">
            <w:pPr>
              <w:jc w:val="center"/>
              <w:rPr>
                <w:rFonts w:hint="eastAsia" w:ascii="宋体" w:hAnsi="宋体" w:eastAsia="宋体" w:cs="宋体"/>
                <w:color w:val="auto"/>
                <w:sz w:val="24"/>
                <w:highlight w:val="none"/>
              </w:rPr>
            </w:pPr>
          </w:p>
        </w:tc>
        <w:tc>
          <w:tcPr>
            <w:tcW w:w="795" w:type="dxa"/>
            <w:noWrap w:val="0"/>
            <w:vAlign w:val="center"/>
          </w:tcPr>
          <w:p w14:paraId="28C68490">
            <w:pPr>
              <w:jc w:val="center"/>
              <w:rPr>
                <w:rFonts w:hint="eastAsia" w:ascii="宋体" w:hAnsi="宋体" w:eastAsia="宋体" w:cs="宋体"/>
                <w:color w:val="auto"/>
                <w:sz w:val="24"/>
                <w:highlight w:val="none"/>
              </w:rPr>
            </w:pPr>
          </w:p>
        </w:tc>
        <w:tc>
          <w:tcPr>
            <w:tcW w:w="740" w:type="dxa"/>
            <w:noWrap w:val="0"/>
            <w:vAlign w:val="center"/>
          </w:tcPr>
          <w:p w14:paraId="1F96516A">
            <w:pPr>
              <w:jc w:val="center"/>
              <w:rPr>
                <w:rFonts w:hint="eastAsia" w:ascii="宋体" w:hAnsi="宋体" w:eastAsia="宋体" w:cs="宋体"/>
                <w:color w:val="auto"/>
                <w:sz w:val="24"/>
                <w:highlight w:val="none"/>
              </w:rPr>
            </w:pPr>
          </w:p>
        </w:tc>
        <w:tc>
          <w:tcPr>
            <w:tcW w:w="740" w:type="dxa"/>
            <w:noWrap w:val="0"/>
            <w:vAlign w:val="center"/>
          </w:tcPr>
          <w:p w14:paraId="570A2EAA">
            <w:pPr>
              <w:jc w:val="center"/>
              <w:rPr>
                <w:rFonts w:hint="eastAsia" w:ascii="宋体" w:hAnsi="宋体" w:eastAsia="宋体" w:cs="宋体"/>
                <w:color w:val="auto"/>
                <w:sz w:val="24"/>
                <w:highlight w:val="none"/>
              </w:rPr>
            </w:pPr>
          </w:p>
        </w:tc>
      </w:tr>
      <w:tr w14:paraId="4D06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noWrap w:val="0"/>
            <w:vAlign w:val="center"/>
          </w:tcPr>
          <w:p w14:paraId="47596BA9">
            <w:pPr>
              <w:jc w:val="center"/>
              <w:rPr>
                <w:rFonts w:hint="eastAsia" w:ascii="宋体" w:hAnsi="宋体" w:eastAsia="宋体" w:cs="宋体"/>
                <w:color w:val="auto"/>
                <w:sz w:val="24"/>
                <w:highlight w:val="none"/>
              </w:rPr>
            </w:pPr>
          </w:p>
        </w:tc>
        <w:tc>
          <w:tcPr>
            <w:tcW w:w="754" w:type="dxa"/>
            <w:noWrap w:val="0"/>
            <w:vAlign w:val="center"/>
          </w:tcPr>
          <w:p w14:paraId="4F18BFA0">
            <w:pPr>
              <w:jc w:val="center"/>
              <w:rPr>
                <w:rFonts w:hint="eastAsia" w:ascii="宋体" w:hAnsi="宋体" w:eastAsia="宋体" w:cs="宋体"/>
                <w:color w:val="auto"/>
                <w:sz w:val="24"/>
                <w:highlight w:val="none"/>
              </w:rPr>
            </w:pPr>
          </w:p>
        </w:tc>
        <w:tc>
          <w:tcPr>
            <w:tcW w:w="781" w:type="dxa"/>
            <w:noWrap w:val="0"/>
            <w:vAlign w:val="center"/>
          </w:tcPr>
          <w:p w14:paraId="030CBA19">
            <w:pPr>
              <w:jc w:val="center"/>
              <w:rPr>
                <w:rFonts w:hint="eastAsia" w:ascii="宋体" w:hAnsi="宋体" w:eastAsia="宋体" w:cs="宋体"/>
                <w:color w:val="auto"/>
                <w:sz w:val="24"/>
                <w:highlight w:val="none"/>
              </w:rPr>
            </w:pPr>
          </w:p>
        </w:tc>
        <w:tc>
          <w:tcPr>
            <w:tcW w:w="1238" w:type="dxa"/>
            <w:noWrap w:val="0"/>
            <w:vAlign w:val="center"/>
          </w:tcPr>
          <w:p w14:paraId="52A3DF13">
            <w:pPr>
              <w:jc w:val="center"/>
              <w:rPr>
                <w:rFonts w:hint="eastAsia" w:ascii="宋体" w:hAnsi="宋体" w:eastAsia="宋体" w:cs="宋体"/>
                <w:color w:val="auto"/>
                <w:sz w:val="24"/>
                <w:highlight w:val="none"/>
              </w:rPr>
            </w:pPr>
          </w:p>
        </w:tc>
        <w:tc>
          <w:tcPr>
            <w:tcW w:w="1097" w:type="dxa"/>
            <w:noWrap w:val="0"/>
            <w:vAlign w:val="center"/>
          </w:tcPr>
          <w:p w14:paraId="6CB67A8D">
            <w:pPr>
              <w:jc w:val="center"/>
              <w:rPr>
                <w:rFonts w:hint="eastAsia" w:ascii="宋体" w:hAnsi="宋体" w:eastAsia="宋体" w:cs="宋体"/>
                <w:color w:val="auto"/>
                <w:sz w:val="24"/>
                <w:highlight w:val="none"/>
              </w:rPr>
            </w:pPr>
          </w:p>
        </w:tc>
        <w:tc>
          <w:tcPr>
            <w:tcW w:w="1101" w:type="dxa"/>
            <w:noWrap w:val="0"/>
            <w:vAlign w:val="center"/>
          </w:tcPr>
          <w:p w14:paraId="0929312F">
            <w:pPr>
              <w:jc w:val="center"/>
              <w:rPr>
                <w:rFonts w:hint="eastAsia" w:ascii="宋体" w:hAnsi="宋体" w:eastAsia="宋体" w:cs="宋体"/>
                <w:color w:val="auto"/>
                <w:sz w:val="24"/>
                <w:highlight w:val="none"/>
              </w:rPr>
            </w:pPr>
          </w:p>
        </w:tc>
        <w:tc>
          <w:tcPr>
            <w:tcW w:w="1258" w:type="dxa"/>
            <w:noWrap w:val="0"/>
            <w:vAlign w:val="center"/>
          </w:tcPr>
          <w:p w14:paraId="1960A0F7">
            <w:pPr>
              <w:jc w:val="center"/>
              <w:rPr>
                <w:rFonts w:hint="eastAsia" w:ascii="宋体" w:hAnsi="宋体" w:eastAsia="宋体" w:cs="宋体"/>
                <w:color w:val="auto"/>
                <w:sz w:val="24"/>
                <w:highlight w:val="none"/>
              </w:rPr>
            </w:pPr>
          </w:p>
        </w:tc>
        <w:tc>
          <w:tcPr>
            <w:tcW w:w="758" w:type="dxa"/>
            <w:noWrap w:val="0"/>
            <w:vAlign w:val="center"/>
          </w:tcPr>
          <w:p w14:paraId="472E4BFD">
            <w:pPr>
              <w:jc w:val="center"/>
              <w:rPr>
                <w:rFonts w:hint="eastAsia" w:ascii="宋体" w:hAnsi="宋体" w:eastAsia="宋体" w:cs="宋体"/>
                <w:color w:val="auto"/>
                <w:sz w:val="24"/>
                <w:highlight w:val="none"/>
              </w:rPr>
            </w:pPr>
          </w:p>
        </w:tc>
        <w:tc>
          <w:tcPr>
            <w:tcW w:w="795" w:type="dxa"/>
            <w:noWrap w:val="0"/>
            <w:vAlign w:val="center"/>
          </w:tcPr>
          <w:p w14:paraId="296C52F2">
            <w:pPr>
              <w:jc w:val="center"/>
              <w:rPr>
                <w:rFonts w:hint="eastAsia" w:ascii="宋体" w:hAnsi="宋体" w:eastAsia="宋体" w:cs="宋体"/>
                <w:color w:val="auto"/>
                <w:sz w:val="24"/>
                <w:highlight w:val="none"/>
              </w:rPr>
            </w:pPr>
          </w:p>
        </w:tc>
        <w:tc>
          <w:tcPr>
            <w:tcW w:w="740" w:type="dxa"/>
            <w:noWrap w:val="0"/>
            <w:vAlign w:val="center"/>
          </w:tcPr>
          <w:p w14:paraId="2BC861EB">
            <w:pPr>
              <w:jc w:val="center"/>
              <w:rPr>
                <w:rFonts w:hint="eastAsia" w:ascii="宋体" w:hAnsi="宋体" w:eastAsia="宋体" w:cs="宋体"/>
                <w:color w:val="auto"/>
                <w:sz w:val="24"/>
                <w:highlight w:val="none"/>
              </w:rPr>
            </w:pPr>
          </w:p>
        </w:tc>
        <w:tc>
          <w:tcPr>
            <w:tcW w:w="740" w:type="dxa"/>
            <w:noWrap w:val="0"/>
            <w:vAlign w:val="center"/>
          </w:tcPr>
          <w:p w14:paraId="7A1E6271">
            <w:pPr>
              <w:jc w:val="center"/>
              <w:rPr>
                <w:rFonts w:hint="eastAsia" w:ascii="宋体" w:hAnsi="宋体" w:eastAsia="宋体" w:cs="宋体"/>
                <w:color w:val="auto"/>
                <w:sz w:val="24"/>
                <w:highlight w:val="none"/>
              </w:rPr>
            </w:pPr>
          </w:p>
        </w:tc>
      </w:tr>
      <w:tr w14:paraId="667F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noWrap w:val="0"/>
            <w:vAlign w:val="center"/>
          </w:tcPr>
          <w:p w14:paraId="7446938D">
            <w:pPr>
              <w:jc w:val="center"/>
              <w:rPr>
                <w:rFonts w:hint="eastAsia" w:ascii="宋体" w:hAnsi="宋体" w:eastAsia="宋体" w:cs="宋体"/>
                <w:color w:val="auto"/>
                <w:sz w:val="24"/>
                <w:highlight w:val="none"/>
              </w:rPr>
            </w:pPr>
          </w:p>
        </w:tc>
        <w:tc>
          <w:tcPr>
            <w:tcW w:w="754" w:type="dxa"/>
            <w:noWrap w:val="0"/>
            <w:vAlign w:val="center"/>
          </w:tcPr>
          <w:p w14:paraId="6A76EC5A">
            <w:pPr>
              <w:jc w:val="center"/>
              <w:rPr>
                <w:rFonts w:hint="eastAsia" w:ascii="宋体" w:hAnsi="宋体" w:eastAsia="宋体" w:cs="宋体"/>
                <w:color w:val="auto"/>
                <w:sz w:val="24"/>
                <w:highlight w:val="none"/>
              </w:rPr>
            </w:pPr>
          </w:p>
        </w:tc>
        <w:tc>
          <w:tcPr>
            <w:tcW w:w="781" w:type="dxa"/>
            <w:noWrap w:val="0"/>
            <w:vAlign w:val="center"/>
          </w:tcPr>
          <w:p w14:paraId="46A24A41">
            <w:pPr>
              <w:jc w:val="center"/>
              <w:rPr>
                <w:rFonts w:hint="eastAsia" w:ascii="宋体" w:hAnsi="宋体" w:eastAsia="宋体" w:cs="宋体"/>
                <w:color w:val="auto"/>
                <w:sz w:val="24"/>
                <w:highlight w:val="none"/>
              </w:rPr>
            </w:pPr>
          </w:p>
        </w:tc>
        <w:tc>
          <w:tcPr>
            <w:tcW w:w="1238" w:type="dxa"/>
            <w:noWrap w:val="0"/>
            <w:vAlign w:val="center"/>
          </w:tcPr>
          <w:p w14:paraId="2536924C">
            <w:pPr>
              <w:jc w:val="center"/>
              <w:rPr>
                <w:rFonts w:hint="eastAsia" w:ascii="宋体" w:hAnsi="宋体" w:eastAsia="宋体" w:cs="宋体"/>
                <w:color w:val="auto"/>
                <w:sz w:val="24"/>
                <w:highlight w:val="none"/>
              </w:rPr>
            </w:pPr>
          </w:p>
        </w:tc>
        <w:tc>
          <w:tcPr>
            <w:tcW w:w="1097" w:type="dxa"/>
            <w:noWrap w:val="0"/>
            <w:vAlign w:val="center"/>
          </w:tcPr>
          <w:p w14:paraId="05317645">
            <w:pPr>
              <w:jc w:val="center"/>
              <w:rPr>
                <w:rFonts w:hint="eastAsia" w:ascii="宋体" w:hAnsi="宋体" w:eastAsia="宋体" w:cs="宋体"/>
                <w:color w:val="auto"/>
                <w:sz w:val="24"/>
                <w:highlight w:val="none"/>
              </w:rPr>
            </w:pPr>
          </w:p>
        </w:tc>
        <w:tc>
          <w:tcPr>
            <w:tcW w:w="1101" w:type="dxa"/>
            <w:noWrap w:val="0"/>
            <w:vAlign w:val="center"/>
          </w:tcPr>
          <w:p w14:paraId="775331DF">
            <w:pPr>
              <w:jc w:val="center"/>
              <w:rPr>
                <w:rFonts w:hint="eastAsia" w:ascii="宋体" w:hAnsi="宋体" w:eastAsia="宋体" w:cs="宋体"/>
                <w:color w:val="auto"/>
                <w:sz w:val="24"/>
                <w:highlight w:val="none"/>
              </w:rPr>
            </w:pPr>
          </w:p>
        </w:tc>
        <w:tc>
          <w:tcPr>
            <w:tcW w:w="1258" w:type="dxa"/>
            <w:noWrap w:val="0"/>
            <w:vAlign w:val="center"/>
          </w:tcPr>
          <w:p w14:paraId="24AA534D">
            <w:pPr>
              <w:jc w:val="center"/>
              <w:rPr>
                <w:rFonts w:hint="eastAsia" w:ascii="宋体" w:hAnsi="宋体" w:eastAsia="宋体" w:cs="宋体"/>
                <w:color w:val="auto"/>
                <w:sz w:val="24"/>
                <w:highlight w:val="none"/>
              </w:rPr>
            </w:pPr>
          </w:p>
        </w:tc>
        <w:tc>
          <w:tcPr>
            <w:tcW w:w="758" w:type="dxa"/>
            <w:noWrap w:val="0"/>
            <w:vAlign w:val="center"/>
          </w:tcPr>
          <w:p w14:paraId="2D1E2CD0">
            <w:pPr>
              <w:jc w:val="center"/>
              <w:rPr>
                <w:rFonts w:hint="eastAsia" w:ascii="宋体" w:hAnsi="宋体" w:eastAsia="宋体" w:cs="宋体"/>
                <w:color w:val="auto"/>
                <w:sz w:val="24"/>
                <w:highlight w:val="none"/>
              </w:rPr>
            </w:pPr>
          </w:p>
        </w:tc>
        <w:tc>
          <w:tcPr>
            <w:tcW w:w="795" w:type="dxa"/>
            <w:noWrap w:val="0"/>
            <w:vAlign w:val="center"/>
          </w:tcPr>
          <w:p w14:paraId="6853B501">
            <w:pPr>
              <w:jc w:val="center"/>
              <w:rPr>
                <w:rFonts w:hint="eastAsia" w:ascii="宋体" w:hAnsi="宋体" w:eastAsia="宋体" w:cs="宋体"/>
                <w:color w:val="auto"/>
                <w:sz w:val="24"/>
                <w:highlight w:val="none"/>
              </w:rPr>
            </w:pPr>
          </w:p>
        </w:tc>
        <w:tc>
          <w:tcPr>
            <w:tcW w:w="740" w:type="dxa"/>
            <w:noWrap w:val="0"/>
            <w:vAlign w:val="center"/>
          </w:tcPr>
          <w:p w14:paraId="627F3606">
            <w:pPr>
              <w:jc w:val="center"/>
              <w:rPr>
                <w:rFonts w:hint="eastAsia" w:ascii="宋体" w:hAnsi="宋体" w:eastAsia="宋体" w:cs="宋体"/>
                <w:color w:val="auto"/>
                <w:sz w:val="24"/>
                <w:highlight w:val="none"/>
              </w:rPr>
            </w:pPr>
          </w:p>
        </w:tc>
        <w:tc>
          <w:tcPr>
            <w:tcW w:w="740" w:type="dxa"/>
            <w:noWrap w:val="0"/>
            <w:vAlign w:val="center"/>
          </w:tcPr>
          <w:p w14:paraId="63B748D0">
            <w:pPr>
              <w:jc w:val="center"/>
              <w:rPr>
                <w:rFonts w:hint="eastAsia" w:ascii="宋体" w:hAnsi="宋体" w:eastAsia="宋体" w:cs="宋体"/>
                <w:color w:val="auto"/>
                <w:sz w:val="24"/>
                <w:highlight w:val="none"/>
              </w:rPr>
            </w:pPr>
          </w:p>
        </w:tc>
      </w:tr>
      <w:tr w14:paraId="24C2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noWrap w:val="0"/>
            <w:vAlign w:val="center"/>
          </w:tcPr>
          <w:p w14:paraId="5E0D8799">
            <w:pPr>
              <w:jc w:val="center"/>
              <w:rPr>
                <w:rFonts w:hint="eastAsia" w:ascii="宋体" w:hAnsi="宋体" w:eastAsia="宋体" w:cs="宋体"/>
                <w:color w:val="auto"/>
                <w:sz w:val="24"/>
                <w:highlight w:val="none"/>
              </w:rPr>
            </w:pPr>
          </w:p>
        </w:tc>
        <w:tc>
          <w:tcPr>
            <w:tcW w:w="754" w:type="dxa"/>
            <w:noWrap w:val="0"/>
            <w:vAlign w:val="center"/>
          </w:tcPr>
          <w:p w14:paraId="43E0BAB7">
            <w:pPr>
              <w:jc w:val="center"/>
              <w:rPr>
                <w:rFonts w:hint="eastAsia" w:ascii="宋体" w:hAnsi="宋体" w:eastAsia="宋体" w:cs="宋体"/>
                <w:color w:val="auto"/>
                <w:sz w:val="24"/>
                <w:highlight w:val="none"/>
              </w:rPr>
            </w:pPr>
          </w:p>
        </w:tc>
        <w:tc>
          <w:tcPr>
            <w:tcW w:w="781" w:type="dxa"/>
            <w:noWrap w:val="0"/>
            <w:vAlign w:val="center"/>
          </w:tcPr>
          <w:p w14:paraId="4DFE96F6">
            <w:pPr>
              <w:jc w:val="center"/>
              <w:rPr>
                <w:rFonts w:hint="eastAsia" w:ascii="宋体" w:hAnsi="宋体" w:eastAsia="宋体" w:cs="宋体"/>
                <w:color w:val="auto"/>
                <w:sz w:val="24"/>
                <w:highlight w:val="none"/>
              </w:rPr>
            </w:pPr>
          </w:p>
        </w:tc>
        <w:tc>
          <w:tcPr>
            <w:tcW w:w="1238" w:type="dxa"/>
            <w:noWrap w:val="0"/>
            <w:vAlign w:val="center"/>
          </w:tcPr>
          <w:p w14:paraId="0B887340">
            <w:pPr>
              <w:jc w:val="center"/>
              <w:rPr>
                <w:rFonts w:hint="eastAsia" w:ascii="宋体" w:hAnsi="宋体" w:eastAsia="宋体" w:cs="宋体"/>
                <w:color w:val="auto"/>
                <w:sz w:val="24"/>
                <w:highlight w:val="none"/>
              </w:rPr>
            </w:pPr>
          </w:p>
        </w:tc>
        <w:tc>
          <w:tcPr>
            <w:tcW w:w="1097" w:type="dxa"/>
            <w:noWrap w:val="0"/>
            <w:vAlign w:val="center"/>
          </w:tcPr>
          <w:p w14:paraId="38C5F284">
            <w:pPr>
              <w:jc w:val="center"/>
              <w:rPr>
                <w:rFonts w:hint="eastAsia" w:ascii="宋体" w:hAnsi="宋体" w:eastAsia="宋体" w:cs="宋体"/>
                <w:color w:val="auto"/>
                <w:sz w:val="24"/>
                <w:highlight w:val="none"/>
              </w:rPr>
            </w:pPr>
          </w:p>
        </w:tc>
        <w:tc>
          <w:tcPr>
            <w:tcW w:w="1101" w:type="dxa"/>
            <w:noWrap w:val="0"/>
            <w:vAlign w:val="center"/>
          </w:tcPr>
          <w:p w14:paraId="2581D014">
            <w:pPr>
              <w:jc w:val="center"/>
              <w:rPr>
                <w:rFonts w:hint="eastAsia" w:ascii="宋体" w:hAnsi="宋体" w:eastAsia="宋体" w:cs="宋体"/>
                <w:color w:val="auto"/>
                <w:sz w:val="24"/>
                <w:highlight w:val="none"/>
              </w:rPr>
            </w:pPr>
          </w:p>
        </w:tc>
        <w:tc>
          <w:tcPr>
            <w:tcW w:w="1258" w:type="dxa"/>
            <w:noWrap w:val="0"/>
            <w:vAlign w:val="center"/>
          </w:tcPr>
          <w:p w14:paraId="5FA116AC">
            <w:pPr>
              <w:jc w:val="center"/>
              <w:rPr>
                <w:rFonts w:hint="eastAsia" w:ascii="宋体" w:hAnsi="宋体" w:eastAsia="宋体" w:cs="宋体"/>
                <w:color w:val="auto"/>
                <w:sz w:val="24"/>
                <w:highlight w:val="none"/>
              </w:rPr>
            </w:pPr>
          </w:p>
        </w:tc>
        <w:tc>
          <w:tcPr>
            <w:tcW w:w="758" w:type="dxa"/>
            <w:noWrap w:val="0"/>
            <w:vAlign w:val="center"/>
          </w:tcPr>
          <w:p w14:paraId="5EB5C097">
            <w:pPr>
              <w:jc w:val="center"/>
              <w:rPr>
                <w:rFonts w:hint="eastAsia" w:ascii="宋体" w:hAnsi="宋体" w:eastAsia="宋体" w:cs="宋体"/>
                <w:color w:val="auto"/>
                <w:sz w:val="24"/>
                <w:highlight w:val="none"/>
              </w:rPr>
            </w:pPr>
          </w:p>
        </w:tc>
        <w:tc>
          <w:tcPr>
            <w:tcW w:w="795" w:type="dxa"/>
            <w:noWrap w:val="0"/>
            <w:vAlign w:val="center"/>
          </w:tcPr>
          <w:p w14:paraId="17EFF5F6">
            <w:pPr>
              <w:jc w:val="center"/>
              <w:rPr>
                <w:rFonts w:hint="eastAsia" w:ascii="宋体" w:hAnsi="宋体" w:eastAsia="宋体" w:cs="宋体"/>
                <w:color w:val="auto"/>
                <w:sz w:val="24"/>
                <w:highlight w:val="none"/>
              </w:rPr>
            </w:pPr>
          </w:p>
        </w:tc>
        <w:tc>
          <w:tcPr>
            <w:tcW w:w="740" w:type="dxa"/>
            <w:noWrap w:val="0"/>
            <w:vAlign w:val="center"/>
          </w:tcPr>
          <w:p w14:paraId="782E2D00">
            <w:pPr>
              <w:jc w:val="center"/>
              <w:rPr>
                <w:rFonts w:hint="eastAsia" w:ascii="宋体" w:hAnsi="宋体" w:eastAsia="宋体" w:cs="宋体"/>
                <w:color w:val="auto"/>
                <w:sz w:val="24"/>
                <w:highlight w:val="none"/>
              </w:rPr>
            </w:pPr>
          </w:p>
        </w:tc>
        <w:tc>
          <w:tcPr>
            <w:tcW w:w="740" w:type="dxa"/>
            <w:noWrap w:val="0"/>
            <w:vAlign w:val="center"/>
          </w:tcPr>
          <w:p w14:paraId="523CB60B">
            <w:pPr>
              <w:jc w:val="center"/>
              <w:rPr>
                <w:rFonts w:hint="eastAsia" w:ascii="宋体" w:hAnsi="宋体" w:eastAsia="宋体" w:cs="宋体"/>
                <w:color w:val="auto"/>
                <w:sz w:val="24"/>
                <w:highlight w:val="none"/>
              </w:rPr>
            </w:pPr>
          </w:p>
        </w:tc>
      </w:tr>
    </w:tbl>
    <w:p w14:paraId="3B90EFE1">
      <w:pPr>
        <w:keepNext w:val="0"/>
        <w:keepLines w:val="0"/>
        <w:pageBreakBefore w:val="0"/>
        <w:widowControl w:val="0"/>
        <w:kinsoku/>
        <w:wordWrap/>
        <w:overflowPunct/>
        <w:topLinePunct w:val="0"/>
        <w:autoSpaceDE w:val="0"/>
        <w:autoSpaceDN w:val="0"/>
        <w:bidi w:val="0"/>
        <w:adjustRightInd/>
        <w:snapToGrid/>
        <w:spacing w:line="360" w:lineRule="auto"/>
        <w:ind w:right="0"/>
        <w:jc w:val="both"/>
        <w:textAlignment w:val="auto"/>
        <w:outlineLvl w:val="9"/>
        <w:rPr>
          <w:rFonts w:hint="eastAsia"/>
          <w:b/>
          <w:bCs/>
          <w:sz w:val="24"/>
          <w:szCs w:val="24"/>
          <w:highlight w:val="none"/>
          <w:lang w:val="en-US" w:eastAsia="zh-CN"/>
        </w:rPr>
      </w:pPr>
      <w:r>
        <w:rPr>
          <w:rFonts w:hint="eastAsia"/>
          <w:b/>
          <w:bCs/>
          <w:sz w:val="24"/>
          <w:szCs w:val="24"/>
          <w:highlight w:val="none"/>
          <w:lang w:val="en-US" w:eastAsia="zh-CN"/>
        </w:rPr>
        <w:t>注：</w:t>
      </w:r>
    </w:p>
    <w:p w14:paraId="67238669">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outlineLvl w:val="9"/>
        <w:rPr>
          <w:rFonts w:hint="eastAsia"/>
          <w:sz w:val="24"/>
          <w:szCs w:val="24"/>
          <w:highlight w:val="none"/>
          <w:lang w:val="en-US" w:eastAsia="zh-CN"/>
        </w:rPr>
      </w:pPr>
      <w:r>
        <w:rPr>
          <w:rFonts w:hint="eastAsia"/>
          <w:sz w:val="24"/>
          <w:szCs w:val="24"/>
          <w:highlight w:val="none"/>
          <w:lang w:val="en-US" w:eastAsia="zh-CN"/>
        </w:rPr>
        <w:t>（1）本表中供应商仅填报第四章《采购需求》“招标工程量清单”中属于货物类的品目，货物标的名称、项目编码、数量及单位应与“招标工程量清单”中的项目名称、项目编码、计量单位及工程量保持一致；表中内容根据项目的实际情况进行增减，表中位置不够可以附页。</w:t>
      </w:r>
    </w:p>
    <w:p w14:paraId="3074622E">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outlineLvl w:val="9"/>
        <w:rPr>
          <w:rFonts w:hint="eastAsia"/>
          <w:sz w:val="24"/>
          <w:szCs w:val="24"/>
          <w:highlight w:val="none"/>
          <w:lang w:val="en-US" w:eastAsia="zh-CN"/>
        </w:rPr>
      </w:pPr>
      <w:r>
        <w:rPr>
          <w:rFonts w:hint="eastAsia"/>
          <w:sz w:val="24"/>
          <w:szCs w:val="24"/>
          <w:highlight w:val="none"/>
          <w:lang w:val="en-US" w:eastAsia="zh-CN"/>
        </w:rPr>
        <w:t>（2）产品的规格型号必须明确，除竞争性磋商文件中明确要求定制的除外。</w:t>
      </w:r>
    </w:p>
    <w:p w14:paraId="411822B3">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outlineLvl w:val="9"/>
        <w:rPr>
          <w:rFonts w:hint="eastAsia"/>
          <w:sz w:val="24"/>
          <w:szCs w:val="24"/>
          <w:highlight w:val="none"/>
          <w:lang w:val="en-US" w:eastAsia="zh-CN"/>
        </w:rPr>
      </w:pPr>
      <w:r>
        <w:rPr>
          <w:rFonts w:hint="eastAsia"/>
          <w:sz w:val="24"/>
          <w:szCs w:val="24"/>
          <w:highlight w:val="none"/>
          <w:lang w:val="en-US" w:eastAsia="zh-CN"/>
        </w:rPr>
        <w:t>（3）制造商规模请填写“中型”或“小型”或“微型”或“其他”，中小企业的定义见第二章《供应商须知》。</w:t>
      </w:r>
    </w:p>
    <w:p w14:paraId="22DE5F4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s="宋体"/>
          <w:sz w:val="24"/>
          <w:highlight w:val="none"/>
          <w:lang w:val="en-US" w:eastAsia="zh-CN"/>
        </w:rPr>
      </w:pPr>
      <w:r>
        <w:rPr>
          <w:rFonts w:hint="eastAsia" w:cs="宋体"/>
          <w:sz w:val="24"/>
          <w:highlight w:val="none"/>
          <w:lang w:val="en-US" w:eastAsia="zh-CN"/>
        </w:rPr>
        <w:t>4.磋商货物标的技术性能指标偏离表</w:t>
      </w:r>
    </w:p>
    <w:p w14:paraId="0B5B5373">
      <w:pPr>
        <w:keepNext w:val="0"/>
        <w:keepLines w:val="0"/>
        <w:pageBreakBefore w:val="0"/>
        <w:widowControl w:val="0"/>
        <w:numPr>
          <w:ilvl w:val="0"/>
          <w:numId w:val="0"/>
        </w:numPr>
        <w:tabs>
          <w:tab w:val="left" w:pos="3892"/>
        </w:tabs>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说明：《磋商货物标的技术性能指标偏离表》中的货物标的名称、项目编码应与第四章《采购需求》“招标工程量清单”中的项目名称、项目编码保持一致，并与第六章《响应文件格式》“磋商货物标的清单”中货物标的名称、项目编码保持一致。</w:t>
      </w:r>
    </w:p>
    <w:p w14:paraId="1FC827FC">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货物标的中标识为“★”项的技术性能指标响应：仅需要填写正偏离或负偏离的内容，无偏离不需要逐条描述，未在技术性能指标偏离表中载明的内容均视为无偏离。无论是否存在偏离，技术性能指标偏离表后均应提供响应技术说明材料，技术说明材料包括但不限于检测报告、或产品彩页、或官网截图、或白皮书、或方案说明、或第三方证明材料等，并明确框图标识。如供应商仅提供了技术性能指标偏离表而未提供相应支持材料，或简单复制竞争性磋商文件内容作为响应的无论是否存在负偏离均视为负偏离。</w:t>
      </w:r>
    </w:p>
    <w:tbl>
      <w:tblPr>
        <w:tblStyle w:val="2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94"/>
        <w:gridCol w:w="1256"/>
        <w:gridCol w:w="2182"/>
        <w:gridCol w:w="1550"/>
        <w:gridCol w:w="1160"/>
        <w:gridCol w:w="1472"/>
      </w:tblGrid>
      <w:tr w14:paraId="2FBD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21" w:type="dxa"/>
            <w:noWrap w:val="0"/>
            <w:vAlign w:val="center"/>
          </w:tcPr>
          <w:p w14:paraId="58A418E1">
            <w:pPr>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序号</w:t>
            </w:r>
          </w:p>
        </w:tc>
        <w:tc>
          <w:tcPr>
            <w:tcW w:w="1294" w:type="dxa"/>
            <w:noWrap w:val="0"/>
            <w:vAlign w:val="center"/>
          </w:tcPr>
          <w:p w14:paraId="1D0D52D3">
            <w:pPr>
              <w:jc w:val="center"/>
              <w:rPr>
                <w:rFonts w:hint="eastAsia" w:ascii="宋体" w:hAnsi="宋体" w:eastAsia="宋体" w:cs="宋体"/>
                <w:b/>
                <w:kern w:val="0"/>
                <w:sz w:val="24"/>
                <w:highlight w:val="none"/>
              </w:rPr>
            </w:pPr>
            <w:r>
              <w:rPr>
                <w:rFonts w:hint="eastAsia" w:cs="宋体"/>
                <w:b/>
                <w:kern w:val="0"/>
                <w:sz w:val="24"/>
                <w:highlight w:val="none"/>
                <w:lang w:val="en-US" w:eastAsia="zh-CN"/>
              </w:rPr>
              <w:t>货物</w:t>
            </w:r>
            <w:r>
              <w:rPr>
                <w:rFonts w:hint="eastAsia" w:ascii="宋体" w:hAnsi="宋体" w:eastAsia="宋体" w:cs="宋体"/>
                <w:b/>
                <w:kern w:val="0"/>
                <w:sz w:val="24"/>
                <w:highlight w:val="none"/>
              </w:rPr>
              <w:t>标的名称</w:t>
            </w:r>
          </w:p>
        </w:tc>
        <w:tc>
          <w:tcPr>
            <w:tcW w:w="1256" w:type="dxa"/>
            <w:noWrap w:val="0"/>
            <w:vAlign w:val="center"/>
          </w:tcPr>
          <w:p w14:paraId="23AAA030">
            <w:pPr>
              <w:jc w:val="center"/>
              <w:rPr>
                <w:rFonts w:hint="default" w:ascii="宋体" w:hAnsi="宋体" w:eastAsia="宋体" w:cs="宋体"/>
                <w:b/>
                <w:kern w:val="0"/>
                <w:sz w:val="24"/>
                <w:highlight w:val="none"/>
                <w:lang w:val="en-US" w:eastAsia="zh-CN"/>
              </w:rPr>
            </w:pPr>
            <w:r>
              <w:rPr>
                <w:rFonts w:hint="eastAsia" w:cs="宋体"/>
                <w:b/>
                <w:kern w:val="0"/>
                <w:sz w:val="24"/>
                <w:highlight w:val="none"/>
                <w:lang w:val="en-US" w:eastAsia="zh-CN"/>
              </w:rPr>
              <w:t>项目编码</w:t>
            </w:r>
          </w:p>
        </w:tc>
        <w:tc>
          <w:tcPr>
            <w:tcW w:w="2182" w:type="dxa"/>
            <w:noWrap w:val="0"/>
            <w:vAlign w:val="center"/>
          </w:tcPr>
          <w:p w14:paraId="505DA9FB">
            <w:pPr>
              <w:jc w:val="center"/>
              <w:rPr>
                <w:rFonts w:hint="default" w:ascii="宋体" w:hAnsi="宋体" w:eastAsia="宋体" w:cs="宋体"/>
                <w:b/>
                <w:kern w:val="0"/>
                <w:sz w:val="24"/>
                <w:highlight w:val="none"/>
                <w:lang w:val="en-US" w:eastAsia="zh-CN"/>
              </w:rPr>
            </w:pPr>
            <w:r>
              <w:rPr>
                <w:rFonts w:hint="eastAsia" w:cs="宋体"/>
                <w:b/>
                <w:kern w:val="0"/>
                <w:sz w:val="24"/>
                <w:highlight w:val="none"/>
                <w:lang w:val="en-US" w:eastAsia="zh-CN"/>
              </w:rPr>
              <w:t>竞争性磋商</w:t>
            </w:r>
            <w:r>
              <w:rPr>
                <w:rFonts w:hint="eastAsia" w:ascii="宋体" w:hAnsi="宋体" w:eastAsia="宋体" w:cs="宋体"/>
                <w:b/>
                <w:kern w:val="0"/>
                <w:sz w:val="24"/>
                <w:highlight w:val="none"/>
              </w:rPr>
              <w:t>文件技术</w:t>
            </w:r>
            <w:r>
              <w:rPr>
                <w:rFonts w:hint="eastAsia" w:cs="宋体"/>
                <w:b/>
                <w:kern w:val="0"/>
                <w:sz w:val="24"/>
                <w:highlight w:val="none"/>
                <w:lang w:val="en-US" w:eastAsia="zh-CN"/>
              </w:rPr>
              <w:t>性能指标要求</w:t>
            </w:r>
          </w:p>
        </w:tc>
        <w:tc>
          <w:tcPr>
            <w:tcW w:w="1550" w:type="dxa"/>
            <w:noWrap w:val="0"/>
            <w:vAlign w:val="center"/>
          </w:tcPr>
          <w:p w14:paraId="49AC34D7">
            <w:pPr>
              <w:jc w:val="center"/>
              <w:rPr>
                <w:rFonts w:hint="default" w:ascii="宋体" w:hAnsi="宋体" w:eastAsia="宋体" w:cs="宋体"/>
                <w:b/>
                <w:kern w:val="0"/>
                <w:sz w:val="24"/>
                <w:highlight w:val="none"/>
                <w:lang w:val="en-US" w:eastAsia="zh-CN"/>
              </w:rPr>
            </w:pPr>
            <w:r>
              <w:rPr>
                <w:rFonts w:hint="eastAsia" w:cs="宋体"/>
                <w:b/>
                <w:kern w:val="0"/>
                <w:sz w:val="24"/>
                <w:highlight w:val="none"/>
                <w:lang w:val="en-US" w:eastAsia="zh-CN"/>
              </w:rPr>
              <w:t>技术性能指标磋商响应</w:t>
            </w:r>
          </w:p>
        </w:tc>
        <w:tc>
          <w:tcPr>
            <w:tcW w:w="1160" w:type="dxa"/>
            <w:noWrap w:val="0"/>
            <w:vAlign w:val="center"/>
          </w:tcPr>
          <w:p w14:paraId="6BF15461">
            <w:pPr>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是否有偏离</w:t>
            </w:r>
          </w:p>
        </w:tc>
        <w:tc>
          <w:tcPr>
            <w:tcW w:w="1472" w:type="dxa"/>
            <w:noWrap w:val="0"/>
            <w:vAlign w:val="center"/>
          </w:tcPr>
          <w:p w14:paraId="56F54EAF">
            <w:pPr>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偏离描述：正偏离/负偏离</w:t>
            </w:r>
          </w:p>
        </w:tc>
      </w:tr>
      <w:tr w14:paraId="0DC6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821" w:type="dxa"/>
            <w:noWrap w:val="0"/>
            <w:vAlign w:val="center"/>
          </w:tcPr>
          <w:p w14:paraId="56786514">
            <w:pPr>
              <w:spacing w:line="360" w:lineRule="auto"/>
              <w:jc w:val="center"/>
              <w:rPr>
                <w:rFonts w:hint="eastAsia" w:ascii="宋体" w:hAnsi="宋体" w:eastAsia="宋体" w:cs="宋体"/>
                <w:kern w:val="0"/>
                <w:sz w:val="24"/>
                <w:highlight w:val="none"/>
              </w:rPr>
            </w:pPr>
          </w:p>
        </w:tc>
        <w:tc>
          <w:tcPr>
            <w:tcW w:w="1294" w:type="dxa"/>
            <w:noWrap w:val="0"/>
            <w:vAlign w:val="center"/>
          </w:tcPr>
          <w:p w14:paraId="7E17F2F3">
            <w:pPr>
              <w:spacing w:line="360" w:lineRule="auto"/>
              <w:jc w:val="center"/>
              <w:rPr>
                <w:rFonts w:hint="eastAsia" w:ascii="宋体" w:hAnsi="宋体" w:eastAsia="宋体" w:cs="宋体"/>
                <w:kern w:val="0"/>
                <w:sz w:val="24"/>
                <w:highlight w:val="none"/>
              </w:rPr>
            </w:pPr>
          </w:p>
        </w:tc>
        <w:tc>
          <w:tcPr>
            <w:tcW w:w="1256" w:type="dxa"/>
            <w:noWrap w:val="0"/>
            <w:vAlign w:val="top"/>
          </w:tcPr>
          <w:p w14:paraId="15ED7AA3">
            <w:pPr>
              <w:spacing w:line="360" w:lineRule="auto"/>
              <w:jc w:val="center"/>
              <w:rPr>
                <w:rFonts w:hint="eastAsia" w:ascii="宋体" w:hAnsi="宋体" w:eastAsia="宋体" w:cs="宋体"/>
                <w:kern w:val="0"/>
                <w:sz w:val="24"/>
                <w:highlight w:val="none"/>
              </w:rPr>
            </w:pPr>
          </w:p>
        </w:tc>
        <w:tc>
          <w:tcPr>
            <w:tcW w:w="2182" w:type="dxa"/>
            <w:noWrap w:val="0"/>
            <w:vAlign w:val="top"/>
          </w:tcPr>
          <w:p w14:paraId="7DDE7EF2">
            <w:pPr>
              <w:spacing w:line="360" w:lineRule="auto"/>
              <w:jc w:val="center"/>
              <w:rPr>
                <w:rFonts w:hint="eastAsia" w:ascii="宋体" w:hAnsi="宋体" w:eastAsia="宋体" w:cs="宋体"/>
                <w:kern w:val="0"/>
                <w:sz w:val="24"/>
                <w:highlight w:val="none"/>
              </w:rPr>
            </w:pPr>
          </w:p>
        </w:tc>
        <w:tc>
          <w:tcPr>
            <w:tcW w:w="1550" w:type="dxa"/>
            <w:noWrap w:val="0"/>
            <w:vAlign w:val="top"/>
          </w:tcPr>
          <w:p w14:paraId="0BB27286">
            <w:pPr>
              <w:spacing w:line="360" w:lineRule="auto"/>
              <w:jc w:val="center"/>
              <w:rPr>
                <w:rFonts w:hint="eastAsia" w:ascii="宋体" w:hAnsi="宋体" w:eastAsia="宋体" w:cs="宋体"/>
                <w:kern w:val="0"/>
                <w:sz w:val="24"/>
                <w:highlight w:val="none"/>
              </w:rPr>
            </w:pPr>
          </w:p>
        </w:tc>
        <w:tc>
          <w:tcPr>
            <w:tcW w:w="1160" w:type="dxa"/>
            <w:noWrap w:val="0"/>
            <w:vAlign w:val="center"/>
          </w:tcPr>
          <w:p w14:paraId="0B070588">
            <w:pPr>
              <w:spacing w:line="360" w:lineRule="auto"/>
              <w:jc w:val="center"/>
              <w:rPr>
                <w:rFonts w:hint="eastAsia" w:ascii="宋体" w:hAnsi="宋体" w:eastAsia="宋体" w:cs="宋体"/>
                <w:kern w:val="0"/>
                <w:sz w:val="24"/>
                <w:highlight w:val="none"/>
              </w:rPr>
            </w:pPr>
          </w:p>
        </w:tc>
        <w:tc>
          <w:tcPr>
            <w:tcW w:w="1472" w:type="dxa"/>
            <w:noWrap w:val="0"/>
            <w:vAlign w:val="top"/>
          </w:tcPr>
          <w:p w14:paraId="3A0DBB88">
            <w:pPr>
              <w:spacing w:line="360" w:lineRule="auto"/>
              <w:jc w:val="center"/>
              <w:rPr>
                <w:rFonts w:hint="eastAsia" w:ascii="宋体" w:hAnsi="宋体" w:eastAsia="宋体" w:cs="宋体"/>
                <w:kern w:val="0"/>
                <w:sz w:val="24"/>
                <w:highlight w:val="none"/>
              </w:rPr>
            </w:pPr>
          </w:p>
        </w:tc>
      </w:tr>
      <w:tr w14:paraId="051B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21" w:type="dxa"/>
            <w:noWrap w:val="0"/>
            <w:vAlign w:val="center"/>
          </w:tcPr>
          <w:p w14:paraId="4C46B5F8">
            <w:pPr>
              <w:spacing w:line="360" w:lineRule="auto"/>
              <w:jc w:val="center"/>
              <w:rPr>
                <w:rFonts w:hint="eastAsia" w:ascii="宋体" w:hAnsi="宋体" w:eastAsia="宋体" w:cs="宋体"/>
                <w:kern w:val="0"/>
                <w:sz w:val="24"/>
                <w:highlight w:val="none"/>
              </w:rPr>
            </w:pPr>
          </w:p>
        </w:tc>
        <w:tc>
          <w:tcPr>
            <w:tcW w:w="1294" w:type="dxa"/>
            <w:noWrap w:val="0"/>
            <w:vAlign w:val="center"/>
          </w:tcPr>
          <w:p w14:paraId="5EAF3BA3">
            <w:pPr>
              <w:spacing w:line="360" w:lineRule="auto"/>
              <w:jc w:val="center"/>
              <w:rPr>
                <w:rFonts w:hint="eastAsia" w:ascii="宋体" w:hAnsi="宋体" w:eastAsia="宋体" w:cs="宋体"/>
                <w:kern w:val="0"/>
                <w:sz w:val="24"/>
                <w:highlight w:val="none"/>
              </w:rPr>
            </w:pPr>
          </w:p>
        </w:tc>
        <w:tc>
          <w:tcPr>
            <w:tcW w:w="1256" w:type="dxa"/>
            <w:noWrap w:val="0"/>
            <w:vAlign w:val="top"/>
          </w:tcPr>
          <w:p w14:paraId="7AA6D38E">
            <w:pPr>
              <w:spacing w:line="360" w:lineRule="auto"/>
              <w:jc w:val="center"/>
              <w:rPr>
                <w:rFonts w:hint="eastAsia" w:ascii="宋体" w:hAnsi="宋体" w:eastAsia="宋体" w:cs="宋体"/>
                <w:kern w:val="0"/>
                <w:sz w:val="24"/>
                <w:highlight w:val="none"/>
              </w:rPr>
            </w:pPr>
          </w:p>
        </w:tc>
        <w:tc>
          <w:tcPr>
            <w:tcW w:w="2182" w:type="dxa"/>
            <w:noWrap w:val="0"/>
            <w:vAlign w:val="top"/>
          </w:tcPr>
          <w:p w14:paraId="4E93A765">
            <w:pPr>
              <w:spacing w:line="360" w:lineRule="auto"/>
              <w:jc w:val="center"/>
              <w:rPr>
                <w:rFonts w:hint="eastAsia" w:ascii="宋体" w:hAnsi="宋体" w:eastAsia="宋体" w:cs="宋体"/>
                <w:kern w:val="0"/>
                <w:sz w:val="24"/>
                <w:highlight w:val="none"/>
              </w:rPr>
            </w:pPr>
          </w:p>
        </w:tc>
        <w:tc>
          <w:tcPr>
            <w:tcW w:w="1550" w:type="dxa"/>
            <w:noWrap w:val="0"/>
            <w:vAlign w:val="top"/>
          </w:tcPr>
          <w:p w14:paraId="3729E318">
            <w:pPr>
              <w:spacing w:line="360" w:lineRule="auto"/>
              <w:jc w:val="center"/>
              <w:rPr>
                <w:rFonts w:hint="eastAsia" w:ascii="宋体" w:hAnsi="宋体" w:eastAsia="宋体" w:cs="宋体"/>
                <w:kern w:val="0"/>
                <w:sz w:val="24"/>
                <w:highlight w:val="none"/>
              </w:rPr>
            </w:pPr>
          </w:p>
        </w:tc>
        <w:tc>
          <w:tcPr>
            <w:tcW w:w="1160" w:type="dxa"/>
            <w:noWrap w:val="0"/>
            <w:vAlign w:val="center"/>
          </w:tcPr>
          <w:p w14:paraId="7F0DE760">
            <w:pPr>
              <w:spacing w:line="360" w:lineRule="auto"/>
              <w:jc w:val="center"/>
              <w:rPr>
                <w:rFonts w:hint="eastAsia" w:ascii="宋体" w:hAnsi="宋体" w:eastAsia="宋体" w:cs="宋体"/>
                <w:kern w:val="0"/>
                <w:sz w:val="24"/>
                <w:highlight w:val="none"/>
              </w:rPr>
            </w:pPr>
          </w:p>
        </w:tc>
        <w:tc>
          <w:tcPr>
            <w:tcW w:w="1472" w:type="dxa"/>
            <w:noWrap w:val="0"/>
            <w:vAlign w:val="top"/>
          </w:tcPr>
          <w:p w14:paraId="0DEDADB0">
            <w:pPr>
              <w:spacing w:line="360" w:lineRule="auto"/>
              <w:jc w:val="center"/>
              <w:rPr>
                <w:rFonts w:hint="eastAsia" w:ascii="宋体" w:hAnsi="宋体" w:eastAsia="宋体" w:cs="宋体"/>
                <w:kern w:val="0"/>
                <w:sz w:val="24"/>
                <w:highlight w:val="none"/>
              </w:rPr>
            </w:pPr>
          </w:p>
        </w:tc>
      </w:tr>
      <w:tr w14:paraId="73B8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21" w:type="dxa"/>
            <w:noWrap w:val="0"/>
            <w:vAlign w:val="center"/>
          </w:tcPr>
          <w:p w14:paraId="61004255">
            <w:pPr>
              <w:spacing w:line="360" w:lineRule="auto"/>
              <w:jc w:val="center"/>
              <w:rPr>
                <w:rFonts w:hint="eastAsia" w:ascii="宋体" w:hAnsi="宋体" w:eastAsia="宋体" w:cs="宋体"/>
                <w:kern w:val="0"/>
                <w:sz w:val="24"/>
                <w:highlight w:val="none"/>
              </w:rPr>
            </w:pPr>
          </w:p>
        </w:tc>
        <w:tc>
          <w:tcPr>
            <w:tcW w:w="1294" w:type="dxa"/>
            <w:noWrap w:val="0"/>
            <w:vAlign w:val="center"/>
          </w:tcPr>
          <w:p w14:paraId="58E0B300">
            <w:pPr>
              <w:spacing w:line="360" w:lineRule="auto"/>
              <w:jc w:val="center"/>
              <w:rPr>
                <w:rFonts w:hint="eastAsia" w:ascii="宋体" w:hAnsi="宋体" w:eastAsia="宋体" w:cs="宋体"/>
                <w:kern w:val="0"/>
                <w:sz w:val="24"/>
                <w:highlight w:val="none"/>
              </w:rPr>
            </w:pPr>
          </w:p>
        </w:tc>
        <w:tc>
          <w:tcPr>
            <w:tcW w:w="1256" w:type="dxa"/>
            <w:noWrap w:val="0"/>
            <w:vAlign w:val="top"/>
          </w:tcPr>
          <w:p w14:paraId="65EA978A">
            <w:pPr>
              <w:spacing w:line="360" w:lineRule="auto"/>
              <w:jc w:val="center"/>
              <w:rPr>
                <w:rFonts w:hint="eastAsia" w:ascii="宋体" w:hAnsi="宋体" w:eastAsia="宋体" w:cs="宋体"/>
                <w:kern w:val="0"/>
                <w:sz w:val="24"/>
                <w:highlight w:val="none"/>
              </w:rPr>
            </w:pPr>
          </w:p>
        </w:tc>
        <w:tc>
          <w:tcPr>
            <w:tcW w:w="2182" w:type="dxa"/>
            <w:noWrap w:val="0"/>
            <w:vAlign w:val="top"/>
          </w:tcPr>
          <w:p w14:paraId="04E7E84E">
            <w:pPr>
              <w:spacing w:line="360" w:lineRule="auto"/>
              <w:jc w:val="center"/>
              <w:rPr>
                <w:rFonts w:hint="eastAsia" w:ascii="宋体" w:hAnsi="宋体" w:eastAsia="宋体" w:cs="宋体"/>
                <w:kern w:val="0"/>
                <w:sz w:val="24"/>
                <w:highlight w:val="none"/>
              </w:rPr>
            </w:pPr>
          </w:p>
        </w:tc>
        <w:tc>
          <w:tcPr>
            <w:tcW w:w="1550" w:type="dxa"/>
            <w:noWrap w:val="0"/>
            <w:vAlign w:val="top"/>
          </w:tcPr>
          <w:p w14:paraId="5DBC9298">
            <w:pPr>
              <w:spacing w:line="360" w:lineRule="auto"/>
              <w:jc w:val="center"/>
              <w:rPr>
                <w:rFonts w:hint="eastAsia" w:ascii="宋体" w:hAnsi="宋体" w:eastAsia="宋体" w:cs="宋体"/>
                <w:kern w:val="0"/>
                <w:sz w:val="24"/>
                <w:highlight w:val="none"/>
              </w:rPr>
            </w:pPr>
          </w:p>
        </w:tc>
        <w:tc>
          <w:tcPr>
            <w:tcW w:w="1160" w:type="dxa"/>
            <w:noWrap w:val="0"/>
            <w:vAlign w:val="center"/>
          </w:tcPr>
          <w:p w14:paraId="29F964A4">
            <w:pPr>
              <w:spacing w:line="360" w:lineRule="auto"/>
              <w:jc w:val="center"/>
              <w:rPr>
                <w:rFonts w:hint="eastAsia" w:ascii="宋体" w:hAnsi="宋体" w:eastAsia="宋体" w:cs="宋体"/>
                <w:kern w:val="0"/>
                <w:sz w:val="24"/>
                <w:highlight w:val="none"/>
              </w:rPr>
            </w:pPr>
          </w:p>
        </w:tc>
        <w:tc>
          <w:tcPr>
            <w:tcW w:w="1472" w:type="dxa"/>
            <w:noWrap w:val="0"/>
            <w:vAlign w:val="top"/>
          </w:tcPr>
          <w:p w14:paraId="589BAEEB">
            <w:pPr>
              <w:spacing w:line="360" w:lineRule="auto"/>
              <w:jc w:val="center"/>
              <w:rPr>
                <w:rFonts w:hint="eastAsia" w:ascii="宋体" w:hAnsi="宋体" w:eastAsia="宋体" w:cs="宋体"/>
                <w:kern w:val="0"/>
                <w:sz w:val="24"/>
                <w:highlight w:val="none"/>
              </w:rPr>
            </w:pPr>
          </w:p>
        </w:tc>
      </w:tr>
      <w:tr w14:paraId="4F89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821" w:type="dxa"/>
            <w:noWrap w:val="0"/>
            <w:vAlign w:val="center"/>
          </w:tcPr>
          <w:p w14:paraId="4F218B19">
            <w:pPr>
              <w:spacing w:line="360" w:lineRule="auto"/>
              <w:jc w:val="center"/>
              <w:rPr>
                <w:rFonts w:hint="eastAsia" w:ascii="宋体" w:hAnsi="宋体" w:eastAsia="宋体" w:cs="宋体"/>
                <w:kern w:val="0"/>
                <w:sz w:val="24"/>
                <w:highlight w:val="none"/>
              </w:rPr>
            </w:pPr>
          </w:p>
        </w:tc>
        <w:tc>
          <w:tcPr>
            <w:tcW w:w="1294" w:type="dxa"/>
            <w:noWrap w:val="0"/>
            <w:vAlign w:val="center"/>
          </w:tcPr>
          <w:p w14:paraId="7C5695A4">
            <w:pPr>
              <w:spacing w:line="360" w:lineRule="auto"/>
              <w:jc w:val="center"/>
              <w:rPr>
                <w:rFonts w:hint="eastAsia" w:ascii="宋体" w:hAnsi="宋体" w:eastAsia="宋体" w:cs="宋体"/>
                <w:kern w:val="0"/>
                <w:sz w:val="24"/>
                <w:highlight w:val="none"/>
              </w:rPr>
            </w:pPr>
          </w:p>
        </w:tc>
        <w:tc>
          <w:tcPr>
            <w:tcW w:w="1256" w:type="dxa"/>
            <w:noWrap w:val="0"/>
            <w:vAlign w:val="top"/>
          </w:tcPr>
          <w:p w14:paraId="081EB3C1">
            <w:pPr>
              <w:spacing w:line="360" w:lineRule="auto"/>
              <w:jc w:val="center"/>
              <w:rPr>
                <w:rFonts w:hint="eastAsia" w:ascii="宋体" w:hAnsi="宋体" w:eastAsia="宋体" w:cs="宋体"/>
                <w:kern w:val="0"/>
                <w:sz w:val="24"/>
                <w:highlight w:val="none"/>
              </w:rPr>
            </w:pPr>
          </w:p>
        </w:tc>
        <w:tc>
          <w:tcPr>
            <w:tcW w:w="2182" w:type="dxa"/>
            <w:noWrap w:val="0"/>
            <w:vAlign w:val="top"/>
          </w:tcPr>
          <w:p w14:paraId="74F236BB">
            <w:pPr>
              <w:spacing w:line="360" w:lineRule="auto"/>
              <w:jc w:val="center"/>
              <w:rPr>
                <w:rFonts w:hint="eastAsia" w:ascii="宋体" w:hAnsi="宋体" w:eastAsia="宋体" w:cs="宋体"/>
                <w:kern w:val="0"/>
                <w:sz w:val="24"/>
                <w:highlight w:val="none"/>
              </w:rPr>
            </w:pPr>
          </w:p>
        </w:tc>
        <w:tc>
          <w:tcPr>
            <w:tcW w:w="1550" w:type="dxa"/>
            <w:noWrap w:val="0"/>
            <w:vAlign w:val="top"/>
          </w:tcPr>
          <w:p w14:paraId="17AE8C83">
            <w:pPr>
              <w:spacing w:line="360" w:lineRule="auto"/>
              <w:jc w:val="center"/>
              <w:rPr>
                <w:rFonts w:hint="eastAsia" w:ascii="宋体" w:hAnsi="宋体" w:eastAsia="宋体" w:cs="宋体"/>
                <w:kern w:val="0"/>
                <w:sz w:val="24"/>
                <w:highlight w:val="none"/>
              </w:rPr>
            </w:pPr>
          </w:p>
        </w:tc>
        <w:tc>
          <w:tcPr>
            <w:tcW w:w="1160" w:type="dxa"/>
            <w:noWrap w:val="0"/>
            <w:vAlign w:val="center"/>
          </w:tcPr>
          <w:p w14:paraId="1DD0B8AE">
            <w:pPr>
              <w:spacing w:line="360" w:lineRule="auto"/>
              <w:jc w:val="center"/>
              <w:rPr>
                <w:rFonts w:hint="eastAsia" w:ascii="宋体" w:hAnsi="宋体" w:eastAsia="宋体" w:cs="宋体"/>
                <w:kern w:val="0"/>
                <w:sz w:val="24"/>
                <w:highlight w:val="none"/>
              </w:rPr>
            </w:pPr>
          </w:p>
        </w:tc>
        <w:tc>
          <w:tcPr>
            <w:tcW w:w="1472" w:type="dxa"/>
            <w:noWrap w:val="0"/>
            <w:vAlign w:val="top"/>
          </w:tcPr>
          <w:p w14:paraId="54050D0E">
            <w:pPr>
              <w:spacing w:line="360" w:lineRule="auto"/>
              <w:jc w:val="center"/>
              <w:rPr>
                <w:rFonts w:hint="eastAsia" w:ascii="宋体" w:hAnsi="宋体" w:eastAsia="宋体" w:cs="宋体"/>
                <w:kern w:val="0"/>
                <w:sz w:val="24"/>
                <w:highlight w:val="none"/>
              </w:rPr>
            </w:pPr>
          </w:p>
        </w:tc>
      </w:tr>
    </w:tbl>
    <w:p w14:paraId="71BE5A9F">
      <w:pPr>
        <w:keepNext w:val="0"/>
        <w:keepLines w:val="0"/>
        <w:pageBreakBefore w:val="0"/>
        <w:widowControl w:val="0"/>
        <w:kinsoku/>
        <w:wordWrap/>
        <w:overflowPunct/>
        <w:topLinePunct w:val="0"/>
        <w:autoSpaceDE w:val="0"/>
        <w:autoSpaceDN w:val="0"/>
        <w:bidi w:val="0"/>
        <w:adjustRightInd/>
        <w:snapToGrid/>
        <w:spacing w:line="360" w:lineRule="auto"/>
        <w:ind w:right="28" w:firstLine="480" w:firstLineChars="200"/>
        <w:jc w:val="both"/>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标的中未标识为“★”项的技术性能指标响应：仅需要填写正偏离或负偏离的内容，无偏离不需要逐条描述，未在技术性能指标偏离表中载明的内容均视为无偏离。无论是否存在偏离，技术性能指标偏离表后均应提供响应技术说明材料，技术说明材料包括但不限于检测报告、或产品彩页、或官网截图、或白皮书、或方案说明、或第三方证明材料等，并明确框图标识。如供应商仅提供了技术性能指标偏离表而未提供相应支持材料，或简单复制竞争性磋商文件内容作为响应的无论是否存在负偏离均视为负偏离。</w:t>
      </w:r>
    </w:p>
    <w:tbl>
      <w:tblPr>
        <w:tblStyle w:val="2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94"/>
        <w:gridCol w:w="1256"/>
        <w:gridCol w:w="2182"/>
        <w:gridCol w:w="1550"/>
        <w:gridCol w:w="1160"/>
        <w:gridCol w:w="1472"/>
      </w:tblGrid>
      <w:tr w14:paraId="7F45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21" w:type="dxa"/>
            <w:noWrap w:val="0"/>
            <w:vAlign w:val="center"/>
          </w:tcPr>
          <w:p w14:paraId="354D0FCD">
            <w:pPr>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序号</w:t>
            </w:r>
          </w:p>
        </w:tc>
        <w:tc>
          <w:tcPr>
            <w:tcW w:w="1294" w:type="dxa"/>
            <w:noWrap w:val="0"/>
            <w:vAlign w:val="center"/>
          </w:tcPr>
          <w:p w14:paraId="52DC9746">
            <w:pPr>
              <w:jc w:val="center"/>
              <w:rPr>
                <w:rFonts w:hint="eastAsia" w:ascii="宋体" w:hAnsi="宋体" w:eastAsia="宋体" w:cs="宋体"/>
                <w:b/>
                <w:kern w:val="0"/>
                <w:sz w:val="24"/>
                <w:highlight w:val="none"/>
              </w:rPr>
            </w:pPr>
            <w:r>
              <w:rPr>
                <w:rFonts w:hint="eastAsia" w:cs="宋体"/>
                <w:b/>
                <w:kern w:val="0"/>
                <w:sz w:val="24"/>
                <w:highlight w:val="none"/>
                <w:lang w:val="en-US" w:eastAsia="zh-CN"/>
              </w:rPr>
              <w:t>货物</w:t>
            </w:r>
            <w:r>
              <w:rPr>
                <w:rFonts w:hint="eastAsia" w:ascii="宋体" w:hAnsi="宋体" w:eastAsia="宋体" w:cs="宋体"/>
                <w:b/>
                <w:kern w:val="0"/>
                <w:sz w:val="24"/>
                <w:highlight w:val="none"/>
              </w:rPr>
              <w:t>标的名称</w:t>
            </w:r>
          </w:p>
        </w:tc>
        <w:tc>
          <w:tcPr>
            <w:tcW w:w="1256" w:type="dxa"/>
            <w:noWrap w:val="0"/>
            <w:vAlign w:val="center"/>
          </w:tcPr>
          <w:p w14:paraId="517C9A5F">
            <w:pPr>
              <w:jc w:val="center"/>
              <w:rPr>
                <w:rFonts w:hint="default" w:ascii="宋体" w:hAnsi="宋体" w:eastAsia="宋体" w:cs="宋体"/>
                <w:b/>
                <w:kern w:val="0"/>
                <w:sz w:val="24"/>
                <w:highlight w:val="none"/>
                <w:lang w:val="en-US" w:eastAsia="zh-CN"/>
              </w:rPr>
            </w:pPr>
            <w:r>
              <w:rPr>
                <w:rFonts w:hint="eastAsia" w:cs="宋体"/>
                <w:b/>
                <w:kern w:val="0"/>
                <w:sz w:val="24"/>
                <w:highlight w:val="none"/>
                <w:lang w:val="en-US" w:eastAsia="zh-CN"/>
              </w:rPr>
              <w:t>项目编码</w:t>
            </w:r>
          </w:p>
        </w:tc>
        <w:tc>
          <w:tcPr>
            <w:tcW w:w="2182" w:type="dxa"/>
            <w:noWrap w:val="0"/>
            <w:vAlign w:val="center"/>
          </w:tcPr>
          <w:p w14:paraId="40B1541C">
            <w:pPr>
              <w:jc w:val="center"/>
              <w:rPr>
                <w:rFonts w:hint="default" w:ascii="宋体" w:hAnsi="宋体" w:eastAsia="宋体" w:cs="宋体"/>
                <w:b/>
                <w:kern w:val="0"/>
                <w:sz w:val="24"/>
                <w:highlight w:val="none"/>
                <w:lang w:val="en-US" w:eastAsia="zh-CN"/>
              </w:rPr>
            </w:pPr>
            <w:r>
              <w:rPr>
                <w:rFonts w:hint="eastAsia" w:cs="宋体"/>
                <w:b/>
                <w:kern w:val="0"/>
                <w:sz w:val="24"/>
                <w:highlight w:val="none"/>
                <w:lang w:val="en-US" w:eastAsia="zh-CN"/>
              </w:rPr>
              <w:t>竞争性磋商</w:t>
            </w:r>
            <w:r>
              <w:rPr>
                <w:rFonts w:hint="eastAsia" w:ascii="宋体" w:hAnsi="宋体" w:eastAsia="宋体" w:cs="宋体"/>
                <w:b/>
                <w:kern w:val="0"/>
                <w:sz w:val="24"/>
                <w:highlight w:val="none"/>
              </w:rPr>
              <w:t>文件技术</w:t>
            </w:r>
            <w:r>
              <w:rPr>
                <w:rFonts w:hint="eastAsia" w:cs="宋体"/>
                <w:b/>
                <w:kern w:val="0"/>
                <w:sz w:val="24"/>
                <w:highlight w:val="none"/>
                <w:lang w:val="en-US" w:eastAsia="zh-CN"/>
              </w:rPr>
              <w:t>性能指标要求</w:t>
            </w:r>
          </w:p>
        </w:tc>
        <w:tc>
          <w:tcPr>
            <w:tcW w:w="1550" w:type="dxa"/>
            <w:noWrap w:val="0"/>
            <w:vAlign w:val="center"/>
          </w:tcPr>
          <w:p w14:paraId="7C8D3F02">
            <w:pPr>
              <w:jc w:val="center"/>
              <w:rPr>
                <w:rFonts w:hint="default" w:ascii="宋体" w:hAnsi="宋体" w:eastAsia="宋体" w:cs="宋体"/>
                <w:b/>
                <w:kern w:val="0"/>
                <w:sz w:val="24"/>
                <w:highlight w:val="none"/>
                <w:lang w:val="en-US" w:eastAsia="zh-CN"/>
              </w:rPr>
            </w:pPr>
            <w:r>
              <w:rPr>
                <w:rFonts w:hint="eastAsia" w:cs="宋体"/>
                <w:b/>
                <w:kern w:val="0"/>
                <w:sz w:val="24"/>
                <w:highlight w:val="none"/>
                <w:lang w:val="en-US" w:eastAsia="zh-CN"/>
              </w:rPr>
              <w:t>技术性能指标磋商响应</w:t>
            </w:r>
          </w:p>
        </w:tc>
        <w:tc>
          <w:tcPr>
            <w:tcW w:w="1160" w:type="dxa"/>
            <w:noWrap w:val="0"/>
            <w:vAlign w:val="center"/>
          </w:tcPr>
          <w:p w14:paraId="52367799">
            <w:pPr>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是否有偏离</w:t>
            </w:r>
          </w:p>
        </w:tc>
        <w:tc>
          <w:tcPr>
            <w:tcW w:w="1472" w:type="dxa"/>
            <w:noWrap w:val="0"/>
            <w:vAlign w:val="center"/>
          </w:tcPr>
          <w:p w14:paraId="0A5C103A">
            <w:pPr>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偏离描述：正偏离/负偏离</w:t>
            </w:r>
          </w:p>
        </w:tc>
      </w:tr>
      <w:tr w14:paraId="06D4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821" w:type="dxa"/>
            <w:noWrap w:val="0"/>
            <w:vAlign w:val="center"/>
          </w:tcPr>
          <w:p w14:paraId="65BED7B1">
            <w:pPr>
              <w:spacing w:line="360" w:lineRule="auto"/>
              <w:jc w:val="center"/>
              <w:rPr>
                <w:rFonts w:hint="eastAsia" w:ascii="宋体" w:hAnsi="宋体" w:eastAsia="宋体" w:cs="宋体"/>
                <w:kern w:val="0"/>
                <w:sz w:val="24"/>
                <w:highlight w:val="none"/>
              </w:rPr>
            </w:pPr>
          </w:p>
        </w:tc>
        <w:tc>
          <w:tcPr>
            <w:tcW w:w="1294" w:type="dxa"/>
            <w:noWrap w:val="0"/>
            <w:vAlign w:val="center"/>
          </w:tcPr>
          <w:p w14:paraId="4468400B">
            <w:pPr>
              <w:spacing w:line="360" w:lineRule="auto"/>
              <w:jc w:val="center"/>
              <w:rPr>
                <w:rFonts w:hint="eastAsia" w:ascii="宋体" w:hAnsi="宋体" w:eastAsia="宋体" w:cs="宋体"/>
                <w:kern w:val="0"/>
                <w:sz w:val="24"/>
                <w:highlight w:val="none"/>
              </w:rPr>
            </w:pPr>
          </w:p>
        </w:tc>
        <w:tc>
          <w:tcPr>
            <w:tcW w:w="1256" w:type="dxa"/>
            <w:noWrap w:val="0"/>
            <w:vAlign w:val="top"/>
          </w:tcPr>
          <w:p w14:paraId="7664A166">
            <w:pPr>
              <w:spacing w:line="360" w:lineRule="auto"/>
              <w:jc w:val="center"/>
              <w:rPr>
                <w:rFonts w:hint="eastAsia" w:ascii="宋体" w:hAnsi="宋体" w:eastAsia="宋体" w:cs="宋体"/>
                <w:kern w:val="0"/>
                <w:sz w:val="24"/>
                <w:highlight w:val="none"/>
              </w:rPr>
            </w:pPr>
          </w:p>
        </w:tc>
        <w:tc>
          <w:tcPr>
            <w:tcW w:w="2182" w:type="dxa"/>
            <w:noWrap w:val="0"/>
            <w:vAlign w:val="top"/>
          </w:tcPr>
          <w:p w14:paraId="32F7DB1C">
            <w:pPr>
              <w:spacing w:line="360" w:lineRule="auto"/>
              <w:jc w:val="center"/>
              <w:rPr>
                <w:rFonts w:hint="eastAsia" w:ascii="宋体" w:hAnsi="宋体" w:eastAsia="宋体" w:cs="宋体"/>
                <w:kern w:val="0"/>
                <w:sz w:val="24"/>
                <w:highlight w:val="none"/>
              </w:rPr>
            </w:pPr>
          </w:p>
        </w:tc>
        <w:tc>
          <w:tcPr>
            <w:tcW w:w="1550" w:type="dxa"/>
            <w:noWrap w:val="0"/>
            <w:vAlign w:val="top"/>
          </w:tcPr>
          <w:p w14:paraId="2EEBA2F0">
            <w:pPr>
              <w:spacing w:line="360" w:lineRule="auto"/>
              <w:jc w:val="center"/>
              <w:rPr>
                <w:rFonts w:hint="eastAsia" w:ascii="宋体" w:hAnsi="宋体" w:eastAsia="宋体" w:cs="宋体"/>
                <w:kern w:val="0"/>
                <w:sz w:val="24"/>
                <w:highlight w:val="none"/>
              </w:rPr>
            </w:pPr>
          </w:p>
        </w:tc>
        <w:tc>
          <w:tcPr>
            <w:tcW w:w="1160" w:type="dxa"/>
            <w:noWrap w:val="0"/>
            <w:vAlign w:val="center"/>
          </w:tcPr>
          <w:p w14:paraId="047AA1C0">
            <w:pPr>
              <w:spacing w:line="360" w:lineRule="auto"/>
              <w:jc w:val="center"/>
              <w:rPr>
                <w:rFonts w:hint="eastAsia" w:ascii="宋体" w:hAnsi="宋体" w:eastAsia="宋体" w:cs="宋体"/>
                <w:kern w:val="0"/>
                <w:sz w:val="24"/>
                <w:highlight w:val="none"/>
              </w:rPr>
            </w:pPr>
          </w:p>
        </w:tc>
        <w:tc>
          <w:tcPr>
            <w:tcW w:w="1472" w:type="dxa"/>
            <w:noWrap w:val="0"/>
            <w:vAlign w:val="top"/>
          </w:tcPr>
          <w:p w14:paraId="6FACAA23">
            <w:pPr>
              <w:spacing w:line="360" w:lineRule="auto"/>
              <w:jc w:val="center"/>
              <w:rPr>
                <w:rFonts w:hint="eastAsia" w:ascii="宋体" w:hAnsi="宋体" w:eastAsia="宋体" w:cs="宋体"/>
                <w:kern w:val="0"/>
                <w:sz w:val="24"/>
                <w:highlight w:val="none"/>
              </w:rPr>
            </w:pPr>
          </w:p>
        </w:tc>
      </w:tr>
      <w:tr w14:paraId="5354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21" w:type="dxa"/>
            <w:noWrap w:val="0"/>
            <w:vAlign w:val="center"/>
          </w:tcPr>
          <w:p w14:paraId="4371F25E">
            <w:pPr>
              <w:spacing w:line="360" w:lineRule="auto"/>
              <w:jc w:val="center"/>
              <w:rPr>
                <w:rFonts w:hint="eastAsia" w:ascii="宋体" w:hAnsi="宋体" w:eastAsia="宋体" w:cs="宋体"/>
                <w:kern w:val="0"/>
                <w:sz w:val="24"/>
                <w:highlight w:val="none"/>
              </w:rPr>
            </w:pPr>
          </w:p>
        </w:tc>
        <w:tc>
          <w:tcPr>
            <w:tcW w:w="1294" w:type="dxa"/>
            <w:noWrap w:val="0"/>
            <w:vAlign w:val="center"/>
          </w:tcPr>
          <w:p w14:paraId="08ED6FD3">
            <w:pPr>
              <w:spacing w:line="360" w:lineRule="auto"/>
              <w:jc w:val="center"/>
              <w:rPr>
                <w:rFonts w:hint="eastAsia" w:ascii="宋体" w:hAnsi="宋体" w:eastAsia="宋体" w:cs="宋体"/>
                <w:kern w:val="0"/>
                <w:sz w:val="24"/>
                <w:highlight w:val="none"/>
              </w:rPr>
            </w:pPr>
          </w:p>
        </w:tc>
        <w:tc>
          <w:tcPr>
            <w:tcW w:w="1256" w:type="dxa"/>
            <w:noWrap w:val="0"/>
            <w:vAlign w:val="top"/>
          </w:tcPr>
          <w:p w14:paraId="24D6A19B">
            <w:pPr>
              <w:spacing w:line="360" w:lineRule="auto"/>
              <w:jc w:val="center"/>
              <w:rPr>
                <w:rFonts w:hint="eastAsia" w:ascii="宋体" w:hAnsi="宋体" w:eastAsia="宋体" w:cs="宋体"/>
                <w:kern w:val="0"/>
                <w:sz w:val="24"/>
                <w:highlight w:val="none"/>
              </w:rPr>
            </w:pPr>
          </w:p>
        </w:tc>
        <w:tc>
          <w:tcPr>
            <w:tcW w:w="2182" w:type="dxa"/>
            <w:noWrap w:val="0"/>
            <w:vAlign w:val="top"/>
          </w:tcPr>
          <w:p w14:paraId="3EFA4C1A">
            <w:pPr>
              <w:spacing w:line="360" w:lineRule="auto"/>
              <w:jc w:val="center"/>
              <w:rPr>
                <w:rFonts w:hint="eastAsia" w:ascii="宋体" w:hAnsi="宋体" w:eastAsia="宋体" w:cs="宋体"/>
                <w:kern w:val="0"/>
                <w:sz w:val="24"/>
                <w:highlight w:val="none"/>
              </w:rPr>
            </w:pPr>
          </w:p>
        </w:tc>
        <w:tc>
          <w:tcPr>
            <w:tcW w:w="1550" w:type="dxa"/>
            <w:noWrap w:val="0"/>
            <w:vAlign w:val="top"/>
          </w:tcPr>
          <w:p w14:paraId="1CBBF0CA">
            <w:pPr>
              <w:spacing w:line="360" w:lineRule="auto"/>
              <w:jc w:val="center"/>
              <w:rPr>
                <w:rFonts w:hint="eastAsia" w:ascii="宋体" w:hAnsi="宋体" w:eastAsia="宋体" w:cs="宋体"/>
                <w:kern w:val="0"/>
                <w:sz w:val="24"/>
                <w:highlight w:val="none"/>
              </w:rPr>
            </w:pPr>
          </w:p>
        </w:tc>
        <w:tc>
          <w:tcPr>
            <w:tcW w:w="1160" w:type="dxa"/>
            <w:noWrap w:val="0"/>
            <w:vAlign w:val="center"/>
          </w:tcPr>
          <w:p w14:paraId="2CB397AB">
            <w:pPr>
              <w:spacing w:line="360" w:lineRule="auto"/>
              <w:jc w:val="center"/>
              <w:rPr>
                <w:rFonts w:hint="eastAsia" w:ascii="宋体" w:hAnsi="宋体" w:eastAsia="宋体" w:cs="宋体"/>
                <w:kern w:val="0"/>
                <w:sz w:val="24"/>
                <w:highlight w:val="none"/>
              </w:rPr>
            </w:pPr>
          </w:p>
        </w:tc>
        <w:tc>
          <w:tcPr>
            <w:tcW w:w="1472" w:type="dxa"/>
            <w:noWrap w:val="0"/>
            <w:vAlign w:val="top"/>
          </w:tcPr>
          <w:p w14:paraId="6865AFC5">
            <w:pPr>
              <w:spacing w:line="360" w:lineRule="auto"/>
              <w:jc w:val="center"/>
              <w:rPr>
                <w:rFonts w:hint="eastAsia" w:ascii="宋体" w:hAnsi="宋体" w:eastAsia="宋体" w:cs="宋体"/>
                <w:kern w:val="0"/>
                <w:sz w:val="24"/>
                <w:highlight w:val="none"/>
              </w:rPr>
            </w:pPr>
          </w:p>
        </w:tc>
      </w:tr>
      <w:tr w14:paraId="188E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21" w:type="dxa"/>
            <w:noWrap w:val="0"/>
            <w:vAlign w:val="center"/>
          </w:tcPr>
          <w:p w14:paraId="3F79B51C">
            <w:pPr>
              <w:spacing w:line="360" w:lineRule="auto"/>
              <w:jc w:val="center"/>
              <w:rPr>
                <w:rFonts w:hint="eastAsia" w:ascii="宋体" w:hAnsi="宋体" w:eastAsia="宋体" w:cs="宋体"/>
                <w:kern w:val="0"/>
                <w:sz w:val="24"/>
                <w:highlight w:val="none"/>
              </w:rPr>
            </w:pPr>
          </w:p>
        </w:tc>
        <w:tc>
          <w:tcPr>
            <w:tcW w:w="1294" w:type="dxa"/>
            <w:noWrap w:val="0"/>
            <w:vAlign w:val="center"/>
          </w:tcPr>
          <w:p w14:paraId="21079186">
            <w:pPr>
              <w:spacing w:line="360" w:lineRule="auto"/>
              <w:jc w:val="center"/>
              <w:rPr>
                <w:rFonts w:hint="eastAsia" w:ascii="宋体" w:hAnsi="宋体" w:eastAsia="宋体" w:cs="宋体"/>
                <w:kern w:val="0"/>
                <w:sz w:val="24"/>
                <w:highlight w:val="none"/>
              </w:rPr>
            </w:pPr>
          </w:p>
        </w:tc>
        <w:tc>
          <w:tcPr>
            <w:tcW w:w="1256" w:type="dxa"/>
            <w:noWrap w:val="0"/>
            <w:vAlign w:val="top"/>
          </w:tcPr>
          <w:p w14:paraId="4E9ED137">
            <w:pPr>
              <w:spacing w:line="360" w:lineRule="auto"/>
              <w:jc w:val="center"/>
              <w:rPr>
                <w:rFonts w:hint="eastAsia" w:ascii="宋体" w:hAnsi="宋体" w:eastAsia="宋体" w:cs="宋体"/>
                <w:kern w:val="0"/>
                <w:sz w:val="24"/>
                <w:highlight w:val="none"/>
              </w:rPr>
            </w:pPr>
          </w:p>
        </w:tc>
        <w:tc>
          <w:tcPr>
            <w:tcW w:w="2182" w:type="dxa"/>
            <w:noWrap w:val="0"/>
            <w:vAlign w:val="top"/>
          </w:tcPr>
          <w:p w14:paraId="3C5AFA95">
            <w:pPr>
              <w:spacing w:line="360" w:lineRule="auto"/>
              <w:jc w:val="center"/>
              <w:rPr>
                <w:rFonts w:hint="eastAsia" w:ascii="宋体" w:hAnsi="宋体" w:eastAsia="宋体" w:cs="宋体"/>
                <w:kern w:val="0"/>
                <w:sz w:val="24"/>
                <w:highlight w:val="none"/>
              </w:rPr>
            </w:pPr>
          </w:p>
        </w:tc>
        <w:tc>
          <w:tcPr>
            <w:tcW w:w="1550" w:type="dxa"/>
            <w:noWrap w:val="0"/>
            <w:vAlign w:val="top"/>
          </w:tcPr>
          <w:p w14:paraId="2BE57BF7">
            <w:pPr>
              <w:spacing w:line="360" w:lineRule="auto"/>
              <w:jc w:val="center"/>
              <w:rPr>
                <w:rFonts w:hint="eastAsia" w:ascii="宋体" w:hAnsi="宋体" w:eastAsia="宋体" w:cs="宋体"/>
                <w:kern w:val="0"/>
                <w:sz w:val="24"/>
                <w:highlight w:val="none"/>
              </w:rPr>
            </w:pPr>
          </w:p>
        </w:tc>
        <w:tc>
          <w:tcPr>
            <w:tcW w:w="1160" w:type="dxa"/>
            <w:noWrap w:val="0"/>
            <w:vAlign w:val="center"/>
          </w:tcPr>
          <w:p w14:paraId="4B32C3C7">
            <w:pPr>
              <w:spacing w:line="360" w:lineRule="auto"/>
              <w:jc w:val="center"/>
              <w:rPr>
                <w:rFonts w:hint="eastAsia" w:ascii="宋体" w:hAnsi="宋体" w:eastAsia="宋体" w:cs="宋体"/>
                <w:kern w:val="0"/>
                <w:sz w:val="24"/>
                <w:highlight w:val="none"/>
              </w:rPr>
            </w:pPr>
          </w:p>
        </w:tc>
        <w:tc>
          <w:tcPr>
            <w:tcW w:w="1472" w:type="dxa"/>
            <w:noWrap w:val="0"/>
            <w:vAlign w:val="top"/>
          </w:tcPr>
          <w:p w14:paraId="2897995A">
            <w:pPr>
              <w:spacing w:line="360" w:lineRule="auto"/>
              <w:jc w:val="center"/>
              <w:rPr>
                <w:rFonts w:hint="eastAsia" w:ascii="宋体" w:hAnsi="宋体" w:eastAsia="宋体" w:cs="宋体"/>
                <w:kern w:val="0"/>
                <w:sz w:val="24"/>
                <w:highlight w:val="none"/>
              </w:rPr>
            </w:pPr>
          </w:p>
        </w:tc>
      </w:tr>
      <w:tr w14:paraId="6DDD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821" w:type="dxa"/>
            <w:noWrap w:val="0"/>
            <w:vAlign w:val="center"/>
          </w:tcPr>
          <w:p w14:paraId="0923EB3D">
            <w:pPr>
              <w:spacing w:line="360" w:lineRule="auto"/>
              <w:jc w:val="center"/>
              <w:rPr>
                <w:rFonts w:hint="eastAsia" w:ascii="宋体" w:hAnsi="宋体" w:eastAsia="宋体" w:cs="宋体"/>
                <w:kern w:val="0"/>
                <w:sz w:val="24"/>
                <w:highlight w:val="none"/>
              </w:rPr>
            </w:pPr>
          </w:p>
        </w:tc>
        <w:tc>
          <w:tcPr>
            <w:tcW w:w="1294" w:type="dxa"/>
            <w:noWrap w:val="0"/>
            <w:vAlign w:val="center"/>
          </w:tcPr>
          <w:p w14:paraId="76184D06">
            <w:pPr>
              <w:spacing w:line="360" w:lineRule="auto"/>
              <w:jc w:val="center"/>
              <w:rPr>
                <w:rFonts w:hint="eastAsia" w:ascii="宋体" w:hAnsi="宋体" w:eastAsia="宋体" w:cs="宋体"/>
                <w:kern w:val="0"/>
                <w:sz w:val="24"/>
                <w:highlight w:val="none"/>
              </w:rPr>
            </w:pPr>
          </w:p>
        </w:tc>
        <w:tc>
          <w:tcPr>
            <w:tcW w:w="1256" w:type="dxa"/>
            <w:noWrap w:val="0"/>
            <w:vAlign w:val="top"/>
          </w:tcPr>
          <w:p w14:paraId="2E50EF5E">
            <w:pPr>
              <w:spacing w:line="360" w:lineRule="auto"/>
              <w:jc w:val="center"/>
              <w:rPr>
                <w:rFonts w:hint="eastAsia" w:ascii="宋体" w:hAnsi="宋体" w:eastAsia="宋体" w:cs="宋体"/>
                <w:kern w:val="0"/>
                <w:sz w:val="24"/>
                <w:highlight w:val="none"/>
              </w:rPr>
            </w:pPr>
          </w:p>
        </w:tc>
        <w:tc>
          <w:tcPr>
            <w:tcW w:w="2182" w:type="dxa"/>
            <w:noWrap w:val="0"/>
            <w:vAlign w:val="top"/>
          </w:tcPr>
          <w:p w14:paraId="451375D0">
            <w:pPr>
              <w:spacing w:line="360" w:lineRule="auto"/>
              <w:jc w:val="center"/>
              <w:rPr>
                <w:rFonts w:hint="eastAsia" w:ascii="宋体" w:hAnsi="宋体" w:eastAsia="宋体" w:cs="宋体"/>
                <w:kern w:val="0"/>
                <w:sz w:val="24"/>
                <w:highlight w:val="none"/>
              </w:rPr>
            </w:pPr>
          </w:p>
        </w:tc>
        <w:tc>
          <w:tcPr>
            <w:tcW w:w="1550" w:type="dxa"/>
            <w:noWrap w:val="0"/>
            <w:vAlign w:val="top"/>
          </w:tcPr>
          <w:p w14:paraId="5525F785">
            <w:pPr>
              <w:spacing w:line="360" w:lineRule="auto"/>
              <w:jc w:val="center"/>
              <w:rPr>
                <w:rFonts w:hint="eastAsia" w:ascii="宋体" w:hAnsi="宋体" w:eastAsia="宋体" w:cs="宋体"/>
                <w:kern w:val="0"/>
                <w:sz w:val="24"/>
                <w:highlight w:val="none"/>
              </w:rPr>
            </w:pPr>
          </w:p>
        </w:tc>
        <w:tc>
          <w:tcPr>
            <w:tcW w:w="1160" w:type="dxa"/>
            <w:noWrap w:val="0"/>
            <w:vAlign w:val="center"/>
          </w:tcPr>
          <w:p w14:paraId="5A125E2B">
            <w:pPr>
              <w:spacing w:line="360" w:lineRule="auto"/>
              <w:jc w:val="center"/>
              <w:rPr>
                <w:rFonts w:hint="eastAsia" w:ascii="宋体" w:hAnsi="宋体" w:eastAsia="宋体" w:cs="宋体"/>
                <w:kern w:val="0"/>
                <w:sz w:val="24"/>
                <w:highlight w:val="none"/>
              </w:rPr>
            </w:pPr>
          </w:p>
        </w:tc>
        <w:tc>
          <w:tcPr>
            <w:tcW w:w="1472" w:type="dxa"/>
            <w:noWrap w:val="0"/>
            <w:vAlign w:val="top"/>
          </w:tcPr>
          <w:p w14:paraId="54605A10">
            <w:pPr>
              <w:spacing w:line="360" w:lineRule="auto"/>
              <w:jc w:val="center"/>
              <w:rPr>
                <w:rFonts w:hint="eastAsia" w:ascii="宋体" w:hAnsi="宋体" w:eastAsia="宋体" w:cs="宋体"/>
                <w:kern w:val="0"/>
                <w:sz w:val="24"/>
                <w:highlight w:val="none"/>
              </w:rPr>
            </w:pPr>
          </w:p>
        </w:tc>
      </w:tr>
    </w:tbl>
    <w:p w14:paraId="249FDE67">
      <w:pPr>
        <w:adjustRightInd w:val="0"/>
        <w:snapToGrid w:val="0"/>
        <w:spacing w:line="360" w:lineRule="auto"/>
        <w:ind w:firstLine="240" w:firstLineChars="100"/>
        <w:rPr>
          <w:rFonts w:hint="eastAsia" w:ascii="宋体" w:hAnsi="宋体" w:eastAsia="宋体" w:cs="宋体"/>
          <w:sz w:val="24"/>
          <w:highlight w:val="none"/>
          <w:lang w:val="en-US" w:eastAsia="zh-CN"/>
        </w:rPr>
      </w:pPr>
      <w:r>
        <w:rPr>
          <w:rFonts w:hint="eastAsia" w:cs="宋体"/>
          <w:sz w:val="24"/>
          <w:highlight w:val="none"/>
          <w:lang w:val="en-US" w:eastAsia="zh-CN"/>
        </w:rPr>
        <w:t>5.</w:t>
      </w:r>
      <w:r>
        <w:rPr>
          <w:rFonts w:hint="eastAsia" w:ascii="宋体" w:hAnsi="宋体" w:eastAsia="宋体" w:cs="宋体"/>
          <w:sz w:val="24"/>
          <w:highlight w:val="none"/>
          <w:lang w:val="en-US" w:eastAsia="zh-CN"/>
        </w:rPr>
        <w:t>质量保证措施及承诺（格式自拟）</w:t>
      </w:r>
    </w:p>
    <w:p w14:paraId="6DC2A3D7">
      <w:pPr>
        <w:adjustRightInd w:val="0"/>
        <w:snapToGrid w:val="0"/>
        <w:spacing w:line="360" w:lineRule="auto"/>
        <w:ind w:firstLine="240" w:firstLineChars="100"/>
        <w:rPr>
          <w:rFonts w:hint="eastAsia" w:ascii="宋体" w:hAnsi="宋体" w:eastAsia="宋体" w:cs="宋体"/>
          <w:sz w:val="24"/>
          <w:highlight w:val="none"/>
          <w:lang w:val="en-US" w:eastAsia="zh-CN"/>
        </w:rPr>
      </w:pPr>
      <w:r>
        <w:rPr>
          <w:rFonts w:hint="eastAsia" w:cs="宋体"/>
          <w:sz w:val="24"/>
          <w:highlight w:val="none"/>
          <w:lang w:val="en-US" w:eastAsia="zh-CN"/>
        </w:rPr>
        <w:t>6.</w:t>
      </w:r>
      <w:r>
        <w:rPr>
          <w:rFonts w:hint="eastAsia" w:ascii="宋体" w:hAnsi="宋体" w:eastAsia="宋体" w:cs="宋体"/>
          <w:sz w:val="24"/>
          <w:highlight w:val="none"/>
          <w:lang w:val="en-US" w:eastAsia="zh-CN"/>
        </w:rPr>
        <w:t>项目组织机构及主要人员（格式自拟）</w:t>
      </w:r>
    </w:p>
    <w:p w14:paraId="5B106221">
      <w:pPr>
        <w:adjustRightInd w:val="0"/>
        <w:snapToGrid w:val="0"/>
        <w:spacing w:line="360" w:lineRule="auto"/>
        <w:ind w:firstLine="240" w:firstLineChars="100"/>
        <w:rPr>
          <w:rFonts w:hint="eastAsia" w:ascii="宋体" w:hAnsi="宋体" w:eastAsia="宋体" w:cs="宋体"/>
          <w:sz w:val="24"/>
          <w:highlight w:val="none"/>
        </w:rPr>
        <w:sectPr>
          <w:headerReference r:id="rId15" w:type="default"/>
          <w:footerReference r:id="rId16" w:type="default"/>
          <w:pgSz w:w="11907" w:h="16840"/>
          <w:pgMar w:top="1417" w:right="1134" w:bottom="1417" w:left="1134" w:header="850" w:footer="850" w:gutter="0"/>
          <w:pgNumType w:fmt="decimal"/>
          <w:cols w:space="720" w:num="1"/>
          <w:docGrid w:linePitch="312" w:charSpace="0"/>
        </w:sectPr>
      </w:pPr>
      <w:r>
        <w:rPr>
          <w:rFonts w:hint="eastAsia" w:cs="宋体"/>
          <w:sz w:val="24"/>
          <w:highlight w:val="none"/>
          <w:lang w:val="en-US" w:eastAsia="zh-CN"/>
        </w:rPr>
        <w:t>7.</w:t>
      </w:r>
      <w:r>
        <w:rPr>
          <w:rFonts w:hint="eastAsia" w:ascii="宋体" w:hAnsi="宋体" w:eastAsia="宋体" w:cs="宋体"/>
          <w:sz w:val="24"/>
          <w:highlight w:val="none"/>
          <w:lang w:val="en-US" w:eastAsia="zh-CN"/>
        </w:rPr>
        <w:t>售后服务方案（格式自拟）</w:t>
      </w:r>
    </w:p>
    <w:p w14:paraId="6F5D0137">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eastAsia" w:ascii="宋体" w:hAnsi="宋体" w:eastAsia="宋体" w:cs="宋体"/>
          <w:b/>
          <w:bCs w:val="0"/>
          <w:kern w:val="0"/>
          <w:szCs w:val="28"/>
          <w:highlight w:val="none"/>
          <w:lang w:val="en-US" w:eastAsia="zh-CN"/>
        </w:rPr>
      </w:pPr>
      <w:bookmarkStart w:id="106" w:name="_Toc1355"/>
      <w:bookmarkStart w:id="107" w:name="_Toc9549"/>
      <w:bookmarkStart w:id="108" w:name="_Toc25836"/>
      <w:r>
        <w:rPr>
          <w:rFonts w:hint="eastAsia" w:ascii="宋体" w:hAnsi="宋体" w:eastAsia="宋体" w:cs="宋体"/>
          <w:b/>
          <w:bCs w:val="0"/>
          <w:kern w:val="0"/>
          <w:szCs w:val="28"/>
          <w:highlight w:val="none"/>
          <w:lang w:val="en-US" w:eastAsia="zh-CN"/>
        </w:rPr>
        <w:t>（五）中小企业证明文件</w:t>
      </w:r>
    </w:p>
    <w:p w14:paraId="68689930">
      <w:pPr>
        <w:numPr>
          <w:ilvl w:val="0"/>
          <w:numId w:val="0"/>
        </w:numPr>
        <w:tabs>
          <w:tab w:val="left" w:pos="3892"/>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中小企业声明函填写注意事项：</w:t>
      </w:r>
    </w:p>
    <w:p w14:paraId="623FD831">
      <w:pPr>
        <w:numPr>
          <w:ilvl w:val="0"/>
          <w:numId w:val="0"/>
        </w:numPr>
        <w:tabs>
          <w:tab w:val="left" w:pos="3892"/>
        </w:tabs>
        <w:spacing w:line="360" w:lineRule="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《中小企业声明函》由参加政府采购活动的供应商出具，本项目中小企业划分标准所属行业详见第二章《供应商须知》。</w:t>
      </w:r>
    </w:p>
    <w:p w14:paraId="3E8C2B70">
      <w:pPr>
        <w:widowControl w:val="0"/>
        <w:numPr>
          <w:ilvl w:val="0"/>
          <w:numId w:val="0"/>
        </w:numPr>
        <w:tabs>
          <w:tab w:val="left" w:pos="3892"/>
        </w:tabs>
        <w:autoSpaceDE w:val="0"/>
        <w:autoSpaceDN w:val="0"/>
        <w:spacing w:line="360" w:lineRule="auto"/>
        <w:rPr>
          <w:rFonts w:hint="default" w:ascii="宋体" w:hAnsi="宋体" w:eastAsia="宋体" w:cs="宋体"/>
          <w:b w:val="0"/>
          <w:bCs w:val="0"/>
          <w:color w:val="auto"/>
          <w:sz w:val="24"/>
          <w:szCs w:val="24"/>
          <w:highlight w:val="none"/>
          <w:lang w:val="en-US" w:eastAsia="zh-CN"/>
        </w:rPr>
        <w:sectPr>
          <w:headerReference r:id="rId17" w:type="default"/>
          <w:footerReference r:id="rId18" w:type="default"/>
          <w:pgSz w:w="11910" w:h="16840"/>
          <w:pgMar w:top="1417" w:right="1134" w:bottom="1417" w:left="1134" w:header="850" w:footer="850" w:gutter="0"/>
          <w:pgNumType w:fmt="decimal"/>
          <w:cols w:space="720" w:num="1"/>
        </w:sect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《中小企业声明函》</w:t>
      </w:r>
      <w:r>
        <w:rPr>
          <w:rFonts w:hint="eastAsia" w:cs="宋体"/>
          <w:b w:val="0"/>
          <w:bCs w:val="0"/>
          <w:color w:val="auto"/>
          <w:sz w:val="24"/>
          <w:szCs w:val="24"/>
          <w:highlight w:val="none"/>
          <w:lang w:val="en-US" w:eastAsia="zh-CN"/>
        </w:rPr>
        <w:t>中的标的名称应与第四章《采购需求》“招标工程量清单”中的项目名称保持一致，并与第六章《响应文件格式》“</w:t>
      </w:r>
      <w:r>
        <w:rPr>
          <w:rFonts w:hint="eastAsia" w:cs="宋体"/>
          <w:color w:val="auto"/>
          <w:sz w:val="24"/>
          <w:highlight w:val="none"/>
          <w:lang w:val="en-US" w:eastAsia="zh-CN"/>
        </w:rPr>
        <w:t>磋商货物标的清单</w:t>
      </w:r>
      <w:r>
        <w:rPr>
          <w:rFonts w:hint="eastAsia" w:cs="宋体"/>
          <w:b w:val="0"/>
          <w:bCs w:val="0"/>
          <w:color w:val="auto"/>
          <w:sz w:val="24"/>
          <w:szCs w:val="24"/>
          <w:highlight w:val="none"/>
          <w:lang w:val="en-US" w:eastAsia="zh-CN"/>
        </w:rPr>
        <w:t>”中货物标的名称保持一致。</w:t>
      </w:r>
    </w:p>
    <w:p w14:paraId="4A2B32C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附件1：</w:t>
      </w:r>
    </w:p>
    <w:p w14:paraId="62A03E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中小企业声明函（货物）</w:t>
      </w:r>
    </w:p>
    <w:p w14:paraId="5B6C9A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采购活动，提供的货物全部由符合政策要求的中小企业制造。相关企业（含联合体中的中小企业、签订分包意向协议的中小企业）的具体情况如下：</w:t>
      </w:r>
    </w:p>
    <w:p w14:paraId="519BBE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u w:val="single"/>
        </w:rPr>
        <w:t xml:space="preserve"> （标的名称）</w:t>
      </w:r>
      <w:r>
        <w:rPr>
          <w:rFonts w:hint="eastAsia" w:ascii="宋体" w:hAnsi="宋体" w:eastAsia="宋体" w:cs="宋体"/>
          <w:color w:val="auto"/>
          <w:sz w:val="24"/>
          <w:szCs w:val="32"/>
          <w:highlight w:val="none"/>
        </w:rPr>
        <w:t xml:space="preserve"> ，属于</w:t>
      </w:r>
      <w:r>
        <w:rPr>
          <w:rFonts w:hint="eastAsia" w:ascii="宋体" w:hAnsi="宋体" w:eastAsia="宋体" w:cs="宋体"/>
          <w:color w:val="auto"/>
          <w:sz w:val="24"/>
          <w:szCs w:val="32"/>
          <w:highlight w:val="none"/>
          <w:u w:val="single"/>
        </w:rPr>
        <w:t xml:space="preserve"> （采购文件中明确的所属行业） </w:t>
      </w:r>
      <w:r>
        <w:rPr>
          <w:rFonts w:hint="eastAsia" w:ascii="宋体" w:hAnsi="宋体" w:eastAsia="宋体" w:cs="宋体"/>
          <w:color w:val="auto"/>
          <w:sz w:val="24"/>
          <w:szCs w:val="32"/>
          <w:highlight w:val="none"/>
        </w:rPr>
        <w:t>行业；制造商为</w:t>
      </w:r>
      <w:r>
        <w:rPr>
          <w:rFonts w:hint="eastAsia" w:ascii="宋体" w:hAnsi="宋体" w:eastAsia="宋体" w:cs="宋体"/>
          <w:color w:val="auto"/>
          <w:sz w:val="24"/>
          <w:szCs w:val="32"/>
          <w:highlight w:val="none"/>
          <w:u w:val="single"/>
        </w:rPr>
        <w:t>（企业名称）</w:t>
      </w:r>
      <w:r>
        <w:rPr>
          <w:rFonts w:hint="eastAsia" w:ascii="宋体" w:hAnsi="宋体" w:eastAsia="宋体" w:cs="宋体"/>
          <w:color w:val="auto"/>
          <w:sz w:val="24"/>
          <w:szCs w:val="32"/>
          <w:highlight w:val="none"/>
        </w:rPr>
        <w:t>，从业人员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万元，属于</w:t>
      </w:r>
      <w:r>
        <w:rPr>
          <w:rFonts w:hint="eastAsia" w:ascii="宋体" w:hAnsi="宋体" w:eastAsia="宋体" w:cs="宋体"/>
          <w:color w:val="auto"/>
          <w:sz w:val="24"/>
          <w:szCs w:val="32"/>
          <w:highlight w:val="none"/>
          <w:u w:val="single"/>
        </w:rPr>
        <w:t>（中型企业、小型企业、微型企业）</w:t>
      </w:r>
      <w:r>
        <w:rPr>
          <w:rFonts w:hint="eastAsia" w:ascii="宋体" w:hAnsi="宋体" w:eastAsia="宋体" w:cs="宋体"/>
          <w:color w:val="auto"/>
          <w:sz w:val="24"/>
          <w:szCs w:val="32"/>
          <w:highlight w:val="none"/>
        </w:rPr>
        <w:t>；</w:t>
      </w:r>
    </w:p>
    <w:p w14:paraId="4684C5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u w:val="single"/>
        </w:rPr>
        <w:t xml:space="preserve"> （标的名称）</w:t>
      </w:r>
      <w:r>
        <w:rPr>
          <w:rFonts w:hint="eastAsia" w:ascii="宋体" w:hAnsi="宋体" w:eastAsia="宋体" w:cs="宋体"/>
          <w:color w:val="auto"/>
          <w:sz w:val="24"/>
          <w:szCs w:val="32"/>
          <w:highlight w:val="none"/>
        </w:rPr>
        <w:t xml:space="preserve"> ，属于</w:t>
      </w:r>
      <w:r>
        <w:rPr>
          <w:rFonts w:hint="eastAsia" w:ascii="宋体" w:hAnsi="宋体" w:eastAsia="宋体" w:cs="宋体"/>
          <w:color w:val="auto"/>
          <w:sz w:val="24"/>
          <w:szCs w:val="32"/>
          <w:highlight w:val="none"/>
          <w:u w:val="single"/>
        </w:rPr>
        <w:t xml:space="preserve"> （采购文件中明确的所属行业） </w:t>
      </w:r>
      <w:r>
        <w:rPr>
          <w:rFonts w:hint="eastAsia" w:ascii="宋体" w:hAnsi="宋体" w:eastAsia="宋体" w:cs="宋体"/>
          <w:color w:val="auto"/>
          <w:sz w:val="24"/>
          <w:szCs w:val="32"/>
          <w:highlight w:val="none"/>
        </w:rPr>
        <w:t>行业；制造商为</w:t>
      </w:r>
      <w:r>
        <w:rPr>
          <w:rFonts w:hint="eastAsia" w:ascii="宋体" w:hAnsi="宋体" w:eastAsia="宋体" w:cs="宋体"/>
          <w:color w:val="auto"/>
          <w:sz w:val="24"/>
          <w:szCs w:val="32"/>
          <w:highlight w:val="none"/>
          <w:u w:val="single"/>
        </w:rPr>
        <w:t>（企业名称）</w:t>
      </w:r>
      <w:r>
        <w:rPr>
          <w:rFonts w:hint="eastAsia" w:ascii="宋体" w:hAnsi="宋体" w:eastAsia="宋体" w:cs="宋体"/>
          <w:color w:val="auto"/>
          <w:sz w:val="24"/>
          <w:szCs w:val="32"/>
          <w:highlight w:val="none"/>
        </w:rPr>
        <w:t>，从业人员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万元，属于</w:t>
      </w:r>
      <w:r>
        <w:rPr>
          <w:rFonts w:hint="eastAsia" w:ascii="宋体" w:hAnsi="宋体" w:eastAsia="宋体" w:cs="宋体"/>
          <w:color w:val="auto"/>
          <w:sz w:val="24"/>
          <w:szCs w:val="32"/>
          <w:highlight w:val="none"/>
          <w:u w:val="single"/>
        </w:rPr>
        <w:t>（中型企业、小型企业、微型企业）</w:t>
      </w:r>
      <w:r>
        <w:rPr>
          <w:rFonts w:hint="eastAsia" w:ascii="宋体" w:hAnsi="宋体" w:eastAsia="宋体" w:cs="宋体"/>
          <w:color w:val="auto"/>
          <w:sz w:val="24"/>
          <w:szCs w:val="32"/>
          <w:highlight w:val="none"/>
        </w:rPr>
        <w:t>；</w:t>
      </w:r>
    </w:p>
    <w:p w14:paraId="3C546C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p w14:paraId="565DC0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以上企业，不属于大企业的分支机构，不存在控股股东为大企业的情形，也不存在与大企业的负责人为同一人的情形。</w:t>
      </w:r>
    </w:p>
    <w:p w14:paraId="09FC39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highlight w:val="none"/>
        </w:rPr>
        <w:t>本企业对上述声明内容的真实性负责。如有虚假，将依法承担相应责任</w:t>
      </w:r>
      <w:r>
        <w:rPr>
          <w:rFonts w:hint="eastAsia" w:ascii="宋体" w:hAnsi="宋体" w:eastAsia="宋体" w:cs="宋体"/>
          <w:color w:val="auto"/>
          <w:spacing w:val="6"/>
          <w:sz w:val="24"/>
          <w:highlight w:val="none"/>
        </w:rPr>
        <w:t>。</w:t>
      </w:r>
    </w:p>
    <w:p w14:paraId="72C89088">
      <w:pPr>
        <w:keepNext w:val="0"/>
        <w:keepLines w:val="0"/>
        <w:pageBreakBefore w:val="0"/>
        <w:widowControl w:val="0"/>
        <w:kinsoku/>
        <w:wordWrap/>
        <w:overflowPunct/>
        <w:topLinePunct w:val="0"/>
        <w:autoSpaceDE w:val="0"/>
        <w:autoSpaceDN w:val="0"/>
        <w:bidi w:val="0"/>
        <w:adjustRightInd/>
        <w:snapToGrid/>
        <w:spacing w:line="360" w:lineRule="auto"/>
        <w:ind w:firstLine="504" w:firstLineChars="200"/>
        <w:textAlignment w:val="auto"/>
        <w:rPr>
          <w:rFonts w:hint="eastAsia" w:ascii="宋体" w:hAnsi="宋体" w:eastAsia="宋体" w:cs="宋体"/>
          <w:spacing w:val="6"/>
          <w:sz w:val="24"/>
          <w:highlight w:val="none"/>
        </w:rPr>
      </w:pPr>
    </w:p>
    <w:p w14:paraId="45BC5D92">
      <w:pPr>
        <w:keepNext w:val="0"/>
        <w:keepLines w:val="0"/>
        <w:pageBreakBefore w:val="0"/>
        <w:widowControl w:val="0"/>
        <w:kinsoku/>
        <w:wordWrap/>
        <w:overflowPunct/>
        <w:topLinePunct w:val="0"/>
        <w:autoSpaceDE w:val="0"/>
        <w:autoSpaceDN w:val="0"/>
        <w:bidi w:val="0"/>
        <w:adjustRightInd/>
        <w:snapToGrid/>
        <w:spacing w:line="360" w:lineRule="auto"/>
        <w:ind w:firstLine="504" w:firstLineChars="200"/>
        <w:textAlignment w:val="auto"/>
        <w:rPr>
          <w:rFonts w:hint="eastAsia" w:ascii="宋体" w:hAnsi="宋体" w:eastAsia="宋体" w:cs="宋体"/>
          <w:spacing w:val="6"/>
          <w:sz w:val="24"/>
          <w:highlight w:val="none"/>
        </w:rPr>
      </w:pPr>
    </w:p>
    <w:p w14:paraId="72EFD3BC">
      <w:pPr>
        <w:keepNext w:val="0"/>
        <w:keepLines w:val="0"/>
        <w:pageBreakBefore w:val="0"/>
        <w:widowControl w:val="0"/>
        <w:kinsoku/>
        <w:wordWrap/>
        <w:overflowPunct/>
        <w:topLinePunct w:val="0"/>
        <w:autoSpaceDE w:val="0"/>
        <w:autoSpaceDN w:val="0"/>
        <w:bidi w:val="0"/>
        <w:adjustRightInd/>
        <w:snapToGrid/>
        <w:spacing w:line="360" w:lineRule="auto"/>
        <w:ind w:firstLine="504" w:firstLineChars="200"/>
        <w:textAlignment w:val="auto"/>
        <w:rPr>
          <w:rFonts w:hint="eastAsia" w:ascii="宋体" w:hAnsi="宋体" w:eastAsia="宋体" w:cs="宋体"/>
          <w:sz w:val="24"/>
          <w:highlight w:val="none"/>
        </w:rPr>
      </w:pPr>
      <w:r>
        <w:rPr>
          <w:rFonts w:hint="eastAsia" w:ascii="宋体" w:hAnsi="宋体" w:eastAsia="宋体" w:cs="宋体"/>
          <w:spacing w:val="6"/>
          <w:sz w:val="24"/>
          <w:highlight w:val="none"/>
        </w:rPr>
        <w:t xml:space="preserve">                                    </w:t>
      </w:r>
      <w:r>
        <w:rPr>
          <w:rFonts w:hint="eastAsia" w:ascii="宋体" w:hAnsi="宋体" w:eastAsia="宋体" w:cs="宋体"/>
          <w:spacing w:val="6"/>
          <w:sz w:val="24"/>
          <w:highlight w:val="none"/>
          <w:lang w:val="en-US" w:eastAsia="zh-CN"/>
        </w:rPr>
        <w:t>单位</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838344B">
      <w:pPr>
        <w:keepNext w:val="0"/>
        <w:keepLines w:val="0"/>
        <w:pageBreakBefore w:val="0"/>
        <w:widowControl w:val="0"/>
        <w:kinsoku/>
        <w:wordWrap/>
        <w:overflowPunct/>
        <w:topLinePunct w:val="0"/>
        <w:autoSpaceDE w:val="0"/>
        <w:autoSpaceDN w:val="0"/>
        <w:bidi w:val="0"/>
        <w:adjustRightInd/>
        <w:snapToGrid/>
        <w:spacing w:line="360" w:lineRule="auto"/>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年   月   日</w:t>
      </w:r>
    </w:p>
    <w:p w14:paraId="0D19285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right="1560" w:firstLine="482" w:firstLineChars="200"/>
        <w:jc w:val="center"/>
        <w:textAlignment w:val="auto"/>
        <w:rPr>
          <w:rFonts w:hint="eastAsia" w:ascii="宋体" w:hAnsi="宋体" w:eastAsia="宋体" w:cs="宋体"/>
          <w:b/>
          <w:sz w:val="24"/>
          <w:highlight w:val="none"/>
        </w:rPr>
      </w:pPr>
    </w:p>
    <w:p w14:paraId="331F68A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sz w:val="24"/>
          <w:highlight w:val="none"/>
        </w:rPr>
      </w:pPr>
      <w:r>
        <w:rPr>
          <w:rFonts w:hint="eastAsia" w:ascii="宋体" w:hAnsi="宋体" w:eastAsia="宋体" w:cs="宋体"/>
          <w:b/>
          <w:sz w:val="24"/>
          <w:highlight w:val="none"/>
        </w:rPr>
        <w:t>注：</w:t>
      </w:r>
    </w:p>
    <w:p w14:paraId="6CC89A7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（1）从业人员、营业收入、资产总额填报上一年度数据，无上一年度数据的新成立企业可不填报。</w:t>
      </w:r>
    </w:p>
    <w:p w14:paraId="64C9250D">
      <w:pPr>
        <w:keepNext w:val="0"/>
        <w:keepLines w:val="0"/>
        <w:pageBreakBefore w:val="0"/>
        <w:widowControl w:val="0"/>
        <w:kinsoku/>
        <w:wordWrap/>
        <w:overflowPunct/>
        <w:topLinePunct w:val="0"/>
        <w:autoSpaceDE w:val="0"/>
        <w:autoSpaceDN w:val="0"/>
        <w:bidi w:val="0"/>
        <w:adjustRightInd/>
        <w:snapToGrid/>
        <w:spacing w:line="360" w:lineRule="auto"/>
        <w:ind w:left="645" w:hanging="647" w:hangingChars="293"/>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（2）对符合上述条件的中小企业，须提供《中小企业声明函》并对其真实性负责。</w:t>
      </w:r>
    </w:p>
    <w:p w14:paraId="320433CE">
      <w:pPr>
        <w:keepNext w:val="0"/>
        <w:keepLines w:val="0"/>
        <w:pageBreakBefore w:val="0"/>
        <w:widowControl w:val="0"/>
        <w:kinsoku/>
        <w:wordWrap/>
        <w:overflowPunct/>
        <w:topLinePunct w:val="0"/>
        <w:autoSpaceDE w:val="0"/>
        <w:autoSpaceDN w:val="0"/>
        <w:bidi w:val="0"/>
        <w:adjustRightInd/>
        <w:snapToGrid/>
        <w:spacing w:line="360" w:lineRule="auto"/>
        <w:ind w:left="645" w:hanging="647" w:hangingChars="293"/>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（3）非中小企业可无需填写此项。</w:t>
      </w:r>
    </w:p>
    <w:p w14:paraId="6DEE429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kern w:val="0"/>
          <w:sz w:val="24"/>
          <w:szCs w:val="24"/>
          <w:highlight w:val="none"/>
          <w:lang w:val="en-US" w:eastAsia="zh-CN" w:bidi="ar-SA"/>
        </w:rPr>
      </w:pPr>
      <w:r>
        <w:rPr>
          <w:rFonts w:hint="eastAsia" w:ascii="宋体" w:hAnsi="宋体" w:eastAsia="宋体" w:cs="宋体"/>
          <w:b/>
          <w:sz w:val="24"/>
          <w:highlight w:val="none"/>
        </w:rPr>
        <w:br w:type="page"/>
      </w:r>
      <w:r>
        <w:rPr>
          <w:rFonts w:hint="eastAsia" w:ascii="宋体" w:hAnsi="宋体" w:eastAsia="宋体" w:cs="宋体"/>
          <w:b/>
          <w:bCs/>
          <w:kern w:val="0"/>
          <w:sz w:val="24"/>
          <w:szCs w:val="24"/>
          <w:highlight w:val="none"/>
          <w:lang w:val="en-US" w:eastAsia="zh-CN" w:bidi="ar-SA"/>
        </w:rPr>
        <w:t>附件2：</w:t>
      </w:r>
    </w:p>
    <w:p w14:paraId="5705F799">
      <w:pPr>
        <w:pStyle w:val="20"/>
        <w:keepLines w:val="0"/>
        <w:pageBreakBefore w:val="0"/>
        <w:widowControl w:val="0"/>
        <w:kinsoku/>
        <w:wordWrap/>
        <w:topLinePunct w:val="0"/>
        <w:autoSpaceDE/>
        <w:autoSpaceDN/>
        <w:bidi w:val="0"/>
        <w:snapToGrid/>
        <w:spacing w:before="120" w:after="120" w:line="360" w:lineRule="auto"/>
        <w:textAlignment w:val="auto"/>
        <w:outlineLvl w:val="9"/>
        <w:rPr>
          <w:rFonts w:hint="eastAsia" w:ascii="宋体" w:hAnsi="宋体" w:eastAsia="宋体" w:cs="宋体"/>
          <w:b/>
          <w:spacing w:val="6"/>
          <w:sz w:val="28"/>
          <w:szCs w:val="22"/>
          <w:highlight w:val="none"/>
        </w:rPr>
      </w:pPr>
      <w:r>
        <w:rPr>
          <w:rFonts w:hint="eastAsia" w:ascii="宋体" w:hAnsi="宋体" w:eastAsia="宋体" w:cs="宋体"/>
          <w:b/>
          <w:bCs/>
          <w:sz w:val="24"/>
          <w:szCs w:val="24"/>
          <w:highlight w:val="none"/>
        </w:rPr>
        <w:t>残疾人福利性单位声明函</w:t>
      </w:r>
    </w:p>
    <w:p w14:paraId="5B655D61">
      <w:pPr>
        <w:keepNext w:val="0"/>
        <w:keepLines w:val="0"/>
        <w:pageBreakBefore w:val="0"/>
        <w:widowControl w:val="0"/>
        <w:kinsoku/>
        <w:wordWrap/>
        <w:overflowPunct/>
        <w:topLinePunct w:val="0"/>
        <w:autoSpaceDE w:val="0"/>
        <w:autoSpaceDN w:val="0"/>
        <w:bidi w:val="0"/>
        <w:adjustRightInd/>
        <w:snapToGrid/>
        <w:spacing w:line="360" w:lineRule="auto"/>
        <w:ind w:firstLine="504" w:firstLineChars="200"/>
        <w:textAlignment w:val="auto"/>
        <w:rPr>
          <w:rFonts w:hint="eastAsia" w:ascii="宋体" w:hAnsi="宋体" w:eastAsia="宋体" w:cs="宋体"/>
          <w:spacing w:val="6"/>
          <w:sz w:val="24"/>
          <w:szCs w:val="28"/>
          <w:highlight w:val="none"/>
        </w:rPr>
      </w:pPr>
      <w:r>
        <w:rPr>
          <w:rFonts w:hint="eastAsia" w:ascii="宋体" w:hAnsi="宋体" w:eastAsia="宋体" w:cs="宋体"/>
          <w:spacing w:val="6"/>
          <w:sz w:val="24"/>
          <w:szCs w:val="28"/>
          <w:highlight w:val="none"/>
        </w:rPr>
        <w:t>本单位郑重声明，根据《财政部 民政部 中国残疾人联合会关于促进残疾人就业政府采购政策的通知》（财库</w:t>
      </w:r>
      <w:r>
        <w:rPr>
          <w:rFonts w:hint="eastAsia" w:ascii="宋体" w:hAnsi="宋体" w:eastAsia="宋体" w:cs="宋体"/>
          <w:sz w:val="24"/>
          <w:szCs w:val="28"/>
          <w:highlight w:val="none"/>
        </w:rPr>
        <w:t>〔2017〕141</w:t>
      </w:r>
      <w:r>
        <w:rPr>
          <w:rFonts w:hint="eastAsia" w:ascii="宋体" w:hAnsi="宋体" w:eastAsia="宋体" w:cs="宋体"/>
          <w:spacing w:val="6"/>
          <w:sz w:val="24"/>
          <w:szCs w:val="28"/>
          <w:highlight w:val="none"/>
        </w:rPr>
        <w:t>号）的规定，本单位为符合条件的残疾人福利性单位，且本单位参加</w:t>
      </w:r>
      <w:r>
        <w:rPr>
          <w:rFonts w:hint="eastAsia" w:ascii="宋体" w:hAnsi="宋体" w:eastAsia="宋体" w:cs="宋体"/>
          <w:spacing w:val="6"/>
          <w:sz w:val="24"/>
          <w:szCs w:val="28"/>
          <w:highlight w:val="none"/>
          <w:u w:val="single"/>
        </w:rPr>
        <w:t xml:space="preserve">      </w:t>
      </w:r>
      <w:r>
        <w:rPr>
          <w:rFonts w:hint="eastAsia" w:ascii="宋体" w:hAnsi="宋体" w:eastAsia="宋体" w:cs="宋体"/>
          <w:spacing w:val="6"/>
          <w:sz w:val="24"/>
          <w:szCs w:val="28"/>
          <w:highlight w:val="none"/>
        </w:rPr>
        <w:t>单位的</w:t>
      </w:r>
      <w:r>
        <w:rPr>
          <w:rFonts w:hint="eastAsia" w:ascii="宋体" w:hAnsi="宋体" w:eastAsia="宋体" w:cs="宋体"/>
          <w:spacing w:val="6"/>
          <w:sz w:val="24"/>
          <w:szCs w:val="28"/>
          <w:highlight w:val="none"/>
          <w:u w:val="single"/>
        </w:rPr>
        <w:t xml:space="preserve">      </w:t>
      </w:r>
      <w:r>
        <w:rPr>
          <w:rFonts w:hint="eastAsia" w:ascii="宋体" w:hAnsi="宋体" w:eastAsia="宋体" w:cs="宋体"/>
          <w:spacing w:val="6"/>
          <w:sz w:val="24"/>
          <w:szCs w:val="28"/>
          <w:highlight w:val="none"/>
        </w:rPr>
        <w:t>项目采购活动提供本单位制造的货物（由本单位承担工程/提供服务），或者提供其他残疾人福利性单位制造的货物（不包括使用非残疾人福利性单位注册商标的货物）。</w:t>
      </w:r>
    </w:p>
    <w:p w14:paraId="15138133">
      <w:pPr>
        <w:keepNext w:val="0"/>
        <w:keepLines w:val="0"/>
        <w:pageBreakBefore w:val="0"/>
        <w:widowControl w:val="0"/>
        <w:kinsoku/>
        <w:wordWrap/>
        <w:overflowPunct/>
        <w:topLinePunct w:val="0"/>
        <w:autoSpaceDE w:val="0"/>
        <w:autoSpaceDN w:val="0"/>
        <w:bidi w:val="0"/>
        <w:adjustRightInd/>
        <w:snapToGrid/>
        <w:spacing w:line="360" w:lineRule="auto"/>
        <w:ind w:firstLine="504" w:firstLineChars="200"/>
        <w:textAlignment w:val="auto"/>
        <w:rPr>
          <w:rFonts w:hint="eastAsia" w:ascii="宋体" w:hAnsi="宋体" w:eastAsia="宋体" w:cs="宋体"/>
          <w:spacing w:val="6"/>
          <w:szCs w:val="28"/>
          <w:highlight w:val="none"/>
        </w:rPr>
      </w:pPr>
      <w:r>
        <w:rPr>
          <w:rFonts w:hint="eastAsia" w:ascii="宋体" w:hAnsi="宋体" w:eastAsia="宋体" w:cs="宋体"/>
          <w:spacing w:val="6"/>
          <w:sz w:val="24"/>
          <w:szCs w:val="28"/>
          <w:highlight w:val="none"/>
        </w:rPr>
        <w:t>本单位对上述声明的真实性负责。如有虚假，将依法承担相应责任。</w:t>
      </w:r>
    </w:p>
    <w:p w14:paraId="6B98C2C3">
      <w:pPr>
        <w:keepNext w:val="0"/>
        <w:keepLines w:val="0"/>
        <w:pageBreakBefore w:val="0"/>
        <w:widowControl w:val="0"/>
        <w:kinsoku/>
        <w:wordWrap/>
        <w:overflowPunct/>
        <w:topLinePunct w:val="0"/>
        <w:autoSpaceDE w:val="0"/>
        <w:autoSpaceDN w:val="0"/>
        <w:bidi w:val="0"/>
        <w:adjustRightInd/>
        <w:snapToGrid/>
        <w:spacing w:line="360" w:lineRule="auto"/>
        <w:ind w:left="6" w:hanging="6" w:hangingChars="3"/>
        <w:textAlignment w:val="auto"/>
        <w:rPr>
          <w:rFonts w:hint="eastAsia" w:ascii="宋体" w:hAnsi="宋体" w:eastAsia="宋体" w:cs="宋体"/>
          <w:spacing w:val="6"/>
          <w:szCs w:val="28"/>
          <w:highlight w:val="none"/>
        </w:rPr>
      </w:pPr>
    </w:p>
    <w:p w14:paraId="159886E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64" w:firstLineChars="200"/>
        <w:jc w:val="center"/>
        <w:textAlignment w:val="auto"/>
        <w:rPr>
          <w:rFonts w:hint="eastAsia" w:ascii="宋体" w:hAnsi="宋体" w:eastAsia="宋体" w:cs="宋体"/>
          <w:spacing w:val="6"/>
          <w:sz w:val="24"/>
          <w:szCs w:val="28"/>
          <w:highlight w:val="none"/>
        </w:rPr>
      </w:pPr>
      <w:r>
        <w:rPr>
          <w:rFonts w:hint="eastAsia" w:ascii="宋体" w:hAnsi="宋体" w:eastAsia="宋体" w:cs="宋体"/>
          <w:spacing w:val="6"/>
          <w:szCs w:val="28"/>
          <w:highlight w:val="none"/>
        </w:rPr>
        <w:t xml:space="preserve">              </w:t>
      </w:r>
      <w:r>
        <w:rPr>
          <w:rFonts w:hint="eastAsia" w:ascii="宋体" w:hAnsi="宋体" w:eastAsia="宋体" w:cs="宋体"/>
          <w:spacing w:val="6"/>
          <w:sz w:val="24"/>
          <w:szCs w:val="28"/>
          <w:highlight w:val="none"/>
        </w:rPr>
        <w:t xml:space="preserve">        </w:t>
      </w:r>
      <w:r>
        <w:rPr>
          <w:rFonts w:hint="eastAsia" w:cs="宋体"/>
          <w:spacing w:val="6"/>
          <w:sz w:val="24"/>
          <w:szCs w:val="28"/>
          <w:highlight w:val="none"/>
          <w:lang w:val="en-US" w:eastAsia="zh-CN"/>
        </w:rPr>
        <w:t xml:space="preserve">    </w:t>
      </w:r>
      <w:r>
        <w:rPr>
          <w:rFonts w:hint="eastAsia" w:ascii="宋体" w:hAnsi="宋体" w:eastAsia="宋体" w:cs="宋体"/>
          <w:spacing w:val="6"/>
          <w:sz w:val="24"/>
          <w:szCs w:val="28"/>
          <w:highlight w:val="none"/>
        </w:rPr>
        <w:t>单位名称：</w:t>
      </w:r>
      <w:r>
        <w:rPr>
          <w:rFonts w:hint="eastAsia" w:ascii="宋体" w:hAnsi="宋体" w:eastAsia="宋体" w:cs="宋体"/>
          <w:spacing w:val="6"/>
          <w:sz w:val="24"/>
          <w:szCs w:val="28"/>
          <w:highlight w:val="none"/>
          <w:u w:val="single"/>
        </w:rPr>
        <w:t xml:space="preserve">             </w:t>
      </w:r>
      <w:r>
        <w:rPr>
          <w:rFonts w:hint="eastAsia" w:ascii="宋体" w:hAnsi="宋体" w:eastAsia="宋体" w:cs="宋体"/>
          <w:spacing w:val="6"/>
          <w:sz w:val="24"/>
          <w:szCs w:val="28"/>
          <w:highlight w:val="none"/>
        </w:rPr>
        <w:t>（电子签章）</w:t>
      </w:r>
    </w:p>
    <w:p w14:paraId="155D9AE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504" w:firstLineChars="200"/>
        <w:jc w:val="center"/>
        <w:textAlignment w:val="auto"/>
        <w:rPr>
          <w:rFonts w:hint="eastAsia" w:ascii="宋体" w:hAnsi="宋体" w:eastAsia="宋体" w:cs="宋体"/>
          <w:spacing w:val="6"/>
          <w:sz w:val="24"/>
          <w:szCs w:val="28"/>
          <w:highlight w:val="none"/>
          <w:u w:val="single"/>
        </w:rPr>
      </w:pPr>
      <w:r>
        <w:rPr>
          <w:rFonts w:hint="eastAsia" w:ascii="宋体" w:hAnsi="宋体" w:eastAsia="宋体" w:cs="宋体"/>
          <w:spacing w:val="6"/>
          <w:sz w:val="24"/>
          <w:szCs w:val="28"/>
          <w:highlight w:val="none"/>
        </w:rPr>
        <w:t>日    期：</w:t>
      </w:r>
      <w:r>
        <w:rPr>
          <w:rFonts w:hint="eastAsia" w:ascii="宋体" w:hAnsi="宋体" w:eastAsia="宋体" w:cs="宋体"/>
          <w:spacing w:val="6"/>
          <w:sz w:val="24"/>
          <w:szCs w:val="28"/>
          <w:highlight w:val="none"/>
          <w:u w:val="single"/>
        </w:rPr>
        <w:t xml:space="preserve">                       </w:t>
      </w:r>
    </w:p>
    <w:p w14:paraId="3DBFBF3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left="6" w:right="1560" w:hanging="6" w:hangingChars="3"/>
        <w:textAlignment w:val="auto"/>
        <w:rPr>
          <w:rFonts w:hint="eastAsia" w:ascii="宋体" w:hAnsi="宋体" w:eastAsia="宋体" w:cs="宋体"/>
          <w:spacing w:val="6"/>
          <w:szCs w:val="28"/>
          <w:highlight w:val="none"/>
          <w:u w:val="single"/>
        </w:rPr>
      </w:pPr>
    </w:p>
    <w:p w14:paraId="7C572CE7">
      <w:pPr>
        <w:keepNext w:val="0"/>
        <w:keepLines w:val="0"/>
        <w:pageBreakBefore w:val="0"/>
        <w:widowControl w:val="0"/>
        <w:kinsoku/>
        <w:wordWrap/>
        <w:overflowPunct/>
        <w:topLinePunct w:val="0"/>
        <w:autoSpaceDE w:val="0"/>
        <w:autoSpaceDN w:val="0"/>
        <w:bidi w:val="0"/>
        <w:adjustRightInd/>
        <w:snapToGrid/>
        <w:spacing w:line="360" w:lineRule="auto"/>
        <w:ind w:left="569"/>
        <w:textAlignment w:val="auto"/>
        <w:rPr>
          <w:rFonts w:hint="eastAsia" w:ascii="宋体" w:hAnsi="宋体" w:eastAsia="宋体" w:cs="宋体"/>
          <w:highlight w:val="none"/>
        </w:rPr>
      </w:pPr>
    </w:p>
    <w:p w14:paraId="639C3BE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sz w:val="24"/>
          <w:highlight w:val="none"/>
        </w:rPr>
      </w:pPr>
      <w:r>
        <w:rPr>
          <w:rFonts w:hint="eastAsia" w:ascii="宋体" w:hAnsi="宋体" w:eastAsia="宋体" w:cs="宋体"/>
          <w:b/>
          <w:sz w:val="24"/>
          <w:highlight w:val="none"/>
        </w:rPr>
        <w:t>注：</w:t>
      </w:r>
      <w:r>
        <w:rPr>
          <w:rFonts w:hint="eastAsia" w:ascii="宋体" w:hAnsi="宋体" w:eastAsia="宋体" w:cs="宋体"/>
          <w:b/>
          <w:highlight w:val="none"/>
        </w:rPr>
        <w:t>非残疾人福利性单位可无需填写此项。享受政府采购支持政策的残疾人福利性单位应当同时满足以下条件：</w:t>
      </w:r>
    </w:p>
    <w:p w14:paraId="1D4DE12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highlight w:val="none"/>
        </w:rPr>
      </w:pPr>
      <w:r>
        <w:rPr>
          <w:rFonts w:hint="eastAsia" w:ascii="宋体" w:hAnsi="宋体" w:eastAsia="宋体" w:cs="宋体"/>
          <w:b/>
          <w:highlight w:val="none"/>
        </w:rPr>
        <w:t>（1）安置的残疾人占本单位在职职工人数的比例不低于25%（含25%），并且安置的残疾人人数不少于10人（含10人）；</w:t>
      </w:r>
    </w:p>
    <w:p w14:paraId="26A2C5F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highlight w:val="none"/>
        </w:rPr>
      </w:pPr>
      <w:r>
        <w:rPr>
          <w:rFonts w:hint="eastAsia" w:ascii="宋体" w:hAnsi="宋体" w:eastAsia="宋体" w:cs="宋体"/>
          <w:b/>
          <w:highlight w:val="none"/>
        </w:rPr>
        <w:t>（2）依法与安置的每位残疾人签订了一年以上（含一年）的劳动合同或服务协议；</w:t>
      </w:r>
    </w:p>
    <w:p w14:paraId="01C1CA7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highlight w:val="none"/>
        </w:rPr>
      </w:pPr>
      <w:r>
        <w:rPr>
          <w:rFonts w:hint="eastAsia" w:ascii="宋体" w:hAnsi="宋体" w:eastAsia="宋体" w:cs="宋体"/>
          <w:b/>
          <w:highlight w:val="none"/>
        </w:rPr>
        <w:t>（3）为安置的每位残疾人按月足额缴纳了基本养老保险、基本医疗保险、失业保险、工伤保险和生育保险等社会保险费；</w:t>
      </w:r>
    </w:p>
    <w:p w14:paraId="642F46E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highlight w:val="none"/>
        </w:rPr>
      </w:pPr>
      <w:r>
        <w:rPr>
          <w:rFonts w:hint="eastAsia" w:ascii="宋体" w:hAnsi="宋体" w:eastAsia="宋体" w:cs="宋体"/>
          <w:b/>
          <w:highlight w:val="none"/>
        </w:rPr>
        <w:t>（4）通过银行等金融机构向安置的每位残疾人，按月支付了不低于单位所在区县适用的经省级人民政府批准的月最低工资标准的工资；</w:t>
      </w:r>
    </w:p>
    <w:p w14:paraId="10322C6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highlight w:val="none"/>
        </w:rPr>
      </w:pPr>
      <w:r>
        <w:rPr>
          <w:rFonts w:hint="eastAsia" w:ascii="宋体" w:hAnsi="宋体" w:eastAsia="宋体" w:cs="宋体"/>
          <w:b/>
          <w:highlight w:val="none"/>
        </w:rPr>
        <w:t>（5）提供本单位制造的货物、承担的工程或者服务，或者提供其他残疾人福利性单位制造的货物（不包括使用非残疾人福利性单位注册商标的货物）。</w:t>
      </w:r>
    </w:p>
    <w:p w14:paraId="65FCF87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highlight w:val="none"/>
        </w:rPr>
        <w:sectPr>
          <w:pgSz w:w="11907" w:h="16840"/>
          <w:pgMar w:top="1417" w:right="1134" w:bottom="1417" w:left="1134" w:header="850" w:footer="850" w:gutter="0"/>
          <w:pgNumType w:fmt="decimal"/>
          <w:cols w:space="720" w:num="1"/>
          <w:docGrid w:linePitch="312" w:charSpace="0"/>
        </w:sectPr>
      </w:pPr>
      <w:r>
        <w:rPr>
          <w:rFonts w:hint="eastAsia" w:ascii="宋体" w:hAnsi="宋体" w:eastAsia="宋体" w:cs="宋体"/>
          <w:b/>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BA0BCB3">
      <w:pPr>
        <w:pStyle w:val="20"/>
        <w:keepNext/>
        <w:keepLines w:val="0"/>
        <w:pageBreakBefore w:val="0"/>
        <w:widowControl w:val="0"/>
        <w:kinsoku/>
        <w:wordWrap/>
        <w:overflowPunct w:val="0"/>
        <w:topLinePunct w:val="0"/>
        <w:autoSpaceDE/>
        <w:autoSpaceDN/>
        <w:bidi w:val="0"/>
        <w:adjustRightInd w:val="0"/>
        <w:snapToGrid/>
        <w:spacing w:before="120" w:after="120" w:line="360" w:lineRule="auto"/>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附件3：</w:t>
      </w:r>
    </w:p>
    <w:p w14:paraId="4E9AA033">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监狱企业证明文件（监狱企业提供）</w:t>
      </w:r>
    </w:p>
    <w:p w14:paraId="65774E4C">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省级以上监狱管理局、戒毒管理局（含新疆生产建设兵团）出具的属于监狱企业的证明文件扫描件。</w:t>
      </w:r>
    </w:p>
    <w:p w14:paraId="4F845228">
      <w:pP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br w:type="page"/>
      </w:r>
    </w:p>
    <w:p w14:paraId="64D238BA">
      <w:pPr>
        <w:pageBreakBefore w:val="0"/>
        <w:kinsoku/>
        <w:overflowPunct/>
        <w:topLinePunct w:val="0"/>
        <w:bidi w:val="0"/>
        <w:adjustRightInd w:val="0"/>
        <w:snapToGrid w:val="0"/>
        <w:spacing w:after="0" w:line="360" w:lineRule="auto"/>
        <w:ind w:left="0"/>
        <w:jc w:val="left"/>
        <w:rPr>
          <w:rFonts w:hint="eastAsia" w:ascii="宋体" w:hAnsi="宋体" w:eastAsia="宋体" w:cs="宋体"/>
          <w:b/>
          <w:bCs/>
          <w:color w:val="auto"/>
          <w:sz w:val="28"/>
          <w:highlight w:val="none"/>
        </w:rPr>
      </w:pPr>
      <w:r>
        <w:rPr>
          <w:rFonts w:hint="eastAsia" w:ascii="宋体" w:hAnsi="宋体" w:eastAsia="宋体" w:cs="宋体"/>
          <w:b/>
          <w:bCs/>
          <w:sz w:val="24"/>
          <w:szCs w:val="24"/>
          <w:highlight w:val="none"/>
          <w:lang w:val="en-US" w:eastAsia="zh-CN"/>
        </w:rPr>
        <w:t>附件4：</w:t>
      </w:r>
    </w:p>
    <w:p w14:paraId="636CFCA4">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关于符合本国产品标准的声明函</w:t>
      </w:r>
    </w:p>
    <w:p w14:paraId="163D7A3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7492D1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i w:val="0"/>
          <w:iCs w:val="0"/>
          <w:color w:val="auto"/>
          <w:kern w:val="0"/>
          <w:sz w:val="24"/>
          <w:szCs w:val="24"/>
          <w:highlight w:val="none"/>
          <w:lang w:val="en-US" w:eastAsia="zh-CN" w:bidi="ar-SA"/>
        </w:rPr>
      </w:pPr>
      <w:r>
        <w:rPr>
          <w:rFonts w:ascii="宋体" w:hAnsi="宋体" w:eastAsia="宋体" w:cs="Times New Roman"/>
          <w:i w:val="0"/>
          <w:iCs w:val="0"/>
          <w:color w:val="auto"/>
          <w:kern w:val="0"/>
          <w:sz w:val="24"/>
          <w:szCs w:val="24"/>
          <w:highlight w:val="none"/>
          <w:lang w:val="en-US" w:eastAsia="zh-CN" w:bidi="ar-SA"/>
        </w:rPr>
        <w:t>1.</w:t>
      </w:r>
      <w:r>
        <w:rPr>
          <w:rStyle w:val="26"/>
          <w:rFonts w:ascii="Times New Roman" w:hAnsi="Times New Roman" w:eastAsia="宋体" w:cs="Times New Roman"/>
          <w:i w:val="0"/>
          <w:iCs w:val="0"/>
          <w:color w:val="auto"/>
          <w:kern w:val="2"/>
          <w:sz w:val="24"/>
          <w:szCs w:val="24"/>
          <w:highlight w:val="none"/>
          <w:lang w:val="en-US" w:eastAsia="zh-CN" w:bidi="ar-SA"/>
        </w:rPr>
        <w:t>（产品名称1）</w:t>
      </w:r>
      <w:r>
        <w:rPr>
          <w:rStyle w:val="26"/>
          <w:rFonts w:ascii="Times New Roman" w:hAnsi="Times New Roman" w:eastAsia="宋体" w:cs="Times New Roman"/>
          <w:i w:val="0"/>
          <w:iCs w:val="0"/>
          <w:color w:val="auto"/>
          <w:kern w:val="2"/>
          <w:sz w:val="24"/>
          <w:szCs w:val="24"/>
          <w:highlight w:val="none"/>
          <w:vertAlign w:val="superscript"/>
          <w:lang w:val="en-US" w:eastAsia="zh-CN" w:bidi="ar-SA"/>
        </w:rPr>
        <w:t>1</w:t>
      </w:r>
      <w:r>
        <w:rPr>
          <w:rFonts w:ascii="宋体" w:hAnsi="宋体" w:eastAsia="宋体" w:cs="Times New Roman"/>
          <w:i w:val="0"/>
          <w:iCs w:val="0"/>
          <w:color w:val="auto"/>
          <w:kern w:val="0"/>
          <w:sz w:val="24"/>
          <w:szCs w:val="24"/>
          <w:highlight w:val="none"/>
          <w:lang w:val="en-US" w:eastAsia="zh-CN" w:bidi="ar-SA"/>
        </w:rPr>
        <w:t>，生产厂为</w:t>
      </w:r>
      <w:r>
        <w:rPr>
          <w:rStyle w:val="26"/>
          <w:rFonts w:ascii="Times New Roman" w:hAnsi="Times New Roman" w:eastAsia="宋体" w:cs="Times New Roman"/>
          <w:i w:val="0"/>
          <w:iCs w:val="0"/>
          <w:color w:val="auto"/>
          <w:kern w:val="2"/>
          <w:sz w:val="24"/>
          <w:szCs w:val="24"/>
          <w:highlight w:val="none"/>
          <w:lang w:val="en-US" w:eastAsia="zh-CN" w:bidi="ar-SA"/>
        </w:rPr>
        <w:t>（厂名）</w:t>
      </w:r>
      <w:r>
        <w:rPr>
          <w:rStyle w:val="26"/>
          <w:rFonts w:ascii="Times New Roman" w:hAnsi="Times New Roman" w:eastAsia="宋体" w:cs="Times New Roman"/>
          <w:i w:val="0"/>
          <w:iCs w:val="0"/>
          <w:color w:val="auto"/>
          <w:kern w:val="2"/>
          <w:sz w:val="24"/>
          <w:szCs w:val="24"/>
          <w:highlight w:val="none"/>
          <w:vertAlign w:val="superscript"/>
          <w:lang w:val="en-US" w:eastAsia="zh-CN" w:bidi="ar-SA"/>
        </w:rPr>
        <w:t>2</w:t>
      </w:r>
      <w:r>
        <w:rPr>
          <w:rFonts w:ascii="宋体" w:hAnsi="宋体" w:eastAsia="宋体" w:cs="Times New Roman"/>
          <w:i w:val="0"/>
          <w:iCs w:val="0"/>
          <w:color w:val="auto"/>
          <w:kern w:val="0"/>
          <w:sz w:val="24"/>
          <w:szCs w:val="24"/>
          <w:highlight w:val="none"/>
          <w:lang w:val="en-US" w:eastAsia="zh-CN" w:bidi="ar-SA"/>
        </w:rPr>
        <w:t>，厂址为</w:t>
      </w:r>
      <w:r>
        <w:rPr>
          <w:rStyle w:val="26"/>
          <w:rFonts w:ascii="Times New Roman" w:hAnsi="Times New Roman" w:eastAsia="宋体" w:cs="Times New Roman"/>
          <w:i w:val="0"/>
          <w:iCs w:val="0"/>
          <w:color w:val="auto"/>
          <w:kern w:val="2"/>
          <w:sz w:val="24"/>
          <w:szCs w:val="24"/>
          <w:highlight w:val="none"/>
          <w:lang w:val="en-US" w:eastAsia="zh-CN" w:bidi="ar-SA"/>
        </w:rPr>
        <w:t>（生产厂址）</w:t>
      </w:r>
      <w:r>
        <w:rPr>
          <w:rFonts w:ascii="宋体" w:hAnsi="宋体" w:eastAsia="宋体" w:cs="Times New Roman"/>
          <w:i w:val="0"/>
          <w:iCs w:val="0"/>
          <w:color w:val="auto"/>
          <w:kern w:val="0"/>
          <w:sz w:val="24"/>
          <w:szCs w:val="24"/>
          <w:highlight w:val="none"/>
          <w:lang w:val="en-US" w:eastAsia="zh-CN" w:bidi="ar-SA"/>
        </w:rPr>
        <w:t>。</w:t>
      </w:r>
      <w:r>
        <w:rPr>
          <w:rStyle w:val="26"/>
          <w:rFonts w:ascii="Times New Roman" w:hAnsi="Times New Roman" w:eastAsia="宋体" w:cs="Times New Roman"/>
          <w:i w:val="0"/>
          <w:iCs w:val="0"/>
          <w:color w:val="auto"/>
          <w:kern w:val="2"/>
          <w:sz w:val="24"/>
          <w:szCs w:val="24"/>
          <w:highlight w:val="none"/>
          <w:lang w:val="en-US" w:eastAsia="zh-CN" w:bidi="ar-SA"/>
        </w:rPr>
        <w:t>（产品名称1）</w:t>
      </w:r>
      <w:r>
        <w:rPr>
          <w:rFonts w:ascii="宋体" w:hAnsi="宋体" w:eastAsia="宋体" w:cs="Times New Roman"/>
          <w:i w:val="0"/>
          <w:iCs w:val="0"/>
          <w:color w:val="auto"/>
          <w:kern w:val="0"/>
          <w:sz w:val="24"/>
          <w:szCs w:val="24"/>
          <w:highlight w:val="none"/>
          <w:lang w:val="en-US" w:eastAsia="zh-CN" w:bidi="ar-SA"/>
        </w:rPr>
        <w:t>的中国境内生产的组件成本占比≥</w:t>
      </w:r>
      <w:r>
        <w:rPr>
          <w:rStyle w:val="26"/>
          <w:rFonts w:ascii="Times New Roman" w:hAnsi="Times New Roman" w:eastAsia="宋体" w:cs="Times New Roman"/>
          <w:i w:val="0"/>
          <w:iCs w:val="0"/>
          <w:color w:val="auto"/>
          <w:kern w:val="2"/>
          <w:sz w:val="24"/>
          <w:szCs w:val="24"/>
          <w:highlight w:val="none"/>
          <w:lang w:val="en-US" w:eastAsia="zh-CN" w:bidi="ar-SA"/>
        </w:rPr>
        <w:t>（规定比例）</w:t>
      </w:r>
      <w:r>
        <w:rPr>
          <w:rStyle w:val="26"/>
          <w:rFonts w:ascii="Times New Roman" w:hAnsi="Times New Roman" w:eastAsia="宋体" w:cs="Times New Roman"/>
          <w:i w:val="0"/>
          <w:iCs w:val="0"/>
          <w:color w:val="auto"/>
          <w:kern w:val="2"/>
          <w:sz w:val="24"/>
          <w:szCs w:val="24"/>
          <w:highlight w:val="none"/>
          <w:vertAlign w:val="superscript"/>
          <w:lang w:val="en-US" w:eastAsia="zh-CN" w:bidi="ar-SA"/>
        </w:rPr>
        <w:t>3</w:t>
      </w:r>
      <w:r>
        <w:rPr>
          <w:rFonts w:ascii="宋体" w:hAnsi="宋体" w:eastAsia="宋体" w:cs="Times New Roman"/>
          <w:i w:val="0"/>
          <w:iCs w:val="0"/>
          <w:color w:val="auto"/>
          <w:kern w:val="0"/>
          <w:sz w:val="24"/>
          <w:szCs w:val="24"/>
          <w:highlight w:val="none"/>
          <w:lang w:val="en-US" w:eastAsia="zh-CN" w:bidi="ar-SA"/>
        </w:rPr>
        <w:t>。</w:t>
      </w:r>
      <w:r>
        <w:rPr>
          <w:rStyle w:val="26"/>
          <w:rFonts w:ascii="Times New Roman" w:hAnsi="Times New Roman" w:eastAsia="宋体" w:cs="Times New Roman"/>
          <w:i w:val="0"/>
          <w:iCs w:val="0"/>
          <w:color w:val="auto"/>
          <w:kern w:val="2"/>
          <w:sz w:val="24"/>
          <w:szCs w:val="24"/>
          <w:highlight w:val="none"/>
          <w:lang w:val="en-US" w:eastAsia="zh-CN" w:bidi="ar-SA"/>
        </w:rPr>
        <w:t>（产品名称1）</w:t>
      </w:r>
      <w:r>
        <w:rPr>
          <w:rFonts w:ascii="宋体" w:hAnsi="宋体" w:eastAsia="宋体" w:cs="Times New Roman"/>
          <w:i w:val="0"/>
          <w:iCs w:val="0"/>
          <w:color w:val="auto"/>
          <w:kern w:val="0"/>
          <w:sz w:val="24"/>
          <w:szCs w:val="24"/>
          <w:highlight w:val="none"/>
          <w:lang w:val="en-US" w:eastAsia="zh-CN" w:bidi="ar-SA"/>
        </w:rPr>
        <w:t>的</w:t>
      </w:r>
      <w:r>
        <w:rPr>
          <w:rStyle w:val="26"/>
          <w:rFonts w:ascii="Times New Roman" w:hAnsi="Times New Roman" w:eastAsia="宋体" w:cs="Times New Roman"/>
          <w:i w:val="0"/>
          <w:iCs w:val="0"/>
          <w:color w:val="auto"/>
          <w:kern w:val="2"/>
          <w:sz w:val="24"/>
          <w:szCs w:val="24"/>
          <w:highlight w:val="none"/>
          <w:lang w:val="en-US" w:eastAsia="zh-CN" w:bidi="ar-SA"/>
        </w:rPr>
        <w:t>（关键组件）</w:t>
      </w:r>
      <w:r>
        <w:rPr>
          <w:rStyle w:val="26"/>
          <w:rFonts w:ascii="Times New Roman" w:hAnsi="Times New Roman" w:eastAsia="宋体" w:cs="Times New Roman"/>
          <w:i w:val="0"/>
          <w:iCs w:val="0"/>
          <w:color w:val="auto"/>
          <w:kern w:val="2"/>
          <w:sz w:val="24"/>
          <w:szCs w:val="24"/>
          <w:highlight w:val="none"/>
          <w:vertAlign w:val="superscript"/>
          <w:lang w:val="en-US" w:eastAsia="zh-CN" w:bidi="ar-SA"/>
        </w:rPr>
        <w:t>4</w:t>
      </w:r>
      <w:r>
        <w:rPr>
          <w:rFonts w:ascii="宋体" w:hAnsi="宋体" w:eastAsia="宋体" w:cs="Times New Roman"/>
          <w:i w:val="0"/>
          <w:iCs w:val="0"/>
          <w:color w:val="auto"/>
          <w:kern w:val="0"/>
          <w:sz w:val="24"/>
          <w:szCs w:val="24"/>
          <w:highlight w:val="none"/>
          <w:lang w:val="en-US" w:eastAsia="zh-CN" w:bidi="ar-SA"/>
        </w:rPr>
        <w:t>在中国境内生产。</w:t>
      </w:r>
      <w:r>
        <w:rPr>
          <w:rStyle w:val="26"/>
          <w:rFonts w:ascii="Times New Roman" w:hAnsi="Times New Roman" w:eastAsia="宋体" w:cs="Times New Roman"/>
          <w:i w:val="0"/>
          <w:iCs w:val="0"/>
          <w:color w:val="auto"/>
          <w:kern w:val="2"/>
          <w:sz w:val="24"/>
          <w:szCs w:val="24"/>
          <w:highlight w:val="none"/>
          <w:lang w:val="en-US" w:eastAsia="zh-CN" w:bidi="ar-SA"/>
        </w:rPr>
        <w:t>（产品名称1）</w:t>
      </w:r>
      <w:r>
        <w:rPr>
          <w:rFonts w:ascii="宋体" w:hAnsi="宋体" w:eastAsia="宋体" w:cs="Times New Roman"/>
          <w:i w:val="0"/>
          <w:iCs w:val="0"/>
          <w:color w:val="auto"/>
          <w:kern w:val="0"/>
          <w:sz w:val="24"/>
          <w:szCs w:val="24"/>
          <w:highlight w:val="none"/>
          <w:lang w:val="en-US" w:eastAsia="zh-CN" w:bidi="ar-SA"/>
        </w:rPr>
        <w:t>的</w:t>
      </w:r>
      <w:r>
        <w:rPr>
          <w:rStyle w:val="26"/>
          <w:rFonts w:ascii="Times New Roman" w:hAnsi="Times New Roman" w:eastAsia="宋体" w:cs="Times New Roman"/>
          <w:i w:val="0"/>
          <w:iCs w:val="0"/>
          <w:color w:val="auto"/>
          <w:kern w:val="2"/>
          <w:sz w:val="24"/>
          <w:szCs w:val="24"/>
          <w:highlight w:val="none"/>
          <w:lang w:val="en-US" w:eastAsia="zh-CN" w:bidi="ar-SA"/>
        </w:rPr>
        <w:t>（关键工序）</w:t>
      </w:r>
      <w:r>
        <w:rPr>
          <w:rStyle w:val="26"/>
          <w:rFonts w:ascii="Times New Roman" w:hAnsi="Times New Roman" w:eastAsia="宋体" w:cs="Times New Roman"/>
          <w:i w:val="0"/>
          <w:iCs w:val="0"/>
          <w:color w:val="auto"/>
          <w:kern w:val="2"/>
          <w:sz w:val="24"/>
          <w:szCs w:val="24"/>
          <w:highlight w:val="none"/>
          <w:vertAlign w:val="superscript"/>
          <w:lang w:val="en-US" w:eastAsia="zh-CN" w:bidi="ar-SA"/>
        </w:rPr>
        <w:t>5</w:t>
      </w:r>
      <w:r>
        <w:rPr>
          <w:rFonts w:ascii="宋体" w:hAnsi="宋体" w:eastAsia="宋体" w:cs="Times New Roman"/>
          <w:i w:val="0"/>
          <w:iCs w:val="0"/>
          <w:color w:val="auto"/>
          <w:kern w:val="0"/>
          <w:sz w:val="24"/>
          <w:szCs w:val="24"/>
          <w:highlight w:val="none"/>
          <w:lang w:val="en-US" w:eastAsia="zh-CN" w:bidi="ar-SA"/>
        </w:rPr>
        <w:t>在中国境内完成。</w:t>
      </w:r>
    </w:p>
    <w:p w14:paraId="7A64BA7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i w:val="0"/>
          <w:iCs w:val="0"/>
          <w:color w:val="auto"/>
          <w:kern w:val="0"/>
          <w:sz w:val="24"/>
          <w:szCs w:val="24"/>
          <w:highlight w:val="none"/>
          <w:lang w:val="en-US" w:eastAsia="zh-CN" w:bidi="ar-SA"/>
        </w:rPr>
      </w:pPr>
      <w:r>
        <w:rPr>
          <w:rFonts w:ascii="宋体" w:hAnsi="宋体" w:eastAsia="宋体" w:cs="Times New Roman"/>
          <w:i w:val="0"/>
          <w:iCs w:val="0"/>
          <w:color w:val="auto"/>
          <w:kern w:val="0"/>
          <w:sz w:val="24"/>
          <w:szCs w:val="24"/>
          <w:highlight w:val="none"/>
          <w:lang w:val="en-US" w:eastAsia="zh-CN" w:bidi="ar-SA"/>
        </w:rPr>
        <w:t>2.</w:t>
      </w:r>
      <w:r>
        <w:rPr>
          <w:rStyle w:val="26"/>
          <w:rFonts w:ascii="Times New Roman" w:hAnsi="Times New Roman" w:eastAsia="宋体" w:cs="Times New Roman"/>
          <w:i w:val="0"/>
          <w:iCs w:val="0"/>
          <w:color w:val="auto"/>
          <w:kern w:val="2"/>
          <w:sz w:val="24"/>
          <w:szCs w:val="24"/>
          <w:highlight w:val="none"/>
          <w:lang w:val="en-US" w:eastAsia="zh-CN" w:bidi="ar-SA"/>
        </w:rPr>
        <w:t>（产品名称2）</w:t>
      </w:r>
      <w:r>
        <w:rPr>
          <w:rFonts w:ascii="宋体" w:hAnsi="宋体" w:eastAsia="宋体" w:cs="Times New Roman"/>
          <w:i w:val="0"/>
          <w:iCs w:val="0"/>
          <w:color w:val="auto"/>
          <w:kern w:val="0"/>
          <w:sz w:val="24"/>
          <w:szCs w:val="24"/>
          <w:highlight w:val="none"/>
          <w:lang w:val="en-US" w:eastAsia="zh-CN" w:bidi="ar-SA"/>
        </w:rPr>
        <w:t>，生产厂为</w:t>
      </w:r>
      <w:r>
        <w:rPr>
          <w:rStyle w:val="26"/>
          <w:rFonts w:ascii="Times New Roman" w:hAnsi="Times New Roman" w:eastAsia="宋体" w:cs="Times New Roman"/>
          <w:i w:val="0"/>
          <w:iCs w:val="0"/>
          <w:color w:val="auto"/>
          <w:kern w:val="2"/>
          <w:sz w:val="24"/>
          <w:szCs w:val="24"/>
          <w:highlight w:val="none"/>
          <w:lang w:val="en-US" w:eastAsia="zh-CN" w:bidi="ar-SA"/>
        </w:rPr>
        <w:t>（厂名）</w:t>
      </w:r>
      <w:r>
        <w:rPr>
          <w:rFonts w:ascii="宋体" w:hAnsi="宋体" w:eastAsia="宋体" w:cs="Times New Roman"/>
          <w:i w:val="0"/>
          <w:iCs w:val="0"/>
          <w:color w:val="auto"/>
          <w:kern w:val="0"/>
          <w:sz w:val="24"/>
          <w:szCs w:val="24"/>
          <w:highlight w:val="none"/>
          <w:lang w:val="en-US" w:eastAsia="zh-CN" w:bidi="ar-SA"/>
        </w:rPr>
        <w:t>，厂址为</w:t>
      </w:r>
      <w:r>
        <w:rPr>
          <w:rStyle w:val="26"/>
          <w:rFonts w:ascii="Times New Roman" w:hAnsi="Times New Roman" w:eastAsia="宋体" w:cs="Times New Roman"/>
          <w:i w:val="0"/>
          <w:iCs w:val="0"/>
          <w:color w:val="auto"/>
          <w:kern w:val="2"/>
          <w:sz w:val="24"/>
          <w:szCs w:val="24"/>
          <w:highlight w:val="none"/>
          <w:lang w:val="en-US" w:eastAsia="zh-CN" w:bidi="ar-SA"/>
        </w:rPr>
        <w:t>（生产厂址）</w:t>
      </w:r>
      <w:r>
        <w:rPr>
          <w:rFonts w:ascii="宋体" w:hAnsi="宋体" w:eastAsia="宋体" w:cs="Times New Roman"/>
          <w:i w:val="0"/>
          <w:iCs w:val="0"/>
          <w:color w:val="auto"/>
          <w:kern w:val="0"/>
          <w:sz w:val="24"/>
          <w:szCs w:val="24"/>
          <w:highlight w:val="none"/>
          <w:lang w:val="en-US" w:eastAsia="zh-CN" w:bidi="ar-SA"/>
        </w:rPr>
        <w:t>。</w:t>
      </w:r>
      <w:r>
        <w:rPr>
          <w:rStyle w:val="26"/>
          <w:rFonts w:ascii="Times New Roman" w:hAnsi="Times New Roman" w:eastAsia="宋体" w:cs="Times New Roman"/>
          <w:i w:val="0"/>
          <w:iCs w:val="0"/>
          <w:color w:val="auto"/>
          <w:kern w:val="2"/>
          <w:sz w:val="24"/>
          <w:szCs w:val="24"/>
          <w:highlight w:val="none"/>
          <w:lang w:val="en-US" w:eastAsia="zh-CN" w:bidi="ar-SA"/>
        </w:rPr>
        <w:t>（产品名称2）</w:t>
      </w:r>
      <w:r>
        <w:rPr>
          <w:rFonts w:ascii="宋体" w:hAnsi="宋体" w:eastAsia="宋体" w:cs="Times New Roman"/>
          <w:i w:val="0"/>
          <w:iCs w:val="0"/>
          <w:color w:val="auto"/>
          <w:kern w:val="0"/>
          <w:sz w:val="24"/>
          <w:szCs w:val="24"/>
          <w:highlight w:val="none"/>
          <w:lang w:val="en-US" w:eastAsia="zh-CN" w:bidi="ar-SA"/>
        </w:rPr>
        <w:t>的中国境内生产的组件成本占比≥</w:t>
      </w:r>
      <w:r>
        <w:rPr>
          <w:rStyle w:val="26"/>
          <w:rFonts w:ascii="Times New Roman" w:hAnsi="Times New Roman" w:eastAsia="宋体" w:cs="Times New Roman"/>
          <w:i w:val="0"/>
          <w:iCs w:val="0"/>
          <w:color w:val="auto"/>
          <w:kern w:val="2"/>
          <w:sz w:val="24"/>
          <w:szCs w:val="24"/>
          <w:highlight w:val="none"/>
          <w:lang w:val="en-US" w:eastAsia="zh-CN" w:bidi="ar-SA"/>
        </w:rPr>
        <w:t>（规定比例）</w:t>
      </w:r>
      <w:r>
        <w:rPr>
          <w:rFonts w:ascii="宋体" w:hAnsi="宋体" w:eastAsia="宋体" w:cs="Times New Roman"/>
          <w:i w:val="0"/>
          <w:iCs w:val="0"/>
          <w:color w:val="auto"/>
          <w:kern w:val="0"/>
          <w:sz w:val="24"/>
          <w:szCs w:val="24"/>
          <w:highlight w:val="none"/>
          <w:lang w:val="en-US" w:eastAsia="zh-CN" w:bidi="ar-SA"/>
        </w:rPr>
        <w:t>。</w:t>
      </w:r>
      <w:r>
        <w:rPr>
          <w:rStyle w:val="26"/>
          <w:rFonts w:ascii="Times New Roman" w:hAnsi="Times New Roman" w:eastAsia="宋体" w:cs="Times New Roman"/>
          <w:i w:val="0"/>
          <w:iCs w:val="0"/>
          <w:color w:val="auto"/>
          <w:kern w:val="2"/>
          <w:sz w:val="24"/>
          <w:szCs w:val="24"/>
          <w:highlight w:val="none"/>
          <w:lang w:val="en-US" w:eastAsia="zh-CN" w:bidi="ar-SA"/>
        </w:rPr>
        <w:t>（产品名称2）</w:t>
      </w:r>
      <w:r>
        <w:rPr>
          <w:rFonts w:ascii="宋体" w:hAnsi="宋体" w:eastAsia="宋体" w:cs="Times New Roman"/>
          <w:i w:val="0"/>
          <w:iCs w:val="0"/>
          <w:color w:val="auto"/>
          <w:kern w:val="0"/>
          <w:sz w:val="24"/>
          <w:szCs w:val="24"/>
          <w:highlight w:val="none"/>
          <w:lang w:val="en-US" w:eastAsia="zh-CN" w:bidi="ar-SA"/>
        </w:rPr>
        <w:t>的</w:t>
      </w:r>
      <w:r>
        <w:rPr>
          <w:rStyle w:val="26"/>
          <w:rFonts w:ascii="Times New Roman" w:hAnsi="Times New Roman" w:eastAsia="宋体" w:cs="Times New Roman"/>
          <w:i w:val="0"/>
          <w:iCs w:val="0"/>
          <w:color w:val="auto"/>
          <w:kern w:val="2"/>
          <w:sz w:val="24"/>
          <w:szCs w:val="24"/>
          <w:highlight w:val="none"/>
          <w:lang w:val="en-US" w:eastAsia="zh-CN" w:bidi="ar-SA"/>
        </w:rPr>
        <w:t>（关键组件）</w:t>
      </w:r>
      <w:r>
        <w:rPr>
          <w:rFonts w:ascii="宋体" w:hAnsi="宋体" w:eastAsia="宋体" w:cs="Times New Roman"/>
          <w:i w:val="0"/>
          <w:iCs w:val="0"/>
          <w:color w:val="auto"/>
          <w:kern w:val="0"/>
          <w:sz w:val="24"/>
          <w:szCs w:val="24"/>
          <w:highlight w:val="none"/>
          <w:lang w:val="en-US" w:eastAsia="zh-CN" w:bidi="ar-SA"/>
        </w:rPr>
        <w:t>在中国境内生产。</w:t>
      </w:r>
      <w:r>
        <w:rPr>
          <w:rStyle w:val="26"/>
          <w:rFonts w:ascii="Times New Roman" w:hAnsi="Times New Roman" w:eastAsia="宋体" w:cs="Times New Roman"/>
          <w:i w:val="0"/>
          <w:iCs w:val="0"/>
          <w:color w:val="auto"/>
          <w:kern w:val="2"/>
          <w:sz w:val="24"/>
          <w:szCs w:val="24"/>
          <w:highlight w:val="none"/>
          <w:lang w:val="en-US" w:eastAsia="zh-CN" w:bidi="ar-SA"/>
        </w:rPr>
        <w:t>（产品名称2）</w:t>
      </w:r>
      <w:r>
        <w:rPr>
          <w:rFonts w:ascii="宋体" w:hAnsi="宋体" w:eastAsia="宋体" w:cs="Times New Roman"/>
          <w:i w:val="0"/>
          <w:iCs w:val="0"/>
          <w:color w:val="auto"/>
          <w:kern w:val="0"/>
          <w:sz w:val="24"/>
          <w:szCs w:val="24"/>
          <w:highlight w:val="none"/>
          <w:lang w:val="en-US" w:eastAsia="zh-CN" w:bidi="ar-SA"/>
        </w:rPr>
        <w:t>的</w:t>
      </w:r>
      <w:r>
        <w:rPr>
          <w:rStyle w:val="26"/>
          <w:rFonts w:ascii="Times New Roman" w:hAnsi="Times New Roman" w:eastAsia="宋体" w:cs="Times New Roman"/>
          <w:i w:val="0"/>
          <w:iCs w:val="0"/>
          <w:color w:val="auto"/>
          <w:kern w:val="2"/>
          <w:sz w:val="24"/>
          <w:szCs w:val="24"/>
          <w:highlight w:val="none"/>
          <w:lang w:val="en-US" w:eastAsia="zh-CN" w:bidi="ar-SA"/>
        </w:rPr>
        <w:t>（关键工序）</w:t>
      </w:r>
      <w:r>
        <w:rPr>
          <w:rFonts w:ascii="宋体" w:hAnsi="宋体" w:eastAsia="宋体" w:cs="Times New Roman"/>
          <w:i w:val="0"/>
          <w:iCs w:val="0"/>
          <w:color w:val="auto"/>
          <w:kern w:val="0"/>
          <w:sz w:val="24"/>
          <w:szCs w:val="24"/>
          <w:highlight w:val="none"/>
          <w:lang w:val="en-US" w:eastAsia="zh-CN" w:bidi="ar-SA"/>
        </w:rPr>
        <w:t>在中国境内完成。</w:t>
      </w:r>
    </w:p>
    <w:p w14:paraId="18107CA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i w:val="0"/>
          <w:iCs w:val="0"/>
          <w:color w:val="auto"/>
          <w:kern w:val="0"/>
          <w:sz w:val="24"/>
          <w:szCs w:val="24"/>
          <w:highlight w:val="none"/>
          <w:lang w:val="en-US" w:eastAsia="zh-CN" w:bidi="ar-SA"/>
        </w:rPr>
      </w:pPr>
      <w:r>
        <w:rPr>
          <w:rFonts w:ascii="宋体" w:hAnsi="宋体" w:eastAsia="宋体" w:cs="Times New Roman"/>
          <w:i w:val="0"/>
          <w:iCs w:val="0"/>
          <w:color w:val="auto"/>
          <w:kern w:val="0"/>
          <w:sz w:val="24"/>
          <w:szCs w:val="24"/>
          <w:highlight w:val="none"/>
          <w:lang w:val="en-US" w:eastAsia="zh-CN" w:bidi="ar-SA"/>
        </w:rPr>
        <w:t>……</w:t>
      </w:r>
    </w:p>
    <w:p w14:paraId="0D9690CE">
      <w:pPr>
        <w:pageBreakBefore w:val="0"/>
        <w:kinsoku/>
        <w:overflowPunct/>
        <w:topLinePunct w:val="0"/>
        <w:bidi w:val="0"/>
        <w:adjustRightInd w:val="0"/>
        <w:snapToGrid w:val="0"/>
        <w:spacing w:after="0" w:line="360" w:lineRule="auto"/>
        <w:ind w:left="0" w:firstLine="480" w:firstLineChars="200"/>
        <w:rPr>
          <w:rFonts w:hint="eastAsia" w:ascii="宋体" w:hAnsi="宋体" w:eastAsia="宋体" w:cs="宋体"/>
          <w:color w:val="auto"/>
          <w:spacing w:val="6"/>
          <w:sz w:val="24"/>
          <w:szCs w:val="24"/>
          <w:highlight w:val="none"/>
        </w:rPr>
      </w:pPr>
      <w:r>
        <w:rPr>
          <w:rFonts w:ascii="Times New Roman" w:hAnsi="Times New Roman" w:eastAsia="宋体" w:cs="Times New Roman"/>
          <w:color w:val="auto"/>
          <w:sz w:val="24"/>
          <w:szCs w:val="24"/>
          <w:highlight w:val="none"/>
        </w:rPr>
        <w:t>本公司（单位）对上述声明内容的真实性负责。如有虚假，愿承担相应法律责任。</w:t>
      </w:r>
    </w:p>
    <w:p w14:paraId="02434A77">
      <w:pPr>
        <w:pageBreakBefore w:val="0"/>
        <w:kinsoku/>
        <w:overflowPunct/>
        <w:topLinePunct w:val="0"/>
        <w:bidi w:val="0"/>
        <w:adjustRightInd w:val="0"/>
        <w:snapToGrid w:val="0"/>
        <w:spacing w:after="0" w:line="360" w:lineRule="auto"/>
        <w:ind w:left="0" w:firstLine="504" w:firstLineChars="200"/>
        <w:rPr>
          <w:rFonts w:hint="eastAsia" w:ascii="宋体" w:hAnsi="宋体" w:eastAsia="宋体" w:cs="宋体"/>
          <w:color w:val="auto"/>
          <w:spacing w:val="6"/>
          <w:sz w:val="24"/>
          <w:szCs w:val="24"/>
          <w:highlight w:val="none"/>
        </w:rPr>
      </w:pPr>
    </w:p>
    <w:p w14:paraId="3613185B">
      <w:pPr>
        <w:pageBreakBefore w:val="0"/>
        <w:kinsoku/>
        <w:overflowPunct/>
        <w:topLinePunct w:val="0"/>
        <w:bidi w:val="0"/>
        <w:adjustRightInd w:val="0"/>
        <w:snapToGrid w:val="0"/>
        <w:spacing w:after="0" w:line="360" w:lineRule="auto"/>
        <w:ind w:left="0" w:firstLine="504" w:firstLineChars="200"/>
        <w:rPr>
          <w:rFonts w:hint="eastAsia" w:ascii="宋体" w:hAnsi="宋体" w:eastAsia="宋体" w:cs="宋体"/>
          <w:color w:val="auto"/>
          <w:spacing w:val="6"/>
          <w:sz w:val="24"/>
          <w:szCs w:val="24"/>
          <w:highlight w:val="none"/>
        </w:rPr>
      </w:pPr>
    </w:p>
    <w:p w14:paraId="38140A3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504" w:firstLineChars="200"/>
        <w:jc w:val="center"/>
        <w:textAlignment w:val="auto"/>
        <w:rPr>
          <w:rFonts w:hint="eastAsia" w:ascii="宋体" w:hAnsi="宋体" w:eastAsia="宋体" w:cs="宋体"/>
          <w:spacing w:val="6"/>
          <w:sz w:val="24"/>
          <w:szCs w:val="28"/>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spacing w:val="6"/>
          <w:sz w:val="24"/>
          <w:szCs w:val="28"/>
          <w:highlight w:val="none"/>
        </w:rPr>
        <w:t>单位名称：</w:t>
      </w:r>
      <w:r>
        <w:rPr>
          <w:rFonts w:hint="eastAsia" w:ascii="宋体" w:hAnsi="宋体" w:eastAsia="宋体" w:cs="宋体"/>
          <w:spacing w:val="6"/>
          <w:sz w:val="24"/>
          <w:szCs w:val="28"/>
          <w:highlight w:val="none"/>
          <w:u w:val="single"/>
        </w:rPr>
        <w:t xml:space="preserve">             </w:t>
      </w:r>
      <w:r>
        <w:rPr>
          <w:rFonts w:hint="eastAsia" w:ascii="宋体" w:hAnsi="宋体" w:eastAsia="宋体" w:cs="宋体"/>
          <w:spacing w:val="6"/>
          <w:sz w:val="24"/>
          <w:szCs w:val="28"/>
          <w:highlight w:val="none"/>
        </w:rPr>
        <w:t>（电子签章）</w:t>
      </w:r>
    </w:p>
    <w:p w14:paraId="4AAD1358">
      <w:pPr>
        <w:pageBreakBefore w:val="0"/>
        <w:tabs>
          <w:tab w:val="left" w:pos="4860"/>
        </w:tabs>
        <w:kinsoku/>
        <w:overflowPunct/>
        <w:topLinePunct w:val="0"/>
        <w:bidi w:val="0"/>
        <w:adjustRightInd w:val="0"/>
        <w:snapToGrid w:val="0"/>
        <w:spacing w:after="0" w:line="360" w:lineRule="auto"/>
        <w:ind w:left="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spacing w:val="6"/>
          <w:sz w:val="24"/>
          <w:szCs w:val="28"/>
          <w:highlight w:val="none"/>
        </w:rPr>
        <w:t>日    期：</w:t>
      </w:r>
      <w:r>
        <w:rPr>
          <w:rFonts w:hint="eastAsia" w:ascii="宋体" w:hAnsi="宋体" w:eastAsia="宋体" w:cs="宋体"/>
          <w:spacing w:val="6"/>
          <w:sz w:val="24"/>
          <w:szCs w:val="28"/>
          <w:highlight w:val="none"/>
          <w:u w:val="single"/>
        </w:rPr>
        <w:t xml:space="preserve">                       </w:t>
      </w:r>
    </w:p>
    <w:p w14:paraId="7F4304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left"/>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__________________</w:t>
      </w:r>
    </w:p>
    <w:p w14:paraId="0D86208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26"/>
          <w:rFonts w:hint="eastAsia" w:ascii="宋体" w:hAnsi="宋体" w:eastAsia="宋体" w:cs="宋体"/>
          <w:i w:val="0"/>
          <w:iCs w:val="0"/>
          <w:color w:val="auto"/>
          <w:kern w:val="0"/>
          <w:sz w:val="24"/>
          <w:szCs w:val="24"/>
          <w:highlight w:val="none"/>
          <w:lang w:val="en-US" w:eastAsia="zh-CN" w:bidi="ar-SA"/>
        </w:rPr>
      </w:pPr>
      <w:r>
        <w:rPr>
          <w:rStyle w:val="26"/>
          <w:rFonts w:hint="eastAsia" w:ascii="宋体" w:hAnsi="宋体" w:eastAsia="宋体" w:cs="宋体"/>
          <w:i w:val="0"/>
          <w:iCs w:val="0"/>
          <w:color w:val="auto"/>
          <w:kern w:val="2"/>
          <w:sz w:val="24"/>
          <w:szCs w:val="24"/>
          <w:highlight w:val="none"/>
          <w:lang w:val="en-US" w:eastAsia="zh-CN" w:bidi="ar-SA"/>
        </w:rPr>
        <w:t>1.产品如有型号，请在“产品名称”栏一并填写。</w:t>
      </w:r>
    </w:p>
    <w:p w14:paraId="2F545C5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26"/>
          <w:rFonts w:hint="eastAsia" w:ascii="宋体" w:hAnsi="宋体" w:eastAsia="宋体" w:cs="宋体"/>
          <w:i w:val="0"/>
          <w:iCs w:val="0"/>
          <w:color w:val="auto"/>
          <w:kern w:val="0"/>
          <w:sz w:val="24"/>
          <w:szCs w:val="24"/>
          <w:highlight w:val="none"/>
          <w:lang w:val="en-US" w:eastAsia="zh-CN" w:bidi="ar-SA"/>
        </w:rPr>
      </w:pPr>
      <w:r>
        <w:rPr>
          <w:rStyle w:val="26"/>
          <w:rFonts w:hint="eastAsia" w:ascii="宋体" w:hAnsi="宋体" w:eastAsia="宋体" w:cs="宋体"/>
          <w:i w:val="0"/>
          <w:iCs w:val="0"/>
          <w:color w:val="auto"/>
          <w:kern w:val="2"/>
          <w:sz w:val="24"/>
          <w:szCs w:val="24"/>
          <w:highlight w:val="none"/>
          <w:lang w:val="en-US" w:eastAsia="zh-CN" w:bidi="ar-SA"/>
        </w:rPr>
        <w:t>2.生产厂名与厂址应与生产厂营业执照载明的相关信息保持一致。</w:t>
      </w:r>
    </w:p>
    <w:p w14:paraId="1D397A6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26"/>
          <w:rFonts w:hint="eastAsia" w:ascii="宋体" w:hAnsi="宋体" w:eastAsia="宋体" w:cs="宋体"/>
          <w:i w:val="0"/>
          <w:iCs w:val="0"/>
          <w:color w:val="auto"/>
          <w:kern w:val="0"/>
          <w:sz w:val="24"/>
          <w:szCs w:val="24"/>
          <w:highlight w:val="none"/>
          <w:lang w:val="en-US" w:eastAsia="zh-CN" w:bidi="ar-SA"/>
        </w:rPr>
      </w:pPr>
      <w:r>
        <w:rPr>
          <w:rStyle w:val="26"/>
          <w:rFonts w:hint="eastAsia" w:ascii="宋体" w:hAnsi="宋体" w:eastAsia="宋体" w:cs="宋体"/>
          <w:i w:val="0"/>
          <w:iCs w:val="0"/>
          <w:color w:val="auto"/>
          <w:kern w:val="2"/>
          <w:sz w:val="24"/>
          <w:szCs w:val="24"/>
          <w:highlight w:val="none"/>
          <w:lang w:val="en-US" w:eastAsia="zh-CN" w:bidi="ar-SA"/>
        </w:rPr>
        <w:t>3.该产品的中国境内生产的组件成本占比相关要求实施前，“规定比例”栏可不填，下同。</w:t>
      </w:r>
    </w:p>
    <w:p w14:paraId="2B68489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26"/>
          <w:rFonts w:hint="eastAsia" w:ascii="宋体" w:hAnsi="宋体" w:eastAsia="宋体" w:cs="宋体"/>
          <w:i w:val="0"/>
          <w:iCs w:val="0"/>
          <w:color w:val="auto"/>
          <w:kern w:val="0"/>
          <w:sz w:val="24"/>
          <w:szCs w:val="24"/>
          <w:highlight w:val="none"/>
          <w:lang w:val="en-US" w:eastAsia="zh-CN" w:bidi="ar-SA"/>
        </w:rPr>
      </w:pPr>
      <w:r>
        <w:rPr>
          <w:rStyle w:val="26"/>
          <w:rFonts w:hint="eastAsia" w:ascii="宋体" w:hAnsi="宋体" w:eastAsia="宋体" w:cs="宋体"/>
          <w:i w:val="0"/>
          <w:iCs w:val="0"/>
          <w:color w:val="auto"/>
          <w:kern w:val="2"/>
          <w:sz w:val="24"/>
          <w:szCs w:val="24"/>
          <w:highlight w:val="none"/>
          <w:lang w:val="en-US" w:eastAsia="zh-CN" w:bidi="ar-SA"/>
        </w:rPr>
        <w:t>4.该产品的关键组件要求实施前，“关键组件”栏可不填，下同。</w:t>
      </w:r>
    </w:p>
    <w:p w14:paraId="0CB7B21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26"/>
          <w:rFonts w:hint="eastAsia" w:ascii="宋体" w:hAnsi="宋体" w:eastAsia="宋体" w:cs="宋体"/>
          <w:i w:val="0"/>
          <w:iCs w:val="0"/>
          <w:color w:val="auto"/>
          <w:kern w:val="0"/>
          <w:sz w:val="24"/>
          <w:szCs w:val="24"/>
          <w:highlight w:val="none"/>
          <w:lang w:val="en-US" w:eastAsia="zh-CN" w:bidi="ar-SA"/>
        </w:rPr>
      </w:pPr>
      <w:r>
        <w:rPr>
          <w:rStyle w:val="26"/>
          <w:rFonts w:hint="eastAsia" w:ascii="宋体" w:hAnsi="宋体" w:eastAsia="宋体" w:cs="宋体"/>
          <w:i w:val="0"/>
          <w:iCs w:val="0"/>
          <w:color w:val="auto"/>
          <w:kern w:val="2"/>
          <w:sz w:val="24"/>
          <w:szCs w:val="24"/>
          <w:highlight w:val="none"/>
          <w:lang w:val="en-US" w:eastAsia="zh-CN" w:bidi="ar-SA"/>
        </w:rPr>
        <w:t>5.该产品的关键工序要求实施前，“关键工序”栏可不填，下同。</w:t>
      </w:r>
    </w:p>
    <w:p w14:paraId="50A828DF">
      <w:pPr>
        <w:pageBreakBefore w:val="0"/>
        <w:kinsoku/>
        <w:overflowPunct/>
        <w:topLinePunct w:val="0"/>
        <w:bidi w:val="0"/>
        <w:adjustRightInd w:val="0"/>
        <w:snapToGrid w:val="0"/>
        <w:spacing w:after="0" w:line="360" w:lineRule="auto"/>
        <w:ind w:left="0"/>
        <w:rPr>
          <w:rFonts w:hint="eastAsia" w:ascii="Times New Roman" w:hAnsi="Times New Roman" w:eastAsia="宋体" w:cs="Times New Roman"/>
          <w:sz w:val="24"/>
          <w:szCs w:val="24"/>
          <w:highlight w:val="none"/>
        </w:rPr>
      </w:pPr>
    </w:p>
    <w:p w14:paraId="0F301151">
      <w:pPr>
        <w:pageBreakBefore w:val="0"/>
        <w:widowControl/>
        <w:kinsoku/>
        <w:overflowPunct/>
        <w:topLinePunct w:val="0"/>
        <w:bidi w:val="0"/>
        <w:adjustRightInd w:val="0"/>
        <w:snapToGrid w:val="0"/>
        <w:spacing w:after="0" w:line="360" w:lineRule="auto"/>
        <w:ind w:lef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对其提供的产品出具《关于符合本国产品标准的声明函》（以下简称《声明函》）或财政部会同有关部门规定的有关证明文件。出具符合要求的《声明函》或有关证明文件的，该产品视为本国产品。</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提供虚假《声明函》、虚假证明文件谋取中标的，依照《中华人民共和国政府采购法》等法律法规规定追究相应责任。</w:t>
      </w:r>
    </w:p>
    <w:p w14:paraId="0213B961">
      <w:pPr>
        <w:pStyle w:val="47"/>
        <w:tabs>
          <w:tab w:val="left" w:pos="0"/>
          <w:tab w:val="clear" w:pos="1843"/>
        </w:tabs>
        <w:autoSpaceDE w:val="0"/>
        <w:autoSpaceDN w:val="0"/>
        <w:adjustRightInd/>
        <w:spacing w:before="0" w:after="0" w:line="360" w:lineRule="auto"/>
        <w:ind w:left="0" w:right="0" w:rightChars="0" w:firstLine="0"/>
        <w:jc w:val="left"/>
        <w:textAlignment w:val="bottom"/>
        <w:rPr>
          <w:rFonts w:hint="eastAsia" w:ascii="宋体" w:hAnsi="宋体" w:eastAsia="宋体" w:cs="宋体"/>
          <w:b w:val="0"/>
          <w:bCs w:val="0"/>
          <w:sz w:val="28"/>
          <w:szCs w:val="28"/>
          <w:highlight w:val="none"/>
          <w:lang w:val="en-US" w:eastAsia="zh-CN"/>
        </w:rPr>
        <w:sectPr>
          <w:pgSz w:w="11907" w:h="16840"/>
          <w:pgMar w:top="1417" w:right="1077" w:bottom="1417" w:left="1134" w:header="850" w:footer="850" w:gutter="0"/>
          <w:pgNumType w:fmt="decimal"/>
          <w:cols w:space="720" w:num="1"/>
          <w:docGrid w:linePitch="312" w:charSpace="0"/>
        </w:sectPr>
      </w:pPr>
    </w:p>
    <w:p w14:paraId="1331FA8B">
      <w:pPr>
        <w:pStyle w:val="3"/>
        <w:pageBreakBefore w:val="0"/>
        <w:widowControl/>
        <w:kinsoku/>
        <w:wordWrap/>
        <w:overflowPunct/>
        <w:topLinePunct w:val="0"/>
        <w:autoSpaceDE/>
        <w:autoSpaceDN/>
        <w:bidi w:val="0"/>
        <w:adjustRightInd/>
        <w:snapToGrid/>
        <w:spacing w:before="120" w:after="120" w:line="360" w:lineRule="auto"/>
        <w:ind w:left="0" w:leftChars="0" w:firstLine="0" w:firstLineChars="0"/>
        <w:jc w:val="center"/>
        <w:textAlignment w:val="auto"/>
        <w:rPr>
          <w:rFonts w:hint="default" w:ascii="宋体" w:hAnsi="宋体" w:eastAsia="宋体" w:cs="宋体"/>
          <w:b/>
          <w:bCs w:val="0"/>
          <w:kern w:val="0"/>
          <w:szCs w:val="28"/>
          <w:highlight w:val="none"/>
          <w:lang w:val="en-US" w:eastAsia="zh-CN"/>
        </w:rPr>
      </w:pPr>
      <w:r>
        <w:rPr>
          <w:rFonts w:hint="eastAsia" w:ascii="宋体" w:hAnsi="宋体" w:eastAsia="宋体" w:cs="宋体"/>
          <w:b/>
          <w:bCs w:val="0"/>
          <w:kern w:val="0"/>
          <w:szCs w:val="28"/>
          <w:highlight w:val="none"/>
          <w:lang w:val="en-US" w:eastAsia="zh-CN"/>
        </w:rPr>
        <w:t>（六）政府采购节能产品、环境标志产品明细表</w:t>
      </w:r>
    </w:p>
    <w:p w14:paraId="5EFB192D">
      <w:pPr>
        <w:numPr>
          <w:ilvl w:val="0"/>
          <w:numId w:val="0"/>
        </w:numPr>
        <w:spacing w:line="360" w:lineRule="auto"/>
        <w:rPr>
          <w:rFonts w:hint="eastAsia"/>
          <w:b/>
          <w:bCs/>
          <w:sz w:val="24"/>
          <w:szCs w:val="24"/>
          <w:highlight w:val="none"/>
          <w:lang w:val="en-US" w:eastAsia="zh-CN"/>
        </w:rPr>
      </w:pPr>
      <w:r>
        <w:rPr>
          <w:rFonts w:hint="eastAsia"/>
          <w:b/>
          <w:bCs/>
          <w:sz w:val="24"/>
          <w:szCs w:val="24"/>
          <w:highlight w:val="none"/>
          <w:lang w:val="en-US" w:eastAsia="zh-CN"/>
        </w:rPr>
        <w:t>说明：</w:t>
      </w:r>
    </w:p>
    <w:p w14:paraId="7A2A9934">
      <w:pPr>
        <w:numPr>
          <w:ilvl w:val="0"/>
          <w:numId w:val="0"/>
        </w:numPr>
        <w:spacing w:line="360" w:lineRule="auto"/>
        <w:rPr>
          <w:rFonts w:hint="eastAsia"/>
          <w:sz w:val="24"/>
          <w:szCs w:val="24"/>
          <w:highlight w:val="none"/>
          <w:lang w:val="en-US" w:eastAsia="zh-CN"/>
        </w:rPr>
        <w:sectPr>
          <w:pgSz w:w="11910" w:h="16840"/>
          <w:pgMar w:top="1417" w:right="1134" w:bottom="1417" w:left="1134" w:header="850" w:footer="850" w:gutter="0"/>
          <w:pgNumType w:fmt="decimal"/>
          <w:cols w:space="720" w:num="1"/>
        </w:sectPr>
      </w:pPr>
      <w:r>
        <w:rPr>
          <w:rFonts w:hint="eastAsia"/>
          <w:sz w:val="24"/>
          <w:szCs w:val="24"/>
          <w:highlight w:val="none"/>
          <w:lang w:val="en-US" w:eastAsia="zh-CN"/>
        </w:rPr>
        <w:t>政府采购节能产品、环境标志产品实施品目清单管理。供应商所投的“节能产品、环境标志产品”属于品目清单范围内的，须提供国家确定的认证机构出具的处于有效期之内的节能产品、环境标志产品认证证书扫描件，并填写证书号（节能产品、环境标志产品相关信息可于中国政府采购网（www.ccgp.gov.cn）查询）。如供应商不符合相关条件，明细表中内容可不填写或用“/”标识。表中内容根据项目的实际情况进行增减，表中位置不够可以附页。</w:t>
      </w:r>
    </w:p>
    <w:p w14:paraId="2ECCDDD2">
      <w:pPr>
        <w:pStyle w:val="20"/>
        <w:keepLines w:val="0"/>
        <w:pageBreakBefore w:val="0"/>
        <w:widowControl w:val="0"/>
        <w:kinsoku/>
        <w:wordWrap/>
        <w:topLinePunct w:val="0"/>
        <w:autoSpaceDE/>
        <w:autoSpaceDN/>
        <w:bidi w:val="0"/>
        <w:snapToGrid/>
        <w:spacing w:before="120" w:after="120" w:line="360" w:lineRule="auto"/>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1.环境标志产品明细表</w:t>
      </w:r>
    </w:p>
    <w:tbl>
      <w:tblPr>
        <w:tblStyle w:val="22"/>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019"/>
        <w:gridCol w:w="1058"/>
        <w:gridCol w:w="1677"/>
        <w:gridCol w:w="1485"/>
        <w:gridCol w:w="1898"/>
        <w:gridCol w:w="1679"/>
      </w:tblGrid>
      <w:tr w14:paraId="583B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96" w:type="dxa"/>
            <w:noWrap w:val="0"/>
            <w:vAlign w:val="center"/>
          </w:tcPr>
          <w:p w14:paraId="575C4B8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19" w:type="dxa"/>
            <w:noWrap w:val="0"/>
            <w:vAlign w:val="center"/>
          </w:tcPr>
          <w:p w14:paraId="0BE59986">
            <w:pPr>
              <w:jc w:val="center"/>
              <w:rPr>
                <w:rFonts w:hint="eastAsia" w:ascii="宋体" w:hAnsi="宋体" w:eastAsia="宋体" w:cs="宋体"/>
                <w:b/>
                <w:color w:val="auto"/>
                <w:sz w:val="24"/>
                <w:highlight w:val="none"/>
              </w:rPr>
            </w:pPr>
            <w:r>
              <w:rPr>
                <w:rFonts w:hint="eastAsia" w:cs="宋体"/>
                <w:b/>
                <w:color w:val="auto"/>
                <w:sz w:val="24"/>
                <w:highlight w:val="none"/>
                <w:lang w:val="en-US" w:eastAsia="zh-CN"/>
              </w:rPr>
              <w:t>货物标的</w:t>
            </w:r>
            <w:r>
              <w:rPr>
                <w:rFonts w:hint="eastAsia" w:ascii="宋体" w:hAnsi="宋体" w:eastAsia="宋体" w:cs="宋体"/>
                <w:b/>
                <w:color w:val="auto"/>
                <w:sz w:val="24"/>
                <w:highlight w:val="none"/>
              </w:rPr>
              <w:t>名称</w:t>
            </w:r>
          </w:p>
        </w:tc>
        <w:tc>
          <w:tcPr>
            <w:tcW w:w="1058" w:type="dxa"/>
            <w:noWrap w:val="0"/>
            <w:vAlign w:val="center"/>
          </w:tcPr>
          <w:p w14:paraId="072F10DB">
            <w:pPr>
              <w:jc w:val="center"/>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项目编码</w:t>
            </w:r>
          </w:p>
        </w:tc>
        <w:tc>
          <w:tcPr>
            <w:tcW w:w="1677" w:type="dxa"/>
            <w:noWrap w:val="0"/>
            <w:vAlign w:val="center"/>
          </w:tcPr>
          <w:p w14:paraId="2F7E288A">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1485" w:type="dxa"/>
            <w:noWrap w:val="0"/>
            <w:vAlign w:val="center"/>
          </w:tcPr>
          <w:p w14:paraId="124DC947">
            <w:pPr>
              <w:jc w:val="center"/>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产品型号</w:t>
            </w:r>
          </w:p>
        </w:tc>
        <w:tc>
          <w:tcPr>
            <w:tcW w:w="1898" w:type="dxa"/>
            <w:noWrap w:val="0"/>
            <w:vAlign w:val="center"/>
          </w:tcPr>
          <w:p w14:paraId="18429C35">
            <w:pPr>
              <w:jc w:val="center"/>
              <w:rPr>
                <w:rFonts w:hint="eastAsia" w:ascii="宋体" w:hAnsi="宋体" w:eastAsia="宋体" w:cs="宋体"/>
                <w:b/>
                <w:color w:val="auto"/>
                <w:sz w:val="24"/>
                <w:highlight w:val="none"/>
              </w:rPr>
            </w:pPr>
            <w:r>
              <w:rPr>
                <w:rFonts w:hint="eastAsia" w:cs="宋体"/>
                <w:b/>
                <w:color w:val="auto"/>
                <w:sz w:val="24"/>
                <w:highlight w:val="none"/>
                <w:lang w:val="en-US" w:eastAsia="zh-CN"/>
              </w:rPr>
              <w:t>中国环境标志</w:t>
            </w:r>
            <w:r>
              <w:rPr>
                <w:rFonts w:hint="eastAsia" w:ascii="宋体" w:hAnsi="宋体" w:eastAsia="宋体" w:cs="宋体"/>
                <w:b/>
                <w:color w:val="auto"/>
                <w:sz w:val="24"/>
                <w:highlight w:val="none"/>
              </w:rPr>
              <w:t>认证证书编号</w:t>
            </w:r>
          </w:p>
        </w:tc>
        <w:tc>
          <w:tcPr>
            <w:tcW w:w="1679" w:type="dxa"/>
            <w:noWrap w:val="0"/>
            <w:vAlign w:val="center"/>
          </w:tcPr>
          <w:p w14:paraId="7FE4A5F4">
            <w:pPr>
              <w:jc w:val="center"/>
              <w:rPr>
                <w:rFonts w:hint="default" w:ascii="宋体" w:hAnsi="宋体" w:eastAsia="宋体" w:cs="宋体"/>
                <w:b/>
                <w:color w:val="auto"/>
                <w:sz w:val="24"/>
                <w:highlight w:val="none"/>
                <w:lang w:val="en-US"/>
              </w:rPr>
            </w:pPr>
            <w:r>
              <w:rPr>
                <w:rFonts w:hint="eastAsia" w:cs="宋体"/>
                <w:b/>
                <w:color w:val="auto"/>
                <w:sz w:val="24"/>
                <w:highlight w:val="none"/>
                <w:lang w:val="en-US" w:eastAsia="zh-CN"/>
              </w:rPr>
              <w:t>认证证书有效截止日期</w:t>
            </w:r>
          </w:p>
        </w:tc>
      </w:tr>
      <w:tr w14:paraId="17BA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dxa"/>
            <w:noWrap w:val="0"/>
            <w:vAlign w:val="center"/>
          </w:tcPr>
          <w:p w14:paraId="165A898C">
            <w:pPr>
              <w:jc w:val="center"/>
              <w:rPr>
                <w:rFonts w:hint="eastAsia" w:ascii="宋体" w:hAnsi="宋体" w:eastAsia="宋体" w:cs="宋体"/>
                <w:color w:val="auto"/>
                <w:sz w:val="24"/>
                <w:highlight w:val="none"/>
              </w:rPr>
            </w:pPr>
          </w:p>
        </w:tc>
        <w:tc>
          <w:tcPr>
            <w:tcW w:w="1019" w:type="dxa"/>
            <w:noWrap w:val="0"/>
            <w:vAlign w:val="center"/>
          </w:tcPr>
          <w:p w14:paraId="2C103532">
            <w:pPr>
              <w:jc w:val="center"/>
              <w:rPr>
                <w:rFonts w:hint="eastAsia" w:ascii="宋体" w:hAnsi="宋体" w:eastAsia="宋体" w:cs="宋体"/>
                <w:color w:val="auto"/>
                <w:sz w:val="24"/>
                <w:highlight w:val="none"/>
              </w:rPr>
            </w:pPr>
          </w:p>
        </w:tc>
        <w:tc>
          <w:tcPr>
            <w:tcW w:w="1058" w:type="dxa"/>
            <w:noWrap w:val="0"/>
            <w:vAlign w:val="center"/>
          </w:tcPr>
          <w:p w14:paraId="378BB549">
            <w:pPr>
              <w:jc w:val="center"/>
              <w:rPr>
                <w:rFonts w:hint="eastAsia" w:ascii="宋体" w:hAnsi="宋体" w:eastAsia="宋体" w:cs="宋体"/>
                <w:color w:val="auto"/>
                <w:sz w:val="24"/>
                <w:highlight w:val="none"/>
              </w:rPr>
            </w:pPr>
          </w:p>
        </w:tc>
        <w:tc>
          <w:tcPr>
            <w:tcW w:w="1677" w:type="dxa"/>
            <w:noWrap w:val="0"/>
            <w:vAlign w:val="center"/>
          </w:tcPr>
          <w:p w14:paraId="55356DE8">
            <w:pPr>
              <w:jc w:val="center"/>
              <w:rPr>
                <w:rFonts w:hint="eastAsia" w:ascii="宋体" w:hAnsi="宋体" w:eastAsia="宋体" w:cs="宋体"/>
                <w:color w:val="auto"/>
                <w:sz w:val="24"/>
                <w:highlight w:val="none"/>
              </w:rPr>
            </w:pPr>
          </w:p>
        </w:tc>
        <w:tc>
          <w:tcPr>
            <w:tcW w:w="1485" w:type="dxa"/>
            <w:noWrap w:val="0"/>
            <w:vAlign w:val="center"/>
          </w:tcPr>
          <w:p w14:paraId="5383BAA9">
            <w:pPr>
              <w:jc w:val="center"/>
              <w:rPr>
                <w:rFonts w:hint="eastAsia" w:ascii="宋体" w:hAnsi="宋体" w:eastAsia="宋体" w:cs="宋体"/>
                <w:color w:val="auto"/>
                <w:sz w:val="24"/>
                <w:highlight w:val="none"/>
              </w:rPr>
            </w:pPr>
          </w:p>
        </w:tc>
        <w:tc>
          <w:tcPr>
            <w:tcW w:w="1898" w:type="dxa"/>
            <w:noWrap w:val="0"/>
            <w:vAlign w:val="center"/>
          </w:tcPr>
          <w:p w14:paraId="1B4E919F">
            <w:pPr>
              <w:jc w:val="center"/>
              <w:rPr>
                <w:rFonts w:hint="eastAsia" w:ascii="宋体" w:hAnsi="宋体" w:eastAsia="宋体" w:cs="宋体"/>
                <w:color w:val="auto"/>
                <w:sz w:val="24"/>
                <w:highlight w:val="none"/>
              </w:rPr>
            </w:pPr>
          </w:p>
        </w:tc>
        <w:tc>
          <w:tcPr>
            <w:tcW w:w="1679" w:type="dxa"/>
            <w:noWrap w:val="0"/>
            <w:vAlign w:val="center"/>
          </w:tcPr>
          <w:p w14:paraId="6F8610B1">
            <w:pPr>
              <w:jc w:val="center"/>
              <w:rPr>
                <w:rFonts w:hint="eastAsia" w:ascii="宋体" w:hAnsi="宋体" w:eastAsia="宋体" w:cs="宋体"/>
                <w:color w:val="auto"/>
                <w:sz w:val="24"/>
                <w:highlight w:val="none"/>
              </w:rPr>
            </w:pPr>
          </w:p>
        </w:tc>
      </w:tr>
      <w:tr w14:paraId="510E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dxa"/>
            <w:noWrap w:val="0"/>
            <w:vAlign w:val="center"/>
          </w:tcPr>
          <w:p w14:paraId="060D5F29">
            <w:pPr>
              <w:jc w:val="center"/>
              <w:rPr>
                <w:rFonts w:hint="eastAsia" w:ascii="宋体" w:hAnsi="宋体" w:eastAsia="宋体" w:cs="宋体"/>
                <w:color w:val="auto"/>
                <w:sz w:val="24"/>
                <w:highlight w:val="none"/>
              </w:rPr>
            </w:pPr>
          </w:p>
        </w:tc>
        <w:tc>
          <w:tcPr>
            <w:tcW w:w="1019" w:type="dxa"/>
            <w:noWrap w:val="0"/>
            <w:vAlign w:val="center"/>
          </w:tcPr>
          <w:p w14:paraId="08F6C98E">
            <w:pPr>
              <w:jc w:val="center"/>
              <w:rPr>
                <w:rFonts w:hint="eastAsia" w:ascii="宋体" w:hAnsi="宋体" w:eastAsia="宋体" w:cs="宋体"/>
                <w:color w:val="auto"/>
                <w:sz w:val="24"/>
                <w:highlight w:val="none"/>
              </w:rPr>
            </w:pPr>
          </w:p>
        </w:tc>
        <w:tc>
          <w:tcPr>
            <w:tcW w:w="1058" w:type="dxa"/>
            <w:noWrap w:val="0"/>
            <w:vAlign w:val="center"/>
          </w:tcPr>
          <w:p w14:paraId="7105FA2B">
            <w:pPr>
              <w:jc w:val="center"/>
              <w:rPr>
                <w:rFonts w:hint="eastAsia" w:ascii="宋体" w:hAnsi="宋体" w:eastAsia="宋体" w:cs="宋体"/>
                <w:color w:val="auto"/>
                <w:sz w:val="24"/>
                <w:highlight w:val="none"/>
              </w:rPr>
            </w:pPr>
          </w:p>
        </w:tc>
        <w:tc>
          <w:tcPr>
            <w:tcW w:w="1677" w:type="dxa"/>
            <w:noWrap w:val="0"/>
            <w:vAlign w:val="center"/>
          </w:tcPr>
          <w:p w14:paraId="619A47FA">
            <w:pPr>
              <w:jc w:val="center"/>
              <w:rPr>
                <w:rFonts w:hint="eastAsia" w:ascii="宋体" w:hAnsi="宋体" w:eastAsia="宋体" w:cs="宋体"/>
                <w:color w:val="auto"/>
                <w:sz w:val="24"/>
                <w:highlight w:val="none"/>
              </w:rPr>
            </w:pPr>
          </w:p>
        </w:tc>
        <w:tc>
          <w:tcPr>
            <w:tcW w:w="1485" w:type="dxa"/>
            <w:noWrap w:val="0"/>
            <w:vAlign w:val="center"/>
          </w:tcPr>
          <w:p w14:paraId="392092E4">
            <w:pPr>
              <w:jc w:val="center"/>
              <w:rPr>
                <w:rFonts w:hint="eastAsia" w:ascii="宋体" w:hAnsi="宋体" w:eastAsia="宋体" w:cs="宋体"/>
                <w:color w:val="auto"/>
                <w:sz w:val="24"/>
                <w:highlight w:val="none"/>
              </w:rPr>
            </w:pPr>
          </w:p>
        </w:tc>
        <w:tc>
          <w:tcPr>
            <w:tcW w:w="1898" w:type="dxa"/>
            <w:noWrap w:val="0"/>
            <w:vAlign w:val="center"/>
          </w:tcPr>
          <w:p w14:paraId="1A247EE8">
            <w:pPr>
              <w:jc w:val="center"/>
              <w:rPr>
                <w:rFonts w:hint="eastAsia" w:ascii="宋体" w:hAnsi="宋体" w:eastAsia="宋体" w:cs="宋体"/>
                <w:color w:val="auto"/>
                <w:sz w:val="24"/>
                <w:highlight w:val="none"/>
              </w:rPr>
            </w:pPr>
          </w:p>
        </w:tc>
        <w:tc>
          <w:tcPr>
            <w:tcW w:w="1679" w:type="dxa"/>
            <w:noWrap w:val="0"/>
            <w:vAlign w:val="center"/>
          </w:tcPr>
          <w:p w14:paraId="4DF7C134">
            <w:pPr>
              <w:jc w:val="center"/>
              <w:rPr>
                <w:rFonts w:hint="eastAsia" w:ascii="宋体" w:hAnsi="宋体" w:eastAsia="宋体" w:cs="宋体"/>
                <w:color w:val="auto"/>
                <w:sz w:val="24"/>
                <w:highlight w:val="none"/>
              </w:rPr>
            </w:pPr>
          </w:p>
        </w:tc>
      </w:tr>
      <w:tr w14:paraId="14F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dxa"/>
            <w:noWrap w:val="0"/>
            <w:vAlign w:val="center"/>
          </w:tcPr>
          <w:p w14:paraId="6A336121">
            <w:pPr>
              <w:jc w:val="center"/>
              <w:rPr>
                <w:rFonts w:hint="eastAsia" w:ascii="宋体" w:hAnsi="宋体" w:eastAsia="宋体" w:cs="宋体"/>
                <w:color w:val="auto"/>
                <w:sz w:val="24"/>
                <w:highlight w:val="none"/>
              </w:rPr>
            </w:pPr>
          </w:p>
        </w:tc>
        <w:tc>
          <w:tcPr>
            <w:tcW w:w="1019" w:type="dxa"/>
            <w:noWrap w:val="0"/>
            <w:vAlign w:val="center"/>
          </w:tcPr>
          <w:p w14:paraId="0574E156">
            <w:pPr>
              <w:jc w:val="center"/>
              <w:rPr>
                <w:rFonts w:hint="eastAsia" w:ascii="宋体" w:hAnsi="宋体" w:eastAsia="宋体" w:cs="宋体"/>
                <w:color w:val="auto"/>
                <w:sz w:val="24"/>
                <w:highlight w:val="none"/>
              </w:rPr>
            </w:pPr>
          </w:p>
        </w:tc>
        <w:tc>
          <w:tcPr>
            <w:tcW w:w="1058" w:type="dxa"/>
            <w:noWrap w:val="0"/>
            <w:vAlign w:val="center"/>
          </w:tcPr>
          <w:p w14:paraId="3612FEE2">
            <w:pPr>
              <w:jc w:val="center"/>
              <w:rPr>
                <w:rFonts w:hint="eastAsia" w:ascii="宋体" w:hAnsi="宋体" w:eastAsia="宋体" w:cs="宋体"/>
                <w:color w:val="auto"/>
                <w:sz w:val="24"/>
                <w:highlight w:val="none"/>
              </w:rPr>
            </w:pPr>
          </w:p>
        </w:tc>
        <w:tc>
          <w:tcPr>
            <w:tcW w:w="1677" w:type="dxa"/>
            <w:noWrap w:val="0"/>
            <w:vAlign w:val="center"/>
          </w:tcPr>
          <w:p w14:paraId="5D6851E4">
            <w:pPr>
              <w:jc w:val="center"/>
              <w:rPr>
                <w:rFonts w:hint="eastAsia" w:ascii="宋体" w:hAnsi="宋体" w:eastAsia="宋体" w:cs="宋体"/>
                <w:color w:val="auto"/>
                <w:sz w:val="24"/>
                <w:highlight w:val="none"/>
              </w:rPr>
            </w:pPr>
          </w:p>
        </w:tc>
        <w:tc>
          <w:tcPr>
            <w:tcW w:w="1485" w:type="dxa"/>
            <w:noWrap w:val="0"/>
            <w:vAlign w:val="center"/>
          </w:tcPr>
          <w:p w14:paraId="7C917610">
            <w:pPr>
              <w:jc w:val="center"/>
              <w:rPr>
                <w:rFonts w:hint="eastAsia" w:ascii="宋体" w:hAnsi="宋体" w:eastAsia="宋体" w:cs="宋体"/>
                <w:color w:val="auto"/>
                <w:sz w:val="24"/>
                <w:highlight w:val="none"/>
              </w:rPr>
            </w:pPr>
          </w:p>
        </w:tc>
        <w:tc>
          <w:tcPr>
            <w:tcW w:w="1898" w:type="dxa"/>
            <w:noWrap w:val="0"/>
            <w:vAlign w:val="center"/>
          </w:tcPr>
          <w:p w14:paraId="6417E969">
            <w:pPr>
              <w:jc w:val="center"/>
              <w:rPr>
                <w:rFonts w:hint="eastAsia" w:ascii="宋体" w:hAnsi="宋体" w:eastAsia="宋体" w:cs="宋体"/>
                <w:color w:val="auto"/>
                <w:sz w:val="24"/>
                <w:highlight w:val="none"/>
              </w:rPr>
            </w:pPr>
          </w:p>
        </w:tc>
        <w:tc>
          <w:tcPr>
            <w:tcW w:w="1679" w:type="dxa"/>
            <w:noWrap w:val="0"/>
            <w:vAlign w:val="center"/>
          </w:tcPr>
          <w:p w14:paraId="7FD59A1B">
            <w:pPr>
              <w:jc w:val="center"/>
              <w:rPr>
                <w:rFonts w:hint="eastAsia" w:ascii="宋体" w:hAnsi="宋体" w:eastAsia="宋体" w:cs="宋体"/>
                <w:color w:val="auto"/>
                <w:sz w:val="24"/>
                <w:highlight w:val="none"/>
              </w:rPr>
            </w:pPr>
          </w:p>
        </w:tc>
      </w:tr>
      <w:tr w14:paraId="137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dxa"/>
            <w:noWrap w:val="0"/>
            <w:vAlign w:val="center"/>
          </w:tcPr>
          <w:p w14:paraId="30B78B52">
            <w:pPr>
              <w:jc w:val="center"/>
              <w:rPr>
                <w:rFonts w:hint="eastAsia" w:ascii="宋体" w:hAnsi="宋体" w:eastAsia="宋体" w:cs="宋体"/>
                <w:color w:val="auto"/>
                <w:sz w:val="24"/>
                <w:highlight w:val="none"/>
              </w:rPr>
            </w:pPr>
          </w:p>
        </w:tc>
        <w:tc>
          <w:tcPr>
            <w:tcW w:w="1019" w:type="dxa"/>
            <w:noWrap w:val="0"/>
            <w:vAlign w:val="center"/>
          </w:tcPr>
          <w:p w14:paraId="44436C88">
            <w:pPr>
              <w:jc w:val="center"/>
              <w:rPr>
                <w:rFonts w:hint="eastAsia" w:ascii="宋体" w:hAnsi="宋体" w:eastAsia="宋体" w:cs="宋体"/>
                <w:color w:val="auto"/>
                <w:sz w:val="24"/>
                <w:highlight w:val="none"/>
              </w:rPr>
            </w:pPr>
          </w:p>
        </w:tc>
        <w:tc>
          <w:tcPr>
            <w:tcW w:w="1058" w:type="dxa"/>
            <w:noWrap w:val="0"/>
            <w:vAlign w:val="center"/>
          </w:tcPr>
          <w:p w14:paraId="3BEE7AA6">
            <w:pPr>
              <w:jc w:val="center"/>
              <w:rPr>
                <w:rFonts w:hint="eastAsia" w:ascii="宋体" w:hAnsi="宋体" w:eastAsia="宋体" w:cs="宋体"/>
                <w:color w:val="auto"/>
                <w:sz w:val="24"/>
                <w:highlight w:val="none"/>
              </w:rPr>
            </w:pPr>
          </w:p>
        </w:tc>
        <w:tc>
          <w:tcPr>
            <w:tcW w:w="1677" w:type="dxa"/>
            <w:noWrap w:val="0"/>
            <w:vAlign w:val="center"/>
          </w:tcPr>
          <w:p w14:paraId="3C4F9E93">
            <w:pPr>
              <w:jc w:val="center"/>
              <w:rPr>
                <w:rFonts w:hint="eastAsia" w:ascii="宋体" w:hAnsi="宋体" w:eastAsia="宋体" w:cs="宋体"/>
                <w:color w:val="auto"/>
                <w:sz w:val="24"/>
                <w:highlight w:val="none"/>
              </w:rPr>
            </w:pPr>
          </w:p>
        </w:tc>
        <w:tc>
          <w:tcPr>
            <w:tcW w:w="1485" w:type="dxa"/>
            <w:noWrap w:val="0"/>
            <w:vAlign w:val="center"/>
          </w:tcPr>
          <w:p w14:paraId="218C9590">
            <w:pPr>
              <w:jc w:val="center"/>
              <w:rPr>
                <w:rFonts w:hint="eastAsia" w:ascii="宋体" w:hAnsi="宋体" w:eastAsia="宋体" w:cs="宋体"/>
                <w:color w:val="auto"/>
                <w:sz w:val="24"/>
                <w:highlight w:val="none"/>
              </w:rPr>
            </w:pPr>
          </w:p>
        </w:tc>
        <w:tc>
          <w:tcPr>
            <w:tcW w:w="1898" w:type="dxa"/>
            <w:noWrap w:val="0"/>
            <w:vAlign w:val="center"/>
          </w:tcPr>
          <w:p w14:paraId="49D26A93">
            <w:pPr>
              <w:jc w:val="center"/>
              <w:rPr>
                <w:rFonts w:hint="eastAsia" w:ascii="宋体" w:hAnsi="宋体" w:eastAsia="宋体" w:cs="宋体"/>
                <w:color w:val="auto"/>
                <w:sz w:val="24"/>
                <w:highlight w:val="none"/>
              </w:rPr>
            </w:pPr>
          </w:p>
        </w:tc>
        <w:tc>
          <w:tcPr>
            <w:tcW w:w="1679" w:type="dxa"/>
            <w:noWrap w:val="0"/>
            <w:vAlign w:val="center"/>
          </w:tcPr>
          <w:p w14:paraId="16559459">
            <w:pPr>
              <w:jc w:val="center"/>
              <w:rPr>
                <w:rFonts w:hint="eastAsia" w:ascii="宋体" w:hAnsi="宋体" w:eastAsia="宋体" w:cs="宋体"/>
                <w:color w:val="auto"/>
                <w:sz w:val="24"/>
                <w:highlight w:val="none"/>
              </w:rPr>
            </w:pPr>
          </w:p>
        </w:tc>
      </w:tr>
      <w:tr w14:paraId="39A5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dxa"/>
            <w:noWrap w:val="0"/>
            <w:vAlign w:val="center"/>
          </w:tcPr>
          <w:p w14:paraId="22ED8941">
            <w:pPr>
              <w:jc w:val="center"/>
              <w:rPr>
                <w:rFonts w:hint="eastAsia" w:ascii="宋体" w:hAnsi="宋体" w:eastAsia="宋体" w:cs="宋体"/>
                <w:color w:val="auto"/>
                <w:sz w:val="24"/>
                <w:highlight w:val="none"/>
              </w:rPr>
            </w:pPr>
          </w:p>
        </w:tc>
        <w:tc>
          <w:tcPr>
            <w:tcW w:w="1019" w:type="dxa"/>
            <w:noWrap w:val="0"/>
            <w:vAlign w:val="center"/>
          </w:tcPr>
          <w:p w14:paraId="2B48545A">
            <w:pPr>
              <w:jc w:val="center"/>
              <w:rPr>
                <w:rFonts w:hint="eastAsia" w:ascii="宋体" w:hAnsi="宋体" w:eastAsia="宋体" w:cs="宋体"/>
                <w:color w:val="auto"/>
                <w:sz w:val="24"/>
                <w:highlight w:val="none"/>
              </w:rPr>
            </w:pPr>
          </w:p>
        </w:tc>
        <w:tc>
          <w:tcPr>
            <w:tcW w:w="1058" w:type="dxa"/>
            <w:noWrap w:val="0"/>
            <w:vAlign w:val="center"/>
          </w:tcPr>
          <w:p w14:paraId="4074AB7E">
            <w:pPr>
              <w:jc w:val="center"/>
              <w:rPr>
                <w:rFonts w:hint="eastAsia" w:ascii="宋体" w:hAnsi="宋体" w:eastAsia="宋体" w:cs="宋体"/>
                <w:color w:val="auto"/>
                <w:sz w:val="24"/>
                <w:highlight w:val="none"/>
              </w:rPr>
            </w:pPr>
          </w:p>
        </w:tc>
        <w:tc>
          <w:tcPr>
            <w:tcW w:w="1677" w:type="dxa"/>
            <w:noWrap w:val="0"/>
            <w:vAlign w:val="center"/>
          </w:tcPr>
          <w:p w14:paraId="52307DA9">
            <w:pPr>
              <w:jc w:val="center"/>
              <w:rPr>
                <w:rFonts w:hint="eastAsia" w:ascii="宋体" w:hAnsi="宋体" w:eastAsia="宋体" w:cs="宋体"/>
                <w:color w:val="auto"/>
                <w:sz w:val="24"/>
                <w:highlight w:val="none"/>
              </w:rPr>
            </w:pPr>
          </w:p>
        </w:tc>
        <w:tc>
          <w:tcPr>
            <w:tcW w:w="1485" w:type="dxa"/>
            <w:noWrap w:val="0"/>
            <w:vAlign w:val="center"/>
          </w:tcPr>
          <w:p w14:paraId="1AD40F08">
            <w:pPr>
              <w:jc w:val="center"/>
              <w:rPr>
                <w:rFonts w:hint="eastAsia" w:ascii="宋体" w:hAnsi="宋体" w:eastAsia="宋体" w:cs="宋体"/>
                <w:color w:val="auto"/>
                <w:sz w:val="24"/>
                <w:highlight w:val="none"/>
              </w:rPr>
            </w:pPr>
          </w:p>
        </w:tc>
        <w:tc>
          <w:tcPr>
            <w:tcW w:w="1898" w:type="dxa"/>
            <w:noWrap w:val="0"/>
            <w:vAlign w:val="center"/>
          </w:tcPr>
          <w:p w14:paraId="301454F2">
            <w:pPr>
              <w:jc w:val="center"/>
              <w:rPr>
                <w:rFonts w:hint="eastAsia" w:ascii="宋体" w:hAnsi="宋体" w:eastAsia="宋体" w:cs="宋体"/>
                <w:color w:val="auto"/>
                <w:sz w:val="24"/>
                <w:highlight w:val="none"/>
              </w:rPr>
            </w:pPr>
          </w:p>
        </w:tc>
        <w:tc>
          <w:tcPr>
            <w:tcW w:w="1679" w:type="dxa"/>
            <w:noWrap w:val="0"/>
            <w:vAlign w:val="center"/>
          </w:tcPr>
          <w:p w14:paraId="55A939E1">
            <w:pPr>
              <w:jc w:val="center"/>
              <w:rPr>
                <w:rFonts w:hint="eastAsia" w:ascii="宋体" w:hAnsi="宋体" w:eastAsia="宋体" w:cs="宋体"/>
                <w:color w:val="auto"/>
                <w:sz w:val="24"/>
                <w:highlight w:val="none"/>
              </w:rPr>
            </w:pPr>
          </w:p>
        </w:tc>
      </w:tr>
      <w:tr w14:paraId="13AC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dxa"/>
            <w:noWrap w:val="0"/>
            <w:vAlign w:val="center"/>
          </w:tcPr>
          <w:p w14:paraId="3FAA26F7">
            <w:pPr>
              <w:jc w:val="center"/>
              <w:rPr>
                <w:rFonts w:hint="eastAsia" w:ascii="宋体" w:hAnsi="宋体" w:eastAsia="宋体" w:cs="宋体"/>
                <w:color w:val="auto"/>
                <w:sz w:val="24"/>
                <w:highlight w:val="none"/>
              </w:rPr>
            </w:pPr>
          </w:p>
        </w:tc>
        <w:tc>
          <w:tcPr>
            <w:tcW w:w="1019" w:type="dxa"/>
            <w:noWrap w:val="0"/>
            <w:vAlign w:val="center"/>
          </w:tcPr>
          <w:p w14:paraId="0A80DA34">
            <w:pPr>
              <w:jc w:val="center"/>
              <w:rPr>
                <w:rFonts w:hint="eastAsia" w:ascii="宋体" w:hAnsi="宋体" w:eastAsia="宋体" w:cs="宋体"/>
                <w:color w:val="auto"/>
                <w:sz w:val="24"/>
                <w:highlight w:val="none"/>
              </w:rPr>
            </w:pPr>
          </w:p>
        </w:tc>
        <w:tc>
          <w:tcPr>
            <w:tcW w:w="1058" w:type="dxa"/>
            <w:noWrap w:val="0"/>
            <w:vAlign w:val="center"/>
          </w:tcPr>
          <w:p w14:paraId="0A7ECBA5">
            <w:pPr>
              <w:jc w:val="center"/>
              <w:rPr>
                <w:rFonts w:hint="eastAsia" w:ascii="宋体" w:hAnsi="宋体" w:eastAsia="宋体" w:cs="宋体"/>
                <w:color w:val="auto"/>
                <w:sz w:val="24"/>
                <w:highlight w:val="none"/>
              </w:rPr>
            </w:pPr>
          </w:p>
        </w:tc>
        <w:tc>
          <w:tcPr>
            <w:tcW w:w="1677" w:type="dxa"/>
            <w:noWrap w:val="0"/>
            <w:vAlign w:val="center"/>
          </w:tcPr>
          <w:p w14:paraId="3F633960">
            <w:pPr>
              <w:jc w:val="center"/>
              <w:rPr>
                <w:rFonts w:hint="eastAsia" w:ascii="宋体" w:hAnsi="宋体" w:eastAsia="宋体" w:cs="宋体"/>
                <w:color w:val="auto"/>
                <w:sz w:val="24"/>
                <w:highlight w:val="none"/>
              </w:rPr>
            </w:pPr>
          </w:p>
        </w:tc>
        <w:tc>
          <w:tcPr>
            <w:tcW w:w="1485" w:type="dxa"/>
            <w:noWrap w:val="0"/>
            <w:vAlign w:val="center"/>
          </w:tcPr>
          <w:p w14:paraId="7C36A6DF">
            <w:pPr>
              <w:jc w:val="center"/>
              <w:rPr>
                <w:rFonts w:hint="eastAsia" w:ascii="宋体" w:hAnsi="宋体" w:eastAsia="宋体" w:cs="宋体"/>
                <w:color w:val="auto"/>
                <w:sz w:val="24"/>
                <w:highlight w:val="none"/>
              </w:rPr>
            </w:pPr>
          </w:p>
        </w:tc>
        <w:tc>
          <w:tcPr>
            <w:tcW w:w="1898" w:type="dxa"/>
            <w:noWrap w:val="0"/>
            <w:vAlign w:val="center"/>
          </w:tcPr>
          <w:p w14:paraId="4860FEDB">
            <w:pPr>
              <w:jc w:val="center"/>
              <w:rPr>
                <w:rFonts w:hint="eastAsia" w:ascii="宋体" w:hAnsi="宋体" w:eastAsia="宋体" w:cs="宋体"/>
                <w:color w:val="auto"/>
                <w:sz w:val="24"/>
                <w:highlight w:val="none"/>
              </w:rPr>
            </w:pPr>
          </w:p>
        </w:tc>
        <w:tc>
          <w:tcPr>
            <w:tcW w:w="1679" w:type="dxa"/>
            <w:noWrap w:val="0"/>
            <w:vAlign w:val="center"/>
          </w:tcPr>
          <w:p w14:paraId="4E26A40C">
            <w:pPr>
              <w:jc w:val="center"/>
              <w:rPr>
                <w:rFonts w:hint="eastAsia" w:ascii="宋体" w:hAnsi="宋体" w:eastAsia="宋体" w:cs="宋体"/>
                <w:color w:val="auto"/>
                <w:sz w:val="24"/>
                <w:highlight w:val="none"/>
              </w:rPr>
            </w:pPr>
          </w:p>
        </w:tc>
      </w:tr>
    </w:tbl>
    <w:p w14:paraId="3DBD7C9C">
      <w:pPr>
        <w:numPr>
          <w:ilvl w:val="0"/>
          <w:numId w:val="0"/>
        </w:numPr>
        <w:rPr>
          <w:rFonts w:hint="eastAsia"/>
          <w:color w:val="auto"/>
          <w:highlight w:val="none"/>
          <w:lang w:val="en-US" w:eastAsia="zh-CN"/>
        </w:rPr>
      </w:pPr>
    </w:p>
    <w:p w14:paraId="57FFBE35">
      <w:pPr>
        <w:pStyle w:val="20"/>
        <w:keepLines w:val="0"/>
        <w:pageBreakBefore w:val="0"/>
        <w:widowControl w:val="0"/>
        <w:kinsoku/>
        <w:wordWrap/>
        <w:topLinePunct w:val="0"/>
        <w:autoSpaceDE/>
        <w:autoSpaceDN/>
        <w:bidi w:val="0"/>
        <w:snapToGrid/>
        <w:spacing w:before="120" w:after="120" w:line="360" w:lineRule="auto"/>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2.节能产品明细表</w:t>
      </w:r>
    </w:p>
    <w:tbl>
      <w:tblPr>
        <w:tblStyle w:val="22"/>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879"/>
        <w:gridCol w:w="911"/>
        <w:gridCol w:w="1446"/>
        <w:gridCol w:w="1281"/>
        <w:gridCol w:w="1636"/>
        <w:gridCol w:w="1399"/>
        <w:gridCol w:w="1399"/>
      </w:tblGrid>
      <w:tr w14:paraId="7389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86" w:type="dxa"/>
            <w:noWrap w:val="0"/>
            <w:vAlign w:val="center"/>
          </w:tcPr>
          <w:p w14:paraId="66F4280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 w:type="dxa"/>
            <w:noWrap w:val="0"/>
            <w:vAlign w:val="center"/>
          </w:tcPr>
          <w:p w14:paraId="1C343BF4">
            <w:pPr>
              <w:jc w:val="center"/>
              <w:rPr>
                <w:rFonts w:hint="eastAsia" w:ascii="宋体" w:hAnsi="宋体" w:eastAsia="宋体" w:cs="宋体"/>
                <w:b/>
                <w:color w:val="auto"/>
                <w:sz w:val="24"/>
                <w:highlight w:val="none"/>
              </w:rPr>
            </w:pPr>
            <w:r>
              <w:rPr>
                <w:rFonts w:hint="eastAsia" w:cs="宋体"/>
                <w:b/>
                <w:color w:val="auto"/>
                <w:sz w:val="24"/>
                <w:highlight w:val="none"/>
                <w:lang w:val="en-US" w:eastAsia="zh-CN"/>
              </w:rPr>
              <w:t>货物标的</w:t>
            </w:r>
            <w:r>
              <w:rPr>
                <w:rFonts w:hint="eastAsia" w:ascii="宋体" w:hAnsi="宋体" w:eastAsia="宋体" w:cs="宋体"/>
                <w:b/>
                <w:color w:val="auto"/>
                <w:sz w:val="24"/>
                <w:highlight w:val="none"/>
              </w:rPr>
              <w:t>名称</w:t>
            </w:r>
          </w:p>
        </w:tc>
        <w:tc>
          <w:tcPr>
            <w:tcW w:w="911" w:type="dxa"/>
            <w:noWrap w:val="0"/>
            <w:vAlign w:val="center"/>
          </w:tcPr>
          <w:p w14:paraId="1FD1AE9E">
            <w:pPr>
              <w:jc w:val="center"/>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项目编码</w:t>
            </w:r>
          </w:p>
        </w:tc>
        <w:tc>
          <w:tcPr>
            <w:tcW w:w="1446" w:type="dxa"/>
            <w:noWrap w:val="0"/>
            <w:vAlign w:val="center"/>
          </w:tcPr>
          <w:p w14:paraId="3505E04E">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1281" w:type="dxa"/>
            <w:noWrap w:val="0"/>
            <w:vAlign w:val="center"/>
          </w:tcPr>
          <w:p w14:paraId="4350EB44">
            <w:pPr>
              <w:jc w:val="center"/>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产品型号</w:t>
            </w:r>
          </w:p>
        </w:tc>
        <w:tc>
          <w:tcPr>
            <w:tcW w:w="1636" w:type="dxa"/>
            <w:noWrap w:val="0"/>
            <w:vAlign w:val="center"/>
          </w:tcPr>
          <w:p w14:paraId="4D291BA9">
            <w:pPr>
              <w:jc w:val="center"/>
              <w:rPr>
                <w:rFonts w:hint="eastAsia" w:ascii="宋体" w:hAnsi="宋体" w:eastAsia="宋体" w:cs="宋体"/>
                <w:b/>
                <w:color w:val="auto"/>
                <w:sz w:val="24"/>
                <w:highlight w:val="none"/>
              </w:rPr>
            </w:pPr>
            <w:r>
              <w:rPr>
                <w:rFonts w:hint="eastAsia" w:cs="宋体"/>
                <w:b/>
                <w:color w:val="auto"/>
                <w:sz w:val="24"/>
                <w:highlight w:val="none"/>
                <w:lang w:val="en-US" w:eastAsia="zh-CN"/>
              </w:rPr>
              <w:t>节能产品认</w:t>
            </w:r>
            <w:r>
              <w:rPr>
                <w:rFonts w:hint="eastAsia" w:ascii="宋体" w:hAnsi="宋体" w:eastAsia="宋体" w:cs="宋体"/>
                <w:b/>
                <w:color w:val="auto"/>
                <w:sz w:val="24"/>
                <w:highlight w:val="none"/>
              </w:rPr>
              <w:t>证证书编号</w:t>
            </w:r>
          </w:p>
        </w:tc>
        <w:tc>
          <w:tcPr>
            <w:tcW w:w="1399" w:type="dxa"/>
            <w:noWrap w:val="0"/>
            <w:vAlign w:val="center"/>
          </w:tcPr>
          <w:p w14:paraId="31AEE9CF">
            <w:pPr>
              <w:jc w:val="center"/>
              <w:rPr>
                <w:rFonts w:hint="default" w:ascii="宋体" w:hAnsi="宋体" w:eastAsia="宋体" w:cs="宋体"/>
                <w:b/>
                <w:color w:val="auto"/>
                <w:sz w:val="24"/>
                <w:highlight w:val="none"/>
                <w:lang w:val="en-US"/>
              </w:rPr>
            </w:pPr>
            <w:r>
              <w:rPr>
                <w:rFonts w:hint="eastAsia" w:cs="宋体"/>
                <w:b/>
                <w:color w:val="auto"/>
                <w:sz w:val="24"/>
                <w:highlight w:val="none"/>
                <w:lang w:val="en-US" w:eastAsia="zh-CN"/>
              </w:rPr>
              <w:t>认证证书有效截止日期</w:t>
            </w:r>
          </w:p>
        </w:tc>
        <w:tc>
          <w:tcPr>
            <w:tcW w:w="1399" w:type="dxa"/>
            <w:noWrap w:val="0"/>
            <w:vAlign w:val="center"/>
          </w:tcPr>
          <w:p w14:paraId="2E044F50">
            <w:pPr>
              <w:jc w:val="center"/>
              <w:rPr>
                <w:rFonts w:hint="default" w:cs="宋体"/>
                <w:b/>
                <w:color w:val="auto"/>
                <w:sz w:val="24"/>
                <w:highlight w:val="none"/>
                <w:lang w:val="en-US" w:eastAsia="zh-CN"/>
              </w:rPr>
            </w:pPr>
            <w:r>
              <w:rPr>
                <w:rFonts w:hint="eastAsia" w:cs="宋体"/>
                <w:b/>
                <w:color w:val="auto"/>
                <w:sz w:val="24"/>
                <w:highlight w:val="none"/>
                <w:lang w:val="en-US" w:eastAsia="zh-CN"/>
              </w:rPr>
              <w:t>是否属于政府强制采购节能产品</w:t>
            </w:r>
          </w:p>
        </w:tc>
      </w:tr>
      <w:tr w14:paraId="51F7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57A89445">
            <w:pPr>
              <w:jc w:val="center"/>
              <w:rPr>
                <w:rFonts w:hint="eastAsia" w:ascii="宋体" w:hAnsi="宋体" w:eastAsia="宋体" w:cs="宋体"/>
                <w:color w:val="auto"/>
                <w:sz w:val="24"/>
                <w:highlight w:val="none"/>
              </w:rPr>
            </w:pPr>
          </w:p>
        </w:tc>
        <w:tc>
          <w:tcPr>
            <w:tcW w:w="879" w:type="dxa"/>
            <w:noWrap w:val="0"/>
            <w:vAlign w:val="center"/>
          </w:tcPr>
          <w:p w14:paraId="7A16DFAB">
            <w:pPr>
              <w:jc w:val="center"/>
              <w:rPr>
                <w:rFonts w:hint="eastAsia" w:ascii="宋体" w:hAnsi="宋体" w:eastAsia="宋体" w:cs="宋体"/>
                <w:color w:val="auto"/>
                <w:sz w:val="24"/>
                <w:highlight w:val="none"/>
              </w:rPr>
            </w:pPr>
          </w:p>
        </w:tc>
        <w:tc>
          <w:tcPr>
            <w:tcW w:w="911" w:type="dxa"/>
            <w:noWrap w:val="0"/>
            <w:vAlign w:val="center"/>
          </w:tcPr>
          <w:p w14:paraId="70BDCDF7">
            <w:pPr>
              <w:jc w:val="center"/>
              <w:rPr>
                <w:rFonts w:hint="eastAsia" w:ascii="宋体" w:hAnsi="宋体" w:eastAsia="宋体" w:cs="宋体"/>
                <w:color w:val="auto"/>
                <w:sz w:val="24"/>
                <w:highlight w:val="none"/>
              </w:rPr>
            </w:pPr>
          </w:p>
        </w:tc>
        <w:tc>
          <w:tcPr>
            <w:tcW w:w="1446" w:type="dxa"/>
            <w:noWrap w:val="0"/>
            <w:vAlign w:val="center"/>
          </w:tcPr>
          <w:p w14:paraId="10E2E436">
            <w:pPr>
              <w:jc w:val="center"/>
              <w:rPr>
                <w:rFonts w:hint="eastAsia" w:ascii="宋体" w:hAnsi="宋体" w:eastAsia="宋体" w:cs="宋体"/>
                <w:color w:val="auto"/>
                <w:sz w:val="24"/>
                <w:highlight w:val="none"/>
              </w:rPr>
            </w:pPr>
          </w:p>
        </w:tc>
        <w:tc>
          <w:tcPr>
            <w:tcW w:w="1281" w:type="dxa"/>
            <w:noWrap w:val="0"/>
            <w:vAlign w:val="center"/>
          </w:tcPr>
          <w:p w14:paraId="22F82A5E">
            <w:pPr>
              <w:jc w:val="center"/>
              <w:rPr>
                <w:rFonts w:hint="eastAsia" w:ascii="宋体" w:hAnsi="宋体" w:eastAsia="宋体" w:cs="宋体"/>
                <w:color w:val="auto"/>
                <w:sz w:val="24"/>
                <w:highlight w:val="none"/>
              </w:rPr>
            </w:pPr>
          </w:p>
        </w:tc>
        <w:tc>
          <w:tcPr>
            <w:tcW w:w="1636" w:type="dxa"/>
            <w:noWrap w:val="0"/>
            <w:vAlign w:val="center"/>
          </w:tcPr>
          <w:p w14:paraId="699309F5">
            <w:pPr>
              <w:jc w:val="center"/>
              <w:rPr>
                <w:rFonts w:hint="eastAsia" w:ascii="宋体" w:hAnsi="宋体" w:eastAsia="宋体" w:cs="宋体"/>
                <w:color w:val="auto"/>
                <w:sz w:val="24"/>
                <w:highlight w:val="none"/>
              </w:rPr>
            </w:pPr>
          </w:p>
        </w:tc>
        <w:tc>
          <w:tcPr>
            <w:tcW w:w="1399" w:type="dxa"/>
            <w:noWrap w:val="0"/>
            <w:vAlign w:val="center"/>
          </w:tcPr>
          <w:p w14:paraId="5F325695">
            <w:pPr>
              <w:jc w:val="center"/>
              <w:rPr>
                <w:rFonts w:hint="eastAsia" w:ascii="宋体" w:hAnsi="宋体" w:eastAsia="宋体" w:cs="宋体"/>
                <w:color w:val="auto"/>
                <w:sz w:val="24"/>
                <w:highlight w:val="none"/>
              </w:rPr>
            </w:pPr>
          </w:p>
        </w:tc>
        <w:tc>
          <w:tcPr>
            <w:tcW w:w="1399" w:type="dxa"/>
            <w:noWrap w:val="0"/>
            <w:vAlign w:val="center"/>
          </w:tcPr>
          <w:p w14:paraId="2EEF82E1">
            <w:pPr>
              <w:jc w:val="center"/>
              <w:rPr>
                <w:rFonts w:hint="eastAsia" w:ascii="宋体" w:hAnsi="宋体" w:eastAsia="宋体" w:cs="宋体"/>
                <w:color w:val="auto"/>
                <w:sz w:val="24"/>
                <w:highlight w:val="none"/>
              </w:rPr>
            </w:pPr>
          </w:p>
        </w:tc>
      </w:tr>
      <w:tr w14:paraId="1F8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52B3C646">
            <w:pPr>
              <w:jc w:val="center"/>
              <w:rPr>
                <w:rFonts w:hint="eastAsia" w:ascii="宋体" w:hAnsi="宋体" w:eastAsia="宋体" w:cs="宋体"/>
                <w:color w:val="auto"/>
                <w:sz w:val="24"/>
                <w:highlight w:val="none"/>
              </w:rPr>
            </w:pPr>
          </w:p>
        </w:tc>
        <w:tc>
          <w:tcPr>
            <w:tcW w:w="879" w:type="dxa"/>
            <w:noWrap w:val="0"/>
            <w:vAlign w:val="center"/>
          </w:tcPr>
          <w:p w14:paraId="25474AD4">
            <w:pPr>
              <w:jc w:val="center"/>
              <w:rPr>
                <w:rFonts w:hint="eastAsia" w:ascii="宋体" w:hAnsi="宋体" w:eastAsia="宋体" w:cs="宋体"/>
                <w:color w:val="auto"/>
                <w:sz w:val="24"/>
                <w:highlight w:val="none"/>
              </w:rPr>
            </w:pPr>
          </w:p>
        </w:tc>
        <w:tc>
          <w:tcPr>
            <w:tcW w:w="911" w:type="dxa"/>
            <w:noWrap w:val="0"/>
            <w:vAlign w:val="center"/>
          </w:tcPr>
          <w:p w14:paraId="18544D89">
            <w:pPr>
              <w:jc w:val="center"/>
              <w:rPr>
                <w:rFonts w:hint="eastAsia" w:ascii="宋体" w:hAnsi="宋体" w:eastAsia="宋体" w:cs="宋体"/>
                <w:color w:val="auto"/>
                <w:sz w:val="24"/>
                <w:highlight w:val="none"/>
              </w:rPr>
            </w:pPr>
          </w:p>
        </w:tc>
        <w:tc>
          <w:tcPr>
            <w:tcW w:w="1446" w:type="dxa"/>
            <w:noWrap w:val="0"/>
            <w:vAlign w:val="center"/>
          </w:tcPr>
          <w:p w14:paraId="54B55EFA">
            <w:pPr>
              <w:jc w:val="center"/>
              <w:rPr>
                <w:rFonts w:hint="eastAsia" w:ascii="宋体" w:hAnsi="宋体" w:eastAsia="宋体" w:cs="宋体"/>
                <w:color w:val="auto"/>
                <w:sz w:val="24"/>
                <w:highlight w:val="none"/>
              </w:rPr>
            </w:pPr>
          </w:p>
        </w:tc>
        <w:tc>
          <w:tcPr>
            <w:tcW w:w="1281" w:type="dxa"/>
            <w:noWrap w:val="0"/>
            <w:vAlign w:val="center"/>
          </w:tcPr>
          <w:p w14:paraId="28B144AD">
            <w:pPr>
              <w:jc w:val="center"/>
              <w:rPr>
                <w:rFonts w:hint="eastAsia" w:ascii="宋体" w:hAnsi="宋体" w:eastAsia="宋体" w:cs="宋体"/>
                <w:color w:val="auto"/>
                <w:sz w:val="24"/>
                <w:highlight w:val="none"/>
              </w:rPr>
            </w:pPr>
          </w:p>
        </w:tc>
        <w:tc>
          <w:tcPr>
            <w:tcW w:w="1636" w:type="dxa"/>
            <w:noWrap w:val="0"/>
            <w:vAlign w:val="center"/>
          </w:tcPr>
          <w:p w14:paraId="642048CC">
            <w:pPr>
              <w:jc w:val="center"/>
              <w:rPr>
                <w:rFonts w:hint="eastAsia" w:ascii="宋体" w:hAnsi="宋体" w:eastAsia="宋体" w:cs="宋体"/>
                <w:color w:val="auto"/>
                <w:sz w:val="24"/>
                <w:highlight w:val="none"/>
              </w:rPr>
            </w:pPr>
          </w:p>
        </w:tc>
        <w:tc>
          <w:tcPr>
            <w:tcW w:w="1399" w:type="dxa"/>
            <w:noWrap w:val="0"/>
            <w:vAlign w:val="center"/>
          </w:tcPr>
          <w:p w14:paraId="4A432ACD">
            <w:pPr>
              <w:jc w:val="center"/>
              <w:rPr>
                <w:rFonts w:hint="eastAsia" w:ascii="宋体" w:hAnsi="宋体" w:eastAsia="宋体" w:cs="宋体"/>
                <w:color w:val="auto"/>
                <w:sz w:val="24"/>
                <w:highlight w:val="none"/>
              </w:rPr>
            </w:pPr>
          </w:p>
        </w:tc>
        <w:tc>
          <w:tcPr>
            <w:tcW w:w="1399" w:type="dxa"/>
            <w:noWrap w:val="0"/>
            <w:vAlign w:val="center"/>
          </w:tcPr>
          <w:p w14:paraId="6340BFCB">
            <w:pPr>
              <w:jc w:val="center"/>
              <w:rPr>
                <w:rFonts w:hint="eastAsia" w:ascii="宋体" w:hAnsi="宋体" w:eastAsia="宋体" w:cs="宋体"/>
                <w:color w:val="auto"/>
                <w:sz w:val="24"/>
                <w:highlight w:val="none"/>
              </w:rPr>
            </w:pPr>
          </w:p>
        </w:tc>
      </w:tr>
      <w:tr w14:paraId="5A9C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2988F22C">
            <w:pPr>
              <w:jc w:val="center"/>
              <w:rPr>
                <w:rFonts w:hint="eastAsia" w:ascii="宋体" w:hAnsi="宋体" w:eastAsia="宋体" w:cs="宋体"/>
                <w:color w:val="auto"/>
                <w:sz w:val="24"/>
                <w:highlight w:val="none"/>
              </w:rPr>
            </w:pPr>
          </w:p>
        </w:tc>
        <w:tc>
          <w:tcPr>
            <w:tcW w:w="879" w:type="dxa"/>
            <w:noWrap w:val="0"/>
            <w:vAlign w:val="center"/>
          </w:tcPr>
          <w:p w14:paraId="26197CEB">
            <w:pPr>
              <w:jc w:val="center"/>
              <w:rPr>
                <w:rFonts w:hint="eastAsia" w:ascii="宋体" w:hAnsi="宋体" w:eastAsia="宋体" w:cs="宋体"/>
                <w:color w:val="auto"/>
                <w:sz w:val="24"/>
                <w:highlight w:val="none"/>
              </w:rPr>
            </w:pPr>
          </w:p>
        </w:tc>
        <w:tc>
          <w:tcPr>
            <w:tcW w:w="911" w:type="dxa"/>
            <w:noWrap w:val="0"/>
            <w:vAlign w:val="center"/>
          </w:tcPr>
          <w:p w14:paraId="725DB607">
            <w:pPr>
              <w:jc w:val="center"/>
              <w:rPr>
                <w:rFonts w:hint="eastAsia" w:ascii="宋体" w:hAnsi="宋体" w:eastAsia="宋体" w:cs="宋体"/>
                <w:color w:val="auto"/>
                <w:sz w:val="24"/>
                <w:highlight w:val="none"/>
              </w:rPr>
            </w:pPr>
          </w:p>
        </w:tc>
        <w:tc>
          <w:tcPr>
            <w:tcW w:w="1446" w:type="dxa"/>
            <w:noWrap w:val="0"/>
            <w:vAlign w:val="center"/>
          </w:tcPr>
          <w:p w14:paraId="0752E6F6">
            <w:pPr>
              <w:jc w:val="center"/>
              <w:rPr>
                <w:rFonts w:hint="eastAsia" w:ascii="宋体" w:hAnsi="宋体" w:eastAsia="宋体" w:cs="宋体"/>
                <w:color w:val="auto"/>
                <w:sz w:val="24"/>
                <w:highlight w:val="none"/>
              </w:rPr>
            </w:pPr>
          </w:p>
        </w:tc>
        <w:tc>
          <w:tcPr>
            <w:tcW w:w="1281" w:type="dxa"/>
            <w:noWrap w:val="0"/>
            <w:vAlign w:val="center"/>
          </w:tcPr>
          <w:p w14:paraId="47EE9017">
            <w:pPr>
              <w:jc w:val="center"/>
              <w:rPr>
                <w:rFonts w:hint="eastAsia" w:ascii="宋体" w:hAnsi="宋体" w:eastAsia="宋体" w:cs="宋体"/>
                <w:color w:val="auto"/>
                <w:sz w:val="24"/>
                <w:highlight w:val="none"/>
              </w:rPr>
            </w:pPr>
          </w:p>
        </w:tc>
        <w:tc>
          <w:tcPr>
            <w:tcW w:w="1636" w:type="dxa"/>
            <w:noWrap w:val="0"/>
            <w:vAlign w:val="center"/>
          </w:tcPr>
          <w:p w14:paraId="50867366">
            <w:pPr>
              <w:jc w:val="center"/>
              <w:rPr>
                <w:rFonts w:hint="eastAsia" w:ascii="宋体" w:hAnsi="宋体" w:eastAsia="宋体" w:cs="宋体"/>
                <w:color w:val="auto"/>
                <w:sz w:val="24"/>
                <w:highlight w:val="none"/>
              </w:rPr>
            </w:pPr>
          </w:p>
        </w:tc>
        <w:tc>
          <w:tcPr>
            <w:tcW w:w="1399" w:type="dxa"/>
            <w:noWrap w:val="0"/>
            <w:vAlign w:val="center"/>
          </w:tcPr>
          <w:p w14:paraId="73CE2619">
            <w:pPr>
              <w:jc w:val="center"/>
              <w:rPr>
                <w:rFonts w:hint="eastAsia" w:ascii="宋体" w:hAnsi="宋体" w:eastAsia="宋体" w:cs="宋体"/>
                <w:color w:val="auto"/>
                <w:sz w:val="24"/>
                <w:highlight w:val="none"/>
              </w:rPr>
            </w:pPr>
          </w:p>
        </w:tc>
        <w:tc>
          <w:tcPr>
            <w:tcW w:w="1399" w:type="dxa"/>
            <w:noWrap w:val="0"/>
            <w:vAlign w:val="center"/>
          </w:tcPr>
          <w:p w14:paraId="4397688A">
            <w:pPr>
              <w:jc w:val="center"/>
              <w:rPr>
                <w:rFonts w:hint="eastAsia" w:ascii="宋体" w:hAnsi="宋体" w:eastAsia="宋体" w:cs="宋体"/>
                <w:color w:val="auto"/>
                <w:sz w:val="24"/>
                <w:highlight w:val="none"/>
              </w:rPr>
            </w:pPr>
          </w:p>
        </w:tc>
      </w:tr>
      <w:tr w14:paraId="78C1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12AC0D19">
            <w:pPr>
              <w:jc w:val="center"/>
              <w:rPr>
                <w:rFonts w:hint="eastAsia" w:ascii="宋体" w:hAnsi="宋体" w:eastAsia="宋体" w:cs="宋体"/>
                <w:color w:val="auto"/>
                <w:sz w:val="24"/>
                <w:highlight w:val="none"/>
              </w:rPr>
            </w:pPr>
          </w:p>
        </w:tc>
        <w:tc>
          <w:tcPr>
            <w:tcW w:w="879" w:type="dxa"/>
            <w:noWrap w:val="0"/>
            <w:vAlign w:val="center"/>
          </w:tcPr>
          <w:p w14:paraId="7F646DBE">
            <w:pPr>
              <w:jc w:val="center"/>
              <w:rPr>
                <w:rFonts w:hint="eastAsia" w:ascii="宋体" w:hAnsi="宋体" w:eastAsia="宋体" w:cs="宋体"/>
                <w:color w:val="auto"/>
                <w:sz w:val="24"/>
                <w:highlight w:val="none"/>
              </w:rPr>
            </w:pPr>
          </w:p>
        </w:tc>
        <w:tc>
          <w:tcPr>
            <w:tcW w:w="911" w:type="dxa"/>
            <w:noWrap w:val="0"/>
            <w:vAlign w:val="center"/>
          </w:tcPr>
          <w:p w14:paraId="42F363B2">
            <w:pPr>
              <w:jc w:val="center"/>
              <w:rPr>
                <w:rFonts w:hint="eastAsia" w:ascii="宋体" w:hAnsi="宋体" w:eastAsia="宋体" w:cs="宋体"/>
                <w:color w:val="auto"/>
                <w:sz w:val="24"/>
                <w:highlight w:val="none"/>
              </w:rPr>
            </w:pPr>
          </w:p>
        </w:tc>
        <w:tc>
          <w:tcPr>
            <w:tcW w:w="1446" w:type="dxa"/>
            <w:noWrap w:val="0"/>
            <w:vAlign w:val="center"/>
          </w:tcPr>
          <w:p w14:paraId="59AAE131">
            <w:pPr>
              <w:jc w:val="center"/>
              <w:rPr>
                <w:rFonts w:hint="eastAsia" w:ascii="宋体" w:hAnsi="宋体" w:eastAsia="宋体" w:cs="宋体"/>
                <w:color w:val="auto"/>
                <w:sz w:val="24"/>
                <w:highlight w:val="none"/>
              </w:rPr>
            </w:pPr>
          </w:p>
        </w:tc>
        <w:tc>
          <w:tcPr>
            <w:tcW w:w="1281" w:type="dxa"/>
            <w:noWrap w:val="0"/>
            <w:vAlign w:val="center"/>
          </w:tcPr>
          <w:p w14:paraId="251C8DE7">
            <w:pPr>
              <w:jc w:val="center"/>
              <w:rPr>
                <w:rFonts w:hint="eastAsia" w:ascii="宋体" w:hAnsi="宋体" w:eastAsia="宋体" w:cs="宋体"/>
                <w:color w:val="auto"/>
                <w:sz w:val="24"/>
                <w:highlight w:val="none"/>
              </w:rPr>
            </w:pPr>
          </w:p>
        </w:tc>
        <w:tc>
          <w:tcPr>
            <w:tcW w:w="1636" w:type="dxa"/>
            <w:noWrap w:val="0"/>
            <w:vAlign w:val="center"/>
          </w:tcPr>
          <w:p w14:paraId="4262A277">
            <w:pPr>
              <w:jc w:val="center"/>
              <w:rPr>
                <w:rFonts w:hint="eastAsia" w:ascii="宋体" w:hAnsi="宋体" w:eastAsia="宋体" w:cs="宋体"/>
                <w:color w:val="auto"/>
                <w:sz w:val="24"/>
                <w:highlight w:val="none"/>
              </w:rPr>
            </w:pPr>
          </w:p>
        </w:tc>
        <w:tc>
          <w:tcPr>
            <w:tcW w:w="1399" w:type="dxa"/>
            <w:noWrap w:val="0"/>
            <w:vAlign w:val="center"/>
          </w:tcPr>
          <w:p w14:paraId="334CCE3F">
            <w:pPr>
              <w:jc w:val="center"/>
              <w:rPr>
                <w:rFonts w:hint="eastAsia" w:ascii="宋体" w:hAnsi="宋体" w:eastAsia="宋体" w:cs="宋体"/>
                <w:color w:val="auto"/>
                <w:sz w:val="24"/>
                <w:highlight w:val="none"/>
              </w:rPr>
            </w:pPr>
          </w:p>
        </w:tc>
        <w:tc>
          <w:tcPr>
            <w:tcW w:w="1399" w:type="dxa"/>
            <w:noWrap w:val="0"/>
            <w:vAlign w:val="center"/>
          </w:tcPr>
          <w:p w14:paraId="28281BC1">
            <w:pPr>
              <w:jc w:val="center"/>
              <w:rPr>
                <w:rFonts w:hint="eastAsia" w:ascii="宋体" w:hAnsi="宋体" w:eastAsia="宋体" w:cs="宋体"/>
                <w:color w:val="auto"/>
                <w:sz w:val="24"/>
                <w:highlight w:val="none"/>
              </w:rPr>
            </w:pPr>
          </w:p>
        </w:tc>
      </w:tr>
      <w:tr w14:paraId="59E5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761C925">
            <w:pPr>
              <w:jc w:val="center"/>
              <w:rPr>
                <w:rFonts w:hint="eastAsia" w:ascii="宋体" w:hAnsi="宋体" w:eastAsia="宋体" w:cs="宋体"/>
                <w:color w:val="auto"/>
                <w:sz w:val="24"/>
                <w:highlight w:val="none"/>
              </w:rPr>
            </w:pPr>
          </w:p>
        </w:tc>
        <w:tc>
          <w:tcPr>
            <w:tcW w:w="879" w:type="dxa"/>
            <w:noWrap w:val="0"/>
            <w:vAlign w:val="center"/>
          </w:tcPr>
          <w:p w14:paraId="2364D40F">
            <w:pPr>
              <w:jc w:val="center"/>
              <w:rPr>
                <w:rFonts w:hint="eastAsia" w:ascii="宋体" w:hAnsi="宋体" w:eastAsia="宋体" w:cs="宋体"/>
                <w:color w:val="auto"/>
                <w:sz w:val="24"/>
                <w:highlight w:val="none"/>
              </w:rPr>
            </w:pPr>
          </w:p>
        </w:tc>
        <w:tc>
          <w:tcPr>
            <w:tcW w:w="911" w:type="dxa"/>
            <w:noWrap w:val="0"/>
            <w:vAlign w:val="center"/>
          </w:tcPr>
          <w:p w14:paraId="2BEA1A47">
            <w:pPr>
              <w:jc w:val="center"/>
              <w:rPr>
                <w:rFonts w:hint="eastAsia" w:ascii="宋体" w:hAnsi="宋体" w:eastAsia="宋体" w:cs="宋体"/>
                <w:color w:val="auto"/>
                <w:sz w:val="24"/>
                <w:highlight w:val="none"/>
              </w:rPr>
            </w:pPr>
          </w:p>
        </w:tc>
        <w:tc>
          <w:tcPr>
            <w:tcW w:w="1446" w:type="dxa"/>
            <w:noWrap w:val="0"/>
            <w:vAlign w:val="center"/>
          </w:tcPr>
          <w:p w14:paraId="1B9813E9">
            <w:pPr>
              <w:jc w:val="center"/>
              <w:rPr>
                <w:rFonts w:hint="eastAsia" w:ascii="宋体" w:hAnsi="宋体" w:eastAsia="宋体" w:cs="宋体"/>
                <w:color w:val="auto"/>
                <w:sz w:val="24"/>
                <w:highlight w:val="none"/>
              </w:rPr>
            </w:pPr>
          </w:p>
        </w:tc>
        <w:tc>
          <w:tcPr>
            <w:tcW w:w="1281" w:type="dxa"/>
            <w:noWrap w:val="0"/>
            <w:vAlign w:val="center"/>
          </w:tcPr>
          <w:p w14:paraId="37609C72">
            <w:pPr>
              <w:jc w:val="center"/>
              <w:rPr>
                <w:rFonts w:hint="eastAsia" w:ascii="宋体" w:hAnsi="宋体" w:eastAsia="宋体" w:cs="宋体"/>
                <w:color w:val="auto"/>
                <w:sz w:val="24"/>
                <w:highlight w:val="none"/>
              </w:rPr>
            </w:pPr>
          </w:p>
        </w:tc>
        <w:tc>
          <w:tcPr>
            <w:tcW w:w="1636" w:type="dxa"/>
            <w:noWrap w:val="0"/>
            <w:vAlign w:val="center"/>
          </w:tcPr>
          <w:p w14:paraId="040A366C">
            <w:pPr>
              <w:jc w:val="center"/>
              <w:rPr>
                <w:rFonts w:hint="eastAsia" w:ascii="宋体" w:hAnsi="宋体" w:eastAsia="宋体" w:cs="宋体"/>
                <w:color w:val="auto"/>
                <w:sz w:val="24"/>
                <w:highlight w:val="none"/>
              </w:rPr>
            </w:pPr>
          </w:p>
        </w:tc>
        <w:tc>
          <w:tcPr>
            <w:tcW w:w="1399" w:type="dxa"/>
            <w:noWrap w:val="0"/>
            <w:vAlign w:val="center"/>
          </w:tcPr>
          <w:p w14:paraId="1D21EB7A">
            <w:pPr>
              <w:jc w:val="center"/>
              <w:rPr>
                <w:rFonts w:hint="eastAsia" w:ascii="宋体" w:hAnsi="宋体" w:eastAsia="宋体" w:cs="宋体"/>
                <w:color w:val="auto"/>
                <w:sz w:val="24"/>
                <w:highlight w:val="none"/>
              </w:rPr>
            </w:pPr>
          </w:p>
        </w:tc>
        <w:tc>
          <w:tcPr>
            <w:tcW w:w="1399" w:type="dxa"/>
            <w:noWrap w:val="0"/>
            <w:vAlign w:val="center"/>
          </w:tcPr>
          <w:p w14:paraId="3A3F1B78">
            <w:pPr>
              <w:jc w:val="center"/>
              <w:rPr>
                <w:rFonts w:hint="eastAsia" w:ascii="宋体" w:hAnsi="宋体" w:eastAsia="宋体" w:cs="宋体"/>
                <w:color w:val="auto"/>
                <w:sz w:val="24"/>
                <w:highlight w:val="none"/>
              </w:rPr>
            </w:pPr>
          </w:p>
        </w:tc>
      </w:tr>
      <w:tr w14:paraId="26EA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55B4E507">
            <w:pPr>
              <w:jc w:val="center"/>
              <w:rPr>
                <w:rFonts w:hint="eastAsia" w:ascii="宋体" w:hAnsi="宋体" w:eastAsia="宋体" w:cs="宋体"/>
                <w:color w:val="auto"/>
                <w:sz w:val="24"/>
                <w:highlight w:val="none"/>
              </w:rPr>
            </w:pPr>
          </w:p>
        </w:tc>
        <w:tc>
          <w:tcPr>
            <w:tcW w:w="879" w:type="dxa"/>
            <w:noWrap w:val="0"/>
            <w:vAlign w:val="center"/>
          </w:tcPr>
          <w:p w14:paraId="354C7D7F">
            <w:pPr>
              <w:jc w:val="center"/>
              <w:rPr>
                <w:rFonts w:hint="eastAsia" w:ascii="宋体" w:hAnsi="宋体" w:eastAsia="宋体" w:cs="宋体"/>
                <w:color w:val="auto"/>
                <w:sz w:val="24"/>
                <w:highlight w:val="none"/>
              </w:rPr>
            </w:pPr>
          </w:p>
        </w:tc>
        <w:tc>
          <w:tcPr>
            <w:tcW w:w="911" w:type="dxa"/>
            <w:noWrap w:val="0"/>
            <w:vAlign w:val="center"/>
          </w:tcPr>
          <w:p w14:paraId="52125FEC">
            <w:pPr>
              <w:jc w:val="center"/>
              <w:rPr>
                <w:rFonts w:hint="eastAsia" w:ascii="宋体" w:hAnsi="宋体" w:eastAsia="宋体" w:cs="宋体"/>
                <w:color w:val="auto"/>
                <w:sz w:val="24"/>
                <w:highlight w:val="none"/>
              </w:rPr>
            </w:pPr>
          </w:p>
        </w:tc>
        <w:tc>
          <w:tcPr>
            <w:tcW w:w="1446" w:type="dxa"/>
            <w:noWrap w:val="0"/>
            <w:vAlign w:val="center"/>
          </w:tcPr>
          <w:p w14:paraId="13D30D5E">
            <w:pPr>
              <w:jc w:val="center"/>
              <w:rPr>
                <w:rFonts w:hint="eastAsia" w:ascii="宋体" w:hAnsi="宋体" w:eastAsia="宋体" w:cs="宋体"/>
                <w:color w:val="auto"/>
                <w:sz w:val="24"/>
                <w:highlight w:val="none"/>
              </w:rPr>
            </w:pPr>
          </w:p>
        </w:tc>
        <w:tc>
          <w:tcPr>
            <w:tcW w:w="1281" w:type="dxa"/>
            <w:noWrap w:val="0"/>
            <w:vAlign w:val="center"/>
          </w:tcPr>
          <w:p w14:paraId="7D9F0E38">
            <w:pPr>
              <w:jc w:val="center"/>
              <w:rPr>
                <w:rFonts w:hint="eastAsia" w:ascii="宋体" w:hAnsi="宋体" w:eastAsia="宋体" w:cs="宋体"/>
                <w:color w:val="auto"/>
                <w:sz w:val="24"/>
                <w:highlight w:val="none"/>
              </w:rPr>
            </w:pPr>
          </w:p>
        </w:tc>
        <w:tc>
          <w:tcPr>
            <w:tcW w:w="1636" w:type="dxa"/>
            <w:noWrap w:val="0"/>
            <w:vAlign w:val="center"/>
          </w:tcPr>
          <w:p w14:paraId="33E41B82">
            <w:pPr>
              <w:jc w:val="center"/>
              <w:rPr>
                <w:rFonts w:hint="eastAsia" w:ascii="宋体" w:hAnsi="宋体" w:eastAsia="宋体" w:cs="宋体"/>
                <w:color w:val="auto"/>
                <w:sz w:val="24"/>
                <w:highlight w:val="none"/>
              </w:rPr>
            </w:pPr>
          </w:p>
        </w:tc>
        <w:tc>
          <w:tcPr>
            <w:tcW w:w="1399" w:type="dxa"/>
            <w:noWrap w:val="0"/>
            <w:vAlign w:val="center"/>
          </w:tcPr>
          <w:p w14:paraId="5C0249E5">
            <w:pPr>
              <w:jc w:val="center"/>
              <w:rPr>
                <w:rFonts w:hint="eastAsia" w:ascii="宋体" w:hAnsi="宋体" w:eastAsia="宋体" w:cs="宋体"/>
                <w:color w:val="auto"/>
                <w:sz w:val="24"/>
                <w:highlight w:val="none"/>
              </w:rPr>
            </w:pPr>
          </w:p>
        </w:tc>
        <w:tc>
          <w:tcPr>
            <w:tcW w:w="1399" w:type="dxa"/>
            <w:noWrap w:val="0"/>
            <w:vAlign w:val="center"/>
          </w:tcPr>
          <w:p w14:paraId="44DB4608">
            <w:pPr>
              <w:jc w:val="center"/>
              <w:rPr>
                <w:rFonts w:hint="eastAsia" w:ascii="宋体" w:hAnsi="宋体" w:eastAsia="宋体" w:cs="宋体"/>
                <w:color w:val="auto"/>
                <w:sz w:val="24"/>
                <w:highlight w:val="none"/>
              </w:rPr>
            </w:pPr>
          </w:p>
        </w:tc>
      </w:tr>
    </w:tbl>
    <w:p w14:paraId="6C14DD3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lang w:val="en-US" w:eastAsia="zh-CN"/>
        </w:rPr>
        <w:sectPr>
          <w:pgSz w:w="11910" w:h="16840"/>
          <w:pgMar w:top="1417" w:right="1134" w:bottom="1417" w:left="1134" w:header="850" w:footer="850" w:gutter="0"/>
          <w:pgNumType w:fmt="decimal"/>
          <w:cols w:space="720" w:num="1"/>
        </w:sectPr>
      </w:pPr>
    </w:p>
    <w:p w14:paraId="77528D7D">
      <w:pPr>
        <w:pStyle w:val="20"/>
        <w:numPr>
          <w:ilvl w:val="0"/>
          <w:numId w:val="0"/>
        </w:numPr>
        <w:spacing w:before="120" w:after="120" w:line="360" w:lineRule="auto"/>
        <w:ind w:left="0" w:leftChars="0" w:firstLine="0" w:firstLineChars="0"/>
        <w:jc w:val="center"/>
        <w:outlineLvl w:val="1"/>
        <w:rPr>
          <w:rFonts w:hint="default"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（七）磋商二次报价函格式</w:t>
      </w:r>
    </w:p>
    <w:p w14:paraId="69AAF5D9">
      <w:pPr>
        <w:pStyle w:val="20"/>
        <w:keepNext/>
        <w:keepLines w:val="0"/>
        <w:pageBreakBefore w:val="0"/>
        <w:widowControl w:val="0"/>
        <w:kinsoku/>
        <w:wordWrap/>
        <w:overflowPunct w:val="0"/>
        <w:topLinePunct w:val="0"/>
        <w:autoSpaceDE/>
        <w:autoSpaceDN/>
        <w:bidi w:val="0"/>
        <w:adjustRightInd w:val="0"/>
        <w:snapToGrid/>
        <w:spacing w:before="120" w:after="120" w:line="360" w:lineRule="auto"/>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说明：本部分格式由供应商在磋商环节提交最后报价时作为附件提交政采云平台，不需要编制在响应文件中。</w:t>
      </w:r>
    </w:p>
    <w:p w14:paraId="4A9BF361">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1.最后报价一览表</w:t>
      </w:r>
    </w:p>
    <w:p w14:paraId="05626781">
      <w:pPr>
        <w:keepLines w:val="0"/>
        <w:pageBreakBefore w:val="0"/>
        <w:widowControl w:val="0"/>
        <w:kinsoku/>
        <w:wordWrap/>
        <w:topLinePunct w:val="0"/>
        <w:bidi w:val="0"/>
        <w:spacing w:line="360" w:lineRule="auto"/>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Cs/>
          <w:color w:val="auto"/>
          <w:sz w:val="24"/>
          <w:highlight w:val="none"/>
          <w:u w:val="single"/>
        </w:rPr>
        <w:t xml:space="preserve">                         </w:t>
      </w:r>
    </w:p>
    <w:p w14:paraId="5306521D">
      <w:pPr>
        <w:keepLines w:val="0"/>
        <w:pageBreakBefore w:val="0"/>
        <w:widowControl w:val="0"/>
        <w:kinsoku/>
        <w:wordWrap/>
        <w:topLinePunct w:val="0"/>
        <w:bidi w:val="0"/>
        <w:spacing w:line="360" w:lineRule="auto"/>
        <w:textAlignment w:val="auto"/>
        <w:outlineLvl w:val="9"/>
        <w:rPr>
          <w:rFonts w:hint="eastAsia" w:ascii="宋体" w:hAnsi="宋体" w:eastAsia="宋体" w:cs="宋体"/>
          <w:b/>
          <w:color w:val="auto"/>
          <w:sz w:val="24"/>
          <w:highlight w:val="none"/>
        </w:rPr>
      </w:pPr>
      <w:r>
        <w:rPr>
          <w:rFonts w:hint="eastAsia" w:cs="宋体"/>
          <w:b/>
          <w:color w:val="auto"/>
          <w:sz w:val="24"/>
          <w:highlight w:val="none"/>
          <w:lang w:eastAsia="zh-CN"/>
        </w:rPr>
        <w:t>项目编号</w:t>
      </w:r>
      <w:r>
        <w:rPr>
          <w:rFonts w:hint="eastAsia" w:ascii="宋体" w:hAnsi="宋体" w:eastAsia="宋体" w:cs="宋体"/>
          <w:b/>
          <w:color w:val="auto"/>
          <w:sz w:val="24"/>
          <w:highlight w:val="none"/>
        </w:rPr>
        <w:t>：</w:t>
      </w:r>
      <w:r>
        <w:rPr>
          <w:rFonts w:hint="eastAsia" w:ascii="宋体" w:hAnsi="宋体" w:eastAsia="宋体" w:cs="宋体"/>
          <w:bCs/>
          <w:color w:val="auto"/>
          <w:sz w:val="24"/>
          <w:highlight w:val="none"/>
          <w:u w:val="single"/>
        </w:rPr>
        <w:t xml:space="preserve">                         </w:t>
      </w:r>
    </w:p>
    <w:tbl>
      <w:tblPr>
        <w:tblStyle w:val="2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437"/>
        <w:gridCol w:w="6172"/>
      </w:tblGrid>
      <w:tr w14:paraId="46B5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41F4AD92">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序号</w:t>
            </w:r>
          </w:p>
        </w:tc>
        <w:tc>
          <w:tcPr>
            <w:tcW w:w="2437" w:type="dxa"/>
            <w:noWrap w:val="0"/>
            <w:vAlign w:val="center"/>
          </w:tcPr>
          <w:p w14:paraId="59DC27D6">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项目</w:t>
            </w:r>
          </w:p>
        </w:tc>
        <w:tc>
          <w:tcPr>
            <w:tcW w:w="6172" w:type="dxa"/>
            <w:noWrap w:val="0"/>
            <w:vAlign w:val="center"/>
          </w:tcPr>
          <w:p w14:paraId="3068DBF7">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响应内容</w:t>
            </w:r>
          </w:p>
        </w:tc>
      </w:tr>
      <w:tr w14:paraId="5C62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7A80DA58">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2437" w:type="dxa"/>
            <w:noWrap w:val="0"/>
            <w:vAlign w:val="center"/>
          </w:tcPr>
          <w:p w14:paraId="30D0AA0D">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响应总价</w:t>
            </w:r>
          </w:p>
        </w:tc>
        <w:tc>
          <w:tcPr>
            <w:tcW w:w="6172" w:type="dxa"/>
            <w:noWrap w:val="0"/>
            <w:vAlign w:val="center"/>
          </w:tcPr>
          <w:p w14:paraId="250DE5E7">
            <w:pPr>
              <w:keepNext w:val="0"/>
              <w:keepLines w:val="0"/>
              <w:pageBreakBefore w:val="0"/>
              <w:widowControl/>
              <w:kinsoku/>
              <w:wordWrap/>
              <w:overflowPunct/>
              <w:topLinePunct/>
              <w:autoSpaceDE/>
              <w:autoSpaceDN/>
              <w:bidi w:val="0"/>
              <w:adjustRightInd/>
              <w:snapToGrid/>
              <w:spacing w:line="44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人民币（大写）        元整（¥          元）</w:t>
            </w:r>
          </w:p>
        </w:tc>
      </w:tr>
      <w:tr w14:paraId="0460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9" w:type="dxa"/>
            <w:noWrap w:val="0"/>
            <w:vAlign w:val="center"/>
          </w:tcPr>
          <w:p w14:paraId="014E3440">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2437" w:type="dxa"/>
            <w:noWrap w:val="0"/>
            <w:vAlign w:val="center"/>
          </w:tcPr>
          <w:p w14:paraId="0918FB79">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磋商后新增的承诺内容（如果有）</w:t>
            </w:r>
          </w:p>
        </w:tc>
        <w:tc>
          <w:tcPr>
            <w:tcW w:w="6172" w:type="dxa"/>
            <w:noWrap w:val="0"/>
            <w:vAlign w:val="center"/>
          </w:tcPr>
          <w:p w14:paraId="5C209A2F">
            <w:pPr>
              <w:keepNext w:val="0"/>
              <w:keepLines w:val="0"/>
              <w:pageBreakBefore w:val="0"/>
              <w:widowControl/>
              <w:kinsoku/>
              <w:wordWrap/>
              <w:overflowPunct/>
              <w:topLinePunct/>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val="en-US" w:eastAsia="zh-CN"/>
              </w:rPr>
            </w:pPr>
          </w:p>
        </w:tc>
      </w:tr>
    </w:tbl>
    <w:p w14:paraId="48751A04">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outlineLvl w:val="9"/>
        <w:rPr>
          <w:rFonts w:hint="default" w:ascii="宋体" w:hAnsi="宋体" w:eastAsia="宋体" w:cs="宋体"/>
          <w:b/>
          <w:bCs w:val="0"/>
          <w:color w:val="auto"/>
          <w:sz w:val="24"/>
          <w:highlight w:val="none"/>
          <w:lang w:val="en-US" w:eastAsia="zh-CN"/>
        </w:rPr>
      </w:pPr>
      <w:r>
        <w:rPr>
          <w:rFonts w:hint="eastAsia" w:cs="宋体"/>
          <w:b/>
          <w:bCs w:val="0"/>
          <w:color w:val="auto"/>
          <w:sz w:val="24"/>
          <w:highlight w:val="none"/>
          <w:lang w:val="en-US" w:eastAsia="zh-CN"/>
        </w:rPr>
        <w:t>备注：“最后报价一览表”中的响应总价应与“已标价工程量清单（最后）”中的总价保持一致。</w:t>
      </w:r>
    </w:p>
    <w:p w14:paraId="30A7ED2B">
      <w:pPr>
        <w:keepLines w:val="0"/>
        <w:pageBreakBefore w:val="0"/>
        <w:widowControl w:val="0"/>
        <w:kinsoku/>
        <w:wordWrap/>
        <w:topLinePunct w:val="0"/>
        <w:bidi w:val="0"/>
        <w:adjustRightInd w:val="0"/>
        <w:snapToGrid w:val="0"/>
        <w:spacing w:line="360" w:lineRule="auto"/>
        <w:ind w:right="1920"/>
        <w:textAlignment w:val="auto"/>
        <w:outlineLvl w:val="9"/>
        <w:rPr>
          <w:rFonts w:hint="eastAsia" w:ascii="宋体" w:hAnsi="宋体" w:eastAsia="宋体" w:cs="宋体"/>
          <w:bCs/>
          <w:color w:val="auto"/>
          <w:sz w:val="24"/>
          <w:highlight w:val="none"/>
        </w:rPr>
      </w:pPr>
    </w:p>
    <w:p w14:paraId="34CFC8DB">
      <w:pPr>
        <w:keepLines w:val="0"/>
        <w:pageBreakBefore w:val="0"/>
        <w:widowControl w:val="0"/>
        <w:kinsoku/>
        <w:wordWrap/>
        <w:topLinePunct w:val="0"/>
        <w:bidi w:val="0"/>
        <w:adjustRightInd w:val="0"/>
        <w:snapToGrid w:val="0"/>
        <w:spacing w:line="360" w:lineRule="auto"/>
        <w:ind w:right="192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（电子签章）</w:t>
      </w:r>
    </w:p>
    <w:p w14:paraId="5A35CBA2">
      <w:pPr>
        <w:keepLines w:val="0"/>
        <w:pageBreakBefore w:val="0"/>
        <w:widowControl w:val="0"/>
        <w:kinsoku/>
        <w:wordWrap/>
        <w:topLinePunct w:val="0"/>
        <w:bidi w:val="0"/>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法定代表人（或非法人组织负责人）或委托代理人：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C4F4DCB">
      <w:pPr>
        <w:keepLines w:val="0"/>
        <w:pageBreakBefore w:val="0"/>
        <w:widowControl w:val="0"/>
        <w:kinsoku/>
        <w:wordWrap/>
        <w:topLinePunct w:val="0"/>
        <w:bidi w:val="0"/>
        <w:adjustRightInd w:val="0"/>
        <w:snapToGrid w:val="0"/>
        <w:spacing w:line="360" w:lineRule="auto"/>
        <w:ind w:right="-1"/>
        <w:textAlignment w:val="auto"/>
        <w:outlineLvl w:val="9"/>
        <w:rPr>
          <w:rFonts w:hint="eastAsia" w:ascii="宋体" w:hAnsi="宋体" w:eastAsia="宋体" w:cs="宋体"/>
          <w:color w:val="auto"/>
          <w:sz w:val="24"/>
          <w:highlight w:val="none"/>
        </w:rPr>
        <w:sectPr>
          <w:pgSz w:w="11907" w:h="16840"/>
          <w:pgMar w:top="1417" w:right="1134" w:bottom="1417" w:left="1134" w:header="850" w:footer="850" w:gutter="0"/>
          <w:pgNumType w:fmt="decimal"/>
          <w:cols w:space="720" w:num="1"/>
          <w:docGrid w:linePitch="312" w:charSpace="0"/>
        </w:sectPr>
      </w:pPr>
      <w:r>
        <w:rPr>
          <w:rFonts w:hint="eastAsia" w:ascii="宋体" w:hAnsi="宋体" w:eastAsia="宋体" w:cs="宋体"/>
          <w:bCs/>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日</w:t>
      </w:r>
    </w:p>
    <w:p w14:paraId="4B301FDD">
      <w:pPr>
        <w:pStyle w:val="20"/>
        <w:keepNext/>
        <w:keepLines w:val="0"/>
        <w:pageBreakBefore w:val="0"/>
        <w:widowControl w:val="0"/>
        <w:kinsoku/>
        <w:wordWrap/>
        <w:overflowPunct w:val="0"/>
        <w:topLinePunct w:val="0"/>
        <w:autoSpaceDE/>
        <w:autoSpaceDN/>
        <w:bidi w:val="0"/>
        <w:adjustRightInd w:val="0"/>
        <w:snapToGrid/>
        <w:spacing w:before="120" w:after="120" w:line="360" w:lineRule="auto"/>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2.已标价工程量清单（最后）</w:t>
      </w:r>
    </w:p>
    <w:p w14:paraId="537395D5">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outlineLvl w:val="9"/>
        <w:rPr>
          <w:rFonts w:hint="eastAsia" w:cs="宋体"/>
          <w:b w:val="0"/>
          <w:bCs w:val="0"/>
          <w:color w:val="auto"/>
          <w:sz w:val="24"/>
          <w:highlight w:val="none"/>
          <w:lang w:val="en-US" w:eastAsia="zh-CN"/>
        </w:rPr>
        <w:sectPr>
          <w:pgSz w:w="11910" w:h="16840"/>
          <w:pgMar w:top="1417" w:right="1134" w:bottom="1417" w:left="1134" w:header="850" w:footer="850" w:gutter="0"/>
          <w:pgNumType w:fmt="decimal"/>
          <w:cols w:space="720" w:num="1"/>
        </w:sectPr>
      </w:pPr>
      <w:r>
        <w:rPr>
          <w:rFonts w:hint="eastAsia" w:ascii="宋体" w:hAnsi="宋体" w:eastAsia="宋体" w:cs="宋体"/>
          <w:b w:val="0"/>
          <w:bCs w:val="0"/>
          <w:color w:val="auto"/>
          <w:sz w:val="24"/>
          <w:szCs w:val="24"/>
          <w:highlight w:val="none"/>
          <w:lang w:val="en-US" w:eastAsia="zh-CN"/>
        </w:rPr>
        <w:t>供应商在</w:t>
      </w:r>
      <w:r>
        <w:rPr>
          <w:rFonts w:hint="eastAsia" w:cs="宋体"/>
          <w:b w:val="0"/>
          <w:bCs w:val="0"/>
          <w:color w:val="auto"/>
          <w:sz w:val="24"/>
          <w:szCs w:val="24"/>
          <w:highlight w:val="none"/>
          <w:lang w:val="en-US" w:eastAsia="zh-CN"/>
        </w:rPr>
        <w:t>二次</w:t>
      </w:r>
      <w:r>
        <w:rPr>
          <w:rFonts w:hint="eastAsia" w:ascii="宋体" w:hAnsi="宋体" w:eastAsia="宋体" w:cs="宋体"/>
          <w:b w:val="0"/>
          <w:bCs w:val="0"/>
          <w:color w:val="auto"/>
          <w:sz w:val="24"/>
          <w:szCs w:val="24"/>
          <w:highlight w:val="none"/>
          <w:lang w:val="en-US" w:eastAsia="zh-CN"/>
        </w:rPr>
        <w:t>报价时应同步上传已标价工程量清单（最后），</w:t>
      </w:r>
      <w:r>
        <w:rPr>
          <w:rFonts w:hint="eastAsia" w:cs="宋体"/>
          <w:b w:val="0"/>
          <w:bCs w:val="0"/>
          <w:color w:val="auto"/>
          <w:sz w:val="24"/>
          <w:highlight w:val="none"/>
          <w:lang w:val="en-US" w:eastAsia="zh-CN"/>
        </w:rPr>
        <w:t>“最后报价一览表”中的响应总价应与“已标价工程量清单（最后）”中的总价保持一致。</w:t>
      </w:r>
    </w:p>
    <w:p w14:paraId="0E720648">
      <w:pPr>
        <w:pStyle w:val="20"/>
        <w:numPr>
          <w:ilvl w:val="0"/>
          <w:numId w:val="0"/>
        </w:numPr>
        <w:spacing w:before="120" w:after="120" w:line="360" w:lineRule="auto"/>
        <w:ind w:left="0" w:leftChars="0" w:firstLine="0" w:firstLineChars="0"/>
        <w:jc w:val="center"/>
        <w:outlineLvl w:val="1"/>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（八）其他资料</w:t>
      </w:r>
      <w:bookmarkEnd w:id="106"/>
      <w:bookmarkEnd w:id="107"/>
      <w:bookmarkEnd w:id="108"/>
      <w:bookmarkStart w:id="109" w:name="_Toc28197"/>
      <w:bookmarkStart w:id="110" w:name="_Toc15748"/>
      <w:bookmarkStart w:id="111" w:name="_Toc10050"/>
    </w:p>
    <w:p w14:paraId="53615BD8">
      <w:pPr>
        <w:pStyle w:val="20"/>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360" w:lineRule="auto"/>
        <w:ind w:left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1.磋商保证金凭证/交款单据电子件。</w:t>
      </w:r>
    </w:p>
    <w:p w14:paraId="529B1679">
      <w:pPr>
        <w:pStyle w:val="20"/>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360" w:lineRule="auto"/>
        <w:ind w:leftChars="0"/>
        <w:jc w:val="both"/>
        <w:textAlignment w:val="auto"/>
        <w:outlineLvl w:val="9"/>
        <w:rPr>
          <w:rFonts w:hint="eastAsia" w:ascii="宋体" w:hAnsi="宋体" w:eastAsia="宋体" w:cs="宋体"/>
          <w:sz w:val="24"/>
          <w:szCs w:val="32"/>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补遗、答疑文件（如有）或者供应商认为有必要提供的其他证明材料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32"/>
          <w:highlight w:val="none"/>
        </w:rPr>
        <w:t>格式自拟</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32"/>
          <w:highlight w:val="none"/>
        </w:rPr>
        <w:t>。</w:t>
      </w:r>
      <w:bookmarkEnd w:id="109"/>
      <w:bookmarkEnd w:id="110"/>
      <w:bookmarkEnd w:id="111"/>
    </w:p>
    <w:p w14:paraId="496A57C9">
      <w:pPr>
        <w:rPr>
          <w:rFonts w:hint="eastAsia"/>
          <w:highlight w:val="none"/>
        </w:rPr>
        <w:sectPr>
          <w:pgSz w:w="11910" w:h="16840"/>
          <w:pgMar w:top="1417" w:right="1134" w:bottom="1417" w:left="1134" w:header="850" w:footer="850" w:gutter="0"/>
          <w:pgNumType w:fmt="decimal"/>
          <w:cols w:space="720" w:num="1"/>
        </w:sectPr>
      </w:pPr>
    </w:p>
    <w:p w14:paraId="5A9D24E1">
      <w:pPr>
        <w:tabs>
          <w:tab w:val="left" w:pos="1622"/>
        </w:tabs>
        <w:spacing w:before="73" w:after="240" w:afterLines="100"/>
        <w:ind w:right="28"/>
        <w:jc w:val="center"/>
        <w:outlineLvl w:val="0"/>
        <w:rPr>
          <w:rFonts w:hint="eastAsia" w:ascii="Times New Roman" w:hAnsi="Times New Roman" w:eastAsia="宋体" w:cs="Times New Roman"/>
          <w:b/>
          <w:bCs/>
          <w:sz w:val="36"/>
          <w:highlight w:val="none"/>
          <w:lang w:val="en-US" w:eastAsia="zh-CN"/>
        </w:rPr>
      </w:pPr>
      <w:bookmarkStart w:id="112" w:name="_Toc19712"/>
      <w:r>
        <w:rPr>
          <w:rFonts w:hint="eastAsia" w:ascii="Times New Roman" w:hAnsi="Times New Roman" w:eastAsia="宋体" w:cs="Times New Roman"/>
          <w:b/>
          <w:bCs/>
          <w:sz w:val="36"/>
          <w:highlight w:val="none"/>
          <w:lang w:val="en-US" w:eastAsia="zh-CN"/>
        </w:rPr>
        <w:t>第七章  附件</w:t>
      </w:r>
      <w:bookmarkEnd w:id="112"/>
    </w:p>
    <w:p w14:paraId="7AF8059E">
      <w:pPr>
        <w:pStyle w:val="51"/>
        <w:keepNext w:val="0"/>
        <w:keepLines w:val="0"/>
        <w:pageBreakBefore w:val="0"/>
        <w:widowControl/>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询问函、质疑函、投诉书格式</w:t>
      </w:r>
    </w:p>
    <w:p w14:paraId="3B58A919">
      <w:pPr>
        <w:pStyle w:val="51"/>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说明：本部分格式为</w:t>
      </w:r>
      <w:r>
        <w:rPr>
          <w:rFonts w:hint="eastAsia" w:ascii="宋体" w:hAnsi="宋体" w:eastAsia="宋体" w:cs="宋体"/>
          <w:b/>
          <w:bCs/>
          <w:color w:val="auto"/>
          <w:sz w:val="24"/>
          <w:szCs w:val="24"/>
          <w:highlight w:val="none"/>
          <w:u w:val="none"/>
          <w:lang w:eastAsia="zh-CN"/>
        </w:rPr>
        <w:t>供应商</w:t>
      </w:r>
      <w:r>
        <w:rPr>
          <w:rFonts w:hint="eastAsia" w:ascii="宋体" w:hAnsi="宋体" w:eastAsia="宋体" w:cs="宋体"/>
          <w:b/>
          <w:bCs/>
          <w:color w:val="auto"/>
          <w:sz w:val="24"/>
          <w:szCs w:val="24"/>
          <w:highlight w:val="none"/>
          <w:u w:val="none"/>
        </w:rPr>
        <w:t>提交询问函、质疑函、投诉函时使用</w:t>
      </w:r>
      <w:r>
        <w:rPr>
          <w:rFonts w:hint="eastAsia" w:ascii="宋体" w:hAnsi="宋体" w:eastAsia="宋体" w:cs="宋体"/>
          <w:b/>
          <w:bCs/>
          <w:color w:val="auto"/>
          <w:sz w:val="24"/>
          <w:szCs w:val="24"/>
          <w:highlight w:val="none"/>
          <w:u w:val="none"/>
          <w:lang w:eastAsia="zh-CN"/>
        </w:rPr>
        <w:t>（由</w:t>
      </w:r>
      <w:r>
        <w:rPr>
          <w:rFonts w:hint="eastAsia" w:ascii="宋体" w:hAnsi="宋体" w:eastAsia="宋体" w:cs="宋体"/>
          <w:b/>
          <w:bCs/>
          <w:color w:val="auto"/>
          <w:sz w:val="24"/>
          <w:szCs w:val="24"/>
          <w:highlight w:val="none"/>
          <w:u w:val="none"/>
          <w:lang w:val="en-US" w:eastAsia="zh-CN"/>
        </w:rPr>
        <w:t>供应商</w:t>
      </w:r>
      <w:r>
        <w:rPr>
          <w:rFonts w:hint="eastAsia" w:ascii="宋体" w:hAnsi="宋体" w:eastAsia="宋体" w:cs="宋体"/>
          <w:b/>
          <w:bCs/>
          <w:color w:val="auto"/>
          <w:sz w:val="24"/>
          <w:szCs w:val="24"/>
          <w:highlight w:val="none"/>
          <w:u w:val="none"/>
          <w:lang w:eastAsia="zh-CN"/>
        </w:rPr>
        <w:t>根据需要选用）</w:t>
      </w:r>
      <w:r>
        <w:rPr>
          <w:rFonts w:hint="eastAsia" w:ascii="宋体" w:hAnsi="宋体" w:eastAsia="宋体" w:cs="宋体"/>
          <w:b/>
          <w:bCs/>
          <w:color w:val="auto"/>
          <w:sz w:val="24"/>
          <w:szCs w:val="24"/>
          <w:highlight w:val="none"/>
          <w:u w:val="none"/>
        </w:rPr>
        <w:t>，不属于</w:t>
      </w:r>
      <w:r>
        <w:rPr>
          <w:rFonts w:hint="eastAsia" w:ascii="宋体" w:hAnsi="宋体" w:eastAsia="宋体" w:cs="宋体"/>
          <w:b/>
          <w:bCs/>
          <w:color w:val="auto"/>
          <w:sz w:val="24"/>
          <w:szCs w:val="24"/>
          <w:highlight w:val="none"/>
          <w:u w:val="none"/>
          <w:lang w:val="en-US" w:eastAsia="zh-CN"/>
        </w:rPr>
        <w:t>响应</w:t>
      </w:r>
      <w:r>
        <w:rPr>
          <w:rFonts w:hint="eastAsia" w:ascii="宋体" w:hAnsi="宋体" w:eastAsia="宋体" w:cs="宋体"/>
          <w:b/>
          <w:bCs/>
          <w:color w:val="auto"/>
          <w:sz w:val="24"/>
          <w:szCs w:val="24"/>
          <w:highlight w:val="none"/>
          <w:u w:val="none"/>
        </w:rPr>
        <w:t>文件格式的组成部分。</w:t>
      </w:r>
    </w:p>
    <w:p w14:paraId="779017C3">
      <w:pPr>
        <w:pStyle w:val="51"/>
        <w:keepNext w:val="0"/>
        <w:keepLines w:val="0"/>
        <w:pageBreakBefore w:val="0"/>
        <w:widowControl/>
        <w:shd w:val="clear"/>
        <w:kinsoku/>
        <w:wordWrap/>
        <w:overflowPunct/>
        <w:topLinePunct w:val="0"/>
        <w:autoSpaceDE/>
        <w:autoSpaceDN/>
        <w:bidi w:val="0"/>
        <w:adjustRightInd/>
        <w:snapToGrid/>
        <w:spacing w:before="0" w:beforeLines="50" w:after="0" w:afterLines="50" w:line="360" w:lineRule="auto"/>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询问函</w:t>
      </w:r>
    </w:p>
    <w:p w14:paraId="243C6CE2">
      <w:pPr>
        <w:pStyle w:val="51"/>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云南辰胤工程项目管理有限公司</w:t>
      </w:r>
      <w:r>
        <w:rPr>
          <w:rFonts w:hint="eastAsia" w:ascii="宋体" w:hAnsi="宋体" w:eastAsia="宋体" w:cs="宋体"/>
          <w:color w:val="auto"/>
          <w:sz w:val="24"/>
          <w:szCs w:val="24"/>
          <w:highlight w:val="none"/>
          <w:lang w:eastAsia="zh-CN"/>
        </w:rPr>
        <w:t>：</w:t>
      </w:r>
    </w:p>
    <w:p w14:paraId="578D0FB1">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 ）的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活动，现有以下几个内容（或条款）存在疑问（或无法理解），特提出询问。</w:t>
      </w:r>
    </w:p>
    <w:p w14:paraId="716E47A7">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（事项一）</w:t>
      </w:r>
    </w:p>
    <w:p w14:paraId="05750B28">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（问题或条款内容）</w:t>
      </w:r>
    </w:p>
    <w:p w14:paraId="484A667D">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（说明疑问或无法理解原因）</w:t>
      </w:r>
    </w:p>
    <w:p w14:paraId="6C563779">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（建议）</w:t>
      </w:r>
    </w:p>
    <w:p w14:paraId="7428F9C0">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（事项二）</w:t>
      </w:r>
    </w:p>
    <w:p w14:paraId="28DE4118">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D669BF">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14:paraId="1CB392A6">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p>
    <w:p w14:paraId="66AA10A5">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p>
    <w:p w14:paraId="39B7AF86">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0461012">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3C606E4">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252FC6E">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8D4040">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sectPr>
          <w:pgSz w:w="11910" w:h="16840"/>
          <w:pgMar w:top="1417" w:right="1134" w:bottom="1417" w:left="1134" w:header="850" w:footer="850" w:gutter="0"/>
          <w:pgNumType w:fmt="decimal"/>
          <w:cols w:space="720" w:num="1"/>
        </w:sectPr>
      </w:pPr>
      <w:r>
        <w:rPr>
          <w:rFonts w:hint="eastAsia" w:ascii="宋体" w:hAnsi="宋体" w:eastAsia="宋体" w:cs="宋体"/>
          <w:color w:val="auto"/>
          <w:sz w:val="24"/>
          <w:szCs w:val="24"/>
          <w:highlight w:val="none"/>
        </w:rPr>
        <w:t>日期： 年 月 日</w:t>
      </w:r>
    </w:p>
    <w:p w14:paraId="78F33403">
      <w:pPr>
        <w:pStyle w:val="51"/>
        <w:keepNext w:val="0"/>
        <w:keepLines w:val="0"/>
        <w:pageBreakBefore w:val="0"/>
        <w:widowControl/>
        <w:shd w:val="clear"/>
        <w:kinsoku/>
        <w:wordWrap/>
        <w:overflowPunct/>
        <w:topLinePunct w:val="0"/>
        <w:autoSpaceDE/>
        <w:autoSpaceDN/>
        <w:bidi w:val="0"/>
        <w:adjustRightInd/>
        <w:snapToGrid/>
        <w:spacing w:before="0" w:beforeLines="50" w:after="0" w:afterLines="50" w:line="360" w:lineRule="auto"/>
        <w:ind w:firstLine="482"/>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质疑函</w:t>
      </w:r>
    </w:p>
    <w:p w14:paraId="764F4CC1">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基本信息</w:t>
      </w:r>
    </w:p>
    <w:p w14:paraId="4F530800">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4F9CC29">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695C8D">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AA57124">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9735149">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0C79AFF">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46264FB">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14:paraId="20224A3C">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88C9A9F">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 xml:space="preserve"> 包号：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33FD69D">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3CA08AC">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B13C59">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14:paraId="672260EF">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14:paraId="6B39738B">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14:paraId="7C6ED69E">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14:paraId="343D1E83">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质疑事项2：_____________________</w:t>
      </w:r>
    </w:p>
    <w:p w14:paraId="27061848">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28FECBE">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14ACC05">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112840A">
      <w:pPr>
        <w:pStyle w:val="51"/>
        <w:keepNext w:val="0"/>
        <w:keepLines w:val="0"/>
        <w:pageBreakBefore w:val="0"/>
        <w:widowControl/>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p>
    <w:p w14:paraId="7CC9F2DD">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73177BB">
      <w:pPr>
        <w:pStyle w:val="51"/>
        <w:keepNext w:val="0"/>
        <w:keepLines w:val="0"/>
        <w:pageBreakBefore w:val="0"/>
        <w:widowControl/>
        <w:shd w:val="clear"/>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5A24672A">
      <w:pPr>
        <w:pStyle w:val="51"/>
        <w:keepNext w:val="0"/>
        <w:keepLines w:val="0"/>
        <w:pageBreakBefore w:val="0"/>
        <w:widowControl/>
        <w:shd w:val="clear"/>
        <w:kinsoku/>
        <w:wordWrap/>
        <w:overflowPunct/>
        <w:topLinePunct w:val="0"/>
        <w:bidi w:val="0"/>
        <w:adjustRightInd/>
        <w:snapToGrid/>
        <w:spacing w:line="360" w:lineRule="auto"/>
        <w:textAlignment w:val="auto"/>
        <w:rPr>
          <w:rFonts w:hint="eastAsia" w:ascii="宋体" w:hAnsi="宋体" w:eastAsia="宋体" w:cs="宋体"/>
          <w:color w:val="auto"/>
          <w:sz w:val="28"/>
          <w:szCs w:val="28"/>
          <w:highlight w:val="none"/>
        </w:rPr>
      </w:pPr>
    </w:p>
    <w:p w14:paraId="1450DF88">
      <w:pPr>
        <w:pStyle w:val="51"/>
        <w:keepNext w:val="0"/>
        <w:keepLines w:val="0"/>
        <w:pageBreakBefore w:val="0"/>
        <w:widowControl/>
        <w:shd w:val="clear"/>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75D943AA">
      <w:pPr>
        <w:keepNext w:val="0"/>
        <w:keepLines w:val="0"/>
        <w:pageBreakBefore w:val="0"/>
        <w:widowControl/>
        <w:shd w:val="clea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提出质疑时，应提交质疑函和必要的证明材料。</w:t>
      </w:r>
    </w:p>
    <w:p w14:paraId="793CD2CD">
      <w:pPr>
        <w:keepNext w:val="0"/>
        <w:keepLines w:val="0"/>
        <w:pageBreakBefore w:val="0"/>
        <w:widowControl/>
        <w:shd w:val="clea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若委托代理人进行质疑的，质疑函应按要求列明“授权代表”的有关内容，并在附件中提交由质疑</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签署的授权委托书。授权委托书应载明代理人的姓名或者名称、代理事项、具体权限、期限和相关事项。</w:t>
      </w:r>
    </w:p>
    <w:p w14:paraId="1A5B5AC0">
      <w:pPr>
        <w:keepNext w:val="0"/>
        <w:keepLines w:val="0"/>
        <w:pageBreakBefore w:val="0"/>
        <w:widowControl/>
        <w:shd w:val="clea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3.质疑</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若对项目的某一分包进行质疑，质疑函中应列明具体分包号。</w:t>
      </w:r>
    </w:p>
    <w:p w14:paraId="5992D8BA">
      <w:pPr>
        <w:keepNext w:val="0"/>
        <w:keepLines w:val="0"/>
        <w:pageBreakBefore w:val="0"/>
        <w:widowControl/>
        <w:shd w:val="clea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4.质疑函的质疑事项应具体、明确，并有必要的事实依据和法律依据。</w:t>
      </w:r>
    </w:p>
    <w:p w14:paraId="03339958">
      <w:pPr>
        <w:keepNext w:val="0"/>
        <w:keepLines w:val="0"/>
        <w:pageBreakBefore w:val="0"/>
        <w:widowControl/>
        <w:shd w:val="clea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5.质疑函的质疑请求应与质疑事项相关。</w:t>
      </w:r>
    </w:p>
    <w:p w14:paraId="74CD0AC0">
      <w:pPr>
        <w:keepNext w:val="0"/>
        <w:keepLines w:val="0"/>
        <w:pageBreakBefore w:val="0"/>
        <w:widowControl/>
        <w:shd w:val="clea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sectPr>
          <w:pgSz w:w="11910" w:h="16840"/>
          <w:pgMar w:top="1417" w:right="1134" w:bottom="1417" w:left="1134" w:header="850" w:footer="850" w:gutter="0"/>
          <w:pgNumType w:fmt="decimal"/>
          <w:cols w:space="720" w:num="1"/>
        </w:sectPr>
      </w:pPr>
      <w:r>
        <w:rPr>
          <w:rFonts w:hint="eastAsia" w:ascii="宋体" w:hAnsi="宋体" w:eastAsia="宋体" w:cs="宋体"/>
          <w:bCs/>
          <w:color w:val="auto"/>
          <w:sz w:val="24"/>
          <w:szCs w:val="24"/>
          <w:highlight w:val="none"/>
        </w:rPr>
        <w:t>6.质疑</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为自然人的，质疑函应由本人签字；质疑</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为法人或者其他组织的，质疑函应由法定代表人、主要负责人，或者其授权代表签字或者盖章，并加盖公章。</w:t>
      </w:r>
    </w:p>
    <w:p w14:paraId="15F37C18">
      <w:pPr>
        <w:pStyle w:val="51"/>
        <w:keepNext w:val="0"/>
        <w:keepLines w:val="0"/>
        <w:pageBreakBefore w:val="0"/>
        <w:widowControl/>
        <w:shd w:val="clear"/>
        <w:kinsoku/>
        <w:wordWrap/>
        <w:overflowPunct/>
        <w:topLinePunct w:val="0"/>
        <w:autoSpaceDE/>
        <w:autoSpaceDN/>
        <w:bidi w:val="0"/>
        <w:adjustRightInd/>
        <w:snapToGrid/>
        <w:spacing w:before="0" w:beforeLines="50" w:after="0" w:afterLines="50" w:line="360" w:lineRule="auto"/>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投诉书</w:t>
      </w:r>
    </w:p>
    <w:p w14:paraId="56994399">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一、投诉相关主体基本情况</w:t>
      </w:r>
    </w:p>
    <w:p w14:paraId="3E5F4E1F">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8E480C6">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713575C">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法定代表人/主要负责人：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32746F1">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3537DF1">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FDCFDCC">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6FE04B0">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被投诉人1：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86861E2">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8F4C354">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4D5A563">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被投诉人2：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868C0EA">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4124F5">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相关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1CF41F3">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89636BB">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A996B20">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二、投诉项目基本情况</w:t>
      </w:r>
    </w:p>
    <w:p w14:paraId="5B2AD673">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C8E40D4">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35FEAF8">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47638E">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代理机构名称：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E217199">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 xml:space="preserve"> 公告期限：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5859A25">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 xml:space="preserve"> 公告期限：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21B8721">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三、质疑基本情况</w:t>
      </w:r>
    </w:p>
    <w:p w14:paraId="5E03D996">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日,向提出质疑，质疑事项为：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09C9DC9">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日,就质疑事项作出了答复/没有在法定期限内作出答复。</w:t>
      </w:r>
    </w:p>
    <w:p w14:paraId="7A42EE3C">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四、投诉事项具体内容</w:t>
      </w:r>
    </w:p>
    <w:p w14:paraId="6D1DCD21">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投诉事项 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270C71">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事实依据：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EA36EAB">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法律依据：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446B57A">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投诉事项2：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6C9E6D6">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AB53F0">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五、与投诉事项相关的投诉请求</w:t>
      </w:r>
    </w:p>
    <w:p w14:paraId="313CC6B7">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请求：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1437B9">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70B2DD6">
      <w:pPr>
        <w:pStyle w:val="51"/>
        <w:keepNext w:val="0"/>
        <w:keepLines w:val="0"/>
        <w:pageBreakBefore w:val="0"/>
        <w:widowControl/>
        <w:shd w:val="clear"/>
        <w:kinsoku/>
        <w:wordWrap/>
        <w:overflowPunct/>
        <w:topLinePunct w:val="0"/>
        <w:autoSpaceDE/>
        <w:autoSpaceDN/>
        <w:bidi w:val="0"/>
        <w:adjustRightInd/>
        <w:snapToGrid/>
        <w:spacing w:line="360" w:lineRule="auto"/>
        <w:ind w:left="42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7A388F1">
      <w:pPr>
        <w:pStyle w:val="51"/>
        <w:keepNext w:val="0"/>
        <w:keepLines w:val="0"/>
        <w:pageBreakBefore w:val="0"/>
        <w:widowControl/>
        <w:shd w:val="clear"/>
        <w:kinsoku/>
        <w:wordWrap/>
        <w:overflowPunct/>
        <w:topLinePunct w:val="0"/>
        <w:autoSpaceDE/>
        <w:autoSpaceDN/>
        <w:bidi w:val="0"/>
        <w:adjustRightInd/>
        <w:snapToGrid/>
        <w:spacing w:line="360" w:lineRule="auto"/>
        <w:ind w:left="42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日</w:t>
      </w:r>
    </w:p>
    <w:p w14:paraId="2ACA42F7">
      <w:pPr>
        <w:pStyle w:val="51"/>
        <w:keepNext w:val="0"/>
        <w:keepLines w:val="0"/>
        <w:pageBreakBefore w:val="0"/>
        <w:widowControl/>
        <w:shd w:val="clear"/>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p>
    <w:p w14:paraId="025F1FCA">
      <w:pPr>
        <w:pStyle w:val="51"/>
        <w:keepNext w:val="0"/>
        <w:keepLines w:val="0"/>
        <w:pageBreakBefore w:val="0"/>
        <w:widowControl/>
        <w:shd w:val="clear"/>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投诉书制作说明：</w:t>
      </w:r>
    </w:p>
    <w:p w14:paraId="700920DA">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1.投诉人提起投诉时，应当提交投诉书和必要的证明材料，并按照被投诉人和与投诉事项有关的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数量提供投诉书副本。</w:t>
      </w:r>
    </w:p>
    <w:p w14:paraId="0CD7C7F4">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4345121">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3.投诉人若对项目的某一分包进行投诉，投诉书应列明具体分包号。</w:t>
      </w:r>
    </w:p>
    <w:p w14:paraId="20E93216">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4.投诉书应简要列明质疑事项，质疑函、质疑答复等作为附件材料提供。</w:t>
      </w:r>
    </w:p>
    <w:p w14:paraId="0550E04B">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5.投诉书的投诉事项应具体、明确，并有必要的事实依据和法律依据。</w:t>
      </w:r>
    </w:p>
    <w:p w14:paraId="4BA8132C">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6.投诉书的投诉请求应与投诉事项相关。</w:t>
      </w:r>
    </w:p>
    <w:p w14:paraId="5585A9C7">
      <w:pPr>
        <w:pStyle w:val="51"/>
        <w:keepNext w:val="0"/>
        <w:keepLines w:val="0"/>
        <w:pageBreakBefore w:val="0"/>
        <w:widowControl/>
        <w:shd w:val="clear"/>
        <w:kinsoku/>
        <w:wordWrap/>
        <w:overflowPunct/>
        <w:topLinePunct w:val="0"/>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7.投诉人为自然人的，投诉书应当由本人签字；投诉人为法人或者其他组织的，投诉书应当由法定代表人、主要负责人，或者其授权代表签字或者盖章，并加盖公章。</w:t>
      </w:r>
    </w:p>
    <w:sectPr>
      <w:pgSz w:w="11910" w:h="16840"/>
      <w:pgMar w:top="1417" w:right="1134" w:bottom="1417" w:left="1134" w:header="850"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6A9D">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B13E2">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28BB13E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BE9D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A2AA7B">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14:paraId="64A2AA7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AB07">
    <w:pPr>
      <w:pStyle w:val="14"/>
      <w:rPr>
        <w:rFonts w:hint="eastAsia"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FCCA5">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boH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4W6B7LAQAAnAMAAA4AAAAAAAAAAQAgAAAAHgEAAGRycy9lMm9E&#10;b2MueG1sUEsFBgAAAAAGAAYAWQEAAFsFAAAAAA==&#10;">
              <v:fill on="f" focussize="0,0"/>
              <v:stroke on="f"/>
              <v:imagedata o:title=""/>
              <o:lock v:ext="edit" aspectratio="f"/>
              <v:textbox inset="0mm,0mm,0mm,0mm" style="mso-fit-shape-to-text:t;">
                <w:txbxContent>
                  <w:p w14:paraId="342FCCA5">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0FBD">
    <w:pPr>
      <w:pStyle w:val="14"/>
      <w:jc w:val="center"/>
      <w:rPr>
        <w:rFonts w:hint="eastAsia"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9DCD1">
                          <w:pPr>
                            <w:pStyle w:val="14"/>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HVn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pHVnsoBAACcAwAADgAAAAAAAAABACAAAAAeAQAAZHJzL2Uyb0Rv&#10;Yy54bWxQSwUGAAAAAAYABgBZAQAAWgUAAAAA&#10;">
              <v:fill on="f" focussize="0,0"/>
              <v:stroke on="f"/>
              <v:imagedata o:title=""/>
              <o:lock v:ext="edit" aspectratio="f"/>
              <v:textbox inset="0mm,0mm,0mm,0mm" style="mso-fit-shape-to-text:t;">
                <w:txbxContent>
                  <w:p w14:paraId="6EB9DCD1">
                    <w:pPr>
                      <w:pStyle w:val="14"/>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E51C">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D23608">
                          <w:pPr>
                            <w:pStyle w:val="14"/>
                            <w:jc w:val="center"/>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cIHMo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KI7dcYsDv/z4fvn5+/LrG1lW&#10;Nz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3cIHMoBAACcAwAADgAAAAAAAAABACAAAAAeAQAAZHJzL2Uyb0Rv&#10;Yy54bWxQSwUGAAAAAAYABgBZAQAAWgUAAAAA&#10;">
              <v:fill on="f" focussize="0,0"/>
              <v:stroke on="f"/>
              <v:imagedata o:title=""/>
              <o:lock v:ext="edit" aspectratio="f"/>
              <v:textbox inset="0mm,0mm,0mm,0mm" style="mso-fit-shape-to-text:t;">
                <w:txbxContent>
                  <w:p w14:paraId="16D23608">
                    <w:pPr>
                      <w:pStyle w:val="14"/>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692A8A79">
    <w:pPr>
      <w:pStyle w:val="7"/>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FBA4">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BEB73A">
                          <w:pPr>
                            <w:pStyle w:val="1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2BEB73A">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6E5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7C19BD">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057C19B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2B35">
    <w:pPr>
      <w:pStyle w:val="1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68BB64">
                          <w:pPr>
                            <w:pStyle w:val="14"/>
                            <w:jc w:val="center"/>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48coBAACcAwAADgAAAGRycy9lMm9Eb2MueG1srVNNrtMwEN4jcQfL&#10;e+q0I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pbV&#10;8x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R48coBAACcAwAADgAAAAAAAAABACAAAAAeAQAAZHJzL2Uyb0Rv&#10;Yy54bWxQSwUGAAAAAAYABgBZAQAAWgUAAAAA&#10;">
              <v:fill on="f" focussize="0,0"/>
              <v:stroke on="f"/>
              <v:imagedata o:title=""/>
              <o:lock v:ext="edit" aspectratio="f"/>
              <v:textbox inset="0mm,0mm,0mm,0mm" style="mso-fit-shape-to-text:t;">
                <w:txbxContent>
                  <w:p w14:paraId="5E68BB64">
                    <w:pPr>
                      <w:pStyle w:val="14"/>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475EEC69">
    <w:pPr>
      <w:pStyle w:val="7"/>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DD2A">
    <w:pPr>
      <w:pStyle w:val="1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222A3">
                          <w:pPr>
                            <w:pStyle w:val="14"/>
                            <w:jc w:val="center"/>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6cd8o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1lW&#10;L19l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B6cd8oBAACdAwAADgAAAAAAAAABACAAAAAeAQAAZHJzL2Uyb0Rv&#10;Yy54bWxQSwUGAAAAAAYABgBZAQAAWgUAAAAA&#10;">
              <v:fill on="f" focussize="0,0"/>
              <v:stroke on="f"/>
              <v:imagedata o:title=""/>
              <o:lock v:ext="edit" aspectratio="f"/>
              <v:textbox inset="0mm,0mm,0mm,0mm" style="mso-fit-shape-to-text:t;">
                <w:txbxContent>
                  <w:p w14:paraId="1BF222A3">
                    <w:pPr>
                      <w:pStyle w:val="14"/>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14B1F8D7">
    <w:pPr>
      <w:pStyle w:val="7"/>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9408">
    <w:pPr>
      <w:pStyle w:val="15"/>
      <w:pBdr>
        <w:bottom w:val="none" w:color="auto" w:sz="0" w:space="1"/>
      </w:pBdr>
      <w:jc w:val="both"/>
      <w:rPr>
        <w:rFonts w:hint="default" w:eastAsia="宋体"/>
        <w:b/>
        <w:bCs/>
        <w:sz w:val="28"/>
        <w:szCs w:val="2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6A6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986B">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4FA7">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018D">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A321">
    <w:pPr>
      <w:pStyle w:val="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E7C3">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02826"/>
    <w:multiLevelType w:val="singleLevel"/>
    <w:tmpl w:val="A4902826"/>
    <w:lvl w:ilvl="0" w:tentative="0">
      <w:start w:val="6"/>
      <w:numFmt w:val="chineseCounting"/>
      <w:suff w:val="nothing"/>
      <w:lvlText w:val="%1、"/>
      <w:lvlJc w:val="left"/>
      <w:rPr>
        <w:rFonts w:hint="eastAsia"/>
      </w:rPr>
    </w:lvl>
  </w:abstractNum>
  <w:abstractNum w:abstractNumId="1">
    <w:nsid w:val="B94CCEDE"/>
    <w:multiLevelType w:val="singleLevel"/>
    <w:tmpl w:val="B94CCEDE"/>
    <w:lvl w:ilvl="0" w:tentative="0">
      <w:start w:val="1"/>
      <w:numFmt w:val="chineseCounting"/>
      <w:suff w:val="nothing"/>
      <w:lvlText w:val="%1、"/>
      <w:lvlJc w:val="left"/>
      <w:rPr>
        <w:rFonts w:hint="eastAsia"/>
      </w:rPr>
    </w:lvl>
  </w:abstractNum>
  <w:abstractNum w:abstractNumId="2">
    <w:nsid w:val="ED9901C0"/>
    <w:multiLevelType w:val="singleLevel"/>
    <w:tmpl w:val="ED9901C0"/>
    <w:lvl w:ilvl="0" w:tentative="0">
      <w:start w:val="26"/>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efaultTabStop w:val="24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1C3BA9"/>
    <w:rsid w:val="000012BC"/>
    <w:rsid w:val="000038FE"/>
    <w:rsid w:val="00007531"/>
    <w:rsid w:val="00011BA4"/>
    <w:rsid w:val="00011F7C"/>
    <w:rsid w:val="0001206C"/>
    <w:rsid w:val="00016CF8"/>
    <w:rsid w:val="00021F2B"/>
    <w:rsid w:val="00022812"/>
    <w:rsid w:val="00022F15"/>
    <w:rsid w:val="00032EB5"/>
    <w:rsid w:val="000462BC"/>
    <w:rsid w:val="000509B8"/>
    <w:rsid w:val="00051892"/>
    <w:rsid w:val="00053790"/>
    <w:rsid w:val="00056E9C"/>
    <w:rsid w:val="00060A7D"/>
    <w:rsid w:val="00064279"/>
    <w:rsid w:val="000642C9"/>
    <w:rsid w:val="00065EF4"/>
    <w:rsid w:val="000662DB"/>
    <w:rsid w:val="00072728"/>
    <w:rsid w:val="00074414"/>
    <w:rsid w:val="000769C5"/>
    <w:rsid w:val="00083B49"/>
    <w:rsid w:val="000873E1"/>
    <w:rsid w:val="00095719"/>
    <w:rsid w:val="000A1EDC"/>
    <w:rsid w:val="000B0E37"/>
    <w:rsid w:val="000B43E0"/>
    <w:rsid w:val="000B7679"/>
    <w:rsid w:val="000C0F92"/>
    <w:rsid w:val="000C6525"/>
    <w:rsid w:val="000D7DFE"/>
    <w:rsid w:val="000E7463"/>
    <w:rsid w:val="000E7DF5"/>
    <w:rsid w:val="000F32C6"/>
    <w:rsid w:val="000F3841"/>
    <w:rsid w:val="000F4089"/>
    <w:rsid w:val="0011083E"/>
    <w:rsid w:val="001129EE"/>
    <w:rsid w:val="00114FB0"/>
    <w:rsid w:val="001200B6"/>
    <w:rsid w:val="001357E7"/>
    <w:rsid w:val="001359FC"/>
    <w:rsid w:val="00137F57"/>
    <w:rsid w:val="00140983"/>
    <w:rsid w:val="00141312"/>
    <w:rsid w:val="00144439"/>
    <w:rsid w:val="00147DF2"/>
    <w:rsid w:val="001638BD"/>
    <w:rsid w:val="00165E58"/>
    <w:rsid w:val="00167F3C"/>
    <w:rsid w:val="00175103"/>
    <w:rsid w:val="00185B3E"/>
    <w:rsid w:val="00186355"/>
    <w:rsid w:val="00186C64"/>
    <w:rsid w:val="0018769F"/>
    <w:rsid w:val="00187D66"/>
    <w:rsid w:val="001920C5"/>
    <w:rsid w:val="001936DD"/>
    <w:rsid w:val="00193D50"/>
    <w:rsid w:val="00196544"/>
    <w:rsid w:val="00197EF2"/>
    <w:rsid w:val="001A5049"/>
    <w:rsid w:val="001A7586"/>
    <w:rsid w:val="001B29A9"/>
    <w:rsid w:val="001C0117"/>
    <w:rsid w:val="001C3BA9"/>
    <w:rsid w:val="001D039D"/>
    <w:rsid w:val="001D1D67"/>
    <w:rsid w:val="001E2347"/>
    <w:rsid w:val="001E57F1"/>
    <w:rsid w:val="001F247B"/>
    <w:rsid w:val="001F6CC6"/>
    <w:rsid w:val="0020730F"/>
    <w:rsid w:val="00231A2E"/>
    <w:rsid w:val="0023723F"/>
    <w:rsid w:val="00241B3C"/>
    <w:rsid w:val="0024316E"/>
    <w:rsid w:val="00246141"/>
    <w:rsid w:val="00251153"/>
    <w:rsid w:val="002523C2"/>
    <w:rsid w:val="00252F6B"/>
    <w:rsid w:val="00253C83"/>
    <w:rsid w:val="00257470"/>
    <w:rsid w:val="00267256"/>
    <w:rsid w:val="00272D2D"/>
    <w:rsid w:val="00275907"/>
    <w:rsid w:val="00280232"/>
    <w:rsid w:val="00280546"/>
    <w:rsid w:val="002819C2"/>
    <w:rsid w:val="00282BA9"/>
    <w:rsid w:val="00286EC7"/>
    <w:rsid w:val="00287B5E"/>
    <w:rsid w:val="002916BA"/>
    <w:rsid w:val="002A6F8F"/>
    <w:rsid w:val="002B0A5D"/>
    <w:rsid w:val="002C13E0"/>
    <w:rsid w:val="002D4177"/>
    <w:rsid w:val="002D42B2"/>
    <w:rsid w:val="002D60E5"/>
    <w:rsid w:val="002D77B5"/>
    <w:rsid w:val="002E4C29"/>
    <w:rsid w:val="002F0B57"/>
    <w:rsid w:val="002F1374"/>
    <w:rsid w:val="002F6468"/>
    <w:rsid w:val="002F7B62"/>
    <w:rsid w:val="00300942"/>
    <w:rsid w:val="0031245E"/>
    <w:rsid w:val="003151A7"/>
    <w:rsid w:val="003243BD"/>
    <w:rsid w:val="00331FA3"/>
    <w:rsid w:val="003321F8"/>
    <w:rsid w:val="00340222"/>
    <w:rsid w:val="00347412"/>
    <w:rsid w:val="003525E4"/>
    <w:rsid w:val="00353427"/>
    <w:rsid w:val="0035777A"/>
    <w:rsid w:val="00362D86"/>
    <w:rsid w:val="00371B36"/>
    <w:rsid w:val="00374093"/>
    <w:rsid w:val="00381AC5"/>
    <w:rsid w:val="00387B72"/>
    <w:rsid w:val="00394E16"/>
    <w:rsid w:val="003A00E4"/>
    <w:rsid w:val="003A4A1D"/>
    <w:rsid w:val="003B4F2A"/>
    <w:rsid w:val="003B62A0"/>
    <w:rsid w:val="003C40F0"/>
    <w:rsid w:val="003C7E32"/>
    <w:rsid w:val="003D192B"/>
    <w:rsid w:val="003D602E"/>
    <w:rsid w:val="003E0C7D"/>
    <w:rsid w:val="003E4717"/>
    <w:rsid w:val="003F36EE"/>
    <w:rsid w:val="004222EB"/>
    <w:rsid w:val="00423EA8"/>
    <w:rsid w:val="004268B7"/>
    <w:rsid w:val="0043198F"/>
    <w:rsid w:val="00437F19"/>
    <w:rsid w:val="00444E0F"/>
    <w:rsid w:val="004453F1"/>
    <w:rsid w:val="00445D0F"/>
    <w:rsid w:val="0045265F"/>
    <w:rsid w:val="004552C8"/>
    <w:rsid w:val="0046375D"/>
    <w:rsid w:val="00463ED8"/>
    <w:rsid w:val="004667C3"/>
    <w:rsid w:val="00471250"/>
    <w:rsid w:val="00476A4B"/>
    <w:rsid w:val="0048492C"/>
    <w:rsid w:val="00485B4A"/>
    <w:rsid w:val="004864B4"/>
    <w:rsid w:val="00491C2D"/>
    <w:rsid w:val="00496A66"/>
    <w:rsid w:val="004A0ACF"/>
    <w:rsid w:val="004A0FA9"/>
    <w:rsid w:val="004A1B8E"/>
    <w:rsid w:val="004A37FA"/>
    <w:rsid w:val="004B3B87"/>
    <w:rsid w:val="004B6ABB"/>
    <w:rsid w:val="004C2C14"/>
    <w:rsid w:val="004C2D71"/>
    <w:rsid w:val="004D2D92"/>
    <w:rsid w:val="004D3853"/>
    <w:rsid w:val="004D5326"/>
    <w:rsid w:val="004E2CC6"/>
    <w:rsid w:val="004E4C02"/>
    <w:rsid w:val="005012C4"/>
    <w:rsid w:val="00514E5A"/>
    <w:rsid w:val="00530B10"/>
    <w:rsid w:val="005318D4"/>
    <w:rsid w:val="00531D8D"/>
    <w:rsid w:val="005344F2"/>
    <w:rsid w:val="005357AF"/>
    <w:rsid w:val="0054174C"/>
    <w:rsid w:val="00552D7D"/>
    <w:rsid w:val="0055530F"/>
    <w:rsid w:val="005619A8"/>
    <w:rsid w:val="0057009E"/>
    <w:rsid w:val="005809D8"/>
    <w:rsid w:val="0059167E"/>
    <w:rsid w:val="0059296B"/>
    <w:rsid w:val="00596CB5"/>
    <w:rsid w:val="005A087C"/>
    <w:rsid w:val="005B36D0"/>
    <w:rsid w:val="005B60A2"/>
    <w:rsid w:val="005B761A"/>
    <w:rsid w:val="005C2F84"/>
    <w:rsid w:val="005E015E"/>
    <w:rsid w:val="005E237E"/>
    <w:rsid w:val="005E2884"/>
    <w:rsid w:val="005E5381"/>
    <w:rsid w:val="005F1796"/>
    <w:rsid w:val="005F556F"/>
    <w:rsid w:val="005F5F38"/>
    <w:rsid w:val="00600E93"/>
    <w:rsid w:val="00612DC3"/>
    <w:rsid w:val="00612EBC"/>
    <w:rsid w:val="006133B1"/>
    <w:rsid w:val="00614149"/>
    <w:rsid w:val="006144C2"/>
    <w:rsid w:val="00614AC3"/>
    <w:rsid w:val="0061728F"/>
    <w:rsid w:val="00622489"/>
    <w:rsid w:val="0062437A"/>
    <w:rsid w:val="0062519D"/>
    <w:rsid w:val="00635E34"/>
    <w:rsid w:val="006360B8"/>
    <w:rsid w:val="006544B2"/>
    <w:rsid w:val="006557B5"/>
    <w:rsid w:val="00656428"/>
    <w:rsid w:val="00656AD1"/>
    <w:rsid w:val="00660D49"/>
    <w:rsid w:val="00666D5B"/>
    <w:rsid w:val="006754CB"/>
    <w:rsid w:val="00680122"/>
    <w:rsid w:val="00692395"/>
    <w:rsid w:val="00694BB6"/>
    <w:rsid w:val="0069744B"/>
    <w:rsid w:val="006A0739"/>
    <w:rsid w:val="006A44EB"/>
    <w:rsid w:val="006A58B0"/>
    <w:rsid w:val="006A5C4C"/>
    <w:rsid w:val="006B271C"/>
    <w:rsid w:val="006B3A18"/>
    <w:rsid w:val="006C04ED"/>
    <w:rsid w:val="006D0E11"/>
    <w:rsid w:val="006D32DD"/>
    <w:rsid w:val="006D6FD9"/>
    <w:rsid w:val="00704097"/>
    <w:rsid w:val="0071783B"/>
    <w:rsid w:val="00723478"/>
    <w:rsid w:val="00733CAE"/>
    <w:rsid w:val="00737EEC"/>
    <w:rsid w:val="0074553E"/>
    <w:rsid w:val="007466CB"/>
    <w:rsid w:val="007475C3"/>
    <w:rsid w:val="007565A6"/>
    <w:rsid w:val="00760CF0"/>
    <w:rsid w:val="00764E69"/>
    <w:rsid w:val="007661AF"/>
    <w:rsid w:val="00767052"/>
    <w:rsid w:val="00774691"/>
    <w:rsid w:val="00792DE0"/>
    <w:rsid w:val="007A28BF"/>
    <w:rsid w:val="007B355F"/>
    <w:rsid w:val="007B41EC"/>
    <w:rsid w:val="007B7506"/>
    <w:rsid w:val="007F0BDE"/>
    <w:rsid w:val="007F4F56"/>
    <w:rsid w:val="007F6BFA"/>
    <w:rsid w:val="00801EFD"/>
    <w:rsid w:val="00814F39"/>
    <w:rsid w:val="0082129D"/>
    <w:rsid w:val="00823A9C"/>
    <w:rsid w:val="00825669"/>
    <w:rsid w:val="008314BC"/>
    <w:rsid w:val="00832515"/>
    <w:rsid w:val="00832ADF"/>
    <w:rsid w:val="008339BE"/>
    <w:rsid w:val="0083658D"/>
    <w:rsid w:val="0083732B"/>
    <w:rsid w:val="00841D39"/>
    <w:rsid w:val="008449AA"/>
    <w:rsid w:val="008511BB"/>
    <w:rsid w:val="00853BB4"/>
    <w:rsid w:val="0086477D"/>
    <w:rsid w:val="00866600"/>
    <w:rsid w:val="00881F96"/>
    <w:rsid w:val="00882B45"/>
    <w:rsid w:val="00885C33"/>
    <w:rsid w:val="00896361"/>
    <w:rsid w:val="008A0ED1"/>
    <w:rsid w:val="008A44DE"/>
    <w:rsid w:val="008A5712"/>
    <w:rsid w:val="008A683A"/>
    <w:rsid w:val="008B22CA"/>
    <w:rsid w:val="008C034D"/>
    <w:rsid w:val="008C5746"/>
    <w:rsid w:val="008D1013"/>
    <w:rsid w:val="008D6580"/>
    <w:rsid w:val="008E124C"/>
    <w:rsid w:val="008E3FA5"/>
    <w:rsid w:val="008E52CF"/>
    <w:rsid w:val="008F5491"/>
    <w:rsid w:val="009049FE"/>
    <w:rsid w:val="00904FE1"/>
    <w:rsid w:val="00911034"/>
    <w:rsid w:val="009136AF"/>
    <w:rsid w:val="00920E0A"/>
    <w:rsid w:val="009255ED"/>
    <w:rsid w:val="00926560"/>
    <w:rsid w:val="0093031B"/>
    <w:rsid w:val="00931CD6"/>
    <w:rsid w:val="00936276"/>
    <w:rsid w:val="009374E2"/>
    <w:rsid w:val="009431F3"/>
    <w:rsid w:val="009462A2"/>
    <w:rsid w:val="00954775"/>
    <w:rsid w:val="00963F6F"/>
    <w:rsid w:val="009642BE"/>
    <w:rsid w:val="00964463"/>
    <w:rsid w:val="00964ED8"/>
    <w:rsid w:val="00965FBD"/>
    <w:rsid w:val="00967BDF"/>
    <w:rsid w:val="009723E9"/>
    <w:rsid w:val="00972488"/>
    <w:rsid w:val="009727BC"/>
    <w:rsid w:val="009872D0"/>
    <w:rsid w:val="0099671E"/>
    <w:rsid w:val="009B3BD9"/>
    <w:rsid w:val="009B4D16"/>
    <w:rsid w:val="009C2110"/>
    <w:rsid w:val="009C31F6"/>
    <w:rsid w:val="009C7358"/>
    <w:rsid w:val="009D05AA"/>
    <w:rsid w:val="009D2C66"/>
    <w:rsid w:val="009D56CC"/>
    <w:rsid w:val="009D79F3"/>
    <w:rsid w:val="009E1392"/>
    <w:rsid w:val="009E4DC2"/>
    <w:rsid w:val="009F0DF5"/>
    <w:rsid w:val="009F37DB"/>
    <w:rsid w:val="009F7574"/>
    <w:rsid w:val="00A005A3"/>
    <w:rsid w:val="00A0170B"/>
    <w:rsid w:val="00A03193"/>
    <w:rsid w:val="00A03618"/>
    <w:rsid w:val="00A071C1"/>
    <w:rsid w:val="00A079B0"/>
    <w:rsid w:val="00A07A13"/>
    <w:rsid w:val="00A14A28"/>
    <w:rsid w:val="00A22638"/>
    <w:rsid w:val="00A23685"/>
    <w:rsid w:val="00A24A90"/>
    <w:rsid w:val="00A30945"/>
    <w:rsid w:val="00A42760"/>
    <w:rsid w:val="00A43AC1"/>
    <w:rsid w:val="00A45013"/>
    <w:rsid w:val="00A475BB"/>
    <w:rsid w:val="00A477AC"/>
    <w:rsid w:val="00A60110"/>
    <w:rsid w:val="00A641FB"/>
    <w:rsid w:val="00A71D3E"/>
    <w:rsid w:val="00A75E27"/>
    <w:rsid w:val="00A772BF"/>
    <w:rsid w:val="00A77A20"/>
    <w:rsid w:val="00A809D4"/>
    <w:rsid w:val="00A90EDD"/>
    <w:rsid w:val="00A952BA"/>
    <w:rsid w:val="00A95FBE"/>
    <w:rsid w:val="00AB18C5"/>
    <w:rsid w:val="00AB3CA7"/>
    <w:rsid w:val="00AB6698"/>
    <w:rsid w:val="00AB6DBF"/>
    <w:rsid w:val="00AC056E"/>
    <w:rsid w:val="00AD1DE2"/>
    <w:rsid w:val="00AE0B3B"/>
    <w:rsid w:val="00AE493E"/>
    <w:rsid w:val="00AE6E5E"/>
    <w:rsid w:val="00AE7A59"/>
    <w:rsid w:val="00B017AD"/>
    <w:rsid w:val="00B04FE8"/>
    <w:rsid w:val="00B067EE"/>
    <w:rsid w:val="00B07947"/>
    <w:rsid w:val="00B11661"/>
    <w:rsid w:val="00B14E93"/>
    <w:rsid w:val="00B20C7B"/>
    <w:rsid w:val="00B236CC"/>
    <w:rsid w:val="00B24F81"/>
    <w:rsid w:val="00B251CF"/>
    <w:rsid w:val="00B27001"/>
    <w:rsid w:val="00B40CD1"/>
    <w:rsid w:val="00B54A6A"/>
    <w:rsid w:val="00B560FC"/>
    <w:rsid w:val="00B63EF7"/>
    <w:rsid w:val="00B65EC7"/>
    <w:rsid w:val="00B86C49"/>
    <w:rsid w:val="00B954E1"/>
    <w:rsid w:val="00BA4C26"/>
    <w:rsid w:val="00BA57ED"/>
    <w:rsid w:val="00BA6B9D"/>
    <w:rsid w:val="00BB1D2A"/>
    <w:rsid w:val="00BB3A9B"/>
    <w:rsid w:val="00BB3EEE"/>
    <w:rsid w:val="00BD63DA"/>
    <w:rsid w:val="00BE2769"/>
    <w:rsid w:val="00BE570A"/>
    <w:rsid w:val="00BF20CA"/>
    <w:rsid w:val="00C03098"/>
    <w:rsid w:val="00C15B1C"/>
    <w:rsid w:val="00C2267B"/>
    <w:rsid w:val="00C2324A"/>
    <w:rsid w:val="00C248EC"/>
    <w:rsid w:val="00C3347B"/>
    <w:rsid w:val="00C338E2"/>
    <w:rsid w:val="00C358D0"/>
    <w:rsid w:val="00C540B1"/>
    <w:rsid w:val="00C60071"/>
    <w:rsid w:val="00C6010C"/>
    <w:rsid w:val="00C6272E"/>
    <w:rsid w:val="00C72D7E"/>
    <w:rsid w:val="00C8291C"/>
    <w:rsid w:val="00C8371C"/>
    <w:rsid w:val="00C9743B"/>
    <w:rsid w:val="00CA1261"/>
    <w:rsid w:val="00CB2A1D"/>
    <w:rsid w:val="00CB7A2D"/>
    <w:rsid w:val="00CC544F"/>
    <w:rsid w:val="00CD7128"/>
    <w:rsid w:val="00CF5D62"/>
    <w:rsid w:val="00D07598"/>
    <w:rsid w:val="00D13253"/>
    <w:rsid w:val="00D17725"/>
    <w:rsid w:val="00D329DE"/>
    <w:rsid w:val="00D5085F"/>
    <w:rsid w:val="00D52FB7"/>
    <w:rsid w:val="00D53734"/>
    <w:rsid w:val="00D54F40"/>
    <w:rsid w:val="00D56D42"/>
    <w:rsid w:val="00D611B5"/>
    <w:rsid w:val="00D634EF"/>
    <w:rsid w:val="00D63774"/>
    <w:rsid w:val="00D70618"/>
    <w:rsid w:val="00D73A88"/>
    <w:rsid w:val="00D85F7C"/>
    <w:rsid w:val="00D91EDB"/>
    <w:rsid w:val="00D92003"/>
    <w:rsid w:val="00D929E4"/>
    <w:rsid w:val="00D94329"/>
    <w:rsid w:val="00DA7473"/>
    <w:rsid w:val="00DB07A7"/>
    <w:rsid w:val="00DB34F7"/>
    <w:rsid w:val="00DB3B66"/>
    <w:rsid w:val="00DC596D"/>
    <w:rsid w:val="00DC7125"/>
    <w:rsid w:val="00DD6832"/>
    <w:rsid w:val="00E02B4D"/>
    <w:rsid w:val="00E04EA8"/>
    <w:rsid w:val="00E13486"/>
    <w:rsid w:val="00E137E6"/>
    <w:rsid w:val="00E16A73"/>
    <w:rsid w:val="00E248DE"/>
    <w:rsid w:val="00E303B3"/>
    <w:rsid w:val="00E30D7E"/>
    <w:rsid w:val="00E341E4"/>
    <w:rsid w:val="00E43437"/>
    <w:rsid w:val="00E43AF9"/>
    <w:rsid w:val="00E4440C"/>
    <w:rsid w:val="00E452C0"/>
    <w:rsid w:val="00E513B7"/>
    <w:rsid w:val="00E51F43"/>
    <w:rsid w:val="00E5523E"/>
    <w:rsid w:val="00E6379A"/>
    <w:rsid w:val="00E65744"/>
    <w:rsid w:val="00E66019"/>
    <w:rsid w:val="00E67907"/>
    <w:rsid w:val="00E74984"/>
    <w:rsid w:val="00E8161A"/>
    <w:rsid w:val="00E90075"/>
    <w:rsid w:val="00E9226C"/>
    <w:rsid w:val="00E94888"/>
    <w:rsid w:val="00E97AE4"/>
    <w:rsid w:val="00EA1701"/>
    <w:rsid w:val="00EA1BE1"/>
    <w:rsid w:val="00EA79AF"/>
    <w:rsid w:val="00EB0DED"/>
    <w:rsid w:val="00EB6F33"/>
    <w:rsid w:val="00EC3186"/>
    <w:rsid w:val="00EC64A3"/>
    <w:rsid w:val="00ED02CC"/>
    <w:rsid w:val="00ED0D57"/>
    <w:rsid w:val="00ED0F0A"/>
    <w:rsid w:val="00ED1B84"/>
    <w:rsid w:val="00ED7A99"/>
    <w:rsid w:val="00EE3A74"/>
    <w:rsid w:val="00F036C9"/>
    <w:rsid w:val="00F11E92"/>
    <w:rsid w:val="00F164A0"/>
    <w:rsid w:val="00F318F2"/>
    <w:rsid w:val="00F32A21"/>
    <w:rsid w:val="00F475A3"/>
    <w:rsid w:val="00F52D6D"/>
    <w:rsid w:val="00F609E8"/>
    <w:rsid w:val="00F67398"/>
    <w:rsid w:val="00F714F3"/>
    <w:rsid w:val="00F71509"/>
    <w:rsid w:val="00F734EC"/>
    <w:rsid w:val="00F75320"/>
    <w:rsid w:val="00F9538E"/>
    <w:rsid w:val="00FA76CC"/>
    <w:rsid w:val="00FB2E91"/>
    <w:rsid w:val="00FB3478"/>
    <w:rsid w:val="00FB4ACB"/>
    <w:rsid w:val="00FC4785"/>
    <w:rsid w:val="00FD2424"/>
    <w:rsid w:val="00FE0074"/>
    <w:rsid w:val="00FE7778"/>
    <w:rsid w:val="00FF2144"/>
    <w:rsid w:val="00FF6FA9"/>
    <w:rsid w:val="010A36F1"/>
    <w:rsid w:val="01281213"/>
    <w:rsid w:val="012D0460"/>
    <w:rsid w:val="01382DB4"/>
    <w:rsid w:val="01412F9D"/>
    <w:rsid w:val="01547B1C"/>
    <w:rsid w:val="015E08FA"/>
    <w:rsid w:val="01722330"/>
    <w:rsid w:val="017C0E40"/>
    <w:rsid w:val="017D31AE"/>
    <w:rsid w:val="018E7169"/>
    <w:rsid w:val="018F6A3E"/>
    <w:rsid w:val="01A44086"/>
    <w:rsid w:val="01B30A69"/>
    <w:rsid w:val="01BA442B"/>
    <w:rsid w:val="01C93693"/>
    <w:rsid w:val="01D30A98"/>
    <w:rsid w:val="01E0373D"/>
    <w:rsid w:val="01E74ACC"/>
    <w:rsid w:val="020C4532"/>
    <w:rsid w:val="025F253B"/>
    <w:rsid w:val="025F4662"/>
    <w:rsid w:val="026B1259"/>
    <w:rsid w:val="02711490"/>
    <w:rsid w:val="027E2E67"/>
    <w:rsid w:val="02832A46"/>
    <w:rsid w:val="028916DF"/>
    <w:rsid w:val="029C1412"/>
    <w:rsid w:val="02B41188"/>
    <w:rsid w:val="02D84414"/>
    <w:rsid w:val="02DC3F04"/>
    <w:rsid w:val="031B2C7F"/>
    <w:rsid w:val="03280EF8"/>
    <w:rsid w:val="032B09E8"/>
    <w:rsid w:val="0341020B"/>
    <w:rsid w:val="0361440A"/>
    <w:rsid w:val="037E320E"/>
    <w:rsid w:val="038D51FF"/>
    <w:rsid w:val="039152AE"/>
    <w:rsid w:val="0392124F"/>
    <w:rsid w:val="03C74BB5"/>
    <w:rsid w:val="03DA2C38"/>
    <w:rsid w:val="03E72B61"/>
    <w:rsid w:val="04001E75"/>
    <w:rsid w:val="04447714"/>
    <w:rsid w:val="0477424B"/>
    <w:rsid w:val="04992130"/>
    <w:rsid w:val="049D3B67"/>
    <w:rsid w:val="04E14A0F"/>
    <w:rsid w:val="04EF43C3"/>
    <w:rsid w:val="04F70794"/>
    <w:rsid w:val="0504048F"/>
    <w:rsid w:val="05104731"/>
    <w:rsid w:val="05111C07"/>
    <w:rsid w:val="05143FCE"/>
    <w:rsid w:val="05185F4A"/>
    <w:rsid w:val="052D0A47"/>
    <w:rsid w:val="05634469"/>
    <w:rsid w:val="05BA4BDD"/>
    <w:rsid w:val="05DA2A82"/>
    <w:rsid w:val="05F92E34"/>
    <w:rsid w:val="06020B9C"/>
    <w:rsid w:val="063B7194"/>
    <w:rsid w:val="066761DB"/>
    <w:rsid w:val="067E1AE5"/>
    <w:rsid w:val="069D54A1"/>
    <w:rsid w:val="06A116ED"/>
    <w:rsid w:val="06A64F55"/>
    <w:rsid w:val="06C453DB"/>
    <w:rsid w:val="06DB44D3"/>
    <w:rsid w:val="06DF105D"/>
    <w:rsid w:val="07097292"/>
    <w:rsid w:val="071F2B16"/>
    <w:rsid w:val="074F1149"/>
    <w:rsid w:val="07506C6F"/>
    <w:rsid w:val="075E75DE"/>
    <w:rsid w:val="07B23486"/>
    <w:rsid w:val="07C26666"/>
    <w:rsid w:val="07F910B5"/>
    <w:rsid w:val="08000695"/>
    <w:rsid w:val="08033CE1"/>
    <w:rsid w:val="08144D37"/>
    <w:rsid w:val="081B102B"/>
    <w:rsid w:val="083A10B9"/>
    <w:rsid w:val="08422A5C"/>
    <w:rsid w:val="08424058"/>
    <w:rsid w:val="08805332"/>
    <w:rsid w:val="08986B20"/>
    <w:rsid w:val="08AA054D"/>
    <w:rsid w:val="08B53F7B"/>
    <w:rsid w:val="08C571E9"/>
    <w:rsid w:val="08D84F73"/>
    <w:rsid w:val="08DA2C94"/>
    <w:rsid w:val="090D62B3"/>
    <w:rsid w:val="091C4CD2"/>
    <w:rsid w:val="091F2D9D"/>
    <w:rsid w:val="092B7994"/>
    <w:rsid w:val="093A3733"/>
    <w:rsid w:val="093C56FD"/>
    <w:rsid w:val="093F51ED"/>
    <w:rsid w:val="09B76BD4"/>
    <w:rsid w:val="09D8354C"/>
    <w:rsid w:val="09E45C97"/>
    <w:rsid w:val="09F558AC"/>
    <w:rsid w:val="09FD04C3"/>
    <w:rsid w:val="0A211347"/>
    <w:rsid w:val="0A3A688B"/>
    <w:rsid w:val="0A6B3AC5"/>
    <w:rsid w:val="0A6D7B38"/>
    <w:rsid w:val="0AA51F88"/>
    <w:rsid w:val="0AB6328D"/>
    <w:rsid w:val="0AD025A1"/>
    <w:rsid w:val="0AE93662"/>
    <w:rsid w:val="0AF32CCB"/>
    <w:rsid w:val="0B01640D"/>
    <w:rsid w:val="0B114967"/>
    <w:rsid w:val="0B2D0C5C"/>
    <w:rsid w:val="0B517D09"/>
    <w:rsid w:val="0BA916F2"/>
    <w:rsid w:val="0BAD01A1"/>
    <w:rsid w:val="0BBA1C50"/>
    <w:rsid w:val="0BC55E7E"/>
    <w:rsid w:val="0BCD69B5"/>
    <w:rsid w:val="0BF24799"/>
    <w:rsid w:val="0C104FD7"/>
    <w:rsid w:val="0C14470F"/>
    <w:rsid w:val="0C1D408B"/>
    <w:rsid w:val="0C3152C1"/>
    <w:rsid w:val="0C4D7C21"/>
    <w:rsid w:val="0CAA4522"/>
    <w:rsid w:val="0CAD246E"/>
    <w:rsid w:val="0CB437FC"/>
    <w:rsid w:val="0CBA3508"/>
    <w:rsid w:val="0CBE499B"/>
    <w:rsid w:val="0CCE3699"/>
    <w:rsid w:val="0CE340E1"/>
    <w:rsid w:val="0D1D3A97"/>
    <w:rsid w:val="0D24658C"/>
    <w:rsid w:val="0D576499"/>
    <w:rsid w:val="0D933D59"/>
    <w:rsid w:val="0D9C051F"/>
    <w:rsid w:val="0DA4667C"/>
    <w:rsid w:val="0DB02FF3"/>
    <w:rsid w:val="0DB50165"/>
    <w:rsid w:val="0DDC549C"/>
    <w:rsid w:val="0DEF4F7A"/>
    <w:rsid w:val="0DF02F5A"/>
    <w:rsid w:val="0DFC5BDC"/>
    <w:rsid w:val="0E1E1875"/>
    <w:rsid w:val="0E2A646C"/>
    <w:rsid w:val="0E2D1AB8"/>
    <w:rsid w:val="0E3550DB"/>
    <w:rsid w:val="0E4312DC"/>
    <w:rsid w:val="0E7E40C2"/>
    <w:rsid w:val="0E864F47"/>
    <w:rsid w:val="0E9D4E90"/>
    <w:rsid w:val="0E9F40E6"/>
    <w:rsid w:val="0EAD0264"/>
    <w:rsid w:val="0ECC12D1"/>
    <w:rsid w:val="0ED40A3F"/>
    <w:rsid w:val="0EE04D7C"/>
    <w:rsid w:val="0EF97BEC"/>
    <w:rsid w:val="0EFC193E"/>
    <w:rsid w:val="0EFC3072"/>
    <w:rsid w:val="0EFE3455"/>
    <w:rsid w:val="0F3D0F52"/>
    <w:rsid w:val="0F536946"/>
    <w:rsid w:val="0F582CEF"/>
    <w:rsid w:val="0F6076EB"/>
    <w:rsid w:val="0F7A6F7F"/>
    <w:rsid w:val="0FA20284"/>
    <w:rsid w:val="0FD573EB"/>
    <w:rsid w:val="0FD6408A"/>
    <w:rsid w:val="0FF00FEF"/>
    <w:rsid w:val="0FF860F6"/>
    <w:rsid w:val="10156CA8"/>
    <w:rsid w:val="102665D2"/>
    <w:rsid w:val="104355C3"/>
    <w:rsid w:val="10CD7582"/>
    <w:rsid w:val="10E723F2"/>
    <w:rsid w:val="1111746F"/>
    <w:rsid w:val="111725AC"/>
    <w:rsid w:val="113679C9"/>
    <w:rsid w:val="11665964"/>
    <w:rsid w:val="11B5429E"/>
    <w:rsid w:val="11B54A9B"/>
    <w:rsid w:val="11BF511D"/>
    <w:rsid w:val="11DE0C08"/>
    <w:rsid w:val="11FD5C45"/>
    <w:rsid w:val="12393AB5"/>
    <w:rsid w:val="12504EBA"/>
    <w:rsid w:val="12535865"/>
    <w:rsid w:val="12AF6F40"/>
    <w:rsid w:val="12E806A4"/>
    <w:rsid w:val="12FD1DB5"/>
    <w:rsid w:val="131173DF"/>
    <w:rsid w:val="13165211"/>
    <w:rsid w:val="13373EDF"/>
    <w:rsid w:val="13557860"/>
    <w:rsid w:val="135B2C24"/>
    <w:rsid w:val="13C22CA3"/>
    <w:rsid w:val="13F605DA"/>
    <w:rsid w:val="140A3B78"/>
    <w:rsid w:val="145F4995"/>
    <w:rsid w:val="148461AA"/>
    <w:rsid w:val="14CB6CEB"/>
    <w:rsid w:val="14D25167"/>
    <w:rsid w:val="14F21366"/>
    <w:rsid w:val="151505F5"/>
    <w:rsid w:val="15202377"/>
    <w:rsid w:val="154C316C"/>
    <w:rsid w:val="15814CEF"/>
    <w:rsid w:val="15AF023D"/>
    <w:rsid w:val="15BE226C"/>
    <w:rsid w:val="15CE3B81"/>
    <w:rsid w:val="15D60C87"/>
    <w:rsid w:val="15EE5FD1"/>
    <w:rsid w:val="16001253"/>
    <w:rsid w:val="160722F7"/>
    <w:rsid w:val="16077093"/>
    <w:rsid w:val="160C6494"/>
    <w:rsid w:val="164246D6"/>
    <w:rsid w:val="166D2940"/>
    <w:rsid w:val="168E1562"/>
    <w:rsid w:val="16A3500D"/>
    <w:rsid w:val="16B207CA"/>
    <w:rsid w:val="16C74C53"/>
    <w:rsid w:val="16D154FF"/>
    <w:rsid w:val="16EF3DAF"/>
    <w:rsid w:val="16FC16ED"/>
    <w:rsid w:val="17036DEF"/>
    <w:rsid w:val="170A0BE8"/>
    <w:rsid w:val="17183A8C"/>
    <w:rsid w:val="171B7D3E"/>
    <w:rsid w:val="172A128B"/>
    <w:rsid w:val="172B7C90"/>
    <w:rsid w:val="172D2DFA"/>
    <w:rsid w:val="17401FF3"/>
    <w:rsid w:val="174F0CF1"/>
    <w:rsid w:val="1776627E"/>
    <w:rsid w:val="177F6BB1"/>
    <w:rsid w:val="17906642"/>
    <w:rsid w:val="180D7253"/>
    <w:rsid w:val="181770F7"/>
    <w:rsid w:val="18273A1C"/>
    <w:rsid w:val="182932F0"/>
    <w:rsid w:val="18316649"/>
    <w:rsid w:val="18340B42"/>
    <w:rsid w:val="184620F4"/>
    <w:rsid w:val="185715DB"/>
    <w:rsid w:val="185D11EC"/>
    <w:rsid w:val="186D3FE3"/>
    <w:rsid w:val="186E51A7"/>
    <w:rsid w:val="18786026"/>
    <w:rsid w:val="187D188E"/>
    <w:rsid w:val="189B7D38"/>
    <w:rsid w:val="189E7194"/>
    <w:rsid w:val="18B232E6"/>
    <w:rsid w:val="18B86EE6"/>
    <w:rsid w:val="18D56FD4"/>
    <w:rsid w:val="1906607F"/>
    <w:rsid w:val="190A3122"/>
    <w:rsid w:val="19145D4E"/>
    <w:rsid w:val="195C76F5"/>
    <w:rsid w:val="196547FC"/>
    <w:rsid w:val="19670574"/>
    <w:rsid w:val="198D383C"/>
    <w:rsid w:val="19B765ED"/>
    <w:rsid w:val="19C239FC"/>
    <w:rsid w:val="19D83220"/>
    <w:rsid w:val="19E80F89"/>
    <w:rsid w:val="1A085187"/>
    <w:rsid w:val="1A183B5E"/>
    <w:rsid w:val="1A3B37AF"/>
    <w:rsid w:val="1A6E340B"/>
    <w:rsid w:val="1AA90718"/>
    <w:rsid w:val="1AC331FF"/>
    <w:rsid w:val="1AC47245"/>
    <w:rsid w:val="1ACB03E6"/>
    <w:rsid w:val="1B304996"/>
    <w:rsid w:val="1B546912"/>
    <w:rsid w:val="1B6D55EF"/>
    <w:rsid w:val="1B78764C"/>
    <w:rsid w:val="1B8A054A"/>
    <w:rsid w:val="1B950C9D"/>
    <w:rsid w:val="1B96116C"/>
    <w:rsid w:val="1BA50EE0"/>
    <w:rsid w:val="1BBA3A2F"/>
    <w:rsid w:val="1BBB4BA7"/>
    <w:rsid w:val="1BCF0653"/>
    <w:rsid w:val="1BF105C9"/>
    <w:rsid w:val="1BF77642"/>
    <w:rsid w:val="1C275D99"/>
    <w:rsid w:val="1C4F2547"/>
    <w:rsid w:val="1C730FDE"/>
    <w:rsid w:val="1C772CCC"/>
    <w:rsid w:val="1CBE5557"/>
    <w:rsid w:val="1CDA72AF"/>
    <w:rsid w:val="1CDD6D9F"/>
    <w:rsid w:val="1D107A2E"/>
    <w:rsid w:val="1D1803ED"/>
    <w:rsid w:val="1D24052A"/>
    <w:rsid w:val="1D3E783E"/>
    <w:rsid w:val="1D4D5CD3"/>
    <w:rsid w:val="1D7F39B2"/>
    <w:rsid w:val="1D9C6312"/>
    <w:rsid w:val="1DD107F8"/>
    <w:rsid w:val="1DFD7DB0"/>
    <w:rsid w:val="1E0F2F88"/>
    <w:rsid w:val="1E0F36AA"/>
    <w:rsid w:val="1E1862E1"/>
    <w:rsid w:val="1E1A0169"/>
    <w:rsid w:val="1E1A6C92"/>
    <w:rsid w:val="1E516B96"/>
    <w:rsid w:val="1E566E09"/>
    <w:rsid w:val="1E8361A2"/>
    <w:rsid w:val="1F1620F4"/>
    <w:rsid w:val="1F2667DB"/>
    <w:rsid w:val="1F372797"/>
    <w:rsid w:val="1F3C1B5B"/>
    <w:rsid w:val="1F4924CA"/>
    <w:rsid w:val="1F5D4776"/>
    <w:rsid w:val="1F6E53CE"/>
    <w:rsid w:val="1F8463F4"/>
    <w:rsid w:val="1F9425BE"/>
    <w:rsid w:val="1FA82934"/>
    <w:rsid w:val="1FAE057F"/>
    <w:rsid w:val="1FC81641"/>
    <w:rsid w:val="1FD224BF"/>
    <w:rsid w:val="1FDC3F0E"/>
    <w:rsid w:val="1FFC578E"/>
    <w:rsid w:val="206550E2"/>
    <w:rsid w:val="20735307"/>
    <w:rsid w:val="20783067"/>
    <w:rsid w:val="2079293B"/>
    <w:rsid w:val="207D242B"/>
    <w:rsid w:val="20A200E4"/>
    <w:rsid w:val="20CC0A42"/>
    <w:rsid w:val="20CD4FA8"/>
    <w:rsid w:val="20E17005"/>
    <w:rsid w:val="2144119B"/>
    <w:rsid w:val="21701F90"/>
    <w:rsid w:val="21997739"/>
    <w:rsid w:val="21BA145D"/>
    <w:rsid w:val="21BA76AF"/>
    <w:rsid w:val="21C0573C"/>
    <w:rsid w:val="21D06ED2"/>
    <w:rsid w:val="21D97B35"/>
    <w:rsid w:val="21E309B4"/>
    <w:rsid w:val="21F42BC1"/>
    <w:rsid w:val="21FE5862"/>
    <w:rsid w:val="221A6F9F"/>
    <w:rsid w:val="221B313D"/>
    <w:rsid w:val="224F6049"/>
    <w:rsid w:val="227E6175"/>
    <w:rsid w:val="22902BFE"/>
    <w:rsid w:val="22A2261D"/>
    <w:rsid w:val="22A47A9C"/>
    <w:rsid w:val="22A939AB"/>
    <w:rsid w:val="22AC263C"/>
    <w:rsid w:val="22D04FA6"/>
    <w:rsid w:val="22DD3655"/>
    <w:rsid w:val="22DF561F"/>
    <w:rsid w:val="22E45E5A"/>
    <w:rsid w:val="22EA5D72"/>
    <w:rsid w:val="232E6CB4"/>
    <w:rsid w:val="23871813"/>
    <w:rsid w:val="238E494F"/>
    <w:rsid w:val="23CA493C"/>
    <w:rsid w:val="23D507D0"/>
    <w:rsid w:val="240D5EBD"/>
    <w:rsid w:val="24106B7C"/>
    <w:rsid w:val="242B79AD"/>
    <w:rsid w:val="2460453E"/>
    <w:rsid w:val="247973AD"/>
    <w:rsid w:val="24A0493A"/>
    <w:rsid w:val="24A87C93"/>
    <w:rsid w:val="24AF2DCF"/>
    <w:rsid w:val="24E0567E"/>
    <w:rsid w:val="2500187D"/>
    <w:rsid w:val="250A44A9"/>
    <w:rsid w:val="25816870"/>
    <w:rsid w:val="2593624D"/>
    <w:rsid w:val="25A14E0E"/>
    <w:rsid w:val="25AD693C"/>
    <w:rsid w:val="25BC57A4"/>
    <w:rsid w:val="25E44CFA"/>
    <w:rsid w:val="26062EC3"/>
    <w:rsid w:val="261A5016"/>
    <w:rsid w:val="262F241A"/>
    <w:rsid w:val="26552343"/>
    <w:rsid w:val="26631CEC"/>
    <w:rsid w:val="268B161A"/>
    <w:rsid w:val="26C012C4"/>
    <w:rsid w:val="26FC7E22"/>
    <w:rsid w:val="270A0791"/>
    <w:rsid w:val="27271343"/>
    <w:rsid w:val="27363334"/>
    <w:rsid w:val="275B2D9A"/>
    <w:rsid w:val="275F0EE8"/>
    <w:rsid w:val="27A2408C"/>
    <w:rsid w:val="27AF30E6"/>
    <w:rsid w:val="27CD7645"/>
    <w:rsid w:val="27DD7C53"/>
    <w:rsid w:val="27E91922"/>
    <w:rsid w:val="27EE293E"/>
    <w:rsid w:val="27F263D8"/>
    <w:rsid w:val="283D74B4"/>
    <w:rsid w:val="284B0E9E"/>
    <w:rsid w:val="284C5056"/>
    <w:rsid w:val="284D5353"/>
    <w:rsid w:val="28520659"/>
    <w:rsid w:val="286454FC"/>
    <w:rsid w:val="28697739"/>
    <w:rsid w:val="28777889"/>
    <w:rsid w:val="28777A3E"/>
    <w:rsid w:val="287C7BEB"/>
    <w:rsid w:val="28B92980"/>
    <w:rsid w:val="28C47AA8"/>
    <w:rsid w:val="28CB21A2"/>
    <w:rsid w:val="28CF3A40"/>
    <w:rsid w:val="28D4262F"/>
    <w:rsid w:val="28F04484"/>
    <w:rsid w:val="28F6721F"/>
    <w:rsid w:val="29302BB9"/>
    <w:rsid w:val="294837F2"/>
    <w:rsid w:val="299F4469"/>
    <w:rsid w:val="29B47BE2"/>
    <w:rsid w:val="29C33250"/>
    <w:rsid w:val="29CF7951"/>
    <w:rsid w:val="29EF76BA"/>
    <w:rsid w:val="2A0702E0"/>
    <w:rsid w:val="2A100351"/>
    <w:rsid w:val="2A1F3E3F"/>
    <w:rsid w:val="2A475858"/>
    <w:rsid w:val="2A573CED"/>
    <w:rsid w:val="2AA35184"/>
    <w:rsid w:val="2AD87490"/>
    <w:rsid w:val="2B067A32"/>
    <w:rsid w:val="2B0D0850"/>
    <w:rsid w:val="2B200583"/>
    <w:rsid w:val="2B2B6F28"/>
    <w:rsid w:val="2B3F26C3"/>
    <w:rsid w:val="2B58599E"/>
    <w:rsid w:val="2B986607"/>
    <w:rsid w:val="2B996587"/>
    <w:rsid w:val="2BA94A1C"/>
    <w:rsid w:val="2BB33634"/>
    <w:rsid w:val="2BB86A0D"/>
    <w:rsid w:val="2BBB02AC"/>
    <w:rsid w:val="2BC1720F"/>
    <w:rsid w:val="2BC41856"/>
    <w:rsid w:val="2BD82C0B"/>
    <w:rsid w:val="2BD96984"/>
    <w:rsid w:val="2C2045B2"/>
    <w:rsid w:val="2C395116"/>
    <w:rsid w:val="2C3A38C6"/>
    <w:rsid w:val="2C3F7CC2"/>
    <w:rsid w:val="2C5F157F"/>
    <w:rsid w:val="2C622E1D"/>
    <w:rsid w:val="2C736DD8"/>
    <w:rsid w:val="2C760B99"/>
    <w:rsid w:val="2C8E59C0"/>
    <w:rsid w:val="2C9A25B7"/>
    <w:rsid w:val="2CB72A63"/>
    <w:rsid w:val="2CDE06F5"/>
    <w:rsid w:val="2CE95E5F"/>
    <w:rsid w:val="2D0143E4"/>
    <w:rsid w:val="2D034995"/>
    <w:rsid w:val="2D382F2D"/>
    <w:rsid w:val="2D412A32"/>
    <w:rsid w:val="2D4B38B1"/>
    <w:rsid w:val="2D5B1D46"/>
    <w:rsid w:val="2D5B7F98"/>
    <w:rsid w:val="2D723ABC"/>
    <w:rsid w:val="2D7C29C2"/>
    <w:rsid w:val="2D8172D3"/>
    <w:rsid w:val="2D92328E"/>
    <w:rsid w:val="2DC518B5"/>
    <w:rsid w:val="2DD30696"/>
    <w:rsid w:val="2DEC299E"/>
    <w:rsid w:val="2E0B5F8F"/>
    <w:rsid w:val="2E1275DE"/>
    <w:rsid w:val="2E224612"/>
    <w:rsid w:val="2E352312"/>
    <w:rsid w:val="2E450300"/>
    <w:rsid w:val="2E510DF0"/>
    <w:rsid w:val="2E532A1D"/>
    <w:rsid w:val="2E823302"/>
    <w:rsid w:val="2E91369D"/>
    <w:rsid w:val="2E9B6172"/>
    <w:rsid w:val="2EA901B0"/>
    <w:rsid w:val="2EB84F76"/>
    <w:rsid w:val="2EEB70FA"/>
    <w:rsid w:val="2EF44D3F"/>
    <w:rsid w:val="2EFF36B1"/>
    <w:rsid w:val="2F0D52C2"/>
    <w:rsid w:val="2F132351"/>
    <w:rsid w:val="2F5B427F"/>
    <w:rsid w:val="2F776BDF"/>
    <w:rsid w:val="2F8025DE"/>
    <w:rsid w:val="2F8310E0"/>
    <w:rsid w:val="2F833124"/>
    <w:rsid w:val="2F8B74AF"/>
    <w:rsid w:val="2FBE65BC"/>
    <w:rsid w:val="2FDA1557"/>
    <w:rsid w:val="2FE37146"/>
    <w:rsid w:val="2FF87D20"/>
    <w:rsid w:val="3002294D"/>
    <w:rsid w:val="300F4221"/>
    <w:rsid w:val="30136908"/>
    <w:rsid w:val="302208F9"/>
    <w:rsid w:val="303D1BD7"/>
    <w:rsid w:val="30A109B9"/>
    <w:rsid w:val="30C505ED"/>
    <w:rsid w:val="30CB2D3F"/>
    <w:rsid w:val="30D2231F"/>
    <w:rsid w:val="30DF3E57"/>
    <w:rsid w:val="30E20C8F"/>
    <w:rsid w:val="311A3CC6"/>
    <w:rsid w:val="312C2D11"/>
    <w:rsid w:val="31336B36"/>
    <w:rsid w:val="31342FDA"/>
    <w:rsid w:val="31436B2B"/>
    <w:rsid w:val="315216B2"/>
    <w:rsid w:val="317A6513"/>
    <w:rsid w:val="31B24F14"/>
    <w:rsid w:val="31BD69DF"/>
    <w:rsid w:val="31CD69AE"/>
    <w:rsid w:val="31D20CD6"/>
    <w:rsid w:val="31D43E75"/>
    <w:rsid w:val="31F2079F"/>
    <w:rsid w:val="32035AEE"/>
    <w:rsid w:val="323855E5"/>
    <w:rsid w:val="32537490"/>
    <w:rsid w:val="32566F80"/>
    <w:rsid w:val="32AE0B6A"/>
    <w:rsid w:val="32D74469"/>
    <w:rsid w:val="32E12A2C"/>
    <w:rsid w:val="33034158"/>
    <w:rsid w:val="33070D20"/>
    <w:rsid w:val="330B7D6A"/>
    <w:rsid w:val="33386686"/>
    <w:rsid w:val="336A2CE3"/>
    <w:rsid w:val="33784CD4"/>
    <w:rsid w:val="3387038F"/>
    <w:rsid w:val="339615E4"/>
    <w:rsid w:val="339C4E66"/>
    <w:rsid w:val="33A85332"/>
    <w:rsid w:val="33AD7074"/>
    <w:rsid w:val="33DA3647"/>
    <w:rsid w:val="33EA3E24"/>
    <w:rsid w:val="340C5B48"/>
    <w:rsid w:val="341D5FA7"/>
    <w:rsid w:val="344828F8"/>
    <w:rsid w:val="344935EA"/>
    <w:rsid w:val="34586FDF"/>
    <w:rsid w:val="347B2CCE"/>
    <w:rsid w:val="34981C71"/>
    <w:rsid w:val="349C446B"/>
    <w:rsid w:val="349D0E96"/>
    <w:rsid w:val="34E51744"/>
    <w:rsid w:val="34E81F70"/>
    <w:rsid w:val="3500467B"/>
    <w:rsid w:val="35074561"/>
    <w:rsid w:val="350902DA"/>
    <w:rsid w:val="35135114"/>
    <w:rsid w:val="35135F69"/>
    <w:rsid w:val="35143D98"/>
    <w:rsid w:val="352D221A"/>
    <w:rsid w:val="353A66E5"/>
    <w:rsid w:val="354632DC"/>
    <w:rsid w:val="355377A7"/>
    <w:rsid w:val="35661288"/>
    <w:rsid w:val="358B0BBB"/>
    <w:rsid w:val="359758E5"/>
    <w:rsid w:val="35AD6EB7"/>
    <w:rsid w:val="35BA15D4"/>
    <w:rsid w:val="35C02258"/>
    <w:rsid w:val="35CF507F"/>
    <w:rsid w:val="35E45E36"/>
    <w:rsid w:val="35EE2E1E"/>
    <w:rsid w:val="35EF127D"/>
    <w:rsid w:val="36162CAE"/>
    <w:rsid w:val="3616309C"/>
    <w:rsid w:val="36237179"/>
    <w:rsid w:val="36257395"/>
    <w:rsid w:val="362A675A"/>
    <w:rsid w:val="3631651E"/>
    <w:rsid w:val="364D2448"/>
    <w:rsid w:val="364E6D67"/>
    <w:rsid w:val="36625EF3"/>
    <w:rsid w:val="366552C8"/>
    <w:rsid w:val="366C6D72"/>
    <w:rsid w:val="367A5F70"/>
    <w:rsid w:val="36C44C52"/>
    <w:rsid w:val="36DB2584"/>
    <w:rsid w:val="370048A0"/>
    <w:rsid w:val="3701395E"/>
    <w:rsid w:val="3720190B"/>
    <w:rsid w:val="372A4537"/>
    <w:rsid w:val="373F6235"/>
    <w:rsid w:val="37645C9B"/>
    <w:rsid w:val="376D2DA2"/>
    <w:rsid w:val="37850D0B"/>
    <w:rsid w:val="378679C0"/>
    <w:rsid w:val="37966768"/>
    <w:rsid w:val="37F91FB1"/>
    <w:rsid w:val="38084878"/>
    <w:rsid w:val="38287AED"/>
    <w:rsid w:val="38402264"/>
    <w:rsid w:val="3844411C"/>
    <w:rsid w:val="38495371"/>
    <w:rsid w:val="386817B6"/>
    <w:rsid w:val="387463B2"/>
    <w:rsid w:val="38A8605B"/>
    <w:rsid w:val="38E57C93"/>
    <w:rsid w:val="38E6379C"/>
    <w:rsid w:val="38EC419A"/>
    <w:rsid w:val="38FF3ECD"/>
    <w:rsid w:val="3911775D"/>
    <w:rsid w:val="392812AC"/>
    <w:rsid w:val="39286DCA"/>
    <w:rsid w:val="393618B9"/>
    <w:rsid w:val="393957B3"/>
    <w:rsid w:val="39737207"/>
    <w:rsid w:val="3986014B"/>
    <w:rsid w:val="399C171C"/>
    <w:rsid w:val="399E7A18"/>
    <w:rsid w:val="39BC591B"/>
    <w:rsid w:val="39D114EA"/>
    <w:rsid w:val="39FA28E7"/>
    <w:rsid w:val="39FB51A0"/>
    <w:rsid w:val="39FD5F33"/>
    <w:rsid w:val="3A0948D8"/>
    <w:rsid w:val="3A0B68A2"/>
    <w:rsid w:val="3A371445"/>
    <w:rsid w:val="3A3C3AC3"/>
    <w:rsid w:val="3A40527C"/>
    <w:rsid w:val="3A920D71"/>
    <w:rsid w:val="3A940645"/>
    <w:rsid w:val="3AAD1707"/>
    <w:rsid w:val="3AC0143A"/>
    <w:rsid w:val="3AFB2473"/>
    <w:rsid w:val="3B0752BB"/>
    <w:rsid w:val="3B1347E5"/>
    <w:rsid w:val="3B3D08D7"/>
    <w:rsid w:val="3B467E8E"/>
    <w:rsid w:val="3B4C3626"/>
    <w:rsid w:val="3B547DD5"/>
    <w:rsid w:val="3B6250F8"/>
    <w:rsid w:val="3B787F67"/>
    <w:rsid w:val="3B871F58"/>
    <w:rsid w:val="3BA66882"/>
    <w:rsid w:val="3BAB0D0E"/>
    <w:rsid w:val="3BB0723B"/>
    <w:rsid w:val="3BCA3F69"/>
    <w:rsid w:val="3BDA652C"/>
    <w:rsid w:val="3BE22DDC"/>
    <w:rsid w:val="3BEF7DFD"/>
    <w:rsid w:val="3C0815AA"/>
    <w:rsid w:val="3C174531"/>
    <w:rsid w:val="3C1C4D96"/>
    <w:rsid w:val="3C28373B"/>
    <w:rsid w:val="3C3D7B8B"/>
    <w:rsid w:val="3C411C6F"/>
    <w:rsid w:val="3C4F5748"/>
    <w:rsid w:val="3C667DC0"/>
    <w:rsid w:val="3C6B7ACC"/>
    <w:rsid w:val="3C6E388A"/>
    <w:rsid w:val="3C7E77FF"/>
    <w:rsid w:val="3C8C0DEF"/>
    <w:rsid w:val="3CDA7DA7"/>
    <w:rsid w:val="3CFE679F"/>
    <w:rsid w:val="3D361E88"/>
    <w:rsid w:val="3D5061A6"/>
    <w:rsid w:val="3D5F4F1F"/>
    <w:rsid w:val="3D7F13EA"/>
    <w:rsid w:val="3D9465AA"/>
    <w:rsid w:val="3D995F73"/>
    <w:rsid w:val="3D9F50BB"/>
    <w:rsid w:val="3D9F5C7F"/>
    <w:rsid w:val="3DA4172B"/>
    <w:rsid w:val="3DAB63D2"/>
    <w:rsid w:val="3DD05E38"/>
    <w:rsid w:val="3DF16A74"/>
    <w:rsid w:val="3E007619"/>
    <w:rsid w:val="3E166F89"/>
    <w:rsid w:val="3E2C6DE7"/>
    <w:rsid w:val="3E54340C"/>
    <w:rsid w:val="3E802756"/>
    <w:rsid w:val="3E8D3F69"/>
    <w:rsid w:val="3E9C5D1B"/>
    <w:rsid w:val="3EC45D6B"/>
    <w:rsid w:val="3EDB67D4"/>
    <w:rsid w:val="3EEC0F70"/>
    <w:rsid w:val="3EF21DDE"/>
    <w:rsid w:val="3F11495A"/>
    <w:rsid w:val="3F23468E"/>
    <w:rsid w:val="3F261A88"/>
    <w:rsid w:val="3F3E5024"/>
    <w:rsid w:val="3F6F78D3"/>
    <w:rsid w:val="3F773FC1"/>
    <w:rsid w:val="3FB45731"/>
    <w:rsid w:val="3FC92B3F"/>
    <w:rsid w:val="3FD9009B"/>
    <w:rsid w:val="3FE1257F"/>
    <w:rsid w:val="3FF822CF"/>
    <w:rsid w:val="3FFA0F4B"/>
    <w:rsid w:val="401A3601"/>
    <w:rsid w:val="402D7572"/>
    <w:rsid w:val="406B009A"/>
    <w:rsid w:val="407C7B4A"/>
    <w:rsid w:val="40901B46"/>
    <w:rsid w:val="40A8309D"/>
    <w:rsid w:val="40BD0440"/>
    <w:rsid w:val="40C902B3"/>
    <w:rsid w:val="40E57E4D"/>
    <w:rsid w:val="40FC6F44"/>
    <w:rsid w:val="410A78B3"/>
    <w:rsid w:val="41384420"/>
    <w:rsid w:val="414867C0"/>
    <w:rsid w:val="41566976"/>
    <w:rsid w:val="4159381C"/>
    <w:rsid w:val="41A06FEC"/>
    <w:rsid w:val="41A2189A"/>
    <w:rsid w:val="41A43864"/>
    <w:rsid w:val="41A73354"/>
    <w:rsid w:val="41DD0B24"/>
    <w:rsid w:val="41E13839"/>
    <w:rsid w:val="41E16594"/>
    <w:rsid w:val="41EC0D67"/>
    <w:rsid w:val="41EE2D31"/>
    <w:rsid w:val="420662CD"/>
    <w:rsid w:val="421F0F73"/>
    <w:rsid w:val="422E312E"/>
    <w:rsid w:val="427C4FC6"/>
    <w:rsid w:val="429338D8"/>
    <w:rsid w:val="42A367A1"/>
    <w:rsid w:val="42D642C4"/>
    <w:rsid w:val="42E950AA"/>
    <w:rsid w:val="431A7B56"/>
    <w:rsid w:val="432824BB"/>
    <w:rsid w:val="43370096"/>
    <w:rsid w:val="43525542"/>
    <w:rsid w:val="435F0420"/>
    <w:rsid w:val="43A0005B"/>
    <w:rsid w:val="43AE09CA"/>
    <w:rsid w:val="43B35F95"/>
    <w:rsid w:val="43C006FD"/>
    <w:rsid w:val="43C95804"/>
    <w:rsid w:val="43EA47F8"/>
    <w:rsid w:val="43FC569C"/>
    <w:rsid w:val="44004F9E"/>
    <w:rsid w:val="442C43B6"/>
    <w:rsid w:val="443F7874"/>
    <w:rsid w:val="444C0491"/>
    <w:rsid w:val="448156A1"/>
    <w:rsid w:val="449A71A0"/>
    <w:rsid w:val="44F72A36"/>
    <w:rsid w:val="451900C5"/>
    <w:rsid w:val="4550785F"/>
    <w:rsid w:val="455366AC"/>
    <w:rsid w:val="456450B8"/>
    <w:rsid w:val="45672F9B"/>
    <w:rsid w:val="45765517"/>
    <w:rsid w:val="45A2455E"/>
    <w:rsid w:val="45C97502"/>
    <w:rsid w:val="45E306D3"/>
    <w:rsid w:val="45EC7588"/>
    <w:rsid w:val="460715E8"/>
    <w:rsid w:val="460743C1"/>
    <w:rsid w:val="46206EE9"/>
    <w:rsid w:val="46431172"/>
    <w:rsid w:val="465B64BB"/>
    <w:rsid w:val="46744858"/>
    <w:rsid w:val="46AF05B5"/>
    <w:rsid w:val="46C329DE"/>
    <w:rsid w:val="46E62229"/>
    <w:rsid w:val="46F5246C"/>
    <w:rsid w:val="474B6C05"/>
    <w:rsid w:val="47544DB7"/>
    <w:rsid w:val="47764260"/>
    <w:rsid w:val="47887784"/>
    <w:rsid w:val="47B71E17"/>
    <w:rsid w:val="47B97F39"/>
    <w:rsid w:val="47D3711A"/>
    <w:rsid w:val="480A0199"/>
    <w:rsid w:val="4832149E"/>
    <w:rsid w:val="485A1120"/>
    <w:rsid w:val="48641F10"/>
    <w:rsid w:val="48B2162B"/>
    <w:rsid w:val="48D3288F"/>
    <w:rsid w:val="48D507A7"/>
    <w:rsid w:val="48D6451F"/>
    <w:rsid w:val="48FE6B35"/>
    <w:rsid w:val="49052248"/>
    <w:rsid w:val="492F3120"/>
    <w:rsid w:val="49667FF7"/>
    <w:rsid w:val="49706F05"/>
    <w:rsid w:val="497E25DC"/>
    <w:rsid w:val="49844749"/>
    <w:rsid w:val="49AC0B45"/>
    <w:rsid w:val="49B32A51"/>
    <w:rsid w:val="49BC3715"/>
    <w:rsid w:val="49BD47E6"/>
    <w:rsid w:val="49E72CD1"/>
    <w:rsid w:val="4A2977C3"/>
    <w:rsid w:val="4A9D3546"/>
    <w:rsid w:val="4AA96DEB"/>
    <w:rsid w:val="4AC07235"/>
    <w:rsid w:val="4AC70E41"/>
    <w:rsid w:val="4ADD703D"/>
    <w:rsid w:val="4AE74110"/>
    <w:rsid w:val="4AFA05B9"/>
    <w:rsid w:val="4B2E1FB3"/>
    <w:rsid w:val="4B6E0A3F"/>
    <w:rsid w:val="4B7E5126"/>
    <w:rsid w:val="4B9D3A4B"/>
    <w:rsid w:val="4BC93A21"/>
    <w:rsid w:val="4BDD450F"/>
    <w:rsid w:val="4BF2341E"/>
    <w:rsid w:val="4BF76C86"/>
    <w:rsid w:val="4C017B05"/>
    <w:rsid w:val="4C3413F1"/>
    <w:rsid w:val="4C352882"/>
    <w:rsid w:val="4C433C79"/>
    <w:rsid w:val="4C575977"/>
    <w:rsid w:val="4C6205A3"/>
    <w:rsid w:val="4C6A1298"/>
    <w:rsid w:val="4C7B1665"/>
    <w:rsid w:val="4CA26BF2"/>
    <w:rsid w:val="4CB31158"/>
    <w:rsid w:val="4CB93F3C"/>
    <w:rsid w:val="4CC0039B"/>
    <w:rsid w:val="4CC56D84"/>
    <w:rsid w:val="4CE4545C"/>
    <w:rsid w:val="4CF662CC"/>
    <w:rsid w:val="4D09575C"/>
    <w:rsid w:val="4D1D096E"/>
    <w:rsid w:val="4D324DDA"/>
    <w:rsid w:val="4D785BA5"/>
    <w:rsid w:val="4DAA41F9"/>
    <w:rsid w:val="4DAA6616"/>
    <w:rsid w:val="4DB72B71"/>
    <w:rsid w:val="4DC54612"/>
    <w:rsid w:val="4DF96CE5"/>
    <w:rsid w:val="4E0538DC"/>
    <w:rsid w:val="4E151645"/>
    <w:rsid w:val="4E172CFC"/>
    <w:rsid w:val="4E1C4782"/>
    <w:rsid w:val="4E593C28"/>
    <w:rsid w:val="4E5E2FEC"/>
    <w:rsid w:val="4E606D65"/>
    <w:rsid w:val="4E616114"/>
    <w:rsid w:val="4E8C5DAC"/>
    <w:rsid w:val="4EA16D5B"/>
    <w:rsid w:val="4EB86BA1"/>
    <w:rsid w:val="4F1F0E5A"/>
    <w:rsid w:val="4F2E0C11"/>
    <w:rsid w:val="4F604B42"/>
    <w:rsid w:val="4F9921CC"/>
    <w:rsid w:val="4FA26235"/>
    <w:rsid w:val="4FC155E1"/>
    <w:rsid w:val="4FEE1371"/>
    <w:rsid w:val="4FF21C3E"/>
    <w:rsid w:val="4FFD7F4B"/>
    <w:rsid w:val="4FFE755B"/>
    <w:rsid w:val="500C5311"/>
    <w:rsid w:val="50265D8C"/>
    <w:rsid w:val="503C735D"/>
    <w:rsid w:val="503E0CFF"/>
    <w:rsid w:val="5058544D"/>
    <w:rsid w:val="506D7517"/>
    <w:rsid w:val="50715259"/>
    <w:rsid w:val="50884351"/>
    <w:rsid w:val="50B45146"/>
    <w:rsid w:val="50EA500B"/>
    <w:rsid w:val="50F934A0"/>
    <w:rsid w:val="50FB1B3D"/>
    <w:rsid w:val="510936E3"/>
    <w:rsid w:val="51114346"/>
    <w:rsid w:val="512E4EF8"/>
    <w:rsid w:val="51352C37"/>
    <w:rsid w:val="514C35D0"/>
    <w:rsid w:val="515029E4"/>
    <w:rsid w:val="515D758B"/>
    <w:rsid w:val="516E79EA"/>
    <w:rsid w:val="51895373"/>
    <w:rsid w:val="51991768"/>
    <w:rsid w:val="519D6FD4"/>
    <w:rsid w:val="51B57EE1"/>
    <w:rsid w:val="51BA20E7"/>
    <w:rsid w:val="51C50868"/>
    <w:rsid w:val="51DB6702"/>
    <w:rsid w:val="51DD247A"/>
    <w:rsid w:val="51F779E0"/>
    <w:rsid w:val="51FA302C"/>
    <w:rsid w:val="5208399B"/>
    <w:rsid w:val="520F42B6"/>
    <w:rsid w:val="521C154C"/>
    <w:rsid w:val="52253A95"/>
    <w:rsid w:val="52426781"/>
    <w:rsid w:val="526B5CD8"/>
    <w:rsid w:val="52732285"/>
    <w:rsid w:val="527A416D"/>
    <w:rsid w:val="527B23BF"/>
    <w:rsid w:val="527E5A0B"/>
    <w:rsid w:val="52AB4326"/>
    <w:rsid w:val="52ED3AD0"/>
    <w:rsid w:val="531620E8"/>
    <w:rsid w:val="531C5590"/>
    <w:rsid w:val="534034E3"/>
    <w:rsid w:val="53535DCF"/>
    <w:rsid w:val="53876B42"/>
    <w:rsid w:val="5394300C"/>
    <w:rsid w:val="53CD5510"/>
    <w:rsid w:val="53F266B1"/>
    <w:rsid w:val="53F73CC7"/>
    <w:rsid w:val="5410373F"/>
    <w:rsid w:val="54216F96"/>
    <w:rsid w:val="544467E1"/>
    <w:rsid w:val="54772376"/>
    <w:rsid w:val="54802CFF"/>
    <w:rsid w:val="54A34429"/>
    <w:rsid w:val="54B64188"/>
    <w:rsid w:val="54CF07A0"/>
    <w:rsid w:val="54D20290"/>
    <w:rsid w:val="54EA7388"/>
    <w:rsid w:val="55095FB2"/>
    <w:rsid w:val="552A59D6"/>
    <w:rsid w:val="556709D9"/>
    <w:rsid w:val="556F5ADF"/>
    <w:rsid w:val="557A7FD8"/>
    <w:rsid w:val="557C1FAA"/>
    <w:rsid w:val="557F21C6"/>
    <w:rsid w:val="55801A9A"/>
    <w:rsid w:val="55983288"/>
    <w:rsid w:val="55C73951"/>
    <w:rsid w:val="55D00289"/>
    <w:rsid w:val="55E069DD"/>
    <w:rsid w:val="560426CB"/>
    <w:rsid w:val="56064695"/>
    <w:rsid w:val="563805C7"/>
    <w:rsid w:val="56555BD6"/>
    <w:rsid w:val="565B7EBC"/>
    <w:rsid w:val="5684380C"/>
    <w:rsid w:val="56CA639A"/>
    <w:rsid w:val="57057525"/>
    <w:rsid w:val="573214BA"/>
    <w:rsid w:val="57452F9B"/>
    <w:rsid w:val="575E5E0B"/>
    <w:rsid w:val="577367A5"/>
    <w:rsid w:val="57783371"/>
    <w:rsid w:val="577B69BD"/>
    <w:rsid w:val="57B27F05"/>
    <w:rsid w:val="57DD4F82"/>
    <w:rsid w:val="57F766CC"/>
    <w:rsid w:val="57F87CBF"/>
    <w:rsid w:val="57FA3D86"/>
    <w:rsid w:val="580B5F93"/>
    <w:rsid w:val="58152CA1"/>
    <w:rsid w:val="58360434"/>
    <w:rsid w:val="583F5C3D"/>
    <w:rsid w:val="586F37F2"/>
    <w:rsid w:val="589233DD"/>
    <w:rsid w:val="58A12453"/>
    <w:rsid w:val="58A66B97"/>
    <w:rsid w:val="58B02697"/>
    <w:rsid w:val="58D5492E"/>
    <w:rsid w:val="58EE3C97"/>
    <w:rsid w:val="58F20F01"/>
    <w:rsid w:val="59080725"/>
    <w:rsid w:val="59407EBE"/>
    <w:rsid w:val="5955110A"/>
    <w:rsid w:val="595D6444"/>
    <w:rsid w:val="596F2D36"/>
    <w:rsid w:val="5970191B"/>
    <w:rsid w:val="59701E26"/>
    <w:rsid w:val="597162CA"/>
    <w:rsid w:val="597B2CA5"/>
    <w:rsid w:val="599E0F7F"/>
    <w:rsid w:val="59A651A2"/>
    <w:rsid w:val="59B85CA7"/>
    <w:rsid w:val="59BE0A86"/>
    <w:rsid w:val="5A10260A"/>
    <w:rsid w:val="5A1412A6"/>
    <w:rsid w:val="5A6F3455"/>
    <w:rsid w:val="5AB53F94"/>
    <w:rsid w:val="5ABC660C"/>
    <w:rsid w:val="5AF979AA"/>
    <w:rsid w:val="5B28211D"/>
    <w:rsid w:val="5B372BFB"/>
    <w:rsid w:val="5B7A22BB"/>
    <w:rsid w:val="5B872136"/>
    <w:rsid w:val="5B8B2F47"/>
    <w:rsid w:val="5B9C33A6"/>
    <w:rsid w:val="5BB61896"/>
    <w:rsid w:val="5BFB00CD"/>
    <w:rsid w:val="5C1703A7"/>
    <w:rsid w:val="5C1B251D"/>
    <w:rsid w:val="5C2B0955"/>
    <w:rsid w:val="5C311D40"/>
    <w:rsid w:val="5C5421EC"/>
    <w:rsid w:val="5C593045"/>
    <w:rsid w:val="5C974299"/>
    <w:rsid w:val="5C9B1B86"/>
    <w:rsid w:val="5CBB6D3B"/>
    <w:rsid w:val="5CC16308"/>
    <w:rsid w:val="5CDA5F34"/>
    <w:rsid w:val="5CF42E9A"/>
    <w:rsid w:val="5CF76AE6"/>
    <w:rsid w:val="5D057A0D"/>
    <w:rsid w:val="5D0E70DE"/>
    <w:rsid w:val="5D1F2AE3"/>
    <w:rsid w:val="5D213B63"/>
    <w:rsid w:val="5D323FC2"/>
    <w:rsid w:val="5D3A69D3"/>
    <w:rsid w:val="5D437F7D"/>
    <w:rsid w:val="5D467A6D"/>
    <w:rsid w:val="5D5177E6"/>
    <w:rsid w:val="5D746389"/>
    <w:rsid w:val="5D942587"/>
    <w:rsid w:val="5DC10EA2"/>
    <w:rsid w:val="5DD75AF1"/>
    <w:rsid w:val="5DE23008"/>
    <w:rsid w:val="5E43018D"/>
    <w:rsid w:val="5E4C10B3"/>
    <w:rsid w:val="5E4C2E61"/>
    <w:rsid w:val="5E56783C"/>
    <w:rsid w:val="5E581806"/>
    <w:rsid w:val="5E79352B"/>
    <w:rsid w:val="5EA20CD3"/>
    <w:rsid w:val="5EAB61E5"/>
    <w:rsid w:val="5EAC56AE"/>
    <w:rsid w:val="5EBA601D"/>
    <w:rsid w:val="5ED52E57"/>
    <w:rsid w:val="5ED657C7"/>
    <w:rsid w:val="5F1576F7"/>
    <w:rsid w:val="5F397EDF"/>
    <w:rsid w:val="5F3C1128"/>
    <w:rsid w:val="5F5A335C"/>
    <w:rsid w:val="5F663330"/>
    <w:rsid w:val="5F697D26"/>
    <w:rsid w:val="5F6D6DBA"/>
    <w:rsid w:val="5F750196"/>
    <w:rsid w:val="5FD96977"/>
    <w:rsid w:val="5FF94923"/>
    <w:rsid w:val="60237BF2"/>
    <w:rsid w:val="602D4A2B"/>
    <w:rsid w:val="60343BAD"/>
    <w:rsid w:val="60400434"/>
    <w:rsid w:val="60494250"/>
    <w:rsid w:val="60553502"/>
    <w:rsid w:val="606D2D36"/>
    <w:rsid w:val="60746F6B"/>
    <w:rsid w:val="608A1A1F"/>
    <w:rsid w:val="608D150F"/>
    <w:rsid w:val="60AE58AE"/>
    <w:rsid w:val="60D96503"/>
    <w:rsid w:val="60E87B50"/>
    <w:rsid w:val="611C2257"/>
    <w:rsid w:val="61267B8C"/>
    <w:rsid w:val="613D7EAE"/>
    <w:rsid w:val="613F0A5C"/>
    <w:rsid w:val="6142054C"/>
    <w:rsid w:val="614632F7"/>
    <w:rsid w:val="615746FB"/>
    <w:rsid w:val="615C33BC"/>
    <w:rsid w:val="615E2F29"/>
    <w:rsid w:val="617E2507"/>
    <w:rsid w:val="61970898"/>
    <w:rsid w:val="61E705AB"/>
    <w:rsid w:val="61F418F9"/>
    <w:rsid w:val="62471F04"/>
    <w:rsid w:val="624749F2"/>
    <w:rsid w:val="625152A3"/>
    <w:rsid w:val="62861693"/>
    <w:rsid w:val="629628FD"/>
    <w:rsid w:val="629E62BF"/>
    <w:rsid w:val="62CA0FC2"/>
    <w:rsid w:val="62DC1A1E"/>
    <w:rsid w:val="63051B4E"/>
    <w:rsid w:val="630755A9"/>
    <w:rsid w:val="631E69AA"/>
    <w:rsid w:val="635602DE"/>
    <w:rsid w:val="6361115D"/>
    <w:rsid w:val="6393434F"/>
    <w:rsid w:val="639A641D"/>
    <w:rsid w:val="63C94F54"/>
    <w:rsid w:val="64255028"/>
    <w:rsid w:val="644A1BF1"/>
    <w:rsid w:val="644C2A14"/>
    <w:rsid w:val="64947310"/>
    <w:rsid w:val="64B42061"/>
    <w:rsid w:val="64BA766C"/>
    <w:rsid w:val="64C6364A"/>
    <w:rsid w:val="64F32289"/>
    <w:rsid w:val="650A75D2"/>
    <w:rsid w:val="651915C4"/>
    <w:rsid w:val="65530F79"/>
    <w:rsid w:val="65586590"/>
    <w:rsid w:val="65782B10"/>
    <w:rsid w:val="6582360D"/>
    <w:rsid w:val="65C509D0"/>
    <w:rsid w:val="65D774B5"/>
    <w:rsid w:val="65DF0A5F"/>
    <w:rsid w:val="66140745"/>
    <w:rsid w:val="661F70AE"/>
    <w:rsid w:val="66214BD4"/>
    <w:rsid w:val="66434B4A"/>
    <w:rsid w:val="664D59CD"/>
    <w:rsid w:val="66521231"/>
    <w:rsid w:val="6672188F"/>
    <w:rsid w:val="66763171"/>
    <w:rsid w:val="667B30ED"/>
    <w:rsid w:val="6688431D"/>
    <w:rsid w:val="66974E96"/>
    <w:rsid w:val="66BE2423"/>
    <w:rsid w:val="66C043ED"/>
    <w:rsid w:val="66D81318"/>
    <w:rsid w:val="66E873CE"/>
    <w:rsid w:val="671C2656"/>
    <w:rsid w:val="67386679"/>
    <w:rsid w:val="673F5780"/>
    <w:rsid w:val="675933B5"/>
    <w:rsid w:val="67687433"/>
    <w:rsid w:val="676905E0"/>
    <w:rsid w:val="67892A30"/>
    <w:rsid w:val="678F3EC5"/>
    <w:rsid w:val="679D472E"/>
    <w:rsid w:val="67BC462C"/>
    <w:rsid w:val="67D04BC3"/>
    <w:rsid w:val="67D34322"/>
    <w:rsid w:val="67E759A9"/>
    <w:rsid w:val="68011CB0"/>
    <w:rsid w:val="68212C69"/>
    <w:rsid w:val="687A4A6F"/>
    <w:rsid w:val="689B6EBF"/>
    <w:rsid w:val="68A51AEC"/>
    <w:rsid w:val="68AA0EB0"/>
    <w:rsid w:val="68B60F4E"/>
    <w:rsid w:val="68C42F08"/>
    <w:rsid w:val="68D545C4"/>
    <w:rsid w:val="68E1672B"/>
    <w:rsid w:val="68E24BB9"/>
    <w:rsid w:val="68EE3711"/>
    <w:rsid w:val="68F15F51"/>
    <w:rsid w:val="69034A64"/>
    <w:rsid w:val="69112CDD"/>
    <w:rsid w:val="69313380"/>
    <w:rsid w:val="693A6327"/>
    <w:rsid w:val="69676DA1"/>
    <w:rsid w:val="69692B1A"/>
    <w:rsid w:val="698A2A90"/>
    <w:rsid w:val="698C5D3A"/>
    <w:rsid w:val="699851AD"/>
    <w:rsid w:val="69B144C0"/>
    <w:rsid w:val="69CD64A5"/>
    <w:rsid w:val="69D0341D"/>
    <w:rsid w:val="69EF3146"/>
    <w:rsid w:val="69F543AD"/>
    <w:rsid w:val="69FE4E0F"/>
    <w:rsid w:val="6A372C18"/>
    <w:rsid w:val="6A503CD9"/>
    <w:rsid w:val="6A5F3F1C"/>
    <w:rsid w:val="6A852AC9"/>
    <w:rsid w:val="6B0013F8"/>
    <w:rsid w:val="6B0A20DA"/>
    <w:rsid w:val="6B1D005F"/>
    <w:rsid w:val="6B2A5D00"/>
    <w:rsid w:val="6B2C3E0C"/>
    <w:rsid w:val="6B3C2787"/>
    <w:rsid w:val="6B4B024C"/>
    <w:rsid w:val="6B7C2016"/>
    <w:rsid w:val="6B801F5C"/>
    <w:rsid w:val="6B8359E9"/>
    <w:rsid w:val="6BA11F9E"/>
    <w:rsid w:val="6BA35D6F"/>
    <w:rsid w:val="6BAB44E6"/>
    <w:rsid w:val="6BC433D4"/>
    <w:rsid w:val="6C1219AF"/>
    <w:rsid w:val="6C523D39"/>
    <w:rsid w:val="6C6677E4"/>
    <w:rsid w:val="6C7536DB"/>
    <w:rsid w:val="6C7A39C9"/>
    <w:rsid w:val="6C810E50"/>
    <w:rsid w:val="6C966AF8"/>
    <w:rsid w:val="6CA83F5B"/>
    <w:rsid w:val="6CB13096"/>
    <w:rsid w:val="6CBF6813"/>
    <w:rsid w:val="6CC13DE6"/>
    <w:rsid w:val="6CD438A3"/>
    <w:rsid w:val="6D050DAB"/>
    <w:rsid w:val="6D284A9A"/>
    <w:rsid w:val="6D2D3E5E"/>
    <w:rsid w:val="6D3B41A0"/>
    <w:rsid w:val="6D5B4E6F"/>
    <w:rsid w:val="6D63353E"/>
    <w:rsid w:val="6DA265FA"/>
    <w:rsid w:val="6DB3527E"/>
    <w:rsid w:val="6DB36A59"/>
    <w:rsid w:val="6DD50263"/>
    <w:rsid w:val="6E522AE8"/>
    <w:rsid w:val="6E587601"/>
    <w:rsid w:val="6E661D1D"/>
    <w:rsid w:val="6E712470"/>
    <w:rsid w:val="6E9D5C14"/>
    <w:rsid w:val="6E9F6FDD"/>
    <w:rsid w:val="6EC820AA"/>
    <w:rsid w:val="6ED50C51"/>
    <w:rsid w:val="6F1A48B6"/>
    <w:rsid w:val="6F1C23DC"/>
    <w:rsid w:val="6F4656AB"/>
    <w:rsid w:val="6F6057C3"/>
    <w:rsid w:val="6F6B5112"/>
    <w:rsid w:val="6FAA5C3A"/>
    <w:rsid w:val="6FFE3E9B"/>
    <w:rsid w:val="70221C74"/>
    <w:rsid w:val="702B1923"/>
    <w:rsid w:val="70567B70"/>
    <w:rsid w:val="70710506"/>
    <w:rsid w:val="70814BED"/>
    <w:rsid w:val="70C40F7D"/>
    <w:rsid w:val="70C42D2B"/>
    <w:rsid w:val="70CE3BAA"/>
    <w:rsid w:val="71036320"/>
    <w:rsid w:val="710D46D2"/>
    <w:rsid w:val="712F7C44"/>
    <w:rsid w:val="71526589"/>
    <w:rsid w:val="71881FAB"/>
    <w:rsid w:val="718C3A1E"/>
    <w:rsid w:val="71902FEF"/>
    <w:rsid w:val="719A3A8C"/>
    <w:rsid w:val="71A64C4D"/>
    <w:rsid w:val="71B20DD6"/>
    <w:rsid w:val="71C72AD3"/>
    <w:rsid w:val="71DE7D41"/>
    <w:rsid w:val="71E33685"/>
    <w:rsid w:val="722F60EC"/>
    <w:rsid w:val="72395053"/>
    <w:rsid w:val="725D51E5"/>
    <w:rsid w:val="727D3192"/>
    <w:rsid w:val="72867D5B"/>
    <w:rsid w:val="72873462"/>
    <w:rsid w:val="728C7879"/>
    <w:rsid w:val="72936E59"/>
    <w:rsid w:val="729D3834"/>
    <w:rsid w:val="72AD75E3"/>
    <w:rsid w:val="72AE3C93"/>
    <w:rsid w:val="72C139C6"/>
    <w:rsid w:val="72D10008"/>
    <w:rsid w:val="72E25AC3"/>
    <w:rsid w:val="72ED47BB"/>
    <w:rsid w:val="72EF7CA5"/>
    <w:rsid w:val="72F43335"/>
    <w:rsid w:val="72FC188C"/>
    <w:rsid w:val="73025EB3"/>
    <w:rsid w:val="73130CB0"/>
    <w:rsid w:val="7316304E"/>
    <w:rsid w:val="734B109B"/>
    <w:rsid w:val="736600CA"/>
    <w:rsid w:val="7387721E"/>
    <w:rsid w:val="73AF1A71"/>
    <w:rsid w:val="73B64A4C"/>
    <w:rsid w:val="73C33A9F"/>
    <w:rsid w:val="73C44343"/>
    <w:rsid w:val="73C61ADF"/>
    <w:rsid w:val="73ED4347"/>
    <w:rsid w:val="74047655"/>
    <w:rsid w:val="74082F2F"/>
    <w:rsid w:val="74085625"/>
    <w:rsid w:val="740C0C71"/>
    <w:rsid w:val="740F6B94"/>
    <w:rsid w:val="74100271"/>
    <w:rsid w:val="741144D9"/>
    <w:rsid w:val="74181387"/>
    <w:rsid w:val="74275AAB"/>
    <w:rsid w:val="7447614D"/>
    <w:rsid w:val="74483F0C"/>
    <w:rsid w:val="7458046D"/>
    <w:rsid w:val="745F53A2"/>
    <w:rsid w:val="74D379E1"/>
    <w:rsid w:val="74D774D1"/>
    <w:rsid w:val="75131343"/>
    <w:rsid w:val="75182CE8"/>
    <w:rsid w:val="751B5B7D"/>
    <w:rsid w:val="751C3136"/>
    <w:rsid w:val="7530273D"/>
    <w:rsid w:val="75371F31"/>
    <w:rsid w:val="75485C3B"/>
    <w:rsid w:val="75555038"/>
    <w:rsid w:val="755C1784"/>
    <w:rsid w:val="756D1BE3"/>
    <w:rsid w:val="75840CDB"/>
    <w:rsid w:val="75957F62"/>
    <w:rsid w:val="75A60C51"/>
    <w:rsid w:val="75E31EA6"/>
    <w:rsid w:val="75EF084A"/>
    <w:rsid w:val="75F06371"/>
    <w:rsid w:val="75FF0362"/>
    <w:rsid w:val="760D2A7F"/>
    <w:rsid w:val="76326989"/>
    <w:rsid w:val="764364A0"/>
    <w:rsid w:val="76487F5B"/>
    <w:rsid w:val="76610CFB"/>
    <w:rsid w:val="76816567"/>
    <w:rsid w:val="7686785D"/>
    <w:rsid w:val="7693567A"/>
    <w:rsid w:val="76937428"/>
    <w:rsid w:val="76A90112"/>
    <w:rsid w:val="76CC46E8"/>
    <w:rsid w:val="76CC7B07"/>
    <w:rsid w:val="76E01F41"/>
    <w:rsid w:val="76FA7191"/>
    <w:rsid w:val="76FB6D7B"/>
    <w:rsid w:val="7702789D"/>
    <w:rsid w:val="770943CA"/>
    <w:rsid w:val="775F37AE"/>
    <w:rsid w:val="777D10B5"/>
    <w:rsid w:val="779422FF"/>
    <w:rsid w:val="77B96B4D"/>
    <w:rsid w:val="77E90CB9"/>
    <w:rsid w:val="77F80C6B"/>
    <w:rsid w:val="77FF6710"/>
    <w:rsid w:val="78324A1E"/>
    <w:rsid w:val="783749AB"/>
    <w:rsid w:val="7872306D"/>
    <w:rsid w:val="78743289"/>
    <w:rsid w:val="788F1E71"/>
    <w:rsid w:val="78A243E5"/>
    <w:rsid w:val="78AD22F7"/>
    <w:rsid w:val="78C22246"/>
    <w:rsid w:val="78CD2A29"/>
    <w:rsid w:val="78DB6E64"/>
    <w:rsid w:val="78E51A91"/>
    <w:rsid w:val="791D122B"/>
    <w:rsid w:val="7925031F"/>
    <w:rsid w:val="792C4726"/>
    <w:rsid w:val="792E05C0"/>
    <w:rsid w:val="79591F0B"/>
    <w:rsid w:val="796C5D0E"/>
    <w:rsid w:val="797F5A41"/>
    <w:rsid w:val="79AE5675"/>
    <w:rsid w:val="79B654AB"/>
    <w:rsid w:val="79D00993"/>
    <w:rsid w:val="79EE0E19"/>
    <w:rsid w:val="7A146AD1"/>
    <w:rsid w:val="7A210A36"/>
    <w:rsid w:val="7A26398E"/>
    <w:rsid w:val="7A554DC2"/>
    <w:rsid w:val="7A792DD8"/>
    <w:rsid w:val="7A8157E9"/>
    <w:rsid w:val="7A8A0B42"/>
    <w:rsid w:val="7A8C2A1A"/>
    <w:rsid w:val="7A923E9A"/>
    <w:rsid w:val="7A9750AD"/>
    <w:rsid w:val="7AA5597C"/>
    <w:rsid w:val="7ABE6A3D"/>
    <w:rsid w:val="7ADD1ABD"/>
    <w:rsid w:val="7AE233F7"/>
    <w:rsid w:val="7B5B428C"/>
    <w:rsid w:val="7B8C2698"/>
    <w:rsid w:val="7B9B5D18"/>
    <w:rsid w:val="7B9F061D"/>
    <w:rsid w:val="7BAA496C"/>
    <w:rsid w:val="7BAE0860"/>
    <w:rsid w:val="7BC02341"/>
    <w:rsid w:val="7BC61286"/>
    <w:rsid w:val="7BC6204D"/>
    <w:rsid w:val="7BED4CDA"/>
    <w:rsid w:val="7BEF691F"/>
    <w:rsid w:val="7C294FD5"/>
    <w:rsid w:val="7C305719"/>
    <w:rsid w:val="7C352D2F"/>
    <w:rsid w:val="7C5C6A9F"/>
    <w:rsid w:val="7C61660D"/>
    <w:rsid w:val="7C730DE0"/>
    <w:rsid w:val="7C7E46D9"/>
    <w:rsid w:val="7C923CDE"/>
    <w:rsid w:val="7C945CA8"/>
    <w:rsid w:val="7CAD2DA4"/>
    <w:rsid w:val="7CBC7408"/>
    <w:rsid w:val="7CD51E1C"/>
    <w:rsid w:val="7CF24A77"/>
    <w:rsid w:val="7D4312CB"/>
    <w:rsid w:val="7D580A83"/>
    <w:rsid w:val="7D5947FB"/>
    <w:rsid w:val="7D6531A0"/>
    <w:rsid w:val="7D741635"/>
    <w:rsid w:val="7D787377"/>
    <w:rsid w:val="7D7A30EF"/>
    <w:rsid w:val="7D8A446B"/>
    <w:rsid w:val="7DAA7D38"/>
    <w:rsid w:val="7DAE2D99"/>
    <w:rsid w:val="7DEE3196"/>
    <w:rsid w:val="7E307C52"/>
    <w:rsid w:val="7E403C7E"/>
    <w:rsid w:val="7E504F2A"/>
    <w:rsid w:val="7E543940"/>
    <w:rsid w:val="7E56638B"/>
    <w:rsid w:val="7E5D031B"/>
    <w:rsid w:val="7E6D4A02"/>
    <w:rsid w:val="7E8B6C36"/>
    <w:rsid w:val="7EB05511"/>
    <w:rsid w:val="7EBE0DBA"/>
    <w:rsid w:val="7ECD36F3"/>
    <w:rsid w:val="7EE10F4C"/>
    <w:rsid w:val="7F166E48"/>
    <w:rsid w:val="7F365FF7"/>
    <w:rsid w:val="7F3B68AE"/>
    <w:rsid w:val="7F4549B0"/>
    <w:rsid w:val="7F6B78E7"/>
    <w:rsid w:val="7FC2432E"/>
    <w:rsid w:val="7FD0349B"/>
    <w:rsid w:val="7FE17456"/>
    <w:rsid w:val="7FEE56CF"/>
    <w:rsid w:val="7FF64583"/>
    <w:rsid w:val="7FF9291D"/>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iPriority="99"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73"/>
      <w:jc w:val="center"/>
      <w:outlineLvl w:val="0"/>
    </w:pPr>
    <w:rPr>
      <w:sz w:val="36"/>
      <w:szCs w:val="36"/>
    </w:rPr>
  </w:style>
  <w:style w:type="paragraph" w:styleId="3">
    <w:name w:val="heading 2"/>
    <w:basedOn w:val="1"/>
    <w:next w:val="1"/>
    <w:qFormat/>
    <w:uiPriority w:val="1"/>
    <w:pPr>
      <w:spacing w:before="62"/>
      <w:ind w:right="28"/>
      <w:jc w:val="center"/>
      <w:outlineLvl w:val="1"/>
    </w:pPr>
    <w:rPr>
      <w:sz w:val="28"/>
      <w:szCs w:val="28"/>
    </w:rPr>
  </w:style>
  <w:style w:type="paragraph" w:styleId="4">
    <w:name w:val="heading 3"/>
    <w:basedOn w:val="1"/>
    <w:next w:val="1"/>
    <w:qFormat/>
    <w:uiPriority w:val="1"/>
    <w:pPr>
      <w:spacing w:before="56"/>
      <w:ind w:left="208"/>
      <w:outlineLvl w:val="2"/>
    </w:pPr>
    <w:rPr>
      <w:i/>
      <w:sz w:val="25"/>
      <w:szCs w:val="25"/>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List Bullet 4"/>
    <w:basedOn w:val="1"/>
    <w:unhideWhenUsed/>
    <w:qFormat/>
    <w:uiPriority w:val="99"/>
    <w:pPr>
      <w:widowControl/>
      <w:tabs>
        <w:tab w:val="left" w:pos="432"/>
      </w:tabs>
      <w:autoSpaceDE/>
      <w:autoSpaceDN/>
      <w:spacing w:before="40" w:after="160"/>
      <w:ind w:left="432" w:hanging="432"/>
      <w:contextualSpacing/>
    </w:pPr>
    <w:rPr>
      <w:rFonts w:ascii="Cambria" w:hAnsi="Cambria" w:eastAsia="微软雅黑" w:cs="Times New Roman"/>
      <w:color w:val="595959"/>
      <w:kern w:val="20"/>
      <w:sz w:val="21"/>
      <w:szCs w:val="20"/>
      <w:lang w:val="zh-CN" w:eastAsia="zh-CN"/>
    </w:rPr>
  </w:style>
  <w:style w:type="paragraph" w:styleId="6">
    <w:name w:val="annotation text"/>
    <w:basedOn w:val="1"/>
    <w:link w:val="37"/>
    <w:unhideWhenUsed/>
    <w:qFormat/>
    <w:uiPriority w:val="99"/>
  </w:style>
  <w:style w:type="paragraph" w:styleId="7">
    <w:name w:val="Body Text"/>
    <w:basedOn w:val="1"/>
    <w:next w:val="8"/>
    <w:qFormat/>
    <w:uiPriority w:val="1"/>
    <w:rPr>
      <w:sz w:val="24"/>
      <w:szCs w:val="24"/>
    </w:rPr>
  </w:style>
  <w:style w:type="paragraph" w:customStyle="1" w:styleId="8">
    <w:name w:val="正文缩进1"/>
    <w:basedOn w:val="1"/>
    <w:next w:val="1"/>
    <w:qFormat/>
    <w:uiPriority w:val="0"/>
    <w:pPr>
      <w:autoSpaceDE w:val="0"/>
      <w:autoSpaceDN w:val="0"/>
      <w:adjustRightInd w:val="0"/>
      <w:spacing w:line="360" w:lineRule="atLeast"/>
      <w:ind w:firstLine="420"/>
      <w:textAlignment w:val="baseline"/>
    </w:pPr>
    <w:rPr>
      <w:rFonts w:ascii="宋体"/>
      <w:sz w:val="24"/>
    </w:rPr>
  </w:style>
  <w:style w:type="paragraph" w:styleId="9">
    <w:name w:val="toc 5"/>
    <w:basedOn w:val="1"/>
    <w:next w:val="1"/>
    <w:qFormat/>
    <w:uiPriority w:val="0"/>
    <w:pPr>
      <w:widowControl w:val="0"/>
      <w:tabs>
        <w:tab w:val="right" w:leader="dot" w:pos="8296"/>
      </w:tabs>
      <w:ind w:left="1050" w:leftChars="500"/>
      <w:jc w:val="both"/>
    </w:pPr>
    <w:rPr>
      <w:rFonts w:eastAsia="宋体"/>
      <w:kern w:val="2"/>
      <w:sz w:val="21"/>
      <w:szCs w:val="22"/>
    </w:rPr>
  </w:style>
  <w:style w:type="paragraph" w:styleId="10">
    <w:name w:val="Plain Text"/>
    <w:basedOn w:val="1"/>
    <w:link w:val="43"/>
    <w:qFormat/>
    <w:uiPriority w:val="0"/>
    <w:pPr>
      <w:autoSpaceDE/>
      <w:autoSpaceDN/>
      <w:jc w:val="both"/>
    </w:pPr>
    <w:rPr>
      <w:rFonts w:hAnsiTheme="minorHAnsi" w:cstheme="minorBidi"/>
      <w:kern w:val="2"/>
      <w:sz w:val="21"/>
      <w:lang w:eastAsia="zh-CN"/>
    </w:rPr>
  </w:style>
  <w:style w:type="paragraph" w:styleId="11">
    <w:name w:val="Date"/>
    <w:basedOn w:val="1"/>
    <w:next w:val="1"/>
    <w:link w:val="40"/>
    <w:semiHidden/>
    <w:unhideWhenUsed/>
    <w:qFormat/>
    <w:uiPriority w:val="99"/>
    <w:pPr>
      <w:ind w:left="100" w:leftChars="2500"/>
    </w:pPr>
  </w:style>
  <w:style w:type="paragraph" w:styleId="12">
    <w:name w:val="Body Text Indent 2"/>
    <w:basedOn w:val="1"/>
    <w:link w:val="42"/>
    <w:semiHidden/>
    <w:unhideWhenUsed/>
    <w:qFormat/>
    <w:uiPriority w:val="99"/>
    <w:pPr>
      <w:spacing w:after="120" w:line="480" w:lineRule="auto"/>
      <w:ind w:left="420" w:leftChars="200"/>
    </w:pPr>
  </w:style>
  <w:style w:type="paragraph" w:styleId="13">
    <w:name w:val="Balloon Text"/>
    <w:basedOn w:val="1"/>
    <w:link w:val="39"/>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semiHidden/>
    <w:unhideWhenUsed/>
    <w:qFormat/>
    <w:uiPriority w:val="39"/>
    <w:pPr>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0">
    <w:name w:val="Title"/>
    <w:basedOn w:val="2"/>
    <w:qFormat/>
    <w:uiPriority w:val="0"/>
    <w:pPr>
      <w:keepLines w:val="0"/>
      <w:tabs>
        <w:tab w:val="left" w:pos="48"/>
      </w:tabs>
      <w:overflowPunct w:val="0"/>
      <w:adjustRightInd w:val="0"/>
      <w:spacing w:before="240" w:after="60" w:line="300" w:lineRule="auto"/>
      <w:jc w:val="center"/>
    </w:pPr>
    <w:rPr>
      <w:rFonts w:ascii="Arial Narrow" w:hAnsi="Arial Narrow" w:eastAsia="黑体"/>
      <w:kern w:val="0"/>
      <w:sz w:val="30"/>
      <w:szCs w:val="32"/>
    </w:rPr>
  </w:style>
  <w:style w:type="paragraph" w:styleId="21">
    <w:name w:val="annotation subject"/>
    <w:basedOn w:val="6"/>
    <w:next w:val="6"/>
    <w:link w:val="38"/>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rPr>
  </w:style>
  <w:style w:type="character" w:styleId="26">
    <w:name w:val="Emphasis"/>
    <w:basedOn w:val="24"/>
    <w:qFormat/>
    <w:uiPriority w:val="20"/>
    <w:rPr>
      <w:i/>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unhideWhenUsed/>
    <w:qFormat/>
    <w:uiPriority w:val="99"/>
    <w:rPr>
      <w:sz w:val="21"/>
      <w:szCs w:val="21"/>
    </w:rPr>
  </w:style>
  <w:style w:type="character" w:styleId="29">
    <w:name w:val="HTML Sample"/>
    <w:basedOn w:val="24"/>
    <w:semiHidden/>
    <w:unhideWhenUsed/>
    <w:uiPriority w:val="99"/>
    <w:rPr>
      <w:rFonts w:ascii="Courier New" w:hAnsi="Courier New"/>
    </w:rPr>
  </w:style>
  <w:style w:type="paragraph" w:customStyle="1" w:styleId="30">
    <w:name w:val="列出段落1"/>
    <w:basedOn w:val="1"/>
    <w:qFormat/>
    <w:uiPriority w:val="34"/>
    <w:pPr>
      <w:autoSpaceDE/>
      <w:autoSpaceDN/>
      <w:adjustRightInd w:val="0"/>
      <w:spacing w:line="360" w:lineRule="auto"/>
      <w:ind w:firstLine="200" w:firstLineChars="200"/>
      <w:jc w:val="both"/>
    </w:pPr>
    <w:rPr>
      <w:rFonts w:ascii="Times New Roman" w:hAnsi="Times New Roman" w:eastAsia="楷体_GB2312" w:cs="Lucida Sans"/>
      <w:kern w:val="2"/>
      <w:sz w:val="24"/>
      <w:szCs w:val="24"/>
      <w:lang w:eastAsia="zh-CN"/>
    </w:rPr>
  </w:style>
  <w:style w:type="paragraph" w:customStyle="1" w:styleId="31">
    <w:name w:val="_Style 2"/>
    <w:next w:val="1"/>
    <w:qFormat/>
    <w:uiPriority w:val="0"/>
    <w:pPr>
      <w:spacing w:after="200" w:line="276" w:lineRule="auto"/>
    </w:pPr>
    <w:rPr>
      <w:rFonts w:ascii="Times New Roman" w:hAnsi="Times New Roman" w:eastAsia="宋体" w:cs="Times New Roman"/>
      <w:sz w:val="22"/>
      <w:szCs w:val="22"/>
      <w:lang w:val="en-US" w:eastAsia="zh-CN" w:bidi="ar-SA"/>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ind w:left="1616" w:hanging="721"/>
    </w:pPr>
  </w:style>
  <w:style w:type="paragraph" w:customStyle="1" w:styleId="34">
    <w:name w:val="Table Paragraph"/>
    <w:basedOn w:val="1"/>
    <w:qFormat/>
    <w:uiPriority w:val="1"/>
  </w:style>
  <w:style w:type="character" w:customStyle="1" w:styleId="35">
    <w:name w:val="页眉 Char"/>
    <w:basedOn w:val="24"/>
    <w:link w:val="15"/>
    <w:qFormat/>
    <w:uiPriority w:val="99"/>
    <w:rPr>
      <w:rFonts w:ascii="宋体" w:hAnsi="宋体" w:eastAsia="宋体" w:cs="宋体"/>
      <w:sz w:val="18"/>
      <w:szCs w:val="18"/>
    </w:rPr>
  </w:style>
  <w:style w:type="character" w:customStyle="1" w:styleId="36">
    <w:name w:val="页脚 Char"/>
    <w:basedOn w:val="24"/>
    <w:link w:val="14"/>
    <w:qFormat/>
    <w:uiPriority w:val="99"/>
    <w:rPr>
      <w:rFonts w:ascii="宋体" w:hAnsi="宋体" w:eastAsia="宋体" w:cs="宋体"/>
      <w:sz w:val="18"/>
      <w:szCs w:val="18"/>
    </w:rPr>
  </w:style>
  <w:style w:type="character" w:customStyle="1" w:styleId="37">
    <w:name w:val="批注文字 Char"/>
    <w:basedOn w:val="24"/>
    <w:link w:val="6"/>
    <w:qFormat/>
    <w:uiPriority w:val="99"/>
    <w:rPr>
      <w:rFonts w:ascii="宋体" w:hAnsi="宋体" w:eastAsia="宋体" w:cs="宋体"/>
    </w:rPr>
  </w:style>
  <w:style w:type="character" w:customStyle="1" w:styleId="38">
    <w:name w:val="批注主题 Char"/>
    <w:basedOn w:val="37"/>
    <w:link w:val="21"/>
    <w:semiHidden/>
    <w:qFormat/>
    <w:uiPriority w:val="99"/>
    <w:rPr>
      <w:rFonts w:ascii="宋体" w:hAnsi="宋体" w:eastAsia="宋体" w:cs="宋体"/>
      <w:b/>
      <w:bCs/>
    </w:rPr>
  </w:style>
  <w:style w:type="character" w:customStyle="1" w:styleId="39">
    <w:name w:val="批注框文本 Char"/>
    <w:basedOn w:val="24"/>
    <w:link w:val="13"/>
    <w:semiHidden/>
    <w:qFormat/>
    <w:uiPriority w:val="99"/>
    <w:rPr>
      <w:rFonts w:ascii="宋体" w:hAnsi="宋体" w:eastAsia="宋体" w:cs="宋体"/>
      <w:sz w:val="18"/>
      <w:szCs w:val="18"/>
    </w:rPr>
  </w:style>
  <w:style w:type="character" w:customStyle="1" w:styleId="40">
    <w:name w:val="日期 Char"/>
    <w:basedOn w:val="24"/>
    <w:link w:val="11"/>
    <w:semiHidden/>
    <w:qFormat/>
    <w:uiPriority w:val="99"/>
    <w:rPr>
      <w:rFonts w:ascii="宋体" w:hAnsi="宋体" w:eastAsia="宋体" w:cs="宋体"/>
    </w:rPr>
  </w:style>
  <w:style w:type="character" w:customStyle="1" w:styleId="41">
    <w:name w:val="批注文字 Char1"/>
    <w:qFormat/>
    <w:uiPriority w:val="99"/>
    <w:rPr>
      <w:kern w:val="2"/>
      <w:sz w:val="21"/>
      <w:szCs w:val="24"/>
    </w:rPr>
  </w:style>
  <w:style w:type="character" w:customStyle="1" w:styleId="42">
    <w:name w:val="正文文本缩进 2 Char"/>
    <w:basedOn w:val="24"/>
    <w:link w:val="12"/>
    <w:semiHidden/>
    <w:qFormat/>
    <w:uiPriority w:val="99"/>
    <w:rPr>
      <w:rFonts w:ascii="宋体" w:hAnsi="宋体" w:eastAsia="宋体" w:cs="宋体"/>
    </w:rPr>
  </w:style>
  <w:style w:type="character" w:customStyle="1" w:styleId="43">
    <w:name w:val="纯文本 Char"/>
    <w:link w:val="10"/>
    <w:qFormat/>
    <w:uiPriority w:val="0"/>
    <w:rPr>
      <w:rFonts w:ascii="宋体" w:eastAsia="宋体"/>
      <w:kern w:val="2"/>
      <w:sz w:val="21"/>
      <w:lang w:eastAsia="zh-CN"/>
    </w:rPr>
  </w:style>
  <w:style w:type="character" w:customStyle="1" w:styleId="44">
    <w:name w:val="纯文本 Char1"/>
    <w:basedOn w:val="24"/>
    <w:semiHidden/>
    <w:qFormat/>
    <w:uiPriority w:val="99"/>
    <w:rPr>
      <w:rFonts w:ascii="宋体" w:hAnsi="Courier New" w:eastAsia="宋体" w:cs="Courier New"/>
      <w:sz w:val="21"/>
      <w:szCs w:val="21"/>
    </w:rPr>
  </w:style>
  <w:style w:type="character" w:customStyle="1" w:styleId="45">
    <w:name w:val="正文2 Char Char"/>
    <w:link w:val="46"/>
    <w:qFormat/>
    <w:uiPriority w:val="0"/>
    <w:rPr>
      <w:rFonts w:eastAsia="宋体"/>
      <w:kern w:val="2"/>
      <w:sz w:val="24"/>
      <w:lang w:eastAsia="zh-CN"/>
    </w:rPr>
  </w:style>
  <w:style w:type="paragraph" w:customStyle="1" w:styleId="46">
    <w:name w:val="正文2"/>
    <w:basedOn w:val="1"/>
    <w:link w:val="45"/>
    <w:qFormat/>
    <w:uiPriority w:val="0"/>
    <w:pPr>
      <w:autoSpaceDE/>
      <w:autoSpaceDN/>
      <w:adjustRightInd w:val="0"/>
      <w:spacing w:before="156" w:line="360" w:lineRule="auto"/>
      <w:ind w:firstLine="510" w:firstLineChars="200"/>
      <w:jc w:val="both"/>
    </w:pPr>
    <w:rPr>
      <w:rFonts w:asciiTheme="minorHAnsi" w:hAnsiTheme="minorHAnsi" w:cstheme="minorBidi"/>
      <w:kern w:val="2"/>
      <w:sz w:val="24"/>
      <w:lang w:eastAsia="zh-CN"/>
    </w:rPr>
  </w:style>
  <w:style w:type="paragraph" w:customStyle="1" w:styleId="47">
    <w:name w:val="1.1.1.1A"/>
    <w:basedOn w:val="1"/>
    <w:qFormat/>
    <w:uiPriority w:val="0"/>
    <w:pPr>
      <w:tabs>
        <w:tab w:val="left" w:pos="1134"/>
        <w:tab w:val="left" w:pos="1843"/>
      </w:tabs>
      <w:adjustRightInd w:val="0"/>
      <w:spacing w:before="60" w:after="60" w:line="400" w:lineRule="atLeast"/>
      <w:ind w:left="1560" w:right="200" w:rightChars="200" w:hanging="426"/>
      <w:textAlignment w:val="baseline"/>
    </w:pPr>
    <w:rPr>
      <w:rFonts w:ascii="Arial" w:hAnsi="Arial"/>
      <w:kern w:val="0"/>
      <w:sz w:val="24"/>
      <w:szCs w:val="20"/>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character" w:customStyle="1" w:styleId="49">
    <w:name w:val="font11"/>
    <w:basedOn w:val="24"/>
    <w:qFormat/>
    <w:uiPriority w:val="0"/>
    <w:rPr>
      <w:rFonts w:hint="eastAsia" w:ascii="宋体" w:hAnsi="宋体" w:eastAsia="宋体" w:cs="宋体"/>
      <w:color w:val="000000"/>
      <w:sz w:val="16"/>
      <w:szCs w:val="16"/>
      <w:u w:val="none"/>
    </w:rPr>
  </w:style>
  <w:style w:type="paragraph" w:customStyle="1" w:styleId="50">
    <w:name w:val="Default"/>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paragraph" w:customStyle="1" w:styleId="5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C6A63-A5F5-43AC-B54E-7D2F31D8340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86</Pages>
  <Words>4640</Words>
  <Characters>5628</Characters>
  <Lines>255</Lines>
  <Paragraphs>71</Paragraphs>
  <TotalTime>41</TotalTime>
  <ScaleCrop>false</ScaleCrop>
  <LinksUpToDate>false</LinksUpToDate>
  <CharactersWithSpaces>5700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2024-02-22T08:27:00Z</dcterms:created>
  <dc:creator>0717。</dc:creator>
  <cp:lastModifiedBy>微信用户</cp:lastModifiedBy>
  <cp:lastPrinted>2024-07-10T02:02:00Z</cp:lastPrinted>
  <dcterms:modified xsi:type="dcterms:W3CDTF">2026-05-27T10:30:23Z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2024-02-22T00:00:00Z</vt:filetime>
  </property>
  <property fmtid="{D5CDD505-2E9C-101B-9397-08002B2CF9AE}" pid="4" name="KSOProductBuildVer">
    <vt:lpwstr>2052-12.1.0.24657</vt:lpwstr>
  </property>
  <property fmtid="{D5CDD505-2E9C-101B-9397-08002B2CF9AE}" pid="5" name="ICV">
    <vt:lpwstr>6E04F5E741FC4139BE7AD10845D0CE81_13</vt:lpwstr>
  </property>
  <property fmtid="{D5CDD505-2E9C-101B-9397-08002B2CF9AE}" pid="6" name="KSOTemplateDocerSaveRecord">
    <vt:lpwstr>eyJoZGlkIjoiMmI5Y2ZkOGQ4ZTVhNDY5NjgxMTNjZmFhMjk0YzI4NTAiLCJ1c2VySWQiOiIxMzIxMTc0OTM1In0=</vt:lpwstr>
  </property>
</Properties>
</file>