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2A54C">
      <w:pPr>
        <w:pStyle w:val="59"/>
        <w:spacing w:line="360" w:lineRule="auto"/>
        <w:rPr>
          <w:rFonts w:ascii="宋体" w:hAnsi="宋体" w:cs="宋体"/>
          <w:color w:val="auto"/>
          <w:sz w:val="40"/>
          <w:szCs w:val="40"/>
          <w:highlight w:val="none"/>
        </w:rPr>
      </w:pPr>
    </w:p>
    <w:p w14:paraId="714C4044">
      <w:pPr>
        <w:spacing w:line="360" w:lineRule="auto"/>
        <w:jc w:val="center"/>
      </w:pPr>
      <w:r>
        <w:rPr>
          <w:rFonts w:hint="eastAsia" w:asciiTheme="minorEastAsia" w:hAnsiTheme="minorEastAsia" w:eastAsiaTheme="minorEastAsia" w:cstheme="minorEastAsia"/>
          <w:b/>
          <w:color w:val="auto"/>
          <w:sz w:val="44"/>
          <w:szCs w:val="44"/>
          <w:highlight w:val="none"/>
          <w:lang w:eastAsia="zh-CN"/>
        </w:rPr>
        <w:t>大地工程咨询有限公司关于东阳市肛肠外科医院4000kVA双电源配电工程采购项目</w:t>
      </w:r>
    </w:p>
    <w:p w14:paraId="294EA5EB">
      <w:pPr>
        <w:pStyle w:val="2"/>
        <w:bidi w:val="0"/>
        <w:jc w:val="center"/>
        <w:rPr>
          <w:rFonts w:hint="eastAsia"/>
          <w:sz w:val="72"/>
          <w:szCs w:val="72"/>
          <w:lang w:val="en-US" w:eastAsia="zh-CN"/>
        </w:rPr>
      </w:pPr>
      <w:bookmarkStart w:id="0" w:name="_Toc17198"/>
    </w:p>
    <w:p w14:paraId="07ED8AB7">
      <w:pPr>
        <w:pStyle w:val="2"/>
        <w:bidi w:val="0"/>
        <w:jc w:val="center"/>
        <w:rPr>
          <w:rFonts w:ascii="宋体" w:hAnsi="宋体" w:cs="宋体"/>
          <w:color w:val="auto"/>
          <w:sz w:val="40"/>
          <w:szCs w:val="40"/>
          <w:highlight w:val="none"/>
        </w:rPr>
      </w:pPr>
      <w:r>
        <w:rPr>
          <w:rFonts w:hint="eastAsia"/>
          <w:sz w:val="72"/>
          <w:szCs w:val="72"/>
          <w:lang w:val="en-US" w:eastAsia="zh-CN"/>
        </w:rPr>
        <w:t>竞争性磋商文件</w:t>
      </w:r>
      <w:bookmarkEnd w:id="0"/>
    </w:p>
    <w:p w14:paraId="7411080F">
      <w:pPr>
        <w:pStyle w:val="25"/>
        <w:rPr>
          <w:color w:val="auto"/>
          <w:highlight w:val="none"/>
        </w:rPr>
      </w:pPr>
    </w:p>
    <w:p w14:paraId="1A5F89F2">
      <w:pPr>
        <w:pStyle w:val="26"/>
        <w:ind w:left="0" w:leftChars="0" w:firstLine="0" w:firstLineChars="0"/>
        <w:rPr>
          <w:color w:val="auto"/>
          <w:highlight w:val="none"/>
        </w:rPr>
      </w:pPr>
    </w:p>
    <w:p w14:paraId="31C57D79">
      <w:pPr>
        <w:rPr>
          <w:rFonts w:ascii="宋体" w:hAnsi="宋体" w:cs="宋体"/>
          <w:color w:val="auto"/>
          <w:sz w:val="24"/>
          <w:highlight w:val="none"/>
        </w:rPr>
      </w:pPr>
    </w:p>
    <w:p w14:paraId="7CE2899B">
      <w:pPr>
        <w:spacing w:line="480" w:lineRule="auto"/>
        <w:ind w:firstLine="643" w:firstLineChars="200"/>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kern w:val="0"/>
          <w:sz w:val="32"/>
          <w:szCs w:val="32"/>
          <w:highlight w:val="none"/>
        </w:rPr>
        <w:t>磋商编号：</w:t>
      </w:r>
      <w:r>
        <w:rPr>
          <w:rFonts w:hint="eastAsia" w:ascii="宋体" w:hAnsi="宋体" w:cs="宋体"/>
          <w:b/>
          <w:bCs/>
          <w:color w:val="auto"/>
          <w:kern w:val="0"/>
          <w:sz w:val="32"/>
          <w:szCs w:val="32"/>
          <w:highlight w:val="none"/>
          <w:lang w:eastAsia="zh-CN"/>
        </w:rPr>
        <w:t>DDDYZFCG-2026-015</w:t>
      </w:r>
      <w:r>
        <w:rPr>
          <w:rFonts w:hint="eastAsia" w:ascii="宋体" w:hAnsi="宋体" w:cs="宋体"/>
          <w:b/>
          <w:bCs/>
          <w:color w:val="auto"/>
          <w:sz w:val="32"/>
          <w:szCs w:val="32"/>
          <w:highlight w:val="none"/>
          <w:lang w:val="en-US" w:eastAsia="zh-CN"/>
        </w:rPr>
        <w:t xml:space="preserve"> </w:t>
      </w:r>
    </w:p>
    <w:p w14:paraId="03F2F1AA">
      <w:pPr>
        <w:spacing w:line="480" w:lineRule="auto"/>
        <w:ind w:left="2244" w:leftChars="304" w:hanging="1606" w:hangingChars="500"/>
        <w:jc w:val="left"/>
        <w:rPr>
          <w:rFonts w:hint="eastAsia" w:ascii="宋体" w:hAnsi="宋体" w:cs="宋体"/>
          <w:b/>
          <w:bCs/>
          <w:color w:val="auto"/>
          <w:kern w:val="0"/>
          <w:sz w:val="32"/>
          <w:szCs w:val="32"/>
          <w:highlight w:val="none"/>
          <w:lang w:eastAsia="zh-CN"/>
        </w:rPr>
      </w:pPr>
      <w:r>
        <w:rPr>
          <w:rFonts w:hint="eastAsia" w:ascii="宋体" w:hAnsi="宋体" w:cs="宋体"/>
          <w:b/>
          <w:bCs/>
          <w:color w:val="auto"/>
          <w:kern w:val="0"/>
          <w:sz w:val="32"/>
          <w:szCs w:val="32"/>
          <w:highlight w:val="none"/>
        </w:rPr>
        <w:t>项目名称：</w:t>
      </w:r>
      <w:r>
        <w:rPr>
          <w:rFonts w:hint="eastAsia" w:ascii="宋体" w:hAnsi="宋体" w:cs="宋体"/>
          <w:b/>
          <w:bCs/>
          <w:color w:val="auto"/>
          <w:kern w:val="0"/>
          <w:sz w:val="32"/>
          <w:szCs w:val="32"/>
          <w:highlight w:val="none"/>
          <w:lang w:eastAsia="zh-CN"/>
        </w:rPr>
        <w:t>东阳市肛肠外科医院4000kVA双电源配电工程采购项目</w:t>
      </w:r>
    </w:p>
    <w:p w14:paraId="78DC287D">
      <w:pPr>
        <w:spacing w:line="480" w:lineRule="auto"/>
        <w:ind w:firstLine="643" w:firstLineChars="200"/>
        <w:jc w:val="left"/>
        <w:rPr>
          <w:rFonts w:hint="eastAsia" w:ascii="宋体" w:hAnsi="宋体" w:eastAsia="宋体" w:cs="宋体"/>
          <w:b/>
          <w:bCs/>
          <w:color w:val="auto"/>
          <w:kern w:val="0"/>
          <w:sz w:val="32"/>
          <w:szCs w:val="32"/>
          <w:highlight w:val="none"/>
          <w:lang w:eastAsia="zh-CN"/>
        </w:rPr>
      </w:pPr>
      <w:r>
        <w:rPr>
          <w:rFonts w:hint="eastAsia" w:ascii="宋体" w:hAnsi="宋体" w:cs="宋体"/>
          <w:b/>
          <w:bCs/>
          <w:color w:val="auto"/>
          <w:kern w:val="0"/>
          <w:sz w:val="32"/>
          <w:szCs w:val="32"/>
          <w:highlight w:val="none"/>
        </w:rPr>
        <w:t>采购单位：</w:t>
      </w:r>
      <w:r>
        <w:rPr>
          <w:rFonts w:hint="eastAsia" w:ascii="宋体" w:hAnsi="宋体" w:cs="宋体"/>
          <w:b/>
          <w:bCs/>
          <w:color w:val="auto"/>
          <w:kern w:val="0"/>
          <w:sz w:val="32"/>
          <w:szCs w:val="32"/>
          <w:highlight w:val="none"/>
          <w:lang w:eastAsia="zh-CN"/>
        </w:rPr>
        <w:t xml:space="preserve">东阳市湖溪镇中心卫生院（东阳市肛肠外科医院） </w:t>
      </w:r>
    </w:p>
    <w:p w14:paraId="4BFC9ACC">
      <w:pPr>
        <w:spacing w:line="480" w:lineRule="auto"/>
        <w:ind w:firstLine="643" w:firstLineChars="200"/>
        <w:jc w:val="left"/>
        <w:rPr>
          <w:rFonts w:hint="eastAsia" w:ascii="宋体" w:hAnsi="宋体" w:eastAsia="宋体" w:cs="宋体"/>
          <w:b/>
          <w:bCs/>
          <w:color w:val="auto"/>
          <w:w w:val="95"/>
          <w:sz w:val="30"/>
          <w:szCs w:val="30"/>
          <w:highlight w:val="none"/>
          <w:lang w:eastAsia="zh-CN"/>
        </w:rPr>
      </w:pPr>
      <w:r>
        <w:rPr>
          <w:rFonts w:hint="eastAsia" w:ascii="宋体" w:hAnsi="宋体" w:cs="宋体"/>
          <w:b/>
          <w:bCs/>
          <w:color w:val="auto"/>
          <w:kern w:val="0"/>
          <w:sz w:val="32"/>
          <w:szCs w:val="32"/>
          <w:highlight w:val="none"/>
        </w:rPr>
        <w:t>招标机构：</w:t>
      </w:r>
      <w:r>
        <w:rPr>
          <w:rFonts w:hint="eastAsia" w:ascii="宋体" w:hAnsi="宋体" w:cs="宋体"/>
          <w:b/>
          <w:bCs/>
          <w:color w:val="auto"/>
          <w:kern w:val="0"/>
          <w:sz w:val="32"/>
          <w:szCs w:val="32"/>
          <w:highlight w:val="none"/>
          <w:lang w:eastAsia="zh-CN"/>
        </w:rPr>
        <w:t>大地工程咨询有限公司</w:t>
      </w:r>
    </w:p>
    <w:p w14:paraId="1161D0C4">
      <w:pPr>
        <w:pStyle w:val="59"/>
        <w:spacing w:line="240" w:lineRule="auto"/>
        <w:rPr>
          <w:rFonts w:ascii="宋体" w:hAnsi="宋体" w:cs="宋体"/>
          <w:color w:val="auto"/>
          <w:sz w:val="20"/>
          <w:szCs w:val="20"/>
          <w:highlight w:val="none"/>
        </w:rPr>
      </w:pPr>
    </w:p>
    <w:p w14:paraId="71BD0226">
      <w:pPr>
        <w:pStyle w:val="20"/>
        <w:spacing w:line="480" w:lineRule="auto"/>
        <w:jc w:val="center"/>
        <w:rPr>
          <w:rFonts w:ascii="宋体" w:hAnsi="宋体" w:cs="宋体"/>
          <w:b/>
          <w:color w:val="auto"/>
          <w:sz w:val="32"/>
          <w:szCs w:val="32"/>
          <w:highlight w:val="none"/>
        </w:rPr>
      </w:pPr>
      <w:r>
        <w:rPr>
          <w:rFonts w:hint="eastAsia" w:ascii="宋体" w:hAnsi="宋体" w:cs="宋体"/>
          <w:b/>
          <w:bCs/>
          <w:color w:val="auto"/>
          <w:w w:val="95"/>
          <w:sz w:val="30"/>
          <w:szCs w:val="30"/>
          <w:highlight w:val="none"/>
        </w:rPr>
        <w:t>202</w:t>
      </w:r>
      <w:r>
        <w:rPr>
          <w:rFonts w:hint="eastAsia" w:ascii="宋体" w:hAnsi="宋体" w:cs="宋体"/>
          <w:b/>
          <w:bCs/>
          <w:color w:val="auto"/>
          <w:w w:val="95"/>
          <w:sz w:val="30"/>
          <w:szCs w:val="30"/>
          <w:highlight w:val="none"/>
          <w:lang w:val="en-US" w:eastAsia="zh-CN"/>
        </w:rPr>
        <w:t>6</w:t>
      </w:r>
      <w:r>
        <w:rPr>
          <w:rFonts w:hint="eastAsia" w:ascii="宋体" w:hAnsi="宋体" w:cs="宋体"/>
          <w:b/>
          <w:bCs/>
          <w:color w:val="auto"/>
          <w:w w:val="95"/>
          <w:sz w:val="30"/>
          <w:szCs w:val="30"/>
          <w:highlight w:val="none"/>
        </w:rPr>
        <w:t>年</w:t>
      </w:r>
      <w:r>
        <w:rPr>
          <w:rFonts w:hint="eastAsia" w:ascii="宋体" w:hAnsi="宋体" w:cs="宋体"/>
          <w:b/>
          <w:bCs/>
          <w:color w:val="auto"/>
          <w:w w:val="95"/>
          <w:sz w:val="30"/>
          <w:szCs w:val="30"/>
          <w:highlight w:val="none"/>
          <w:lang w:val="en-US" w:eastAsia="zh-CN"/>
        </w:rPr>
        <w:t>5</w:t>
      </w:r>
      <w:r>
        <w:rPr>
          <w:rFonts w:hint="eastAsia" w:ascii="宋体" w:hAnsi="宋体" w:cs="宋体"/>
          <w:b/>
          <w:bCs/>
          <w:color w:val="auto"/>
          <w:w w:val="95"/>
          <w:sz w:val="30"/>
          <w:szCs w:val="30"/>
          <w:highlight w:val="none"/>
        </w:rPr>
        <w:t>月</w:t>
      </w:r>
    </w:p>
    <w:p w14:paraId="44A2A912">
      <w:pPr>
        <w:pStyle w:val="20"/>
        <w:pageBreakBefore/>
        <w:spacing w:line="276" w:lineRule="auto"/>
        <w:jc w:val="center"/>
        <w:rPr>
          <w:rFonts w:ascii="宋体" w:hAnsi="宋体" w:cs="宋体"/>
          <w:b/>
          <w:color w:val="auto"/>
          <w:sz w:val="60"/>
          <w:szCs w:val="60"/>
          <w:highlight w:val="none"/>
        </w:rPr>
      </w:pPr>
      <w:r>
        <w:rPr>
          <w:rFonts w:hint="eastAsia" w:ascii="宋体" w:hAnsi="宋体" w:cs="宋体"/>
          <w:b/>
          <w:color w:val="auto"/>
          <w:sz w:val="60"/>
          <w:szCs w:val="60"/>
          <w:highlight w:val="none"/>
        </w:rPr>
        <w:t>目    录</w:t>
      </w:r>
    </w:p>
    <w:p w14:paraId="78577D99">
      <w:pPr>
        <w:pStyle w:val="29"/>
        <w:autoSpaceDE w:val="0"/>
        <w:spacing w:line="480" w:lineRule="auto"/>
        <w:ind w:firstLine="420" w:firstLineChars="200"/>
      </w:pPr>
    </w:p>
    <w:p w14:paraId="28CDA726">
      <w:pPr>
        <w:pStyle w:val="29"/>
        <w:autoSpaceDE w:val="0"/>
        <w:spacing w:line="480" w:lineRule="auto"/>
        <w:ind w:firstLine="420" w:firstLineChars="200"/>
      </w:pPr>
    </w:p>
    <w:p w14:paraId="165806F1">
      <w:pPr>
        <w:pStyle w:val="29"/>
        <w:autoSpaceDE w:val="0"/>
        <w:spacing w:line="480" w:lineRule="auto"/>
        <w:ind w:firstLine="420" w:firstLineChars="200"/>
        <w:rPr>
          <w:rFonts w:hint="eastAsia" w:ascii="宋体" w:hAnsi="宋体"/>
          <w:b/>
          <w:bCs/>
          <w:sz w:val="30"/>
          <w:szCs w:val="30"/>
        </w:rPr>
      </w:pPr>
      <w:r>
        <w:fldChar w:fldCharType="begin"/>
      </w:r>
      <w:r>
        <w:instrText xml:space="preserve"> </w:instrText>
      </w:r>
      <w:r>
        <w:rPr>
          <w:rFonts w:hint="eastAsia"/>
        </w:rPr>
        <w:instrText xml:space="preserve">HYPERLINK "file:///G:\\桌面临时文件\\DYBWZFCG2023-CS-019%20东阳市老干部工作展陈厅项目.docx" \l "_Toc14187 #_Toc14187 "</w:instrText>
      </w:r>
      <w:r>
        <w:instrText xml:space="preserve"> </w:instrText>
      </w:r>
      <w:r>
        <w:fldChar w:fldCharType="separate"/>
      </w:r>
      <w:r>
        <w:rPr>
          <w:rStyle w:val="45"/>
          <w:rFonts w:hint="eastAsia" w:ascii="宋体" w:hAnsi="宋体"/>
          <w:b/>
          <w:bCs/>
          <w:color w:val="auto"/>
          <w:sz w:val="30"/>
          <w:szCs w:val="30"/>
          <w:u w:val="none"/>
        </w:rPr>
        <w:t>第一章  竞争性磋商公告</w:t>
      </w:r>
      <w:r>
        <w:fldChar w:fldCharType="end"/>
      </w:r>
    </w:p>
    <w:p w14:paraId="3BF007D7">
      <w:pPr>
        <w:pStyle w:val="29"/>
        <w:autoSpaceDE w:val="0"/>
        <w:spacing w:line="480" w:lineRule="auto"/>
        <w:ind w:firstLine="420" w:firstLineChars="200"/>
        <w:rPr>
          <w:rFonts w:hint="eastAsia" w:ascii="宋体" w:hAnsi="宋体"/>
          <w:b/>
          <w:bCs/>
          <w:sz w:val="30"/>
          <w:szCs w:val="30"/>
        </w:rPr>
      </w:pPr>
      <w:r>
        <w:fldChar w:fldCharType="begin"/>
      </w:r>
      <w:r>
        <w:instrText xml:space="preserve"> </w:instrText>
      </w:r>
      <w:r>
        <w:rPr>
          <w:rFonts w:hint="eastAsia"/>
        </w:rPr>
        <w:instrText xml:space="preserve">HYPERLINK "file:///G:\\桌面临时文件\\DYBWZFCG2023-CS-019%20东阳市老干部工作展陈厅项目.docx" \l "_Toc2862 #_Toc2862 "</w:instrText>
      </w:r>
      <w:r>
        <w:instrText xml:space="preserve"> </w:instrText>
      </w:r>
      <w:r>
        <w:fldChar w:fldCharType="separate"/>
      </w:r>
      <w:r>
        <w:rPr>
          <w:rStyle w:val="45"/>
          <w:rFonts w:hint="eastAsia" w:ascii="宋体" w:hAnsi="宋体"/>
          <w:b/>
          <w:bCs/>
          <w:color w:val="auto"/>
          <w:sz w:val="30"/>
          <w:szCs w:val="30"/>
          <w:u w:val="none"/>
        </w:rPr>
        <w:t>第二章  项目需求</w:t>
      </w:r>
      <w:r>
        <w:rPr>
          <w:rStyle w:val="45"/>
          <w:rFonts w:hint="eastAsia" w:ascii="宋体" w:hAnsi="宋体"/>
          <w:b/>
          <w:bCs/>
          <w:color w:val="auto"/>
          <w:sz w:val="30"/>
          <w:szCs w:val="30"/>
          <w:u w:val="none"/>
        </w:rPr>
        <w:tab/>
      </w:r>
      <w:r>
        <w:fldChar w:fldCharType="end"/>
      </w:r>
    </w:p>
    <w:p w14:paraId="7D087F0F">
      <w:pPr>
        <w:pStyle w:val="29"/>
        <w:autoSpaceDE w:val="0"/>
        <w:spacing w:line="480" w:lineRule="auto"/>
        <w:ind w:firstLine="420" w:firstLineChars="200"/>
        <w:rPr>
          <w:rFonts w:hint="eastAsia" w:ascii="宋体" w:hAnsi="宋体"/>
          <w:b/>
          <w:bCs/>
          <w:sz w:val="30"/>
          <w:szCs w:val="30"/>
        </w:rPr>
      </w:pPr>
      <w:r>
        <w:fldChar w:fldCharType="begin"/>
      </w:r>
      <w:r>
        <w:instrText xml:space="preserve"> </w:instrText>
      </w:r>
      <w:r>
        <w:rPr>
          <w:rFonts w:hint="eastAsia"/>
        </w:rPr>
        <w:instrText xml:space="preserve">HYPERLINK "file:///G:\\桌面临时文件\\DYBWZFCG2023-CS-019%20东阳市老干部工作展陈厅项目.docx" \l "_Toc13117 #_Toc13117 "</w:instrText>
      </w:r>
      <w:r>
        <w:instrText xml:space="preserve"> </w:instrText>
      </w:r>
      <w:r>
        <w:fldChar w:fldCharType="separate"/>
      </w:r>
      <w:r>
        <w:rPr>
          <w:rStyle w:val="45"/>
          <w:rFonts w:hint="eastAsia" w:ascii="宋体" w:hAnsi="宋体"/>
          <w:b/>
          <w:bCs/>
          <w:color w:val="auto"/>
          <w:sz w:val="30"/>
          <w:szCs w:val="30"/>
          <w:u w:val="none"/>
        </w:rPr>
        <w:t>第三章  供应商须知</w:t>
      </w:r>
      <w:r>
        <w:rPr>
          <w:rStyle w:val="45"/>
          <w:rFonts w:hint="eastAsia" w:ascii="宋体" w:hAnsi="宋体"/>
          <w:b/>
          <w:bCs/>
          <w:color w:val="auto"/>
          <w:sz w:val="30"/>
          <w:szCs w:val="30"/>
          <w:u w:val="none"/>
        </w:rPr>
        <w:tab/>
      </w:r>
      <w:r>
        <w:fldChar w:fldCharType="end"/>
      </w:r>
    </w:p>
    <w:p w14:paraId="61C20596">
      <w:pPr>
        <w:pStyle w:val="29"/>
        <w:autoSpaceDE w:val="0"/>
        <w:spacing w:line="480" w:lineRule="auto"/>
        <w:ind w:firstLine="420" w:firstLineChars="200"/>
        <w:rPr>
          <w:rFonts w:hint="eastAsia" w:ascii="宋体" w:hAnsi="宋体"/>
          <w:b/>
          <w:bCs/>
          <w:sz w:val="30"/>
          <w:szCs w:val="30"/>
        </w:rPr>
      </w:pPr>
      <w:r>
        <w:fldChar w:fldCharType="begin"/>
      </w:r>
      <w:r>
        <w:instrText xml:space="preserve"> </w:instrText>
      </w:r>
      <w:r>
        <w:rPr>
          <w:rFonts w:hint="eastAsia"/>
        </w:rPr>
        <w:instrText xml:space="preserve">HYPERLINK "file:///G:\\桌面临时文件\\DYBWZFCG2023-CS-019%20东阳市老干部工作展陈厅项目.docx" \l "_Toc23572 #_Toc23572 "</w:instrText>
      </w:r>
      <w:r>
        <w:instrText xml:space="preserve"> </w:instrText>
      </w:r>
      <w:r>
        <w:fldChar w:fldCharType="separate"/>
      </w:r>
      <w:r>
        <w:rPr>
          <w:rStyle w:val="45"/>
          <w:rFonts w:hint="eastAsia" w:ascii="宋体" w:hAnsi="宋体"/>
          <w:b/>
          <w:bCs/>
          <w:color w:val="auto"/>
          <w:sz w:val="30"/>
          <w:szCs w:val="30"/>
          <w:u w:val="none"/>
        </w:rPr>
        <w:t>第四章  磋商办法及评分标准</w:t>
      </w:r>
      <w:r>
        <w:rPr>
          <w:rStyle w:val="45"/>
          <w:rFonts w:hint="eastAsia" w:ascii="宋体" w:hAnsi="宋体"/>
          <w:b/>
          <w:bCs/>
          <w:color w:val="auto"/>
          <w:sz w:val="30"/>
          <w:szCs w:val="30"/>
          <w:u w:val="none"/>
        </w:rPr>
        <w:tab/>
      </w:r>
      <w:r>
        <w:fldChar w:fldCharType="end"/>
      </w:r>
    </w:p>
    <w:p w14:paraId="1213C983">
      <w:pPr>
        <w:pStyle w:val="29"/>
        <w:autoSpaceDE w:val="0"/>
        <w:spacing w:line="480" w:lineRule="auto"/>
        <w:ind w:firstLine="420" w:firstLineChars="200"/>
        <w:rPr>
          <w:rFonts w:hint="eastAsia" w:ascii="宋体" w:hAnsi="宋体"/>
          <w:b/>
          <w:bCs/>
          <w:sz w:val="30"/>
          <w:szCs w:val="30"/>
        </w:rPr>
      </w:pPr>
      <w:r>
        <w:fldChar w:fldCharType="begin"/>
      </w:r>
      <w:r>
        <w:instrText xml:space="preserve"> </w:instrText>
      </w:r>
      <w:r>
        <w:rPr>
          <w:rFonts w:hint="eastAsia"/>
        </w:rPr>
        <w:instrText xml:space="preserve">HYPERLINK "file:///G:\\桌面临时文件\\DYBWZFCG2023-CS-019%20东阳市老干部工作展陈厅项目.docx" \l "_Toc21241 #_Toc21241 "</w:instrText>
      </w:r>
      <w:r>
        <w:instrText xml:space="preserve"> </w:instrText>
      </w:r>
      <w:r>
        <w:fldChar w:fldCharType="separate"/>
      </w:r>
      <w:r>
        <w:rPr>
          <w:rStyle w:val="45"/>
          <w:rFonts w:hint="eastAsia" w:ascii="宋体" w:hAnsi="宋体"/>
          <w:b/>
          <w:bCs/>
          <w:color w:val="auto"/>
          <w:sz w:val="30"/>
          <w:szCs w:val="30"/>
          <w:u w:val="none"/>
        </w:rPr>
        <w:t>第五章  合同主要条款</w:t>
      </w:r>
      <w:r>
        <w:rPr>
          <w:rStyle w:val="45"/>
          <w:rFonts w:hint="eastAsia" w:ascii="宋体" w:hAnsi="宋体"/>
          <w:b/>
          <w:bCs/>
          <w:color w:val="auto"/>
          <w:sz w:val="30"/>
          <w:szCs w:val="30"/>
          <w:u w:val="none"/>
        </w:rPr>
        <w:tab/>
      </w:r>
      <w:r>
        <w:fldChar w:fldCharType="end"/>
      </w:r>
    </w:p>
    <w:p w14:paraId="526327F3">
      <w:pPr>
        <w:pStyle w:val="29"/>
        <w:autoSpaceDE w:val="0"/>
        <w:spacing w:line="480" w:lineRule="auto"/>
        <w:ind w:firstLine="420" w:firstLineChars="200"/>
        <w:rPr>
          <w:rFonts w:ascii="宋体" w:hAnsi="宋体" w:cs="宋体"/>
          <w:color w:val="auto"/>
          <w:sz w:val="24"/>
          <w:highlight w:val="none"/>
        </w:rPr>
      </w:pPr>
      <w:r>
        <w:fldChar w:fldCharType="begin"/>
      </w:r>
      <w:r>
        <w:instrText xml:space="preserve"> </w:instrText>
      </w:r>
      <w:r>
        <w:rPr>
          <w:rFonts w:hint="eastAsia"/>
        </w:rPr>
        <w:instrText xml:space="preserve">HYPERLINK "file:///G:\\桌面临时文件\\DYBWZFCG2023-CS-019%20东阳市老干部工作展陈厅项目.docx" \l "_Toc600 #_Toc600 "</w:instrText>
      </w:r>
      <w:r>
        <w:instrText xml:space="preserve"> </w:instrText>
      </w:r>
      <w:r>
        <w:fldChar w:fldCharType="separate"/>
      </w:r>
      <w:r>
        <w:rPr>
          <w:rStyle w:val="45"/>
          <w:rFonts w:hint="eastAsia" w:ascii="宋体" w:hAnsi="宋体"/>
          <w:b/>
          <w:bCs/>
          <w:color w:val="auto"/>
          <w:sz w:val="30"/>
          <w:szCs w:val="30"/>
          <w:u w:val="none"/>
        </w:rPr>
        <w:t>第六章  磋商响应文件组成内容及格式</w:t>
      </w:r>
      <w:r>
        <w:rPr>
          <w:rStyle w:val="45"/>
          <w:rFonts w:hint="eastAsia" w:ascii="宋体" w:hAnsi="宋体"/>
          <w:b/>
          <w:bCs/>
          <w:color w:val="auto"/>
          <w:sz w:val="30"/>
          <w:szCs w:val="30"/>
          <w:u w:val="none"/>
        </w:rPr>
        <w:tab/>
      </w:r>
      <w:r>
        <w:fldChar w:fldCharType="end"/>
      </w:r>
    </w:p>
    <w:p w14:paraId="4C46CE53">
      <w:pPr>
        <w:pStyle w:val="29"/>
        <w:pageBreakBefore/>
        <w:tabs>
          <w:tab w:val="right" w:leader="dot" w:pos="9402"/>
        </w:tabs>
        <w:spacing w:line="460" w:lineRule="exact"/>
        <w:jc w:val="center"/>
        <w:outlineLvl w:val="0"/>
        <w:rPr>
          <w:rFonts w:ascii="宋体" w:hAnsi="宋体" w:cs="宋体"/>
          <w:b/>
          <w:color w:val="auto"/>
          <w:sz w:val="24"/>
          <w:highlight w:val="none"/>
        </w:rPr>
      </w:pPr>
      <w:bookmarkStart w:id="1" w:name="_Toc1381"/>
      <w:r>
        <w:rPr>
          <w:rFonts w:hint="eastAsia" w:ascii="宋体" w:hAnsi="宋体" w:cs="宋体"/>
          <w:b/>
          <w:color w:val="auto"/>
          <w:sz w:val="24"/>
          <w:highlight w:val="none"/>
        </w:rPr>
        <w:t>第一章  竞争性磋商公告</w:t>
      </w:r>
      <w:bookmarkEnd w:id="1"/>
      <w:r>
        <w:rPr>
          <w:rFonts w:hint="eastAsia" w:ascii="宋体" w:hAnsi="宋体" w:cs="宋体"/>
          <w:b/>
          <w:color w:val="auto"/>
          <w:sz w:val="24"/>
          <w:highlight w:val="none"/>
        </w:rPr>
        <w:t xml:space="preserve"> </w:t>
      </w:r>
    </w:p>
    <w:p w14:paraId="1AA24D9E">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44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项目概况</w:t>
      </w:r>
    </w:p>
    <w:p w14:paraId="35F7E391">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440" w:lineRule="exact"/>
        <w:ind w:firstLine="482" w:firstLineChars="200"/>
        <w:textAlignment w:val="auto"/>
        <w:rPr>
          <w:rFonts w:ascii="宋体" w:hAnsi="宋体" w:cs="宋体"/>
          <w:color w:val="auto"/>
          <w:sz w:val="24"/>
          <w:highlight w:val="none"/>
        </w:rPr>
      </w:pPr>
      <w:r>
        <w:rPr>
          <w:rFonts w:hint="eastAsia" w:ascii="宋体" w:hAnsi="宋体" w:cs="宋体"/>
          <w:b/>
          <w:bCs/>
          <w:color w:val="auto"/>
          <w:sz w:val="24"/>
          <w:highlight w:val="none"/>
          <w:lang w:eastAsia="zh-CN"/>
        </w:rPr>
        <w:t>东阳市肛肠外科医院4000kVA双电源配电工程采购项目</w:t>
      </w:r>
      <w:r>
        <w:rPr>
          <w:rFonts w:hint="eastAsia" w:ascii="宋体" w:hAnsi="宋体" w:cs="宋体"/>
          <w:color w:val="auto"/>
          <w:sz w:val="24"/>
          <w:highlight w:val="none"/>
        </w:rPr>
        <w:t>的潜在供应商应在浙江政府采购网（http://zfcg.czt.zj.gov.cn/）；东阳市公共资源交易网(http://www.dongyang.gov.cn/ggzyjy/index.html)获取（下载）磋商文件，并于</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 xml:space="preserve"> 6 </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 xml:space="preserve"> 2 </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 xml:space="preserve"> 14 </w:t>
      </w:r>
      <w:r>
        <w:rPr>
          <w:rFonts w:hint="eastAsia" w:ascii="宋体" w:hAnsi="宋体" w:cs="宋体"/>
          <w:color w:val="auto"/>
          <w:sz w:val="24"/>
          <w:highlight w:val="none"/>
          <w:lang w:eastAsia="zh-CN"/>
        </w:rPr>
        <w:t>时</w:t>
      </w:r>
      <w:r>
        <w:rPr>
          <w:rFonts w:hint="eastAsia" w:ascii="宋体" w:hAnsi="宋体" w:cs="宋体"/>
          <w:color w:val="auto"/>
          <w:sz w:val="24"/>
          <w:highlight w:val="none"/>
          <w:lang w:val="en-US" w:eastAsia="zh-CN"/>
        </w:rPr>
        <w:t xml:space="preserve"> 00 </w:t>
      </w:r>
      <w:r>
        <w:rPr>
          <w:rFonts w:hint="eastAsia" w:ascii="宋体" w:hAnsi="宋体" w:cs="宋体"/>
          <w:color w:val="auto"/>
          <w:sz w:val="24"/>
          <w:highlight w:val="none"/>
          <w:lang w:eastAsia="zh-CN"/>
        </w:rPr>
        <w:t>分</w:t>
      </w:r>
      <w:r>
        <w:rPr>
          <w:rFonts w:hint="eastAsia" w:ascii="宋体" w:hAnsi="宋体" w:cs="宋体"/>
          <w:color w:val="auto"/>
          <w:sz w:val="24"/>
          <w:highlight w:val="none"/>
        </w:rPr>
        <w:t>（北京时间）前递交（上传）电子磋商响应文件。</w:t>
      </w:r>
    </w:p>
    <w:p w14:paraId="114407BE">
      <w:pPr>
        <w:keepNext w:val="0"/>
        <w:keepLines w:val="0"/>
        <w:pageBreakBefore w:val="0"/>
        <w:numPr>
          <w:ilvl w:val="0"/>
          <w:numId w:val="4"/>
        </w:numPr>
        <w:kinsoku/>
        <w:wordWrap/>
        <w:overflowPunct/>
        <w:topLinePunct w:val="0"/>
        <w:autoSpaceDE/>
        <w:autoSpaceDN/>
        <w:bidi w:val="0"/>
        <w:snapToGrid w:val="0"/>
        <w:spacing w:line="44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项目基本情况</w:t>
      </w:r>
    </w:p>
    <w:p w14:paraId="25AF872D">
      <w:pPr>
        <w:keepNext w:val="0"/>
        <w:keepLines w:val="0"/>
        <w:widowControl/>
        <w:suppressLineNumbers w:val="0"/>
        <w:jc w:val="left"/>
        <w:rPr>
          <w:rFonts w:hint="default" w:ascii="宋体" w:hAnsi="宋体" w:eastAsia="宋体" w:cs="宋体"/>
          <w:b w:val="0"/>
          <w:bCs w:val="0"/>
          <w:kern w:val="0"/>
          <w:sz w:val="24"/>
          <w:szCs w:val="24"/>
          <w:highlight w:val="none"/>
          <w:lang w:val="en-US"/>
        </w:rPr>
      </w:pPr>
      <w:r>
        <w:rPr>
          <w:rFonts w:hint="eastAsia" w:ascii="宋体" w:hAnsi="宋体" w:eastAsia="宋体" w:cs="宋体"/>
          <w:b/>
          <w:bCs/>
          <w:kern w:val="0"/>
          <w:sz w:val="24"/>
          <w:szCs w:val="24"/>
          <w:highlight w:val="none"/>
        </w:rPr>
        <w:t>东阳市政府采购计划书：</w:t>
      </w:r>
      <w:r>
        <w:rPr>
          <w:rFonts w:hint="eastAsia" w:ascii="宋体" w:hAnsi="宋体" w:eastAsia="宋体" w:cs="宋体"/>
          <w:b/>
          <w:bCs/>
          <w:kern w:val="0"/>
          <w:sz w:val="24"/>
          <w:szCs w:val="24"/>
          <w:highlight w:val="none"/>
          <w:lang w:val="en-US" w:eastAsia="zh-CN"/>
        </w:rPr>
        <w:t>临[2026]1195号</w:t>
      </w:r>
    </w:p>
    <w:p w14:paraId="388971B9">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4"/>
          <w:highlight w:val="none"/>
          <w:lang w:eastAsia="zh-CN"/>
        </w:rPr>
      </w:pPr>
      <w:r>
        <w:rPr>
          <w:rFonts w:hint="eastAsia" w:ascii="宋体" w:hAnsi="宋体" w:cs="宋体"/>
          <w:b/>
          <w:bCs/>
          <w:color w:val="auto"/>
          <w:sz w:val="24"/>
          <w:highlight w:val="none"/>
        </w:rPr>
        <w:t>项目编号：</w:t>
      </w:r>
      <w:r>
        <w:rPr>
          <w:rFonts w:hint="eastAsia" w:ascii="宋体" w:hAnsi="宋体" w:cs="宋体"/>
          <w:color w:val="auto"/>
          <w:sz w:val="24"/>
          <w:highlight w:val="none"/>
          <w:lang w:eastAsia="zh-CN"/>
        </w:rPr>
        <w:t>DDDYZFCG-2026-015</w:t>
      </w:r>
    </w:p>
    <w:p w14:paraId="1E6C550A">
      <w:pPr>
        <w:keepNext w:val="0"/>
        <w:keepLines w:val="0"/>
        <w:pageBreakBefore w:val="0"/>
        <w:kinsoku/>
        <w:wordWrap/>
        <w:overflowPunct/>
        <w:topLinePunct w:val="0"/>
        <w:autoSpaceDE/>
        <w:autoSpaceDN/>
        <w:bidi w:val="0"/>
        <w:spacing w:line="440" w:lineRule="exact"/>
        <w:textAlignment w:val="auto"/>
        <w:rPr>
          <w:rFonts w:hint="eastAsia" w:ascii="宋体" w:hAnsi="宋体" w:cs="宋体"/>
          <w:b/>
          <w:bCs/>
          <w:color w:val="auto"/>
          <w:sz w:val="24"/>
          <w:highlight w:val="none"/>
          <w:lang w:eastAsia="zh-CN"/>
        </w:rPr>
      </w:pPr>
      <w:r>
        <w:rPr>
          <w:rFonts w:hint="eastAsia" w:ascii="宋体" w:hAnsi="宋体" w:cs="宋体"/>
          <w:b/>
          <w:bCs/>
          <w:color w:val="auto"/>
          <w:sz w:val="24"/>
          <w:highlight w:val="none"/>
        </w:rPr>
        <w:t>项目名称：</w:t>
      </w:r>
      <w:r>
        <w:rPr>
          <w:rFonts w:hint="eastAsia" w:ascii="宋体" w:hAnsi="宋体" w:cs="宋体"/>
          <w:b/>
          <w:bCs/>
          <w:color w:val="auto"/>
          <w:sz w:val="24"/>
          <w:highlight w:val="none"/>
          <w:lang w:eastAsia="zh-CN"/>
        </w:rPr>
        <w:t>东阳市肛肠外科医院4000kVA双电源配电工程采购项目</w:t>
      </w:r>
    </w:p>
    <w:p w14:paraId="53C2811D">
      <w:pPr>
        <w:keepNext w:val="0"/>
        <w:keepLines w:val="0"/>
        <w:pageBreakBefore w:val="0"/>
        <w:kinsoku/>
        <w:wordWrap/>
        <w:overflowPunct/>
        <w:topLinePunct w:val="0"/>
        <w:autoSpaceDE/>
        <w:autoSpaceDN/>
        <w:bidi w:val="0"/>
        <w:spacing w:line="44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采购方式：竞争性磋商</w:t>
      </w:r>
    </w:p>
    <w:p w14:paraId="6EAA1F63">
      <w:pPr>
        <w:keepNext w:val="0"/>
        <w:keepLines w:val="0"/>
        <w:pageBreakBefore w:val="0"/>
        <w:kinsoku/>
        <w:wordWrap/>
        <w:overflowPunct/>
        <w:topLinePunct w:val="0"/>
        <w:autoSpaceDE/>
        <w:autoSpaceDN/>
        <w:bidi w:val="0"/>
        <w:spacing w:line="440" w:lineRule="exact"/>
        <w:textAlignment w:val="auto"/>
        <w:rPr>
          <w:rFonts w:hint="eastAsia" w:eastAsia="宋体"/>
          <w:color w:val="auto"/>
          <w:highlight w:val="none"/>
          <w:lang w:val="en-US" w:eastAsia="zh-CN"/>
        </w:rPr>
      </w:pPr>
      <w:r>
        <w:rPr>
          <w:rFonts w:hint="eastAsia" w:ascii="宋体" w:hAnsi="宋体" w:cs="宋体"/>
          <w:b/>
          <w:bCs/>
          <w:color w:val="auto"/>
          <w:sz w:val="24"/>
          <w:highlight w:val="none"/>
        </w:rPr>
        <w:t>预算金额（元）：</w:t>
      </w:r>
      <w:r>
        <w:rPr>
          <w:rFonts w:hint="eastAsia" w:ascii="宋体" w:hAnsi="宋体" w:cs="宋体"/>
          <w:b/>
          <w:bCs/>
          <w:color w:val="auto"/>
          <w:sz w:val="24"/>
          <w:highlight w:val="none"/>
          <w:lang w:val="en-US" w:eastAsia="zh-CN"/>
        </w:rPr>
        <w:t xml:space="preserve"> 2800000元</w:t>
      </w:r>
    </w:p>
    <w:p w14:paraId="5263CC88">
      <w:pPr>
        <w:keepNext w:val="0"/>
        <w:keepLines w:val="0"/>
        <w:pageBreakBefore w:val="0"/>
        <w:kinsoku/>
        <w:wordWrap/>
        <w:overflowPunct/>
        <w:topLinePunct w:val="0"/>
        <w:autoSpaceDE/>
        <w:autoSpaceDN/>
        <w:bidi w:val="0"/>
        <w:spacing w:line="440" w:lineRule="exact"/>
        <w:textAlignment w:val="auto"/>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rPr>
        <w:t>最高限价（元）：</w:t>
      </w:r>
      <w:r>
        <w:rPr>
          <w:rFonts w:hint="eastAsia" w:ascii="宋体" w:hAnsi="宋体" w:cs="宋体"/>
          <w:b/>
          <w:bCs/>
          <w:color w:val="auto"/>
          <w:sz w:val="24"/>
          <w:highlight w:val="none"/>
          <w:lang w:val="en-US" w:eastAsia="zh-CN"/>
        </w:rPr>
        <w:t xml:space="preserve"> 2170569元</w:t>
      </w:r>
    </w:p>
    <w:p w14:paraId="3E0C840C">
      <w:pPr>
        <w:pStyle w:val="15"/>
        <w:keepNext w:val="0"/>
        <w:keepLines w:val="0"/>
        <w:pageBreakBefore w:val="0"/>
        <w:kinsoku/>
        <w:wordWrap/>
        <w:overflowPunct/>
        <w:topLinePunct w:val="0"/>
        <w:autoSpaceDE/>
        <w:autoSpaceDN/>
        <w:bidi w:val="0"/>
        <w:spacing w:line="440" w:lineRule="exact"/>
        <w:textAlignment w:val="auto"/>
        <w:rPr>
          <w:rFonts w:ascii="宋体" w:hAnsi="宋体" w:cs="宋体"/>
          <w:color w:val="auto"/>
          <w:sz w:val="24"/>
          <w:highlight w:val="none"/>
        </w:rPr>
      </w:pPr>
      <w:r>
        <w:rPr>
          <w:rFonts w:hint="eastAsia" w:ascii="宋体" w:hAnsi="宋体" w:cs="宋体"/>
          <w:b/>
          <w:bCs/>
          <w:color w:val="auto"/>
          <w:sz w:val="24"/>
          <w:highlight w:val="none"/>
        </w:rPr>
        <w:t>采购需求：</w:t>
      </w:r>
    </w:p>
    <w:p w14:paraId="365C3AF7">
      <w:pPr>
        <w:pStyle w:val="15"/>
        <w:keepNext w:val="0"/>
        <w:keepLines w:val="0"/>
        <w:pageBreakBefore w:val="0"/>
        <w:kinsoku/>
        <w:wordWrap/>
        <w:overflowPunct/>
        <w:topLinePunct w:val="0"/>
        <w:autoSpaceDE/>
        <w:autoSpaceDN/>
        <w:bidi w:val="0"/>
        <w:spacing w:line="440" w:lineRule="exact"/>
        <w:ind w:firstLine="48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标项名称：</w:t>
      </w:r>
      <w:r>
        <w:rPr>
          <w:rFonts w:hint="eastAsia" w:ascii="宋体" w:hAnsi="宋体" w:cs="宋体"/>
          <w:color w:val="auto"/>
          <w:sz w:val="24"/>
          <w:highlight w:val="none"/>
          <w:lang w:eastAsia="zh-CN"/>
        </w:rPr>
        <w:t>东阳市肛肠外科医院4000kVA双电源配电工程采购项目</w:t>
      </w:r>
    </w:p>
    <w:p w14:paraId="03E10B03">
      <w:pPr>
        <w:pStyle w:val="15"/>
        <w:keepNext w:val="0"/>
        <w:keepLines w:val="0"/>
        <w:pageBreakBefore w:val="0"/>
        <w:kinsoku/>
        <w:wordWrap/>
        <w:overflowPunct/>
        <w:topLinePunct w:val="0"/>
        <w:autoSpaceDE/>
        <w:autoSpaceDN/>
        <w:bidi w:val="0"/>
        <w:spacing w:line="44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rPr>
        <w:t>数量：1项</w:t>
      </w:r>
    </w:p>
    <w:p w14:paraId="756BA0FD">
      <w:pPr>
        <w:pStyle w:val="15"/>
        <w:keepNext w:val="0"/>
        <w:keepLines w:val="0"/>
        <w:pageBreakBefore w:val="0"/>
        <w:kinsoku/>
        <w:wordWrap/>
        <w:overflowPunct/>
        <w:topLinePunct w:val="0"/>
        <w:autoSpaceDE/>
        <w:autoSpaceDN/>
        <w:bidi w:val="0"/>
        <w:spacing w:line="440" w:lineRule="exact"/>
        <w:ind w:firstLine="48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预算金额（元）：</w:t>
      </w:r>
      <w:r>
        <w:rPr>
          <w:rFonts w:hint="eastAsia" w:ascii="宋体" w:hAnsi="宋体" w:cs="宋体"/>
          <w:color w:val="auto"/>
          <w:sz w:val="24"/>
          <w:highlight w:val="none"/>
          <w:lang w:val="en-US" w:eastAsia="zh-CN"/>
        </w:rPr>
        <w:t>2800000元</w:t>
      </w:r>
    </w:p>
    <w:p w14:paraId="66449F9A">
      <w:pPr>
        <w:pStyle w:val="15"/>
        <w:keepNext w:val="0"/>
        <w:keepLines w:val="0"/>
        <w:pageBreakBefore w:val="0"/>
        <w:kinsoku/>
        <w:wordWrap/>
        <w:overflowPunct/>
        <w:topLinePunct w:val="0"/>
        <w:autoSpaceDE/>
        <w:autoSpaceDN/>
        <w:bidi w:val="0"/>
        <w:spacing w:line="44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rPr>
        <w:t>简要规格描述或项目基本概况介绍、用途：具体要求详见第</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章招标需求</w:t>
      </w:r>
    </w:p>
    <w:p w14:paraId="572DD146">
      <w:pPr>
        <w:pStyle w:val="15"/>
        <w:keepNext w:val="0"/>
        <w:keepLines w:val="0"/>
        <w:pageBreakBefore w:val="0"/>
        <w:kinsoku/>
        <w:wordWrap/>
        <w:overflowPunct/>
        <w:topLinePunct w:val="0"/>
        <w:autoSpaceDE/>
        <w:autoSpaceDN/>
        <w:bidi w:val="0"/>
        <w:spacing w:line="44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rPr>
        <w:t>备注：</w:t>
      </w:r>
    </w:p>
    <w:p w14:paraId="60EB7F0C">
      <w:pPr>
        <w:pStyle w:val="15"/>
        <w:keepNext w:val="0"/>
        <w:keepLines w:val="0"/>
        <w:pageBreakBefore w:val="0"/>
        <w:kinsoku/>
        <w:wordWrap/>
        <w:overflowPunct/>
        <w:topLinePunct w:val="0"/>
        <w:autoSpaceDE/>
        <w:autoSpaceDN/>
        <w:bidi w:val="0"/>
        <w:spacing w:line="44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rPr>
        <w:t>合同履约期限：详见竞争性磋商文件</w:t>
      </w:r>
    </w:p>
    <w:p w14:paraId="3860A202">
      <w:pPr>
        <w:pStyle w:val="15"/>
        <w:keepNext w:val="0"/>
        <w:keepLines w:val="0"/>
        <w:pageBreakBefore w:val="0"/>
        <w:kinsoku/>
        <w:wordWrap/>
        <w:overflowPunct/>
        <w:topLinePunct w:val="0"/>
        <w:autoSpaceDE/>
        <w:autoSpaceDN/>
        <w:bidi w:val="0"/>
        <w:spacing w:line="44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本项目（是）接受联合体投标。</w:t>
      </w:r>
    </w:p>
    <w:p w14:paraId="59460A9B">
      <w:pPr>
        <w:keepNext w:val="0"/>
        <w:keepLines w:val="0"/>
        <w:pageBreakBefore w:val="0"/>
        <w:kinsoku/>
        <w:wordWrap/>
        <w:overflowPunct/>
        <w:topLinePunct w:val="0"/>
        <w:autoSpaceDE/>
        <w:autoSpaceDN/>
        <w:bidi w:val="0"/>
        <w:snapToGrid w:val="0"/>
        <w:spacing w:line="440" w:lineRule="exact"/>
        <w:textAlignment w:val="auto"/>
        <w:rPr>
          <w:rFonts w:ascii="宋体" w:hAnsi="宋体" w:cs="宋体"/>
          <w:b/>
          <w:bCs/>
          <w:strike/>
          <w:color w:val="auto"/>
          <w:sz w:val="24"/>
          <w:highlight w:val="none"/>
        </w:rPr>
      </w:pPr>
      <w:r>
        <w:rPr>
          <w:rFonts w:hint="eastAsia" w:ascii="宋体" w:hAnsi="宋体" w:cs="宋体"/>
          <w:b/>
          <w:bCs/>
          <w:color w:val="auto"/>
          <w:sz w:val="24"/>
          <w:highlight w:val="none"/>
        </w:rPr>
        <w:t xml:space="preserve">▲二、申请人的资格要求： </w:t>
      </w:r>
    </w:p>
    <w:p w14:paraId="3AA528F2">
      <w:pPr>
        <w:pStyle w:val="15"/>
        <w:keepNext w:val="0"/>
        <w:keepLines w:val="0"/>
        <w:pageBreakBefore w:val="0"/>
        <w:kinsoku/>
        <w:wordWrap/>
        <w:overflowPunct/>
        <w:topLinePunct w:val="0"/>
        <w:autoSpaceDE/>
        <w:autoSpaceDN/>
        <w:bidi w:val="0"/>
        <w:spacing w:line="440" w:lineRule="exact"/>
        <w:ind w:firstLine="720" w:firstLineChars="3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466921BB">
      <w:pPr>
        <w:keepNext w:val="0"/>
        <w:keepLines w:val="0"/>
        <w:pageBreakBefore w:val="0"/>
        <w:kinsoku/>
        <w:wordWrap/>
        <w:overflowPunct/>
        <w:topLinePunct w:val="0"/>
        <w:autoSpaceDE/>
        <w:autoSpaceDN/>
        <w:bidi w:val="0"/>
        <w:spacing w:line="440" w:lineRule="exact"/>
        <w:ind w:firstLine="720" w:firstLineChars="300"/>
        <w:textAlignment w:val="auto"/>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w:t>
      </w:r>
    </w:p>
    <w:p w14:paraId="7EADD9C1">
      <w:pPr>
        <w:pStyle w:val="15"/>
        <w:keepNext w:val="0"/>
        <w:keepLines w:val="0"/>
        <w:pageBreakBefore w:val="0"/>
        <w:kinsoku/>
        <w:wordWrap/>
        <w:overflowPunct/>
        <w:topLinePunct w:val="0"/>
        <w:autoSpaceDE/>
        <w:autoSpaceDN/>
        <w:bidi w:val="0"/>
        <w:adjustRightInd/>
        <w:spacing w:line="420" w:lineRule="exact"/>
        <w:ind w:firstLine="720" w:firstLineChars="3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A、根据《政府采购促进中小企业发展管理办法》有关规定，本项目仅面向中小型及以下企业响应磋商；供应商参加磋商时，响应文件中须提供中小企业声明函（格式见附件）。</w:t>
      </w:r>
    </w:p>
    <w:p w14:paraId="7F4A4F8F">
      <w:pPr>
        <w:pStyle w:val="15"/>
        <w:spacing w:line="4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3、本项目的特定资格要求：</w:t>
      </w:r>
    </w:p>
    <w:p w14:paraId="5986580C">
      <w:pPr>
        <w:pStyle w:val="15"/>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磋商响应方具有电力工程施工总承包三级（含）以上或输变电工程专业承包三级（含）以上资质；磋商响应方须同时具有承装三级、承修三级、承试三级及以上的承装（修、试）电力设施许可证；磋商响应方具备有效的企业安全生产许可证；</w:t>
      </w:r>
    </w:p>
    <w:p w14:paraId="4BD6B124">
      <w:pPr>
        <w:pStyle w:val="15"/>
        <w:spacing w:line="440" w:lineRule="exact"/>
        <w:ind w:firstLine="480" w:firstLineChars="200"/>
        <w:rPr>
          <w:rFonts w:hint="eastAsia" w:ascii="宋体" w:hAnsi="宋体" w:cs="宋体"/>
          <w:b/>
          <w:bCs/>
          <w:color w:val="auto"/>
          <w:sz w:val="24"/>
          <w:highlight w:val="none"/>
          <w:lang w:eastAsia="zh-CN"/>
        </w:rPr>
      </w:pPr>
      <w:r>
        <w:rPr>
          <w:rFonts w:hint="eastAsia" w:ascii="宋体" w:hAnsi="宋体" w:cs="宋体"/>
          <w:strike w:val="0"/>
          <w:dstrike w:val="0"/>
          <w:color w:val="auto"/>
          <w:sz w:val="24"/>
          <w:highlight w:val="none"/>
          <w:lang w:val="en-US" w:eastAsia="zh-CN"/>
        </w:rPr>
        <w:t>(2)拟投入本项目的项目经理具有机电工程专业二级及以上注册建造师执业资格及安全生产考核合格证书（B类）。</w:t>
      </w:r>
    </w:p>
    <w:p w14:paraId="209A6ABB">
      <w:pPr>
        <w:keepNext w:val="0"/>
        <w:keepLines w:val="0"/>
        <w:pageBreakBefore w:val="0"/>
        <w:kinsoku/>
        <w:wordWrap/>
        <w:overflowPunct/>
        <w:topLinePunct w:val="0"/>
        <w:autoSpaceDE/>
        <w:autoSpaceDN/>
        <w:bidi w:val="0"/>
        <w:snapToGrid w:val="0"/>
        <w:spacing w:line="44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 xml:space="preserve">▲三、获取磋商文件： </w:t>
      </w:r>
    </w:p>
    <w:p w14:paraId="7A999846">
      <w:pPr>
        <w:keepNext w:val="0"/>
        <w:keepLines w:val="0"/>
        <w:pageBreakBefore w:val="0"/>
        <w:kinsoku/>
        <w:wordWrap/>
        <w:overflowPunct/>
        <w:topLinePunct w:val="0"/>
        <w:autoSpaceDE/>
        <w:autoSpaceDN/>
        <w:bidi w:val="0"/>
        <w:spacing w:line="440" w:lineRule="exact"/>
        <w:ind w:firstLine="640"/>
        <w:textAlignment w:val="auto"/>
        <w:rPr>
          <w:rFonts w:ascii="宋体" w:hAnsi="宋体" w:cs="宋体"/>
          <w:color w:val="auto"/>
          <w:sz w:val="24"/>
          <w:highlight w:val="none"/>
        </w:rPr>
      </w:pPr>
      <w:r>
        <w:rPr>
          <w:rFonts w:hint="eastAsia" w:ascii="宋体" w:hAnsi="宋体" w:cs="宋体"/>
          <w:color w:val="auto"/>
          <w:sz w:val="24"/>
          <w:highlight w:val="none"/>
        </w:rPr>
        <w:t>时间：/至</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 xml:space="preserve"> 6 </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 xml:space="preserve"> 2 </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 xml:space="preserve"> 14 </w:t>
      </w:r>
      <w:r>
        <w:rPr>
          <w:rFonts w:hint="eastAsia" w:ascii="宋体" w:hAnsi="宋体" w:cs="宋体"/>
          <w:color w:val="auto"/>
          <w:sz w:val="24"/>
          <w:highlight w:val="none"/>
          <w:lang w:eastAsia="zh-CN"/>
        </w:rPr>
        <w:t>时</w:t>
      </w:r>
      <w:r>
        <w:rPr>
          <w:rFonts w:hint="eastAsia" w:ascii="宋体" w:hAnsi="宋体" w:cs="宋体"/>
          <w:color w:val="auto"/>
          <w:sz w:val="24"/>
          <w:highlight w:val="none"/>
          <w:lang w:val="en-US" w:eastAsia="zh-CN"/>
        </w:rPr>
        <w:t xml:space="preserve"> 00 </w:t>
      </w:r>
      <w:r>
        <w:rPr>
          <w:rFonts w:hint="eastAsia" w:ascii="宋体" w:hAnsi="宋体" w:cs="宋体"/>
          <w:color w:val="auto"/>
          <w:sz w:val="24"/>
          <w:highlight w:val="none"/>
          <w:lang w:eastAsia="zh-CN"/>
        </w:rPr>
        <w:t>分</w:t>
      </w:r>
      <w:r>
        <w:rPr>
          <w:rFonts w:hint="eastAsia" w:ascii="宋体" w:hAnsi="宋体" w:cs="宋体"/>
          <w:color w:val="auto"/>
          <w:sz w:val="24"/>
          <w:highlight w:val="none"/>
        </w:rPr>
        <w:t>，每天上午00：00至12:00，下午12:00至23:59（北京时间，线上获取法定节假日均可，线下获取文件法定节假日除外）</w:t>
      </w:r>
    </w:p>
    <w:p w14:paraId="1F2D1781">
      <w:pPr>
        <w:keepNext w:val="0"/>
        <w:keepLines w:val="0"/>
        <w:pageBreakBefore w:val="0"/>
        <w:kinsoku/>
        <w:wordWrap/>
        <w:overflowPunct/>
        <w:topLinePunct w:val="0"/>
        <w:autoSpaceDE/>
        <w:autoSpaceDN/>
        <w:bidi w:val="0"/>
        <w:spacing w:line="440" w:lineRule="exact"/>
        <w:ind w:firstLine="640"/>
        <w:textAlignment w:val="auto"/>
        <w:rPr>
          <w:rFonts w:ascii="宋体" w:hAnsi="宋体" w:cs="宋体"/>
          <w:color w:val="auto"/>
          <w:sz w:val="24"/>
          <w:highlight w:val="none"/>
        </w:rPr>
      </w:pPr>
      <w:r>
        <w:rPr>
          <w:rFonts w:hint="eastAsia" w:ascii="宋体" w:hAnsi="宋体" w:cs="宋体"/>
          <w:color w:val="auto"/>
          <w:sz w:val="24"/>
          <w:highlight w:val="none"/>
        </w:rPr>
        <w:t>地点（网址）：浙江政府采购网（http://zfcg.czt.zj.gov.cn/）； 东阳市公共资源交易网(http://www.dongyang.gov.cn/ggzyjy/index.html)</w:t>
      </w:r>
    </w:p>
    <w:p w14:paraId="67CA7056">
      <w:pPr>
        <w:keepNext w:val="0"/>
        <w:keepLines w:val="0"/>
        <w:pageBreakBefore w:val="0"/>
        <w:kinsoku/>
        <w:wordWrap/>
        <w:overflowPunct/>
        <w:topLinePunct w:val="0"/>
        <w:autoSpaceDE/>
        <w:autoSpaceDN/>
        <w:bidi w:val="0"/>
        <w:snapToGrid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方式：1、由供应商通过登录浙江省政府采购网(http://zfcg.czt.zj.gov.cn/)上的政采云系统进行获取（首次参加谈判的单位应先登录浙江省政府采购网(http://zfcg.czt.zj.gov.cn/)进行账户注册，注册完毕待审核成功后方可登录政采云系统获取；注册流程见网址</w:t>
      </w:r>
    </w:p>
    <w:p w14:paraId="03DB11F2">
      <w:pPr>
        <w:keepNext w:val="0"/>
        <w:keepLines w:val="0"/>
        <w:pageBreakBefore w:val="0"/>
        <w:kinsoku/>
        <w:wordWrap/>
        <w:overflowPunct/>
        <w:topLinePunct w:val="0"/>
        <w:autoSpaceDE/>
        <w:autoSpaceDN/>
        <w:bidi w:val="0"/>
        <w:snapToGrid w:val="0"/>
        <w:spacing w:line="440" w:lineRule="exact"/>
        <w:textAlignment w:val="auto"/>
        <w:rPr>
          <w:rFonts w:ascii="宋体" w:hAnsi="宋体" w:cs="宋体"/>
          <w:color w:val="auto"/>
          <w:sz w:val="24"/>
          <w:highlight w:val="none"/>
        </w:rPr>
      </w:pPr>
      <w:r>
        <w:rPr>
          <w:rFonts w:hint="eastAsia" w:ascii="宋体" w:hAnsi="宋体" w:cs="宋体"/>
          <w:color w:val="auto"/>
          <w:sz w:val="24"/>
          <w:highlight w:val="none"/>
        </w:rPr>
        <w:t>http://zfcg.czt.zj.gov.cn/register/2017-07-24/6728.html?_=2017-11-13%2011:10:28）；</w:t>
      </w:r>
    </w:p>
    <w:p w14:paraId="35EDCC8D">
      <w:pPr>
        <w:keepNext w:val="0"/>
        <w:keepLines w:val="0"/>
        <w:pageBreakBefore w:val="0"/>
        <w:kinsoku/>
        <w:wordWrap/>
        <w:overflowPunct/>
        <w:topLinePunct w:val="0"/>
        <w:autoSpaceDE/>
        <w:autoSpaceDN/>
        <w:bidi w:val="0"/>
        <w:snapToGrid w:val="0"/>
        <w:spacing w:line="440" w:lineRule="exact"/>
        <w:ind w:firstLine="480" w:firstLineChars="200"/>
        <w:textAlignment w:val="auto"/>
        <w:rPr>
          <w:rFonts w:ascii="宋体" w:hAnsi="宋体" w:cs="宋体"/>
          <w:color w:val="auto"/>
          <w:highlight w:val="none"/>
        </w:rPr>
      </w:pPr>
      <w:r>
        <w:rPr>
          <w:rFonts w:hint="eastAsia" w:ascii="宋体" w:hAnsi="宋体" w:cs="宋体"/>
          <w:color w:val="auto"/>
          <w:sz w:val="24"/>
          <w:highlight w:val="none"/>
        </w:rPr>
        <w:t>2、竞争性磋商文件获取流程：浙江政府采购网-政采云用户登录-用户中心-项目采购-获取采购文件管理。</w:t>
      </w:r>
    </w:p>
    <w:p w14:paraId="0BC754C5">
      <w:pPr>
        <w:keepNext w:val="0"/>
        <w:keepLines w:val="0"/>
        <w:pageBreakBefore w:val="0"/>
        <w:kinsoku/>
        <w:wordWrap/>
        <w:overflowPunct/>
        <w:topLinePunct w:val="0"/>
        <w:autoSpaceDE/>
        <w:autoSpaceDN/>
        <w:bidi w:val="0"/>
        <w:snapToGrid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3、浙江政府采购网上以“游客”身份获取的采购文件仅供阅览；潜在供应商应按上述方式获取采购文件；未按上述方式获取采购文件的，不得对采购文件提起质疑投诉。</w:t>
      </w:r>
    </w:p>
    <w:p w14:paraId="54CBC6EE">
      <w:pPr>
        <w:keepNext w:val="0"/>
        <w:keepLines w:val="0"/>
        <w:pageBreakBefore w:val="0"/>
        <w:kinsoku/>
        <w:wordWrap/>
        <w:overflowPunct/>
        <w:topLinePunct w:val="0"/>
        <w:autoSpaceDE/>
        <w:autoSpaceDN/>
        <w:bidi w:val="0"/>
        <w:snapToGrid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 售价（元）：0</w:t>
      </w:r>
    </w:p>
    <w:p w14:paraId="1DBB1CFA">
      <w:pPr>
        <w:keepNext w:val="0"/>
        <w:keepLines w:val="0"/>
        <w:pageBreakBefore w:val="0"/>
        <w:kinsoku/>
        <w:wordWrap/>
        <w:overflowPunct/>
        <w:topLinePunct w:val="0"/>
        <w:autoSpaceDE/>
        <w:autoSpaceDN/>
        <w:bidi w:val="0"/>
        <w:snapToGrid w:val="0"/>
        <w:spacing w:line="44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四、响应文件提交</w:t>
      </w:r>
    </w:p>
    <w:p w14:paraId="5F2A9ED8">
      <w:pPr>
        <w:keepNext w:val="0"/>
        <w:keepLines w:val="0"/>
        <w:pageBreakBefore w:val="0"/>
        <w:kinsoku/>
        <w:wordWrap/>
        <w:overflowPunct/>
        <w:topLinePunct w:val="0"/>
        <w:autoSpaceDE/>
        <w:autoSpaceDN/>
        <w:bidi w:val="0"/>
        <w:snapToGrid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截止时间：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 xml:space="preserve"> 6 </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 xml:space="preserve"> 2 </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 xml:space="preserve"> 14 </w:t>
      </w:r>
      <w:r>
        <w:rPr>
          <w:rFonts w:hint="eastAsia" w:ascii="宋体" w:hAnsi="宋体" w:cs="宋体"/>
          <w:color w:val="auto"/>
          <w:sz w:val="24"/>
          <w:highlight w:val="none"/>
          <w:lang w:eastAsia="zh-CN"/>
        </w:rPr>
        <w:t>时</w:t>
      </w:r>
      <w:r>
        <w:rPr>
          <w:rFonts w:hint="eastAsia" w:ascii="宋体" w:hAnsi="宋体" w:cs="宋体"/>
          <w:color w:val="auto"/>
          <w:sz w:val="24"/>
          <w:highlight w:val="none"/>
          <w:lang w:val="en-US" w:eastAsia="zh-CN"/>
        </w:rPr>
        <w:t xml:space="preserve"> 00 </w:t>
      </w:r>
      <w:r>
        <w:rPr>
          <w:rFonts w:hint="eastAsia" w:ascii="宋体" w:hAnsi="宋体" w:cs="宋体"/>
          <w:color w:val="auto"/>
          <w:sz w:val="24"/>
          <w:highlight w:val="none"/>
          <w:lang w:eastAsia="zh-CN"/>
        </w:rPr>
        <w:t>分</w:t>
      </w:r>
      <w:r>
        <w:rPr>
          <w:rFonts w:hint="eastAsia" w:ascii="宋体" w:hAnsi="宋体" w:cs="宋体"/>
          <w:color w:val="auto"/>
          <w:sz w:val="24"/>
          <w:highlight w:val="none"/>
        </w:rPr>
        <w:t>（北京时间）</w:t>
      </w:r>
    </w:p>
    <w:p w14:paraId="627DC3E8">
      <w:pPr>
        <w:keepNext w:val="0"/>
        <w:keepLines w:val="0"/>
        <w:pageBreakBefore w:val="0"/>
        <w:kinsoku/>
        <w:wordWrap/>
        <w:overflowPunct/>
        <w:topLinePunct w:val="0"/>
        <w:autoSpaceDE/>
        <w:autoSpaceDN/>
        <w:bidi w:val="0"/>
        <w:snapToGrid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地点（网址）：政采云平台</w:t>
      </w:r>
    </w:p>
    <w:p w14:paraId="2A3306CD">
      <w:pPr>
        <w:keepNext w:val="0"/>
        <w:keepLines w:val="0"/>
        <w:pageBreakBefore w:val="0"/>
        <w:kinsoku/>
        <w:wordWrap/>
        <w:overflowPunct/>
        <w:topLinePunct w:val="0"/>
        <w:autoSpaceDE/>
        <w:autoSpaceDN/>
        <w:bidi w:val="0"/>
        <w:snapToGrid w:val="0"/>
        <w:spacing w:line="44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五、响应文件开启</w:t>
      </w:r>
    </w:p>
    <w:p w14:paraId="0548AAB5">
      <w:pPr>
        <w:keepNext w:val="0"/>
        <w:keepLines w:val="0"/>
        <w:pageBreakBefore w:val="0"/>
        <w:kinsoku/>
        <w:wordWrap/>
        <w:overflowPunct/>
        <w:topLinePunct w:val="0"/>
        <w:autoSpaceDE/>
        <w:autoSpaceDN/>
        <w:bidi w:val="0"/>
        <w:snapToGrid w:val="0"/>
        <w:spacing w:line="440" w:lineRule="exact"/>
        <w:ind w:firstLine="482" w:firstLineChars="200"/>
        <w:textAlignment w:val="auto"/>
        <w:rPr>
          <w:rFonts w:ascii="宋体" w:hAnsi="宋体" w:cs="宋体"/>
          <w:color w:val="auto"/>
          <w:sz w:val="24"/>
          <w:highlight w:val="none"/>
        </w:rPr>
      </w:pPr>
      <w:r>
        <w:rPr>
          <w:rFonts w:hint="eastAsia" w:ascii="宋体" w:hAnsi="宋体" w:cs="宋体"/>
          <w:b/>
          <w:bCs/>
          <w:color w:val="auto"/>
          <w:sz w:val="24"/>
          <w:highlight w:val="none"/>
        </w:rPr>
        <w:t>开启时间：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 xml:space="preserve"> 6 </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 xml:space="preserve"> 2 </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 xml:space="preserve"> 14 </w:t>
      </w:r>
      <w:r>
        <w:rPr>
          <w:rFonts w:hint="eastAsia" w:ascii="宋体" w:hAnsi="宋体" w:cs="宋体"/>
          <w:color w:val="auto"/>
          <w:sz w:val="24"/>
          <w:highlight w:val="none"/>
          <w:lang w:eastAsia="zh-CN"/>
        </w:rPr>
        <w:t>时</w:t>
      </w:r>
      <w:r>
        <w:rPr>
          <w:rFonts w:hint="eastAsia" w:ascii="宋体" w:hAnsi="宋体" w:cs="宋体"/>
          <w:color w:val="auto"/>
          <w:sz w:val="24"/>
          <w:highlight w:val="none"/>
          <w:lang w:val="en-US" w:eastAsia="zh-CN"/>
        </w:rPr>
        <w:t xml:space="preserve"> 00 </w:t>
      </w:r>
      <w:r>
        <w:rPr>
          <w:rFonts w:hint="eastAsia" w:ascii="宋体" w:hAnsi="宋体" w:cs="宋体"/>
          <w:color w:val="auto"/>
          <w:sz w:val="24"/>
          <w:highlight w:val="none"/>
          <w:lang w:eastAsia="zh-CN"/>
        </w:rPr>
        <w:t>分</w:t>
      </w:r>
      <w:r>
        <w:rPr>
          <w:rFonts w:hint="eastAsia" w:ascii="宋体" w:hAnsi="宋体" w:cs="宋体"/>
          <w:color w:val="auto"/>
          <w:sz w:val="24"/>
          <w:highlight w:val="none"/>
        </w:rPr>
        <w:t>（北京时间）</w:t>
      </w:r>
    </w:p>
    <w:p w14:paraId="4ECE5EB7">
      <w:pPr>
        <w:keepNext w:val="0"/>
        <w:keepLines w:val="0"/>
        <w:pageBreakBefore w:val="0"/>
        <w:kinsoku/>
        <w:wordWrap/>
        <w:overflowPunct/>
        <w:topLinePunct w:val="0"/>
        <w:autoSpaceDE/>
        <w:autoSpaceDN/>
        <w:bidi w:val="0"/>
        <w:snapToGrid w:val="0"/>
        <w:spacing w:line="440" w:lineRule="exact"/>
        <w:ind w:firstLine="481"/>
        <w:textAlignment w:val="auto"/>
        <w:rPr>
          <w:rFonts w:ascii="宋体" w:hAnsi="宋体" w:cs="宋体"/>
          <w:color w:val="auto"/>
          <w:sz w:val="24"/>
          <w:highlight w:val="none"/>
        </w:rPr>
      </w:pPr>
      <w:r>
        <w:rPr>
          <w:rFonts w:hint="eastAsia" w:ascii="宋体" w:hAnsi="宋体" w:cs="宋体"/>
          <w:color w:val="auto"/>
          <w:sz w:val="24"/>
          <w:highlight w:val="none"/>
        </w:rPr>
        <w:t>地点（网址）：政采云平台</w:t>
      </w:r>
    </w:p>
    <w:p w14:paraId="3202E0D3">
      <w:pPr>
        <w:keepNext w:val="0"/>
        <w:keepLines w:val="0"/>
        <w:pageBreakBefore w:val="0"/>
        <w:kinsoku/>
        <w:wordWrap/>
        <w:overflowPunct/>
        <w:topLinePunct w:val="0"/>
        <w:autoSpaceDE/>
        <w:autoSpaceDN/>
        <w:bidi w:val="0"/>
        <w:snapToGrid w:val="0"/>
        <w:spacing w:line="44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六、采购意向公开链接</w:t>
      </w:r>
    </w:p>
    <w:p w14:paraId="01AAC871">
      <w:pPr>
        <w:keepNext w:val="0"/>
        <w:keepLines w:val="0"/>
        <w:pageBreakBefore w:val="0"/>
        <w:kinsoku/>
        <w:wordWrap/>
        <w:overflowPunct/>
        <w:topLinePunct w:val="0"/>
        <w:autoSpaceDE/>
        <w:autoSpaceDN/>
        <w:bidi w:val="0"/>
        <w:snapToGrid w:val="0"/>
        <w:spacing w:line="440" w:lineRule="exact"/>
        <w:textAlignment w:val="auto"/>
        <w:rPr>
          <w:rFonts w:hint="eastAsia" w:ascii="宋体" w:hAnsi="宋体" w:cs="宋体"/>
          <w:b/>
          <w:bCs/>
          <w:color w:val="auto"/>
          <w:sz w:val="24"/>
          <w:highlight w:val="none"/>
          <w:u w:val="none"/>
        </w:rPr>
      </w:pPr>
      <w:r>
        <w:rPr>
          <w:rFonts w:hint="eastAsia" w:ascii="宋体" w:hAnsi="宋体" w:cs="宋体"/>
          <w:b/>
          <w:bCs/>
          <w:color w:val="auto"/>
          <w:sz w:val="24"/>
          <w:highlight w:val="none"/>
          <w:u w:val="none"/>
        </w:rPr>
        <w:fldChar w:fldCharType="begin"/>
      </w:r>
      <w:r>
        <w:rPr>
          <w:rFonts w:hint="eastAsia" w:ascii="宋体" w:hAnsi="宋体" w:cs="宋体"/>
          <w:b/>
          <w:bCs/>
          <w:color w:val="auto"/>
          <w:sz w:val="24"/>
          <w:highlight w:val="none"/>
          <w:u w:val="none"/>
        </w:rPr>
        <w:instrText xml:space="preserve"> HYPERLINK "https://zfcg.czt.zj.gov.cn/site/detail?parentId=600007&amp;articleId=1JrWr9OMnGIEkaQNjBzgJQ%3D%3D" </w:instrText>
      </w:r>
      <w:r>
        <w:rPr>
          <w:rFonts w:hint="eastAsia" w:ascii="宋体" w:hAnsi="宋体" w:cs="宋体"/>
          <w:b/>
          <w:bCs/>
          <w:color w:val="auto"/>
          <w:sz w:val="24"/>
          <w:highlight w:val="none"/>
          <w:u w:val="none"/>
        </w:rPr>
        <w:fldChar w:fldCharType="separate"/>
      </w:r>
      <w:r>
        <w:rPr>
          <w:rStyle w:val="45"/>
          <w:rFonts w:hint="eastAsia" w:ascii="宋体" w:hAnsi="宋体" w:cs="宋体"/>
          <w:b/>
          <w:bCs/>
          <w:sz w:val="24"/>
          <w:highlight w:val="none"/>
        </w:rPr>
        <w:t>https://zfcg.czt.zj.gov.cn/site/detail?parentId=600007&amp;articleId=1JrWr9OMnGIEkaQNjBzgJQ%3D%3D</w:t>
      </w:r>
      <w:r>
        <w:rPr>
          <w:rFonts w:hint="eastAsia" w:ascii="宋体" w:hAnsi="宋体" w:cs="宋体"/>
          <w:b/>
          <w:bCs/>
          <w:color w:val="auto"/>
          <w:sz w:val="24"/>
          <w:highlight w:val="none"/>
          <w:u w:val="none"/>
        </w:rPr>
        <w:fldChar w:fldCharType="end"/>
      </w:r>
    </w:p>
    <w:p w14:paraId="62CDF823">
      <w:pPr>
        <w:keepNext w:val="0"/>
        <w:keepLines w:val="0"/>
        <w:pageBreakBefore w:val="0"/>
        <w:kinsoku/>
        <w:wordWrap/>
        <w:overflowPunct/>
        <w:topLinePunct w:val="0"/>
        <w:autoSpaceDE/>
        <w:autoSpaceDN/>
        <w:bidi w:val="0"/>
        <w:snapToGrid w:val="0"/>
        <w:spacing w:line="44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七、公告期限</w:t>
      </w:r>
    </w:p>
    <w:p w14:paraId="2A8A7114">
      <w:pPr>
        <w:keepNext w:val="0"/>
        <w:keepLines w:val="0"/>
        <w:pageBreakBefore w:val="0"/>
        <w:kinsoku/>
        <w:wordWrap/>
        <w:overflowPunct/>
        <w:topLinePunct w:val="0"/>
        <w:autoSpaceDE/>
        <w:autoSpaceDN/>
        <w:bidi w:val="0"/>
        <w:snapToGrid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自本公告发布之日起3个工作日</w:t>
      </w:r>
    </w:p>
    <w:p w14:paraId="6E6E8386">
      <w:pPr>
        <w:keepNext w:val="0"/>
        <w:keepLines w:val="0"/>
        <w:pageBreakBefore w:val="0"/>
        <w:kinsoku/>
        <w:wordWrap/>
        <w:overflowPunct/>
        <w:topLinePunct w:val="0"/>
        <w:autoSpaceDE/>
        <w:autoSpaceDN/>
        <w:bidi w:val="0"/>
        <w:snapToGrid w:val="0"/>
        <w:spacing w:line="44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八、其他补充事宜</w:t>
      </w:r>
    </w:p>
    <w:p w14:paraId="7F5080DA">
      <w:pPr>
        <w:pStyle w:val="34"/>
        <w:keepNext w:val="0"/>
        <w:keepLines w:val="0"/>
        <w:pageBreakBefore w:val="0"/>
        <w:kinsoku/>
        <w:wordWrap/>
        <w:overflowPunct/>
        <w:topLinePunct w:val="0"/>
        <w:autoSpaceDE/>
        <w:autoSpaceDN/>
        <w:bidi w:val="0"/>
        <w:adjustRightInd w:val="0"/>
        <w:snapToGrid w:val="0"/>
        <w:spacing w:line="440" w:lineRule="exact"/>
        <w:textAlignment w:val="auto"/>
        <w:rPr>
          <w:rFonts w:hint="eastAsia"/>
          <w:color w:val="auto"/>
          <w:kern w:val="2"/>
          <w:highlight w:val="none"/>
        </w:rPr>
      </w:pPr>
      <w:r>
        <w:rPr>
          <w:rFonts w:hint="eastAsia"/>
          <w:color w:val="auto"/>
          <w:highlight w:val="none"/>
        </w:rPr>
        <w:t xml:space="preserve">  </w:t>
      </w:r>
      <w:r>
        <w:rPr>
          <w:rFonts w:hint="eastAsia"/>
          <w:color w:val="auto"/>
          <w:kern w:val="2"/>
          <w:highlight w:val="none"/>
        </w:rPr>
        <w:t xml:space="preserve"> 1.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9C17B5D">
      <w:pPr>
        <w:pStyle w:val="34"/>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color w:val="auto"/>
          <w:kern w:val="2"/>
          <w:highlight w:val="none"/>
        </w:rPr>
      </w:pPr>
      <w:r>
        <w:rPr>
          <w:rFonts w:hint="eastAsia"/>
          <w:color w:val="auto"/>
          <w:kern w:val="2"/>
          <w:highlight w:val="none"/>
        </w:rPr>
        <w:t>2、其他事项：1.《浙江省财政厅关于进一步发挥政府采购政策功能全力推动经济稳进提质的通知》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 助力扎实稳住经济的通知》（浙财采监〔2022〕8号）已分别于2022年1月29日、2022年2月1日和2022年7月1日开始实施，此前有关规定与上述文件内容不一致的，按上述文件要求执行。</w:t>
      </w:r>
    </w:p>
    <w:p w14:paraId="6264F18C">
      <w:pPr>
        <w:pStyle w:val="34"/>
        <w:keepNext w:val="0"/>
        <w:keepLines w:val="0"/>
        <w:pageBreakBefore w:val="0"/>
        <w:kinsoku/>
        <w:wordWrap/>
        <w:overflowPunct/>
        <w:topLinePunct w:val="0"/>
        <w:autoSpaceDE/>
        <w:autoSpaceDN/>
        <w:bidi w:val="0"/>
        <w:adjustRightInd w:val="0"/>
        <w:snapToGrid w:val="0"/>
        <w:spacing w:line="440" w:lineRule="exact"/>
        <w:ind w:firstLine="480" w:firstLineChars="200"/>
        <w:jc w:val="both"/>
        <w:textAlignment w:val="auto"/>
        <w:rPr>
          <w:color w:val="auto"/>
          <w:kern w:val="2"/>
          <w:highlight w:val="none"/>
        </w:rPr>
      </w:pPr>
      <w:r>
        <w:rPr>
          <w:rFonts w:hint="eastAsia"/>
          <w:color w:val="auto"/>
          <w:kern w:val="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2FB57BD">
      <w:pPr>
        <w:keepNext w:val="0"/>
        <w:keepLines w:val="0"/>
        <w:pageBreakBefore w:val="0"/>
        <w:kinsoku/>
        <w:wordWrap/>
        <w:overflowPunct/>
        <w:topLinePunct w:val="0"/>
        <w:autoSpaceDE/>
        <w:autoSpaceDN/>
        <w:bidi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企业信用融资:省财政厅、浙江银监局、省金融办制定了《浙江省政府采购支持中小企业信用融资试点办法》浙财采监[2012]13号)，所称的政府采购信用融资，是指银行业金融机构(以下简称银行)以政府采购诚信考核和信用审查为基础，凭借政府采购合同，按优于一般中小企业的贷款利率直接向申请贷款的供应商发放贷款的一种融资方式。供应商可登录浙江政府采购( https://zfcg.czt.zj.gov.cn)的中小企业信用融资栏目了解相关信息。供应商可以通过浙江政府采购网(https://zfcg. czt.zj. gov.cn/)首页的“浙江政采贷”模块进入申请，还可以通过政府采购云平台(https://www.zcygov.cn/)首页的“金融服务”模块进入申请。</w:t>
      </w:r>
    </w:p>
    <w:p w14:paraId="37B78729">
      <w:pPr>
        <w:keepNext w:val="0"/>
        <w:keepLines w:val="0"/>
        <w:pageBreakBefore w:val="0"/>
        <w:kinsoku/>
        <w:wordWrap/>
        <w:overflowPunct/>
        <w:topLinePunct w:val="0"/>
        <w:autoSpaceDE/>
        <w:autoSpaceDN/>
        <w:bidi w:val="0"/>
        <w:snapToGrid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根据《浙江省财政厅关于进一步加大政府采购支持中小企业力度助力扎实稳住经济的通知》（浙财采监〔2022〕8号）简化对政府采购供应商资格条件的形式审查，供应商书面承诺符合参与政府采购活动资格条件的，不需要再提供财务状况报告、依法缴纳税收和社会保障资金记录、无重大违法记录等证明材料。</w:t>
      </w:r>
    </w:p>
    <w:p w14:paraId="1DDE2BA6">
      <w:pPr>
        <w:keepNext w:val="0"/>
        <w:keepLines w:val="0"/>
        <w:pageBreakBefore w:val="0"/>
        <w:kinsoku/>
        <w:wordWrap/>
        <w:overflowPunct/>
        <w:topLinePunct w:val="0"/>
        <w:autoSpaceDE/>
        <w:autoSpaceDN/>
        <w:bidi w:val="0"/>
        <w:snapToGrid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本项目实行电子磋商，磋商响应文件应按照本项目竞争性磋商文件和政采云平台的要求编制、加密并递交。供应商在使用系统进行谈判的过程中遇到涉及平台使用的任何问题，可致电政采云平台技术支持热线咨询，联系方式：95763。</w:t>
      </w:r>
    </w:p>
    <w:p w14:paraId="476019CE">
      <w:pPr>
        <w:keepNext w:val="0"/>
        <w:keepLines w:val="0"/>
        <w:pageBreakBefore w:val="0"/>
        <w:kinsoku/>
        <w:wordWrap/>
        <w:overflowPunct/>
        <w:topLinePunct w:val="0"/>
        <w:autoSpaceDE/>
        <w:autoSpaceDN/>
        <w:bidi w:val="0"/>
        <w:snapToGrid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6.供应商应 在 开 标 前 完 成 CA 数 字 证 书 办 理 。 （ 办 理 流 程 详 见http://zfcg.czt.zj.gov.cn/bidClientTemplate/2019-05-27/12945.html）。完成 CA 数字证书办理预计一周左右，建议各供应商抓紧时间办理。</w:t>
      </w:r>
    </w:p>
    <w:p w14:paraId="64FB7B0F">
      <w:pPr>
        <w:keepNext w:val="0"/>
        <w:keepLines w:val="0"/>
        <w:pageBreakBefore w:val="0"/>
        <w:kinsoku/>
        <w:wordWrap/>
        <w:overflowPunct/>
        <w:topLinePunct w:val="0"/>
        <w:autoSpaceDE/>
        <w:autoSpaceDN/>
        <w:bidi w:val="0"/>
        <w:snapToGrid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7.供应商通过政采云平台电子磋商工具制作磋商响应文件，电子磋商工具请供应商自行前往浙江省政府采购网下载并安装，（下载网址：http://zfcg.czt.zj.gov.cn/bidClientTemplate/2019-08-30/12975.html），</w:t>
      </w:r>
    </w:p>
    <w:p w14:paraId="0828D39D">
      <w:pPr>
        <w:keepNext w:val="0"/>
        <w:keepLines w:val="0"/>
        <w:pageBreakBefore w:val="0"/>
        <w:kinsoku/>
        <w:wordWrap/>
        <w:overflowPunct/>
        <w:topLinePunct w:val="0"/>
        <w:autoSpaceDE/>
        <w:autoSpaceDN/>
        <w:bidi w:val="0"/>
        <w:snapToGrid w:val="0"/>
        <w:spacing w:line="44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 电 子 投 标 相 关 学 习 网 址 ： </w:t>
      </w:r>
      <w:r>
        <w:rPr>
          <w:color w:val="auto"/>
          <w:highlight w:val="none"/>
        </w:rPr>
        <w:fldChar w:fldCharType="begin"/>
      </w:r>
      <w:r>
        <w:rPr>
          <w:color w:val="auto"/>
          <w:highlight w:val="none"/>
        </w:rPr>
        <w:instrText xml:space="preserve"> HYPERLINK "https://edu.zcygov.cn/luban/e-biding?utm=a0004.2ef5001f.0001.0109.2d44db10df9111e9b92b0f36d4889416。）" </w:instrText>
      </w:r>
      <w:r>
        <w:rPr>
          <w:color w:val="auto"/>
          <w:highlight w:val="none"/>
        </w:rPr>
        <w:fldChar w:fldCharType="separate"/>
      </w:r>
      <w:r>
        <w:rPr>
          <w:rStyle w:val="45"/>
          <w:rFonts w:hint="eastAsia" w:ascii="宋体" w:hAnsi="宋体" w:cs="宋体"/>
          <w:color w:val="auto"/>
          <w:sz w:val="24"/>
          <w:highlight w:val="none"/>
        </w:rPr>
        <w:t>https://edu.zcygov.cn/luban/e-biding?utm=a0004.2ef5001f.0001.0109.2d44db10df9111e9b92b0f36d4889416。）</w:t>
      </w:r>
      <w:r>
        <w:rPr>
          <w:rStyle w:val="45"/>
          <w:rFonts w:hint="eastAsia" w:ascii="宋体" w:hAnsi="宋体" w:cs="宋体"/>
          <w:color w:val="auto"/>
          <w:sz w:val="24"/>
          <w:highlight w:val="none"/>
        </w:rPr>
        <w:fldChar w:fldCharType="end"/>
      </w:r>
    </w:p>
    <w:p w14:paraId="4C2BBA2B">
      <w:pPr>
        <w:keepNext w:val="0"/>
        <w:keepLines w:val="0"/>
        <w:pageBreakBefore w:val="0"/>
        <w:kinsoku/>
        <w:wordWrap/>
        <w:overflowPunct/>
        <w:topLinePunct w:val="0"/>
        <w:autoSpaceDE/>
        <w:autoSpaceDN/>
        <w:bidi w:val="0"/>
        <w:spacing w:line="44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 xml:space="preserve">8.政府采购金融服务提示：为扩大政府采购金融服务面，除政采云网上金融服务合作银行外，东阳市范围内增加浙商银行金华分行东阳支行作为线下合作银行。   </w:t>
      </w:r>
    </w:p>
    <w:p w14:paraId="3BABABCD">
      <w:pPr>
        <w:keepNext w:val="0"/>
        <w:keepLines w:val="0"/>
        <w:pageBreakBefore w:val="0"/>
        <w:kinsoku/>
        <w:wordWrap/>
        <w:overflowPunct/>
        <w:topLinePunct w:val="0"/>
        <w:autoSpaceDE/>
        <w:autoSpaceDN/>
        <w:bidi w:val="0"/>
        <w:spacing w:line="44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浙商银行金华东阳支行  联系人：许燕  联系电话：13967983441  0579-86222992</w:t>
      </w:r>
    </w:p>
    <w:p w14:paraId="24A65411">
      <w:pPr>
        <w:keepNext w:val="0"/>
        <w:keepLines w:val="0"/>
        <w:pageBreakBefore w:val="0"/>
        <w:kinsoku/>
        <w:wordWrap/>
        <w:overflowPunct/>
        <w:topLinePunct w:val="0"/>
        <w:autoSpaceDE/>
        <w:autoSpaceDN/>
        <w:bidi w:val="0"/>
        <w:spacing w:line="440" w:lineRule="exact"/>
        <w:textAlignment w:val="auto"/>
        <w:rPr>
          <w:rFonts w:ascii="宋体" w:hAnsi="宋体" w:cs="宋体"/>
          <w:b/>
          <w:color w:val="auto"/>
          <w:sz w:val="28"/>
          <w:szCs w:val="28"/>
          <w:highlight w:val="none"/>
        </w:rPr>
      </w:pPr>
      <w:r>
        <w:rPr>
          <w:rFonts w:hint="eastAsia" w:ascii="宋体" w:hAnsi="宋体" w:cs="宋体"/>
          <w:b/>
          <w:color w:val="auto"/>
          <w:sz w:val="24"/>
          <w:highlight w:val="none"/>
        </w:rPr>
        <w:t>九、对本次采购提出询问、质疑、投诉，请按以下方式联系。</w:t>
      </w:r>
    </w:p>
    <w:p w14:paraId="63B449A3">
      <w:pPr>
        <w:keepNext w:val="0"/>
        <w:keepLines w:val="0"/>
        <w:pageBreakBefore w:val="0"/>
        <w:kinsoku/>
        <w:wordWrap/>
        <w:overflowPunct/>
        <w:topLinePunct w:val="0"/>
        <w:autoSpaceDE/>
        <w:autoSpaceDN/>
        <w:bidi w:val="0"/>
        <w:spacing w:line="440" w:lineRule="exact"/>
        <w:ind w:firstLine="723" w:firstLineChars="300"/>
        <w:textAlignment w:val="auto"/>
        <w:rPr>
          <w:rFonts w:ascii="宋体" w:hAnsi="宋体" w:cs="宋体"/>
          <w:b/>
          <w:bCs/>
          <w:color w:val="auto"/>
          <w:sz w:val="24"/>
          <w:highlight w:val="none"/>
        </w:rPr>
      </w:pPr>
      <w:r>
        <w:rPr>
          <w:rFonts w:hint="eastAsia" w:ascii="宋体" w:hAnsi="宋体" w:cs="宋体"/>
          <w:b/>
          <w:bCs/>
          <w:color w:val="auto"/>
          <w:sz w:val="24"/>
          <w:highlight w:val="none"/>
        </w:rPr>
        <w:t xml:space="preserve">1.采购人信息  </w:t>
      </w:r>
    </w:p>
    <w:p w14:paraId="4824C5F8">
      <w:pPr>
        <w:keepNext w:val="0"/>
        <w:keepLines w:val="0"/>
        <w:pageBreakBefore w:val="0"/>
        <w:kinsoku/>
        <w:wordWrap/>
        <w:overflowPunct/>
        <w:topLinePunct w:val="0"/>
        <w:autoSpaceDE/>
        <w:autoSpaceDN/>
        <w:bidi w:val="0"/>
        <w:spacing w:line="440" w:lineRule="exact"/>
        <w:ind w:firstLine="720" w:firstLineChars="300"/>
        <w:textAlignment w:val="auto"/>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 xml:space="preserve">东阳市湖溪镇中心卫生院（东阳市肛肠外科医院） </w:t>
      </w:r>
      <w:r>
        <w:rPr>
          <w:rFonts w:hint="eastAsia" w:ascii="宋体" w:hAnsi="宋体" w:cs="宋体"/>
          <w:color w:val="auto"/>
          <w:sz w:val="24"/>
          <w:highlight w:val="none"/>
        </w:rPr>
        <w:t xml:space="preserve">             </w:t>
      </w:r>
    </w:p>
    <w:p w14:paraId="3C5A6F14">
      <w:pPr>
        <w:keepNext w:val="0"/>
        <w:keepLines w:val="0"/>
        <w:pageBreakBefore w:val="0"/>
        <w:kinsoku/>
        <w:wordWrap/>
        <w:overflowPunct/>
        <w:topLinePunct w:val="0"/>
        <w:autoSpaceDE/>
        <w:autoSpaceDN/>
        <w:bidi w:val="0"/>
        <w:spacing w:line="440" w:lineRule="exact"/>
        <w:ind w:firstLine="720" w:firstLineChars="300"/>
        <w:textAlignment w:val="auto"/>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东阳市</w:t>
      </w:r>
      <w:r>
        <w:rPr>
          <w:rFonts w:hint="eastAsia" w:ascii="宋体" w:hAnsi="宋体" w:cs="宋体"/>
          <w:color w:val="auto"/>
          <w:sz w:val="24"/>
          <w:highlight w:val="none"/>
          <w:lang w:val="en-US" w:eastAsia="zh-CN"/>
        </w:rPr>
        <w:t>湖溪镇</w:t>
      </w:r>
      <w:r>
        <w:rPr>
          <w:rFonts w:hint="eastAsia" w:ascii="宋体" w:hAnsi="宋体" w:cs="宋体"/>
          <w:color w:val="auto"/>
          <w:sz w:val="24"/>
          <w:highlight w:val="none"/>
        </w:rPr>
        <w:t xml:space="preserve"> </w:t>
      </w:r>
    </w:p>
    <w:p w14:paraId="52D6CC25">
      <w:pPr>
        <w:keepNext w:val="0"/>
        <w:keepLines w:val="0"/>
        <w:pageBreakBefore w:val="0"/>
        <w:kinsoku/>
        <w:wordWrap/>
        <w:overflowPunct/>
        <w:topLinePunct w:val="0"/>
        <w:autoSpaceDE/>
        <w:autoSpaceDN/>
        <w:bidi w:val="0"/>
        <w:spacing w:line="440" w:lineRule="exact"/>
        <w:ind w:left="718" w:leftChars="342" w:firstLine="0" w:firstLineChars="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项目联系人（询问）：</w:t>
      </w:r>
      <w:r>
        <w:rPr>
          <w:rFonts w:hint="eastAsia" w:ascii="宋体" w:hAnsi="宋体" w:cs="宋体"/>
          <w:color w:val="auto"/>
          <w:sz w:val="24"/>
          <w:highlight w:val="none"/>
          <w:lang w:val="en-US" w:eastAsia="zh-CN"/>
        </w:rPr>
        <w:t xml:space="preserve">包振华        </w:t>
      </w:r>
      <w:r>
        <w:rPr>
          <w:rFonts w:hint="eastAsia" w:ascii="宋体" w:hAnsi="宋体" w:cs="宋体"/>
          <w:color w:val="auto"/>
          <w:sz w:val="24"/>
          <w:highlight w:val="none"/>
        </w:rPr>
        <w:t>项目联系方式（询问）：</w:t>
      </w:r>
      <w:r>
        <w:rPr>
          <w:rFonts w:hint="eastAsia" w:ascii="宋体" w:hAnsi="宋体" w:cs="宋体"/>
          <w:color w:val="auto"/>
          <w:sz w:val="24"/>
          <w:highlight w:val="none"/>
          <w:lang w:val="en-US" w:eastAsia="zh-CN"/>
        </w:rPr>
        <w:t>13758962013</w:t>
      </w:r>
    </w:p>
    <w:p w14:paraId="2416F9F6">
      <w:pPr>
        <w:keepNext w:val="0"/>
        <w:keepLines w:val="0"/>
        <w:pageBreakBefore w:val="0"/>
        <w:kinsoku/>
        <w:wordWrap/>
        <w:overflowPunct/>
        <w:topLinePunct w:val="0"/>
        <w:autoSpaceDE/>
        <w:autoSpaceDN/>
        <w:bidi w:val="0"/>
        <w:spacing w:line="440" w:lineRule="exact"/>
        <w:ind w:left="718" w:leftChars="342" w:firstLine="0" w:firstLineChars="0"/>
        <w:textAlignment w:val="auto"/>
        <w:rPr>
          <w:rFonts w:ascii="宋体" w:hAnsi="宋体" w:cs="宋体"/>
          <w:color w:val="auto"/>
          <w:sz w:val="24"/>
          <w:highlight w:val="none"/>
        </w:rPr>
      </w:pPr>
      <w:r>
        <w:rPr>
          <w:rFonts w:hint="eastAsia" w:ascii="宋体" w:hAnsi="宋体" w:cs="宋体"/>
          <w:color w:val="auto"/>
          <w:sz w:val="24"/>
          <w:highlight w:val="none"/>
        </w:rPr>
        <w:t>质疑联系人：</w:t>
      </w:r>
      <w:r>
        <w:rPr>
          <w:rFonts w:hint="eastAsia" w:ascii="宋体" w:hAnsi="宋体" w:cs="宋体"/>
          <w:color w:val="auto"/>
          <w:sz w:val="24"/>
          <w:highlight w:val="none"/>
          <w:lang w:eastAsia="zh-CN"/>
        </w:rPr>
        <w:t xml:space="preserve">杜高荣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质疑联系方式：</w:t>
      </w:r>
      <w:r>
        <w:rPr>
          <w:rFonts w:hint="eastAsia" w:ascii="宋体" w:hAnsi="宋体" w:cs="宋体"/>
          <w:color w:val="auto"/>
          <w:sz w:val="24"/>
          <w:highlight w:val="none"/>
          <w:lang w:eastAsia="zh-CN"/>
        </w:rPr>
        <w:t>13665871558</w:t>
      </w:r>
    </w:p>
    <w:p w14:paraId="53616B90">
      <w:pPr>
        <w:keepNext w:val="0"/>
        <w:keepLines w:val="0"/>
        <w:pageBreakBefore w:val="0"/>
        <w:kinsoku/>
        <w:wordWrap/>
        <w:overflowPunct/>
        <w:topLinePunct w:val="0"/>
        <w:autoSpaceDE/>
        <w:autoSpaceDN/>
        <w:bidi w:val="0"/>
        <w:spacing w:line="440" w:lineRule="exact"/>
        <w:ind w:firstLine="723" w:firstLineChars="300"/>
        <w:textAlignment w:val="auto"/>
        <w:rPr>
          <w:rFonts w:ascii="宋体" w:hAnsi="宋体" w:cs="宋体"/>
          <w:b/>
          <w:bCs/>
          <w:color w:val="auto"/>
          <w:sz w:val="24"/>
          <w:highlight w:val="none"/>
        </w:rPr>
      </w:pPr>
      <w:r>
        <w:rPr>
          <w:rFonts w:hint="eastAsia" w:ascii="宋体" w:hAnsi="宋体" w:cs="宋体"/>
          <w:b/>
          <w:bCs/>
          <w:color w:val="auto"/>
          <w:sz w:val="24"/>
          <w:highlight w:val="none"/>
        </w:rPr>
        <w:t>2.采购代理机构信息</w:t>
      </w:r>
    </w:p>
    <w:p w14:paraId="39C84D6C">
      <w:pPr>
        <w:keepNext w:val="0"/>
        <w:keepLines w:val="0"/>
        <w:pageBreakBefore w:val="0"/>
        <w:kinsoku/>
        <w:wordWrap/>
        <w:overflowPunct/>
        <w:topLinePunct w:val="0"/>
        <w:autoSpaceDE/>
        <w:autoSpaceDN/>
        <w:bidi w:val="0"/>
        <w:spacing w:line="440" w:lineRule="exact"/>
        <w:ind w:firstLine="720" w:firstLineChars="300"/>
        <w:textAlignment w:val="auto"/>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大地工程咨询有限公司</w:t>
      </w:r>
      <w:r>
        <w:rPr>
          <w:rFonts w:hint="eastAsia" w:ascii="宋体" w:hAnsi="宋体" w:cs="宋体"/>
          <w:color w:val="auto"/>
          <w:sz w:val="24"/>
          <w:highlight w:val="none"/>
        </w:rPr>
        <w:t xml:space="preserve"> </w:t>
      </w:r>
    </w:p>
    <w:p w14:paraId="574EED4E">
      <w:pPr>
        <w:keepNext w:val="0"/>
        <w:keepLines w:val="0"/>
        <w:pageBreakBefore w:val="0"/>
        <w:kinsoku/>
        <w:wordWrap/>
        <w:overflowPunct/>
        <w:topLinePunct w:val="0"/>
        <w:autoSpaceDE/>
        <w:autoSpaceDN/>
        <w:bidi w:val="0"/>
        <w:spacing w:line="440" w:lineRule="exact"/>
        <w:ind w:firstLine="720" w:firstLineChars="300"/>
        <w:textAlignment w:val="auto"/>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东阳市江北街道</w:t>
      </w:r>
      <w:r>
        <w:rPr>
          <w:rFonts w:hint="eastAsia" w:ascii="宋体" w:hAnsi="宋体" w:cs="宋体"/>
          <w:color w:val="auto"/>
          <w:sz w:val="24"/>
          <w:highlight w:val="none"/>
          <w:lang w:val="en-US" w:eastAsia="zh-CN"/>
        </w:rPr>
        <w:t>东丰小区东富村13栋</w:t>
      </w:r>
      <w:r>
        <w:rPr>
          <w:rFonts w:hint="eastAsia" w:ascii="宋体" w:hAnsi="宋体" w:cs="宋体"/>
          <w:color w:val="auto"/>
          <w:sz w:val="24"/>
          <w:highlight w:val="none"/>
        </w:rPr>
        <w:t xml:space="preserve">  </w:t>
      </w:r>
      <w:bookmarkStart w:id="141" w:name="_GoBack"/>
      <w:bookmarkEnd w:id="141"/>
      <w:r>
        <w:rPr>
          <w:rFonts w:hint="eastAsia" w:ascii="宋体" w:hAnsi="宋体" w:cs="宋体"/>
          <w:color w:val="auto"/>
          <w:sz w:val="24"/>
          <w:highlight w:val="none"/>
        </w:rPr>
        <w:t xml:space="preserve">   </w:t>
      </w:r>
    </w:p>
    <w:p w14:paraId="6B353ADD">
      <w:pPr>
        <w:keepNext w:val="0"/>
        <w:keepLines w:val="0"/>
        <w:pageBreakBefore w:val="0"/>
        <w:kinsoku/>
        <w:wordWrap/>
        <w:overflowPunct/>
        <w:topLinePunct w:val="0"/>
        <w:autoSpaceDE/>
        <w:autoSpaceDN/>
        <w:bidi w:val="0"/>
        <w:spacing w:line="440" w:lineRule="exact"/>
        <w:ind w:firstLine="720" w:firstLineChars="3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项目联系人（询问）：</w:t>
      </w:r>
      <w:r>
        <w:rPr>
          <w:rFonts w:hint="eastAsia" w:ascii="宋体" w:hAnsi="宋体" w:cs="宋体"/>
          <w:color w:val="auto"/>
          <w:sz w:val="24"/>
          <w:highlight w:val="none"/>
          <w:lang w:eastAsia="zh-CN"/>
        </w:rPr>
        <w:t xml:space="preserve">李松云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项目联系方式（询问）：</w:t>
      </w:r>
      <w:r>
        <w:rPr>
          <w:rFonts w:hint="eastAsia" w:ascii="宋体" w:hAnsi="宋体" w:cs="宋体"/>
          <w:sz w:val="24"/>
          <w:szCs w:val="24"/>
          <w:lang w:val="en-US" w:eastAsia="zh-CN"/>
        </w:rPr>
        <w:t>13868939892</w:t>
      </w:r>
    </w:p>
    <w:p w14:paraId="1D24DCF9">
      <w:pPr>
        <w:keepNext w:val="0"/>
        <w:keepLines w:val="0"/>
        <w:pageBreakBefore w:val="0"/>
        <w:kinsoku/>
        <w:wordWrap/>
        <w:overflowPunct/>
        <w:topLinePunct w:val="0"/>
        <w:autoSpaceDE/>
        <w:autoSpaceDN/>
        <w:bidi w:val="0"/>
        <w:spacing w:line="440" w:lineRule="exact"/>
        <w:ind w:firstLine="720" w:firstLineChars="3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质疑联系人：</w:t>
      </w:r>
      <w:r>
        <w:rPr>
          <w:rFonts w:hint="eastAsia" w:ascii="宋体" w:hAnsi="宋体" w:cs="宋体"/>
          <w:sz w:val="24"/>
          <w:szCs w:val="24"/>
          <w:lang w:eastAsia="zh-CN"/>
        </w:rPr>
        <w:t>刘伟团</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质疑联系方式：</w:t>
      </w:r>
      <w:r>
        <w:rPr>
          <w:rFonts w:hint="eastAsia" w:ascii="宋体" w:hAnsi="宋体" w:cs="宋体"/>
          <w:sz w:val="24"/>
          <w:szCs w:val="24"/>
        </w:rPr>
        <w:t>0579-</w:t>
      </w:r>
      <w:r>
        <w:rPr>
          <w:rFonts w:hint="eastAsia" w:ascii="宋体" w:hAnsi="宋体" w:cs="宋体"/>
          <w:sz w:val="24"/>
          <w:szCs w:val="24"/>
          <w:lang w:val="en-US" w:eastAsia="zh-CN"/>
        </w:rPr>
        <w:t>86659566</w:t>
      </w:r>
    </w:p>
    <w:p w14:paraId="45757B71">
      <w:pPr>
        <w:keepNext w:val="0"/>
        <w:keepLines w:val="0"/>
        <w:pageBreakBefore w:val="0"/>
        <w:kinsoku/>
        <w:wordWrap/>
        <w:overflowPunct/>
        <w:topLinePunct w:val="0"/>
        <w:autoSpaceDE/>
        <w:autoSpaceDN/>
        <w:bidi w:val="0"/>
        <w:spacing w:line="440" w:lineRule="exact"/>
        <w:ind w:firstLine="723" w:firstLineChars="300"/>
        <w:textAlignment w:val="auto"/>
        <w:rPr>
          <w:rFonts w:ascii="宋体" w:hAnsi="宋体" w:cs="宋体"/>
          <w:b/>
          <w:bCs/>
          <w:color w:val="auto"/>
          <w:sz w:val="24"/>
          <w:highlight w:val="none"/>
        </w:rPr>
      </w:pPr>
      <w:r>
        <w:rPr>
          <w:rFonts w:hint="eastAsia" w:ascii="宋体" w:hAnsi="宋体" w:cs="宋体"/>
          <w:b/>
          <w:bCs/>
          <w:color w:val="auto"/>
          <w:sz w:val="24"/>
          <w:highlight w:val="none"/>
        </w:rPr>
        <w:t>3.同级政府采购监督管理部门：</w:t>
      </w:r>
    </w:p>
    <w:p w14:paraId="66802800">
      <w:pPr>
        <w:keepNext w:val="0"/>
        <w:keepLines w:val="0"/>
        <w:pageBreakBefore w:val="0"/>
        <w:kinsoku/>
        <w:wordWrap/>
        <w:overflowPunct/>
        <w:topLinePunct w:val="0"/>
        <w:autoSpaceDE/>
        <w:autoSpaceDN/>
        <w:bidi w:val="0"/>
        <w:spacing w:line="440" w:lineRule="exact"/>
        <w:ind w:firstLine="720" w:firstLineChars="300"/>
        <w:textAlignment w:val="auto"/>
        <w:rPr>
          <w:rFonts w:ascii="宋体" w:hAnsi="宋体" w:cs="宋体"/>
          <w:color w:val="auto"/>
          <w:sz w:val="24"/>
          <w:highlight w:val="none"/>
        </w:rPr>
      </w:pPr>
      <w:r>
        <w:rPr>
          <w:rFonts w:hint="eastAsia" w:ascii="宋体" w:hAnsi="宋体" w:cs="宋体"/>
          <w:color w:val="auto"/>
          <w:sz w:val="24"/>
          <w:highlight w:val="none"/>
        </w:rPr>
        <w:t>名称：东阳市财政局采监科             地址：东阳市人民</w:t>
      </w:r>
      <w:r>
        <w:rPr>
          <w:rFonts w:hint="eastAsia" w:ascii="宋体" w:hAnsi="宋体" w:cs="宋体"/>
          <w:color w:val="auto"/>
          <w:sz w:val="24"/>
          <w:highlight w:val="none"/>
          <w:lang w:eastAsia="zh-CN"/>
        </w:rPr>
        <w:t>北</w:t>
      </w:r>
      <w:r>
        <w:rPr>
          <w:rFonts w:hint="eastAsia" w:ascii="宋体" w:hAnsi="宋体" w:cs="宋体"/>
          <w:color w:val="auto"/>
          <w:sz w:val="24"/>
          <w:highlight w:val="none"/>
        </w:rPr>
        <w:t>路8号</w:t>
      </w:r>
    </w:p>
    <w:p w14:paraId="2D859C53">
      <w:pPr>
        <w:keepNext w:val="0"/>
        <w:keepLines w:val="0"/>
        <w:pageBreakBefore w:val="0"/>
        <w:kinsoku/>
        <w:wordWrap/>
        <w:overflowPunct/>
        <w:topLinePunct w:val="0"/>
        <w:autoSpaceDE/>
        <w:autoSpaceDN/>
        <w:bidi w:val="0"/>
        <w:spacing w:line="440" w:lineRule="exact"/>
        <w:ind w:firstLine="720" w:firstLineChars="300"/>
        <w:textAlignment w:val="auto"/>
        <w:rPr>
          <w:rFonts w:ascii="宋体" w:hAnsi="宋体" w:cs="宋体"/>
          <w:color w:val="auto"/>
          <w:sz w:val="24"/>
          <w:highlight w:val="none"/>
        </w:rPr>
      </w:pPr>
      <w:r>
        <w:rPr>
          <w:rFonts w:hint="eastAsia" w:ascii="宋体" w:hAnsi="宋体" w:cs="宋体"/>
          <w:color w:val="auto"/>
          <w:sz w:val="24"/>
          <w:highlight w:val="none"/>
        </w:rPr>
        <w:t>监督投诉电话：0579-86662677</w:t>
      </w:r>
    </w:p>
    <w:p w14:paraId="31A1C6FB">
      <w:pPr>
        <w:keepNext w:val="0"/>
        <w:keepLines w:val="0"/>
        <w:pageBreakBefore w:val="0"/>
        <w:kinsoku/>
        <w:wordWrap/>
        <w:overflowPunct/>
        <w:topLinePunct w:val="0"/>
        <w:autoSpaceDE/>
        <w:autoSpaceDN/>
        <w:bidi w:val="0"/>
        <w:snapToGrid w:val="0"/>
        <w:spacing w:line="440" w:lineRule="exact"/>
        <w:ind w:firstLine="723" w:firstLineChars="300"/>
        <w:textAlignment w:val="auto"/>
        <w:rPr>
          <w:rFonts w:hint="eastAsia" w:ascii="宋体" w:hAnsi="宋体" w:eastAsia="宋体" w:cs="宋体"/>
          <w:b/>
          <w:color w:val="auto"/>
          <w:sz w:val="24"/>
          <w:szCs w:val="20"/>
          <w:highlight w:val="none"/>
          <w:lang w:val="en-US" w:eastAsia="zh-CN"/>
        </w:rPr>
      </w:pPr>
      <w:r>
        <w:rPr>
          <w:rFonts w:hint="eastAsia" w:ascii="宋体" w:hAnsi="宋体" w:cs="宋体"/>
          <w:b/>
          <w:color w:val="auto"/>
          <w:sz w:val="24"/>
          <w:szCs w:val="20"/>
          <w:highlight w:val="none"/>
        </w:rPr>
        <w:t>附件：</w:t>
      </w:r>
      <w:r>
        <w:rPr>
          <w:rFonts w:hint="eastAsia" w:ascii="宋体" w:hAnsi="宋体" w:cs="宋体"/>
          <w:b/>
          <w:bCs/>
          <w:color w:val="auto"/>
          <w:sz w:val="24"/>
          <w:highlight w:val="none"/>
          <w:lang w:eastAsia="zh-CN"/>
        </w:rPr>
        <w:t>东阳市肛肠外科医院4000kVA双电源配电工程采购项目</w:t>
      </w:r>
      <w:r>
        <w:rPr>
          <w:rFonts w:hint="eastAsia" w:ascii="宋体" w:hAnsi="宋体" w:cs="宋体"/>
          <w:b/>
          <w:color w:val="auto"/>
          <w:sz w:val="24"/>
          <w:szCs w:val="20"/>
          <w:highlight w:val="none"/>
        </w:rPr>
        <w:t>磋商文件</w:t>
      </w:r>
      <w:r>
        <w:rPr>
          <w:rFonts w:hint="eastAsia" w:ascii="宋体" w:hAnsi="宋体" w:cs="宋体"/>
          <w:b/>
          <w:color w:val="auto"/>
          <w:sz w:val="24"/>
          <w:szCs w:val="20"/>
          <w:highlight w:val="none"/>
          <w:lang w:eastAsia="zh-CN"/>
        </w:rPr>
        <w:t>、图纸、预算书</w:t>
      </w:r>
    </w:p>
    <w:p w14:paraId="01289740">
      <w:pPr>
        <w:pStyle w:val="15"/>
        <w:keepNext w:val="0"/>
        <w:keepLines w:val="0"/>
        <w:pageBreakBefore w:val="0"/>
        <w:kinsoku/>
        <w:wordWrap/>
        <w:overflowPunct/>
        <w:topLinePunct w:val="0"/>
        <w:autoSpaceDE/>
        <w:autoSpaceDN/>
        <w:bidi w:val="0"/>
        <w:spacing w:line="440" w:lineRule="exact"/>
        <w:textAlignment w:val="auto"/>
        <w:rPr>
          <w:rFonts w:ascii="宋体" w:hAnsi="宋体" w:cs="宋体"/>
          <w:b/>
          <w:color w:val="auto"/>
          <w:sz w:val="24"/>
          <w:szCs w:val="20"/>
          <w:highlight w:val="none"/>
        </w:rPr>
      </w:pPr>
    </w:p>
    <w:p w14:paraId="37D4DA6B">
      <w:pPr>
        <w:keepNext w:val="0"/>
        <w:keepLines w:val="0"/>
        <w:pageBreakBefore w:val="0"/>
        <w:kinsoku/>
        <w:wordWrap/>
        <w:overflowPunct/>
        <w:topLinePunct w:val="0"/>
        <w:autoSpaceDE/>
        <w:autoSpaceDN/>
        <w:bidi w:val="0"/>
        <w:snapToGrid w:val="0"/>
        <w:spacing w:line="440" w:lineRule="exact"/>
        <w:ind w:left="4819" w:right="198" w:hanging="4819" w:hangingChars="2000"/>
        <w:jc w:val="right"/>
        <w:textAlignment w:val="auto"/>
        <w:rPr>
          <w:rFonts w:ascii="宋体" w:hAnsi="宋体" w:cs="宋体"/>
          <w:b/>
          <w:color w:val="auto"/>
          <w:sz w:val="24"/>
          <w:highlight w:val="none"/>
        </w:rPr>
      </w:pPr>
      <w:r>
        <w:rPr>
          <w:rFonts w:hint="eastAsia" w:ascii="宋体" w:hAnsi="宋体" w:cs="宋体"/>
          <w:b/>
          <w:color w:val="auto"/>
          <w:sz w:val="24"/>
          <w:highlight w:val="none"/>
        </w:rPr>
        <w:t xml:space="preserve">                                  </w:t>
      </w:r>
      <w:r>
        <w:rPr>
          <w:rFonts w:hint="eastAsia" w:ascii="宋体" w:hAnsi="宋体" w:cs="宋体"/>
          <w:b/>
          <w:color w:val="auto"/>
          <w:sz w:val="24"/>
          <w:highlight w:val="none"/>
          <w:lang w:eastAsia="zh-CN"/>
        </w:rPr>
        <w:t>东阳市湖溪镇中心卫生院（东阳市肛肠外科医院）</w:t>
      </w:r>
      <w:r>
        <w:rPr>
          <w:rFonts w:hint="eastAsia" w:ascii="宋体" w:hAnsi="宋体" w:cs="宋体"/>
          <w:b/>
          <w:color w:val="auto"/>
          <w:sz w:val="24"/>
          <w:highlight w:val="none"/>
        </w:rPr>
        <w:t xml:space="preserve"> </w:t>
      </w:r>
    </w:p>
    <w:p w14:paraId="10B7EC1E">
      <w:pPr>
        <w:keepNext w:val="0"/>
        <w:keepLines w:val="0"/>
        <w:pageBreakBefore w:val="0"/>
        <w:kinsoku/>
        <w:wordWrap/>
        <w:overflowPunct/>
        <w:topLinePunct w:val="0"/>
        <w:autoSpaceDE/>
        <w:autoSpaceDN/>
        <w:bidi w:val="0"/>
        <w:snapToGrid w:val="0"/>
        <w:spacing w:line="440" w:lineRule="exact"/>
        <w:ind w:right="198" w:firstLine="5301" w:firstLineChars="2200"/>
        <w:jc w:val="right"/>
        <w:textAlignment w:val="auto"/>
        <w:rPr>
          <w:rFonts w:hint="eastAsia" w:ascii="宋体" w:hAnsi="宋体" w:eastAsia="宋体" w:cs="宋体"/>
          <w:b/>
          <w:color w:val="auto"/>
          <w:sz w:val="24"/>
          <w:highlight w:val="none"/>
          <w:lang w:eastAsia="zh-CN"/>
        </w:rPr>
      </w:pPr>
      <w:r>
        <w:rPr>
          <w:rFonts w:hint="eastAsia" w:ascii="宋体" w:hAnsi="宋体" w:cs="宋体"/>
          <w:b/>
          <w:color w:val="auto"/>
          <w:sz w:val="24"/>
          <w:highlight w:val="none"/>
          <w:lang w:eastAsia="zh-CN"/>
        </w:rPr>
        <w:t>大地工程咨询有限公司</w:t>
      </w:r>
    </w:p>
    <w:p w14:paraId="4BBFC364">
      <w:pPr>
        <w:keepNext w:val="0"/>
        <w:keepLines w:val="0"/>
        <w:pageBreakBefore w:val="0"/>
        <w:kinsoku/>
        <w:wordWrap/>
        <w:overflowPunct/>
        <w:topLinePunct w:val="0"/>
        <w:autoSpaceDE/>
        <w:autoSpaceDN/>
        <w:bidi w:val="0"/>
        <w:snapToGrid w:val="0"/>
        <w:spacing w:line="440" w:lineRule="exact"/>
        <w:ind w:right="198" w:firstLine="6505" w:firstLineChars="2700"/>
        <w:jc w:val="right"/>
        <w:textAlignment w:val="auto"/>
        <w:rPr>
          <w:rFonts w:ascii="宋体" w:hAnsi="宋体" w:cs="宋体"/>
          <w:color w:val="auto"/>
          <w:kern w:val="0"/>
          <w:sz w:val="24"/>
          <w:highlight w:val="none"/>
        </w:rPr>
      </w:pPr>
      <w:r>
        <w:rPr>
          <w:rFonts w:hint="eastAsia" w:ascii="宋体" w:hAnsi="宋体" w:cs="宋体"/>
          <w:b/>
          <w:color w:val="auto"/>
          <w:sz w:val="24"/>
          <w:highlight w:val="none"/>
        </w:rPr>
        <w:t>202</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年</w:t>
      </w:r>
      <w:r>
        <w:rPr>
          <w:rFonts w:hint="eastAsia" w:ascii="宋体" w:hAnsi="宋体" w:cs="宋体"/>
          <w:b/>
          <w:color w:val="auto"/>
          <w:sz w:val="24"/>
          <w:highlight w:val="none"/>
          <w:lang w:val="en-US" w:eastAsia="zh-CN"/>
        </w:rPr>
        <w:t xml:space="preserve"> 5 </w:t>
      </w:r>
      <w:r>
        <w:rPr>
          <w:rFonts w:hint="eastAsia" w:ascii="宋体" w:hAnsi="宋体" w:cs="宋体"/>
          <w:b/>
          <w:color w:val="auto"/>
          <w:sz w:val="24"/>
          <w:highlight w:val="none"/>
        </w:rPr>
        <w:t>月</w:t>
      </w:r>
      <w:r>
        <w:rPr>
          <w:rFonts w:hint="eastAsia" w:ascii="宋体" w:hAnsi="宋体" w:cs="宋体"/>
          <w:b/>
          <w:color w:val="auto"/>
          <w:sz w:val="24"/>
          <w:highlight w:val="none"/>
          <w:lang w:val="en-US" w:eastAsia="zh-CN"/>
        </w:rPr>
        <w:t xml:space="preserve"> 22 </w:t>
      </w:r>
      <w:r>
        <w:rPr>
          <w:rFonts w:hint="eastAsia" w:ascii="宋体" w:hAnsi="宋体" w:cs="宋体"/>
          <w:b/>
          <w:color w:val="auto"/>
          <w:sz w:val="24"/>
          <w:highlight w:val="none"/>
        </w:rPr>
        <w:t>日</w:t>
      </w:r>
    </w:p>
    <w:p w14:paraId="346C4ED8">
      <w:pPr>
        <w:keepNext w:val="0"/>
        <w:keepLines w:val="0"/>
        <w:pageBreakBefore w:val="0"/>
        <w:widowControl/>
        <w:kinsoku/>
        <w:wordWrap/>
        <w:overflowPunct/>
        <w:topLinePunct w:val="0"/>
        <w:autoSpaceDE/>
        <w:autoSpaceDN/>
        <w:bidi w:val="0"/>
        <w:spacing w:line="440" w:lineRule="exact"/>
        <w:jc w:val="left"/>
        <w:textAlignment w:val="auto"/>
        <w:rPr>
          <w:rFonts w:ascii="宋体" w:hAnsi="宋体" w:cs="宋体"/>
          <w:color w:val="auto"/>
          <w:sz w:val="20"/>
          <w:szCs w:val="22"/>
          <w:highlight w:val="none"/>
        </w:rPr>
      </w:pPr>
      <w:r>
        <w:rPr>
          <w:rFonts w:hint="eastAsia" w:ascii="宋体" w:hAnsi="宋体" w:cs="宋体"/>
          <w:color w:val="auto"/>
          <w:kern w:val="0"/>
          <w:sz w:val="22"/>
          <w:szCs w:val="22"/>
          <w:highlight w:val="none"/>
        </w:rPr>
        <w:t>若对项目采购电子交易系统操作有疑问，可登录政采云（https://www.zcygov.cn/），点击右侧咨询小采，获取采小蜜智能服务管家帮助，或拨打政采云服务热线95763获取热线服务帮助。</w:t>
      </w:r>
    </w:p>
    <w:p w14:paraId="4A124A5F">
      <w:pPr>
        <w:keepNext w:val="0"/>
        <w:keepLines w:val="0"/>
        <w:pageBreakBefore w:val="0"/>
        <w:widowControl/>
        <w:kinsoku/>
        <w:wordWrap/>
        <w:overflowPunct/>
        <w:topLinePunct w:val="0"/>
        <w:autoSpaceDE/>
        <w:autoSpaceDN/>
        <w:bidi w:val="0"/>
        <w:spacing w:line="440" w:lineRule="exact"/>
        <w:jc w:val="left"/>
        <w:textAlignment w:val="auto"/>
        <w:rPr>
          <w:rFonts w:ascii="宋体" w:hAnsi="宋体" w:cs="宋体"/>
          <w:color w:val="auto"/>
          <w:sz w:val="22"/>
          <w:szCs w:val="22"/>
          <w:highlight w:val="none"/>
        </w:rPr>
      </w:pPr>
      <w:r>
        <w:rPr>
          <w:rFonts w:hint="eastAsia" w:ascii="宋体" w:hAnsi="宋体" w:cs="宋体"/>
          <w:color w:val="auto"/>
          <w:kern w:val="0"/>
          <w:sz w:val="22"/>
          <w:szCs w:val="22"/>
          <w:highlight w:val="none"/>
        </w:rPr>
        <w:t>CA问题联系电话（人工）：汇信CA 400-888-4636；天谷CA 400-087-8198。</w:t>
      </w:r>
    </w:p>
    <w:p w14:paraId="58D84FEC">
      <w:pPr>
        <w:pStyle w:val="20"/>
        <w:pageBreakBefore/>
        <w:snapToGrid w:val="0"/>
        <w:spacing w:before="120" w:after="120" w:line="360" w:lineRule="auto"/>
        <w:jc w:val="center"/>
        <w:outlineLvl w:val="0"/>
        <w:rPr>
          <w:rFonts w:ascii="宋体" w:hAnsi="宋体" w:cs="宋体"/>
          <w:b/>
          <w:color w:val="auto"/>
          <w:szCs w:val="24"/>
          <w:highlight w:val="none"/>
        </w:rPr>
      </w:pPr>
      <w:bookmarkStart w:id="2" w:name="_Toc3579"/>
      <w:bookmarkStart w:id="3" w:name="_Toc11187"/>
      <w:r>
        <w:rPr>
          <w:rFonts w:hint="eastAsia" w:ascii="宋体" w:hAnsi="宋体" w:cs="宋体"/>
          <w:b/>
          <w:color w:val="auto"/>
          <w:szCs w:val="24"/>
          <w:highlight w:val="none"/>
        </w:rPr>
        <w:t>第二章  招标需求</w:t>
      </w:r>
      <w:bookmarkEnd w:id="2"/>
      <w:bookmarkEnd w:id="3"/>
    </w:p>
    <w:p w14:paraId="0D0629DF">
      <w:pPr>
        <w:numPr>
          <w:ilvl w:val="0"/>
          <w:numId w:val="0"/>
        </w:numPr>
        <w:spacing w:line="360" w:lineRule="auto"/>
        <w:ind w:leftChars="0"/>
        <w:rPr>
          <w:rFonts w:ascii="宋体" w:hAnsi="宋体" w:cs="宋体"/>
          <w:strike w:val="0"/>
          <w:dstrike w:val="0"/>
          <w:color w:val="auto"/>
          <w:sz w:val="24"/>
          <w:highlight w:val="none"/>
        </w:rPr>
      </w:pPr>
      <w:r>
        <w:rPr>
          <w:rFonts w:hint="eastAsia" w:ascii="宋体" w:hAnsi="宋体" w:cs="宋体"/>
          <w:b/>
          <w:bCs/>
          <w:strike w:val="0"/>
          <w:dstrike w:val="0"/>
          <w:color w:val="auto"/>
          <w:sz w:val="24"/>
          <w:highlight w:val="none"/>
          <w:lang w:eastAsia="zh-CN"/>
        </w:rPr>
        <w:t>一、</w:t>
      </w:r>
      <w:r>
        <w:rPr>
          <w:rFonts w:hint="eastAsia" w:ascii="宋体" w:hAnsi="宋体" w:cs="宋体"/>
          <w:b/>
          <w:bCs/>
          <w:strike w:val="0"/>
          <w:dstrike w:val="0"/>
          <w:color w:val="auto"/>
          <w:sz w:val="24"/>
          <w:highlight w:val="none"/>
        </w:rPr>
        <w:t>项目编号：</w:t>
      </w:r>
      <w:r>
        <w:rPr>
          <w:rFonts w:hint="eastAsia" w:ascii="宋体" w:hAnsi="宋体" w:cs="宋体"/>
          <w:b/>
          <w:bCs/>
          <w:strike w:val="0"/>
          <w:dstrike w:val="0"/>
          <w:color w:val="auto"/>
          <w:sz w:val="24"/>
          <w:highlight w:val="none"/>
          <w:lang w:eastAsia="zh-CN"/>
        </w:rPr>
        <w:t>DDDYZFCG-2026-015</w:t>
      </w:r>
    </w:p>
    <w:p w14:paraId="2C6B7564">
      <w:pPr>
        <w:numPr>
          <w:ilvl w:val="0"/>
          <w:numId w:val="0"/>
        </w:numPr>
        <w:spacing w:line="360" w:lineRule="auto"/>
        <w:ind w:leftChars="0"/>
        <w:rPr>
          <w:rFonts w:ascii="宋体" w:hAnsi="宋体" w:cs="宋体"/>
          <w:b/>
          <w:strike w:val="0"/>
          <w:dstrike w:val="0"/>
          <w:color w:val="auto"/>
          <w:sz w:val="24"/>
          <w:highlight w:val="none"/>
        </w:rPr>
      </w:pPr>
      <w:r>
        <w:rPr>
          <w:rFonts w:hint="eastAsia" w:ascii="宋体" w:hAnsi="宋体" w:cs="宋体"/>
          <w:b/>
          <w:bCs/>
          <w:strike w:val="0"/>
          <w:dstrike w:val="0"/>
          <w:color w:val="auto"/>
          <w:sz w:val="24"/>
          <w:highlight w:val="none"/>
          <w:lang w:eastAsia="zh-CN"/>
        </w:rPr>
        <w:t>二、</w:t>
      </w:r>
      <w:r>
        <w:rPr>
          <w:rFonts w:hint="eastAsia" w:ascii="宋体" w:hAnsi="宋体" w:cs="宋体"/>
          <w:b/>
          <w:bCs/>
          <w:strike w:val="0"/>
          <w:dstrike w:val="0"/>
          <w:color w:val="auto"/>
          <w:sz w:val="24"/>
          <w:highlight w:val="none"/>
        </w:rPr>
        <w:t>采购项目名称：</w:t>
      </w:r>
      <w:bookmarkStart w:id="4" w:name="_Toc495926918"/>
      <w:r>
        <w:rPr>
          <w:rFonts w:hint="eastAsia" w:ascii="宋体" w:hAnsi="宋体" w:cs="宋体"/>
          <w:b/>
          <w:bCs/>
          <w:strike w:val="0"/>
          <w:dstrike w:val="0"/>
          <w:color w:val="auto"/>
          <w:sz w:val="24"/>
          <w:highlight w:val="none"/>
          <w:lang w:eastAsia="zh-CN"/>
        </w:rPr>
        <w:t>东阳市肛肠外科医院4000kVA双电源配电工程采购项目</w:t>
      </w:r>
      <w:r>
        <w:rPr>
          <w:rFonts w:hint="eastAsia" w:ascii="宋体" w:hAnsi="宋体" w:eastAsia="宋体" w:cs="宋体"/>
          <w:b/>
          <w:bCs/>
          <w:strike w:val="0"/>
          <w:dstrike w:val="0"/>
          <w:color w:val="auto"/>
          <w:sz w:val="24"/>
          <w:highlight w:val="none"/>
          <w:lang w:eastAsia="zh-CN"/>
        </w:rPr>
        <w:t xml:space="preserve"> </w:t>
      </w:r>
      <w:r>
        <w:rPr>
          <w:rFonts w:hint="eastAsia" w:ascii="宋体" w:hAnsi="宋体" w:cs="宋体"/>
          <w:b/>
          <w:strike w:val="0"/>
          <w:dstrike w:val="0"/>
          <w:color w:val="auto"/>
          <w:sz w:val="24"/>
          <w:highlight w:val="none"/>
        </w:rPr>
        <w:t xml:space="preserve"> </w:t>
      </w:r>
    </w:p>
    <w:tbl>
      <w:tblPr>
        <w:tblStyle w:val="38"/>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4942"/>
        <w:gridCol w:w="1065"/>
        <w:gridCol w:w="2055"/>
      </w:tblGrid>
      <w:tr w14:paraId="1142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1116" w:type="dxa"/>
            <w:vAlign w:val="center"/>
          </w:tcPr>
          <w:p w14:paraId="686F7BA5">
            <w:pPr>
              <w:widowControl/>
              <w:overflowPunct w:val="0"/>
              <w:autoSpaceDE w:val="0"/>
              <w:autoSpaceDN w:val="0"/>
              <w:adjustRightInd w:val="0"/>
              <w:spacing w:line="360" w:lineRule="auto"/>
              <w:jc w:val="center"/>
              <w:textAlignment w:val="baseline"/>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序号</w:t>
            </w:r>
          </w:p>
        </w:tc>
        <w:tc>
          <w:tcPr>
            <w:tcW w:w="4942" w:type="dxa"/>
            <w:vAlign w:val="center"/>
          </w:tcPr>
          <w:p w14:paraId="1D920C4C">
            <w:pPr>
              <w:widowControl/>
              <w:overflowPunct w:val="0"/>
              <w:autoSpaceDE w:val="0"/>
              <w:autoSpaceDN w:val="0"/>
              <w:adjustRightInd w:val="0"/>
              <w:spacing w:line="360" w:lineRule="auto"/>
              <w:jc w:val="center"/>
              <w:textAlignment w:val="baseline"/>
              <w:rPr>
                <w:rFonts w:ascii="宋体" w:hAnsi="宋体" w:cs="宋体"/>
                <w:b/>
                <w:color w:val="auto"/>
                <w:sz w:val="24"/>
                <w:highlight w:val="none"/>
              </w:rPr>
            </w:pPr>
            <w:r>
              <w:rPr>
                <w:rFonts w:hint="eastAsia" w:ascii="宋体" w:hAnsi="宋体"/>
                <w:b/>
                <w:bCs/>
                <w:color w:val="auto"/>
                <w:kern w:val="0"/>
                <w:sz w:val="24"/>
                <w:highlight w:val="none"/>
              </w:rPr>
              <w:t>采购内容</w:t>
            </w:r>
          </w:p>
        </w:tc>
        <w:tc>
          <w:tcPr>
            <w:tcW w:w="1065" w:type="dxa"/>
            <w:vAlign w:val="center"/>
          </w:tcPr>
          <w:p w14:paraId="5CA52F31">
            <w:pPr>
              <w:widowControl/>
              <w:overflowPunct w:val="0"/>
              <w:autoSpaceDE w:val="0"/>
              <w:autoSpaceDN w:val="0"/>
              <w:adjustRightInd w:val="0"/>
              <w:spacing w:line="360" w:lineRule="auto"/>
              <w:jc w:val="center"/>
              <w:textAlignment w:val="baseline"/>
              <w:rPr>
                <w:rFonts w:ascii="宋体" w:hAnsi="宋体" w:cs="宋体"/>
                <w:b/>
                <w:color w:val="auto"/>
                <w:sz w:val="24"/>
                <w:highlight w:val="none"/>
              </w:rPr>
            </w:pPr>
            <w:r>
              <w:rPr>
                <w:rFonts w:hint="eastAsia" w:ascii="宋体" w:hAnsi="宋体"/>
                <w:b/>
                <w:bCs/>
                <w:color w:val="auto"/>
                <w:kern w:val="0"/>
                <w:sz w:val="24"/>
                <w:highlight w:val="none"/>
              </w:rPr>
              <w:t>数量</w:t>
            </w:r>
          </w:p>
        </w:tc>
        <w:tc>
          <w:tcPr>
            <w:tcW w:w="2055" w:type="dxa"/>
            <w:vAlign w:val="center"/>
          </w:tcPr>
          <w:p w14:paraId="694112EB">
            <w:pPr>
              <w:widowControl/>
              <w:overflowPunct w:val="0"/>
              <w:autoSpaceDE w:val="0"/>
              <w:autoSpaceDN w:val="0"/>
              <w:adjustRightInd w:val="0"/>
              <w:spacing w:line="360" w:lineRule="auto"/>
              <w:jc w:val="center"/>
              <w:textAlignment w:val="baseline"/>
              <w:rPr>
                <w:rFonts w:hint="eastAsia" w:ascii="宋体" w:hAnsi="宋体" w:eastAsia="宋体" w:cs="宋体"/>
                <w:b/>
                <w:color w:val="auto"/>
                <w:sz w:val="24"/>
                <w:highlight w:val="none"/>
                <w:lang w:eastAsia="zh-CN"/>
              </w:rPr>
            </w:pPr>
            <w:r>
              <w:rPr>
                <w:rFonts w:hint="eastAsia" w:ascii="宋体" w:hAnsi="宋体"/>
                <w:b/>
                <w:bCs/>
                <w:color w:val="auto"/>
                <w:kern w:val="0"/>
                <w:sz w:val="24"/>
                <w:highlight w:val="none"/>
                <w:lang w:eastAsia="zh-CN"/>
              </w:rPr>
              <w:t>最高限价</w:t>
            </w:r>
          </w:p>
        </w:tc>
      </w:tr>
      <w:tr w14:paraId="45B6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116" w:type="dxa"/>
            <w:vAlign w:val="center"/>
          </w:tcPr>
          <w:p w14:paraId="0E6FE7AB">
            <w:pPr>
              <w:widowControl/>
              <w:overflowPunct w:val="0"/>
              <w:autoSpaceDE w:val="0"/>
              <w:autoSpaceDN w:val="0"/>
              <w:adjustRightInd w:val="0"/>
              <w:spacing w:line="360" w:lineRule="auto"/>
              <w:jc w:val="center"/>
              <w:textAlignment w:val="baseline"/>
              <w:rPr>
                <w:rFonts w:hint="eastAsia" w:ascii="宋体" w:hAnsi="宋体" w:eastAsia="宋体" w:cs="Times New Roman"/>
                <w:bCs/>
                <w:color w:val="auto"/>
                <w:kern w:val="0"/>
                <w:sz w:val="24"/>
                <w:szCs w:val="24"/>
                <w:highlight w:val="none"/>
                <w:lang w:val="en-US" w:eastAsia="zh-CN" w:bidi="ar-SA"/>
              </w:rPr>
            </w:pPr>
            <w:r>
              <w:rPr>
                <w:rFonts w:hint="eastAsia" w:ascii="宋体" w:hAnsi="宋体"/>
                <w:bCs/>
                <w:color w:val="auto"/>
                <w:kern w:val="0"/>
                <w:sz w:val="24"/>
                <w:highlight w:val="none"/>
                <w:lang w:val="en-US" w:eastAsia="zh-CN"/>
              </w:rPr>
              <w:t>1</w:t>
            </w:r>
          </w:p>
        </w:tc>
        <w:tc>
          <w:tcPr>
            <w:tcW w:w="4942" w:type="dxa"/>
            <w:vAlign w:val="center"/>
          </w:tcPr>
          <w:p w14:paraId="3EDFEA66">
            <w:pPr>
              <w:widowControl/>
              <w:overflowPunct w:val="0"/>
              <w:autoSpaceDE w:val="0"/>
              <w:autoSpaceDN w:val="0"/>
              <w:adjustRightInd w:val="0"/>
              <w:spacing w:line="360" w:lineRule="auto"/>
              <w:jc w:val="center"/>
              <w:textAlignment w:val="baseline"/>
              <w:rPr>
                <w:rFonts w:hint="eastAsia" w:ascii="宋体" w:hAnsi="宋体" w:cs="宋体"/>
                <w:color w:val="auto"/>
                <w:sz w:val="24"/>
                <w:highlight w:val="none"/>
                <w:lang w:val="en-US" w:eastAsia="zh-CN"/>
              </w:rPr>
            </w:pPr>
            <w:r>
              <w:rPr>
                <w:rFonts w:hint="eastAsia" w:ascii="宋体" w:hAnsi="宋体" w:cs="宋体"/>
                <w:strike w:val="0"/>
                <w:dstrike w:val="0"/>
                <w:color w:val="auto"/>
                <w:sz w:val="24"/>
                <w:highlight w:val="none"/>
                <w:lang w:val="en-US" w:eastAsia="zh-CN"/>
              </w:rPr>
              <w:t>东阳市肛肠外科医院4000kVA双电源配电工程采购项目</w:t>
            </w:r>
          </w:p>
        </w:tc>
        <w:tc>
          <w:tcPr>
            <w:tcW w:w="1065" w:type="dxa"/>
            <w:vAlign w:val="center"/>
          </w:tcPr>
          <w:p w14:paraId="07F89C27">
            <w:pPr>
              <w:widowControl/>
              <w:overflowPunct w:val="0"/>
              <w:autoSpaceDE w:val="0"/>
              <w:autoSpaceDN w:val="0"/>
              <w:adjustRightInd w:val="0"/>
              <w:spacing w:line="360" w:lineRule="auto"/>
              <w:jc w:val="center"/>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1项</w:t>
            </w:r>
          </w:p>
        </w:tc>
        <w:tc>
          <w:tcPr>
            <w:tcW w:w="2055" w:type="dxa"/>
            <w:vAlign w:val="center"/>
          </w:tcPr>
          <w:p w14:paraId="089DDE1D">
            <w:pPr>
              <w:widowControl/>
              <w:overflowPunct w:val="0"/>
              <w:autoSpaceDE w:val="0"/>
              <w:autoSpaceDN w:val="0"/>
              <w:adjustRightInd w:val="0"/>
              <w:spacing w:line="360" w:lineRule="auto"/>
              <w:jc w:val="center"/>
              <w:textAlignment w:val="baseline"/>
              <w:rPr>
                <w:rFonts w:hint="eastAsia" w:ascii="宋体" w:hAnsi="宋体" w:cs="宋体"/>
                <w:color w:val="auto"/>
                <w:sz w:val="24"/>
                <w:highlight w:val="none"/>
                <w:lang w:val="en-US" w:eastAsia="zh-CN"/>
              </w:rPr>
            </w:pPr>
            <w:r>
              <w:rPr>
                <w:rFonts w:hint="eastAsia" w:ascii="宋体" w:hAnsi="宋体" w:cs="宋体"/>
                <w:strike w:val="0"/>
                <w:dstrike w:val="0"/>
                <w:color w:val="auto"/>
                <w:sz w:val="24"/>
                <w:highlight w:val="none"/>
                <w:lang w:val="en-US" w:eastAsia="zh-CN"/>
              </w:rPr>
              <w:t xml:space="preserve"> </w:t>
            </w:r>
            <w:r>
              <w:rPr>
                <w:rFonts w:hint="eastAsia" w:ascii="宋体" w:hAnsi="宋体" w:cs="宋体"/>
                <w:b/>
                <w:bCs/>
                <w:strike w:val="0"/>
                <w:dstrike w:val="0"/>
                <w:color w:val="auto"/>
                <w:sz w:val="24"/>
                <w:highlight w:val="none"/>
                <w:lang w:val="en-US" w:eastAsia="zh-CN"/>
              </w:rPr>
              <w:t xml:space="preserve"> 2170569</w:t>
            </w:r>
            <w:r>
              <w:rPr>
                <w:rFonts w:hint="eastAsia" w:ascii="宋体" w:hAnsi="宋体" w:cs="宋体"/>
                <w:strike w:val="0"/>
                <w:dstrike w:val="0"/>
                <w:color w:val="auto"/>
                <w:sz w:val="24"/>
                <w:highlight w:val="none"/>
                <w:lang w:val="en-US" w:eastAsia="zh-CN"/>
              </w:rPr>
              <w:t>元</w:t>
            </w:r>
          </w:p>
        </w:tc>
      </w:tr>
    </w:tbl>
    <w:p w14:paraId="2E92F1AA">
      <w:pPr>
        <w:numPr>
          <w:ilvl w:val="0"/>
          <w:numId w:val="0"/>
        </w:numPr>
        <w:spacing w:line="360" w:lineRule="auto"/>
        <w:ind w:leftChars="0"/>
        <w:rPr>
          <w:rFonts w:hint="eastAsia" w:ascii="宋体" w:hAnsi="宋体" w:cs="宋体"/>
          <w:b/>
          <w:color w:val="auto"/>
          <w:sz w:val="24"/>
          <w:highlight w:val="none"/>
        </w:rPr>
      </w:pP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rPr>
        <w:t>项目</w:t>
      </w:r>
      <w:r>
        <w:rPr>
          <w:rFonts w:hint="eastAsia" w:ascii="宋体" w:hAnsi="宋体" w:cs="宋体"/>
          <w:b/>
          <w:color w:val="auto"/>
          <w:sz w:val="24"/>
          <w:highlight w:val="none"/>
        </w:rPr>
        <w:t xml:space="preserve">内容  </w:t>
      </w:r>
    </w:p>
    <w:p w14:paraId="0846E247">
      <w:pPr>
        <w:pStyle w:val="34"/>
        <w:spacing w:before="0" w:after="0" w:line="360" w:lineRule="auto"/>
        <w:ind w:firstLine="241" w:firstLineChars="100"/>
        <w:rPr>
          <w:rFonts w:hint="eastAsia"/>
          <w:b/>
          <w:bCs/>
          <w:color w:val="auto"/>
          <w:highlight w:val="none"/>
        </w:rPr>
      </w:pPr>
      <w:r>
        <w:rPr>
          <w:rFonts w:hint="eastAsia"/>
          <w:b/>
          <w:bCs/>
          <w:color w:val="auto"/>
          <w:highlight w:val="none"/>
        </w:rPr>
        <w:t>（一）工程概况：</w:t>
      </w:r>
    </w:p>
    <w:p w14:paraId="3D13A0B0">
      <w:pPr>
        <w:pStyle w:val="34"/>
        <w:spacing w:before="0" w:after="0" w:line="360" w:lineRule="auto"/>
        <w:ind w:firstLine="480" w:firstLineChars="200"/>
        <w:rPr>
          <w:rFonts w:hint="eastAsia" w:cs="新宋体"/>
          <w:strike w:val="0"/>
          <w:dstrike w:val="0"/>
          <w:color w:val="auto"/>
          <w:highlight w:val="none"/>
        </w:rPr>
      </w:pPr>
      <w:r>
        <w:rPr>
          <w:rFonts w:hint="eastAsia" w:cs="新宋体"/>
          <w:strike w:val="0"/>
          <w:dstrike w:val="0"/>
          <w:color w:val="auto"/>
          <w:highlight w:val="none"/>
          <w:lang w:eastAsia="zh-CN"/>
        </w:rPr>
        <w:t>东阳市肛肠外科医院4000kVA双电源配电工程采购项目</w:t>
      </w:r>
      <w:r>
        <w:rPr>
          <w:rFonts w:hint="eastAsia" w:cs="新宋体"/>
          <w:strike w:val="0"/>
          <w:dstrike w:val="0"/>
          <w:color w:val="auto"/>
          <w:highlight w:val="none"/>
        </w:rPr>
        <w:t>，位于东阳市</w:t>
      </w:r>
      <w:r>
        <w:rPr>
          <w:rFonts w:hint="eastAsia" w:cs="新宋体"/>
          <w:strike w:val="0"/>
          <w:dstrike w:val="0"/>
          <w:color w:val="auto"/>
          <w:highlight w:val="none"/>
          <w:lang w:val="en-US" w:eastAsia="zh-CN"/>
        </w:rPr>
        <w:t>湖溪镇湖溪行政村环镇北路以东；主要内容包含新建4#窨井8座，6#窨井3座，敷设2孔D175*14MPP顶管约640米，敷设4孔D175*14MPP顶管约510米，敷设电缆等；</w:t>
      </w:r>
      <w:r>
        <w:rPr>
          <w:rFonts w:hint="eastAsia" w:cs="新宋体"/>
          <w:strike w:val="0"/>
          <w:dstrike w:val="0"/>
          <w:color w:val="auto"/>
          <w:highlight w:val="none"/>
        </w:rPr>
        <w:t>具体详见施工图纸。</w:t>
      </w:r>
    </w:p>
    <w:p w14:paraId="045EF5C1">
      <w:pPr>
        <w:pStyle w:val="34"/>
        <w:spacing w:before="0" w:after="0" w:line="360" w:lineRule="auto"/>
        <w:ind w:firstLine="241" w:firstLineChars="100"/>
        <w:rPr>
          <w:b/>
          <w:bCs/>
          <w:color w:val="auto"/>
          <w:highlight w:val="none"/>
        </w:rPr>
      </w:pPr>
      <w:r>
        <w:rPr>
          <w:rFonts w:hint="eastAsia"/>
          <w:b/>
          <w:bCs/>
          <w:color w:val="auto"/>
          <w:highlight w:val="none"/>
        </w:rPr>
        <w:t>（二）工作内容：</w:t>
      </w:r>
    </w:p>
    <w:p w14:paraId="70586D3D">
      <w:pPr>
        <w:pStyle w:val="34"/>
        <w:spacing w:before="0" w:after="0" w:line="360" w:lineRule="auto"/>
        <w:ind w:firstLine="480" w:firstLineChars="200"/>
        <w:rPr>
          <w:rFonts w:cs="新宋体"/>
          <w:color w:val="auto"/>
          <w:highlight w:val="none"/>
        </w:rPr>
      </w:pPr>
      <w:r>
        <w:rPr>
          <w:rFonts w:hint="eastAsia" w:cs="新宋体"/>
          <w:color w:val="auto"/>
          <w:highlight w:val="none"/>
        </w:rPr>
        <w:t>1、按图纸设计内容进行施工（包括施工所需的所有工作）。</w:t>
      </w:r>
    </w:p>
    <w:p w14:paraId="7B40D9AF">
      <w:pPr>
        <w:pStyle w:val="34"/>
        <w:spacing w:before="0" w:after="0" w:line="360" w:lineRule="auto"/>
        <w:ind w:firstLine="480" w:firstLineChars="200"/>
        <w:rPr>
          <w:rFonts w:cs="新宋体"/>
          <w:color w:val="auto"/>
          <w:highlight w:val="none"/>
        </w:rPr>
      </w:pPr>
      <w:r>
        <w:rPr>
          <w:rFonts w:hint="eastAsia" w:cs="新宋体"/>
          <w:color w:val="auto"/>
          <w:highlight w:val="none"/>
        </w:rPr>
        <w:t>2、工程量：根据采购人提供的施工图纸、预算书等资料。（详见附件）</w:t>
      </w:r>
    </w:p>
    <w:p w14:paraId="787950FB">
      <w:pPr>
        <w:pStyle w:val="34"/>
        <w:spacing w:before="0" w:after="0" w:line="360" w:lineRule="auto"/>
        <w:ind w:firstLine="480" w:firstLineChars="200"/>
        <w:rPr>
          <w:rFonts w:cs="新宋体"/>
          <w:color w:val="auto"/>
          <w:highlight w:val="none"/>
        </w:rPr>
      </w:pPr>
      <w:r>
        <w:rPr>
          <w:rFonts w:hint="eastAsia" w:cs="新宋体"/>
          <w:color w:val="auto"/>
          <w:highlight w:val="none"/>
        </w:rPr>
        <w:t>3、工程造价包括一切与施工相关的材料、人工、检测、检验、税收等其它费用。</w:t>
      </w:r>
    </w:p>
    <w:p w14:paraId="36F6B502">
      <w:pPr>
        <w:pStyle w:val="15"/>
        <w:spacing w:line="360" w:lineRule="auto"/>
        <w:ind w:firstLine="241" w:firstLineChars="100"/>
        <w:rPr>
          <w:rFonts w:ascii="宋体" w:hAnsi="宋体" w:cs="宋体"/>
          <w:color w:val="auto"/>
          <w:sz w:val="24"/>
          <w:highlight w:val="none"/>
        </w:rPr>
      </w:pPr>
      <w:r>
        <w:rPr>
          <w:rFonts w:hint="eastAsia" w:ascii="宋体" w:hAnsi="宋体" w:cs="宋体"/>
          <w:b/>
          <w:bCs/>
          <w:color w:val="auto"/>
          <w:sz w:val="24"/>
          <w:highlight w:val="none"/>
        </w:rPr>
        <w:t xml:space="preserve">（三）对拟派项目班子的要求  </w:t>
      </w:r>
    </w:p>
    <w:p w14:paraId="000E0E54">
      <w:pPr>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ascii="宋体" w:hAnsi="宋体" w:cs="宋体"/>
          <w:color w:val="auto"/>
          <w:sz w:val="24"/>
          <w:highlight w:val="none"/>
        </w:rPr>
        <w:t>项目组成员</w:t>
      </w:r>
      <w:r>
        <w:rPr>
          <w:rFonts w:hint="eastAsia" w:ascii="宋体" w:hAnsi="宋体" w:cs="宋体"/>
          <w:color w:val="auto"/>
          <w:sz w:val="24"/>
          <w:highlight w:val="none"/>
          <w:lang w:eastAsia="zh-CN"/>
        </w:rPr>
        <w:t>每月</w:t>
      </w:r>
      <w:r>
        <w:rPr>
          <w:rFonts w:ascii="宋体" w:hAnsi="宋体" w:cs="宋体"/>
          <w:color w:val="auto"/>
          <w:sz w:val="24"/>
          <w:highlight w:val="none"/>
        </w:rPr>
        <w:t>须到岗</w:t>
      </w:r>
      <w:r>
        <w:rPr>
          <w:rFonts w:hint="eastAsia" w:ascii="宋体" w:hAnsi="宋体" w:cs="宋体"/>
          <w:color w:val="auto"/>
          <w:sz w:val="24"/>
          <w:highlight w:val="none"/>
          <w:lang w:val="en-US" w:eastAsia="zh-CN"/>
        </w:rPr>
        <w:t>22日历天</w:t>
      </w:r>
      <w:r>
        <w:rPr>
          <w:rFonts w:ascii="宋体" w:hAnsi="宋体" w:cs="宋体"/>
          <w:color w:val="auto"/>
          <w:sz w:val="24"/>
          <w:highlight w:val="none"/>
        </w:rPr>
        <w:t>，施工</w:t>
      </w:r>
      <w:r>
        <w:rPr>
          <w:rFonts w:hint="eastAsia" w:ascii="宋体" w:hAnsi="宋体" w:cs="宋体"/>
          <w:color w:val="auto"/>
          <w:sz w:val="24"/>
          <w:highlight w:val="none"/>
        </w:rPr>
        <w:t>项目</w:t>
      </w:r>
      <w:r>
        <w:rPr>
          <w:rFonts w:ascii="宋体" w:hAnsi="宋体" w:cs="宋体"/>
          <w:color w:val="auto"/>
          <w:sz w:val="24"/>
          <w:highlight w:val="none"/>
        </w:rPr>
        <w:t>负责人每缺勤一天罚款</w:t>
      </w:r>
      <w:r>
        <w:rPr>
          <w:rFonts w:hint="eastAsia" w:ascii="宋体" w:hAnsi="宋体" w:cs="宋体"/>
          <w:color w:val="auto"/>
          <w:sz w:val="24"/>
          <w:highlight w:val="none"/>
          <w:u w:val="single"/>
        </w:rPr>
        <w:t>5000</w:t>
      </w:r>
      <w:r>
        <w:rPr>
          <w:rFonts w:ascii="宋体" w:hAnsi="宋体" w:cs="宋体"/>
          <w:color w:val="auto"/>
          <w:sz w:val="24"/>
          <w:highlight w:val="none"/>
        </w:rPr>
        <w:t>元/天，管理人员每缺勤一天罚款</w:t>
      </w:r>
      <w:r>
        <w:rPr>
          <w:rFonts w:hint="eastAsia" w:ascii="宋体" w:hAnsi="宋体" w:cs="宋体"/>
          <w:color w:val="auto"/>
          <w:sz w:val="24"/>
          <w:highlight w:val="none"/>
          <w:u w:val="single"/>
        </w:rPr>
        <w:t>1000</w:t>
      </w:r>
      <w:r>
        <w:rPr>
          <w:rFonts w:ascii="宋体" w:hAnsi="宋体" w:cs="宋体"/>
          <w:color w:val="auto"/>
          <w:sz w:val="24"/>
          <w:highlight w:val="none"/>
        </w:rPr>
        <w:t>元/天。到岗率低于50%或连续无故不到岗时，采购人有权终止合同，并追究因此给采购人造成的损失。在施工期间，采购人认为中标</w:t>
      </w:r>
      <w:r>
        <w:rPr>
          <w:rFonts w:hint="eastAsia" w:ascii="宋体" w:hAnsi="宋体" w:cs="宋体"/>
          <w:color w:val="auto"/>
          <w:sz w:val="24"/>
          <w:highlight w:val="none"/>
        </w:rPr>
        <w:t>人</w:t>
      </w:r>
      <w:r>
        <w:rPr>
          <w:rFonts w:ascii="宋体" w:hAnsi="宋体" w:cs="宋体"/>
          <w:color w:val="auto"/>
          <w:sz w:val="24"/>
          <w:highlight w:val="none"/>
        </w:rPr>
        <w:t>所选派的施工</w:t>
      </w:r>
      <w:r>
        <w:rPr>
          <w:rFonts w:hint="eastAsia" w:ascii="宋体" w:hAnsi="宋体" w:cs="宋体"/>
          <w:color w:val="auto"/>
          <w:sz w:val="24"/>
          <w:highlight w:val="none"/>
        </w:rPr>
        <w:t>项目</w:t>
      </w:r>
      <w:r>
        <w:rPr>
          <w:rFonts w:ascii="宋体" w:hAnsi="宋体" w:cs="宋体"/>
          <w:color w:val="auto"/>
          <w:sz w:val="24"/>
          <w:highlight w:val="none"/>
        </w:rPr>
        <w:t>负责人、管理人员的现场管理能力、水平不能满足工程建设需要时，有权要求</w:t>
      </w:r>
      <w:r>
        <w:rPr>
          <w:rFonts w:hint="eastAsia" w:ascii="宋体" w:hAnsi="宋体" w:cs="宋体"/>
          <w:color w:val="auto"/>
          <w:sz w:val="24"/>
          <w:highlight w:val="none"/>
        </w:rPr>
        <w:t>中标人</w:t>
      </w:r>
      <w:r>
        <w:rPr>
          <w:rFonts w:ascii="宋体" w:hAnsi="宋体" w:cs="宋体"/>
          <w:color w:val="auto"/>
          <w:sz w:val="24"/>
          <w:highlight w:val="none"/>
        </w:rPr>
        <w:t>选换施工</w:t>
      </w:r>
      <w:r>
        <w:rPr>
          <w:rFonts w:hint="eastAsia" w:ascii="宋体" w:hAnsi="宋体" w:cs="宋体"/>
          <w:color w:val="auto"/>
          <w:sz w:val="24"/>
          <w:highlight w:val="none"/>
        </w:rPr>
        <w:t>项目</w:t>
      </w:r>
      <w:r>
        <w:rPr>
          <w:rFonts w:ascii="宋体" w:hAnsi="宋体" w:cs="宋体"/>
          <w:color w:val="auto"/>
          <w:sz w:val="24"/>
          <w:highlight w:val="none"/>
        </w:rPr>
        <w:t>负责人、管理人员。</w:t>
      </w:r>
      <w:r>
        <w:rPr>
          <w:rFonts w:hint="eastAsia" w:ascii="宋体" w:hAnsi="宋体" w:cs="宋体"/>
          <w:color w:val="auto"/>
          <w:sz w:val="24"/>
          <w:highlight w:val="none"/>
        </w:rPr>
        <w:t>中标人</w:t>
      </w:r>
      <w:r>
        <w:rPr>
          <w:rFonts w:ascii="宋体" w:hAnsi="宋体" w:cs="宋体"/>
          <w:color w:val="auto"/>
          <w:sz w:val="24"/>
          <w:highlight w:val="none"/>
        </w:rPr>
        <w:t>擅自更换施工项目负责人、管理人员的，分别罚款人民币</w:t>
      </w:r>
      <w:r>
        <w:rPr>
          <w:rFonts w:hint="eastAsia" w:ascii="宋体" w:hAnsi="宋体" w:cs="宋体"/>
          <w:color w:val="auto"/>
          <w:sz w:val="24"/>
          <w:highlight w:val="none"/>
          <w:u w:val="single"/>
        </w:rPr>
        <w:t>20000</w:t>
      </w:r>
      <w:r>
        <w:rPr>
          <w:rFonts w:ascii="宋体" w:hAnsi="宋体" w:cs="宋体"/>
          <w:color w:val="auto"/>
          <w:sz w:val="24"/>
          <w:highlight w:val="none"/>
        </w:rPr>
        <w:t>元/人次、</w:t>
      </w:r>
      <w:r>
        <w:rPr>
          <w:rFonts w:hint="eastAsia" w:ascii="宋体" w:hAnsi="宋体" w:cs="宋体"/>
          <w:color w:val="auto"/>
          <w:sz w:val="24"/>
          <w:highlight w:val="none"/>
          <w:u w:val="single"/>
        </w:rPr>
        <w:t>10000</w:t>
      </w:r>
      <w:r>
        <w:rPr>
          <w:rFonts w:ascii="宋体" w:hAnsi="宋体" w:cs="宋体"/>
          <w:color w:val="auto"/>
          <w:sz w:val="24"/>
          <w:highlight w:val="none"/>
        </w:rPr>
        <w:t>元/人次。</w:t>
      </w:r>
    </w:p>
    <w:p w14:paraId="0E07407F">
      <w:pPr>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2、除项目经理、技术负责人、安全员等无特殊情况不允许更换外，其余工程负责人如达不到业主要求的，须无条件更换，如施工单位自行需更换人员的，必须经采购人核准。</w:t>
      </w:r>
    </w:p>
    <w:p w14:paraId="18380882">
      <w:pPr>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default" w:ascii="宋体" w:hAnsi="宋体" w:cs="宋体"/>
          <w:color w:val="auto"/>
          <w:sz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3.中标人应按投标文件的承诺组建工程项目管理班子，参照《金华市建筑施工现场主要管理人员考勤预警管理办法》执行。</w:t>
      </w:r>
      <w:bookmarkStart w:id="5" w:name="_Toc65075441"/>
    </w:p>
    <w:p w14:paraId="3EB94DE9">
      <w:pPr>
        <w:pStyle w:val="53"/>
        <w:keepNext w:val="0"/>
        <w:keepLines w:val="0"/>
        <w:pageBreakBefore w:val="0"/>
        <w:widowControl w:val="0"/>
        <w:kinsoku/>
        <w:wordWrap/>
        <w:overflowPunct/>
        <w:topLinePunct w:val="0"/>
        <w:autoSpaceDE/>
        <w:autoSpaceDN/>
        <w:bidi w:val="0"/>
        <w:adjustRightInd/>
        <w:snapToGrid/>
        <w:spacing w:line="288" w:lineRule="auto"/>
        <w:ind w:firstLine="241" w:firstLineChars="100"/>
        <w:textAlignment w:val="auto"/>
        <w:rPr>
          <w:rFonts w:hint="eastAsia" w:ascii="宋体" w:hAnsi="宋体" w:cs="宋体"/>
          <w:b/>
          <w:color w:val="auto"/>
          <w:sz w:val="24"/>
          <w:highlight w:val="none"/>
          <w:lang w:val="en-US" w:eastAsia="zh-CN"/>
        </w:rPr>
      </w:pPr>
      <w:r>
        <w:rPr>
          <w:rFonts w:hint="eastAsia" w:ascii="宋体" w:hAnsi="宋体" w:cs="宋体"/>
          <w:b/>
          <w:bCs/>
          <w:color w:val="auto"/>
          <w:sz w:val="24"/>
          <w:highlight w:val="none"/>
        </w:rPr>
        <w:t>▲</w:t>
      </w:r>
      <w:r>
        <w:rPr>
          <w:rFonts w:hint="eastAsia" w:ascii="宋体" w:hAnsi="宋体" w:cs="宋体"/>
          <w:b/>
          <w:color w:val="auto"/>
          <w:sz w:val="24"/>
          <w:highlight w:val="none"/>
          <w:lang w:val="en-US" w:eastAsia="zh-CN"/>
        </w:rPr>
        <w:t>（四）质量要求及施工安全：</w:t>
      </w:r>
    </w:p>
    <w:p w14:paraId="2E4F76C1">
      <w:pPr>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1、本项目所用材料应必须有合格证，工程质量以国家相关标准规范验收合格为准。   </w:t>
      </w:r>
    </w:p>
    <w:p w14:paraId="1471831C">
      <w:pPr>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项目施工材料应按相关规定进行检验，合格后方可使用。</w:t>
      </w:r>
    </w:p>
    <w:p w14:paraId="5D80D158">
      <w:pPr>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、应按国家、行业现行规范进行施工。</w:t>
      </w:r>
    </w:p>
    <w:p w14:paraId="6D50EBE9">
      <w:pPr>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、施工过程应做好相关资料记录。</w:t>
      </w:r>
    </w:p>
    <w:p w14:paraId="02227D5B">
      <w:pPr>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、必须按相关规定接受采购人委托单位的监督和检查，并提供相关资料。</w:t>
      </w:r>
    </w:p>
    <w:p w14:paraId="6A157633">
      <w:pPr>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、中标人在施工期间发生安全事故、人身安全和交通安全等大小事故，一切责任和经济补偿均由中标人负责,采购人不承担任何责任。</w:t>
      </w:r>
    </w:p>
    <w:p w14:paraId="790F3803">
      <w:pPr>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、中标人不服从采购人施工管理、施工管理不规范、安全质量达不到要求、不能在规定工期内完成等情形；采购人有权暂停或取消其施工资格。</w:t>
      </w:r>
    </w:p>
    <w:p w14:paraId="3C9ACDE7">
      <w:pPr>
        <w:spacing w:line="360" w:lineRule="auto"/>
        <w:ind w:left="210" w:leftChars="100"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中标人应做好现场施工噪音、环境卫生、材料堆放、安全警示等工作，并负责施工期间与环保、交通城管等部门的沟通协调工作，做好现场秩序的维护，如因中标人原因受到处罚、赔款、纠纷或因此而引起采购人经济损失的，均由中标人承担责任。</w:t>
      </w:r>
    </w:p>
    <w:p w14:paraId="25EA3ED8">
      <w:pPr>
        <w:spacing w:line="360" w:lineRule="auto"/>
        <w:ind w:left="210" w:leftChars="100" w:firstLine="480" w:firstLineChars="200"/>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、工程质量以国家相关标准规范验收合格为准，如达不到约定的质量标准，采购人可要求中标人返工，直至达到约定的质量标准，并由中标人承担返工的一切费用。</w:t>
      </w:r>
    </w:p>
    <w:p w14:paraId="4DBD4DAD">
      <w:pPr>
        <w:spacing w:line="360" w:lineRule="auto"/>
        <w:rPr>
          <w:rFonts w:ascii="宋体" w:hAnsi="宋体"/>
          <w:color w:val="auto"/>
          <w:sz w:val="24"/>
          <w:highlight w:val="none"/>
        </w:rPr>
      </w:pPr>
      <w:r>
        <w:rPr>
          <w:rFonts w:hint="eastAsia" w:ascii="宋体" w:hAnsi="宋体" w:cs="Arial"/>
          <w:b/>
          <w:color w:val="auto"/>
          <w:sz w:val="24"/>
          <w:highlight w:val="none"/>
        </w:rPr>
        <w:t>（</w:t>
      </w:r>
      <w:r>
        <w:rPr>
          <w:rFonts w:hint="eastAsia" w:ascii="宋体" w:hAnsi="宋体" w:cs="Arial"/>
          <w:b/>
          <w:color w:val="auto"/>
          <w:sz w:val="24"/>
          <w:highlight w:val="none"/>
          <w:lang w:val="en-US" w:eastAsia="zh-CN"/>
        </w:rPr>
        <w:t>五</w:t>
      </w:r>
      <w:r>
        <w:rPr>
          <w:rFonts w:hint="eastAsia" w:ascii="宋体" w:hAnsi="宋体" w:cs="Arial"/>
          <w:b/>
          <w:color w:val="auto"/>
          <w:sz w:val="24"/>
          <w:highlight w:val="none"/>
        </w:rPr>
        <w:t>）付款方式</w:t>
      </w:r>
      <w:bookmarkEnd w:id="5"/>
      <w:r>
        <w:rPr>
          <w:rFonts w:hint="eastAsia" w:ascii="宋体" w:hAnsi="宋体" w:cs="Arial"/>
          <w:b/>
          <w:color w:val="auto"/>
          <w:sz w:val="24"/>
          <w:highlight w:val="none"/>
        </w:rPr>
        <w:t xml:space="preserve">  </w:t>
      </w:r>
    </w:p>
    <w:p w14:paraId="3B1F8BD7">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olor w:val="auto"/>
          <w:sz w:val="24"/>
          <w:highlight w:val="none"/>
        </w:rPr>
        <w:t>（1）合同生效以及具备实施条件后7个工作日内支付合同价款的40%作为预付款</w:t>
      </w:r>
      <w:r>
        <w:rPr>
          <w:rFonts w:hint="eastAsia" w:ascii="宋体" w:hAnsi="宋体" w:eastAsia="宋体" w:cs="宋体"/>
          <w:color w:val="auto"/>
          <w:sz w:val="24"/>
          <w:szCs w:val="24"/>
          <w:highlight w:val="none"/>
          <w:lang w:val="en-US" w:eastAsia="zh-CN"/>
        </w:rPr>
        <w:t>（供应商明确表示无需预付款或主动降低预付款比例的，采购人可不适用前述规定</w:t>
      </w:r>
      <w:r>
        <w:rPr>
          <w:rFonts w:hint="eastAsia" w:ascii="宋体" w:hAnsi="宋体" w:eastAsia="宋体" w:cs="宋体"/>
          <w:color w:val="auto"/>
          <w:sz w:val="24"/>
          <w:szCs w:val="24"/>
          <w:highlight w:val="none"/>
        </w:rPr>
        <w:t>；采购人根据项目特</w:t>
      </w:r>
      <w:r>
        <w:rPr>
          <w:rFonts w:hint="eastAsia" w:ascii="宋体" w:hAnsi="宋体" w:eastAsia="宋体" w:cs="宋体"/>
          <w:color w:val="auto"/>
          <w:sz w:val="24"/>
          <w:szCs w:val="24"/>
          <w:highlight w:val="none"/>
          <w:lang w:val="en-US" w:eastAsia="zh-CN"/>
        </w:rPr>
        <w:t>点、供应商诚信等因素，可以要求中标人提交预付款保函）；</w:t>
      </w:r>
    </w:p>
    <w:p w14:paraId="1362057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）全部工程完工后支付至合同价款的</w:t>
      </w:r>
      <w:r>
        <w:rPr>
          <w:rFonts w:hint="eastAsia" w:ascii="宋体" w:hAnsi="宋体"/>
          <w:color w:val="auto"/>
          <w:sz w:val="24"/>
          <w:highlight w:val="none"/>
          <w:lang w:val="en-US" w:eastAsia="zh-CN"/>
        </w:rPr>
        <w:t>70</w:t>
      </w:r>
      <w:r>
        <w:rPr>
          <w:rFonts w:hint="eastAsia" w:ascii="宋体" w:hAnsi="宋体"/>
          <w:color w:val="auto"/>
          <w:sz w:val="24"/>
          <w:highlight w:val="none"/>
        </w:rPr>
        <w:t>%；</w:t>
      </w:r>
    </w:p>
    <w:p w14:paraId="246BD15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w:t>
      </w:r>
      <w:r>
        <w:rPr>
          <w:rFonts w:hint="eastAsia" w:ascii="宋体" w:hAnsi="宋体" w:eastAsia="宋体" w:cs="宋体"/>
          <w:color w:val="auto"/>
          <w:sz w:val="24"/>
          <w:szCs w:val="24"/>
          <w:highlight w:val="none"/>
          <w:lang w:val="en-US" w:eastAsia="zh-CN"/>
        </w:rPr>
        <w:t>全部工程竣工验收合格及结算</w:t>
      </w:r>
      <w:r>
        <w:rPr>
          <w:rFonts w:hint="eastAsia" w:ascii="宋体" w:hAnsi="宋体" w:cs="宋体"/>
          <w:color w:val="auto"/>
          <w:sz w:val="24"/>
          <w:szCs w:val="24"/>
          <w:highlight w:val="none"/>
          <w:lang w:val="en-US" w:eastAsia="zh-CN"/>
        </w:rPr>
        <w:t>审核完成</w:t>
      </w:r>
      <w:r>
        <w:rPr>
          <w:rFonts w:hint="eastAsia" w:ascii="宋体" w:hAnsi="宋体" w:eastAsia="宋体" w:cs="宋体"/>
          <w:color w:val="auto"/>
          <w:sz w:val="24"/>
          <w:szCs w:val="24"/>
          <w:highlight w:val="none"/>
          <w:lang w:val="en-US" w:eastAsia="zh-CN"/>
        </w:rPr>
        <w:t>后7个工作日支付</w:t>
      </w:r>
      <w:r>
        <w:rPr>
          <w:rFonts w:hint="eastAsia" w:ascii="宋体" w:hAnsi="宋体" w:cs="宋体"/>
          <w:color w:val="auto"/>
          <w:sz w:val="24"/>
          <w:szCs w:val="24"/>
          <w:highlight w:val="none"/>
          <w:lang w:val="en-US" w:eastAsia="zh-CN"/>
        </w:rPr>
        <w:t>至</w:t>
      </w:r>
      <w:r>
        <w:rPr>
          <w:rFonts w:hint="eastAsia" w:ascii="宋体" w:hAnsi="宋体" w:eastAsia="宋体" w:cs="宋体"/>
          <w:color w:val="auto"/>
          <w:sz w:val="24"/>
          <w:szCs w:val="24"/>
          <w:highlight w:val="none"/>
          <w:lang w:val="en-US" w:eastAsia="zh-CN"/>
        </w:rPr>
        <w:t>100%（不计息）。</w:t>
      </w:r>
    </w:p>
    <w:p w14:paraId="64EB3018">
      <w:pPr>
        <w:pStyle w:val="37"/>
        <w:ind w:left="0" w:leftChars="0" w:firstLine="482" w:firstLineChars="200"/>
        <w:rPr>
          <w:rFonts w:hint="eastAsia"/>
        </w:rPr>
      </w:pPr>
      <w:r>
        <w:rPr>
          <w:rFonts w:hint="eastAsia" w:ascii="宋体" w:hAnsi="宋体" w:cs="宋体"/>
          <w:b/>
          <w:bCs/>
          <w:color w:val="auto"/>
          <w:sz w:val="24"/>
          <w:szCs w:val="24"/>
          <w:highlight w:val="none"/>
        </w:rPr>
        <w:t>注：农民工工资相关要求：农民工工资相关的管理、认定、支付等事项按东阳市根治欠薪工作领导小组办公室《关于落实“两备案一承诺”制度的通知》文件执行。</w:t>
      </w:r>
    </w:p>
    <w:p w14:paraId="3F844BDD">
      <w:pPr>
        <w:autoSpaceDE w:val="0"/>
        <w:spacing w:line="440" w:lineRule="atLeast"/>
        <w:ind w:firstLine="482" w:firstLineChars="200"/>
        <w:rPr>
          <w:rFonts w:hint="default" w:ascii="宋体" w:hAnsi="宋体" w:eastAsia="宋体" w:cs="Times New Roman"/>
          <w:b/>
          <w:bCs/>
          <w:color w:val="auto"/>
          <w:sz w:val="24"/>
          <w:lang w:val="en-US" w:eastAsia="zh-CN"/>
        </w:rPr>
      </w:pPr>
      <w:bookmarkStart w:id="6" w:name="OLE_LINK32"/>
      <w:r>
        <w:rPr>
          <w:rFonts w:hint="eastAsia" w:ascii="宋体" w:hAnsi="宋体" w:eastAsia="宋体" w:cs="Times New Roman"/>
          <w:b/>
          <w:bCs/>
          <w:color w:val="auto"/>
          <w:sz w:val="24"/>
          <w:lang w:val="en-US" w:eastAsia="zh-CN"/>
        </w:rPr>
        <w:t>最终结算方式：</w:t>
      </w:r>
      <w:bookmarkStart w:id="7" w:name="OLE_LINK30"/>
      <w:r>
        <w:rPr>
          <w:rFonts w:hint="eastAsia" w:ascii="宋体" w:hAnsi="宋体" w:eastAsia="宋体" w:cs="Times New Roman"/>
          <w:b/>
          <w:bCs/>
          <w:color w:val="auto"/>
          <w:sz w:val="24"/>
          <w:lang w:val="en-US" w:eastAsia="zh-CN"/>
        </w:rPr>
        <w:t>项目</w:t>
      </w:r>
      <w:r>
        <w:rPr>
          <w:rFonts w:hint="eastAsia" w:ascii="宋体" w:hAnsi="宋体" w:cs="Times New Roman"/>
          <w:b/>
          <w:bCs/>
          <w:color w:val="auto"/>
          <w:sz w:val="24"/>
          <w:lang w:val="en-US" w:eastAsia="zh-CN"/>
        </w:rPr>
        <w:t>结算审核</w:t>
      </w:r>
      <w:r>
        <w:rPr>
          <w:rFonts w:hint="eastAsia" w:ascii="宋体" w:hAnsi="宋体" w:eastAsia="宋体" w:cs="Times New Roman"/>
          <w:b/>
          <w:bCs/>
          <w:color w:val="auto"/>
          <w:sz w:val="24"/>
          <w:lang w:val="en-US" w:eastAsia="zh-CN"/>
        </w:rPr>
        <w:t>后的总价*</w:t>
      </w:r>
      <w:bookmarkEnd w:id="6"/>
      <w:bookmarkEnd w:id="7"/>
      <w:r>
        <w:rPr>
          <w:rFonts w:hint="eastAsia" w:ascii="宋体" w:hAnsi="宋体" w:cs="Times New Roman"/>
          <w:b/>
          <w:bCs/>
          <w:color w:val="auto"/>
          <w:sz w:val="24"/>
          <w:lang w:val="en-US" w:eastAsia="zh-CN"/>
        </w:rPr>
        <w:t>(1-让利下浮率)</w:t>
      </w:r>
    </w:p>
    <w:p w14:paraId="0EE98BCA">
      <w:pPr>
        <w:pStyle w:val="133"/>
        <w:ind w:left="0" w:leftChars="0" w:firstLine="0" w:firstLineChars="0"/>
      </w:pPr>
    </w:p>
    <w:p w14:paraId="0199D7E8">
      <w:pPr>
        <w:spacing w:line="360" w:lineRule="auto"/>
        <w:rPr>
          <w:rFonts w:ascii="宋体" w:hAnsi="宋体" w:cs="Arial"/>
          <w:b/>
          <w:bCs/>
          <w:color w:val="auto"/>
          <w:sz w:val="24"/>
          <w:highlight w:val="none"/>
        </w:rPr>
      </w:pPr>
      <w:r>
        <w:rPr>
          <w:rFonts w:hint="eastAsia" w:ascii="宋体" w:hAnsi="宋体" w:cs="Arial"/>
          <w:b/>
          <w:bCs/>
          <w:color w:val="auto"/>
          <w:sz w:val="24"/>
          <w:highlight w:val="none"/>
        </w:rPr>
        <w:t>（</w:t>
      </w:r>
      <w:r>
        <w:rPr>
          <w:rFonts w:hint="eastAsia" w:ascii="宋体" w:hAnsi="宋体" w:cs="Arial"/>
          <w:b/>
          <w:bCs/>
          <w:color w:val="auto"/>
          <w:sz w:val="24"/>
          <w:highlight w:val="none"/>
          <w:lang w:val="en-US" w:eastAsia="zh-CN"/>
        </w:rPr>
        <w:t>六</w:t>
      </w:r>
      <w:r>
        <w:rPr>
          <w:rFonts w:hint="eastAsia" w:ascii="宋体" w:hAnsi="宋体" w:cs="Arial"/>
          <w:b/>
          <w:bCs/>
          <w:color w:val="auto"/>
          <w:sz w:val="24"/>
          <w:highlight w:val="none"/>
        </w:rPr>
        <w:t>）商务条款及其他要求</w:t>
      </w:r>
    </w:p>
    <w:p w14:paraId="27E19912">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▲1、工期：</w:t>
      </w:r>
      <w:r>
        <w:rPr>
          <w:rFonts w:hint="eastAsia" w:ascii="宋体" w:hAnsi="宋体" w:cs="宋体"/>
          <w:color w:val="auto"/>
          <w:sz w:val="24"/>
          <w:highlight w:val="none"/>
          <w:lang w:eastAsia="zh-CN"/>
        </w:rPr>
        <w:t>合同签订</w:t>
      </w:r>
      <w:r>
        <w:rPr>
          <w:rFonts w:hint="eastAsia" w:ascii="宋体" w:hAnsi="宋体" w:cs="宋体"/>
          <w:color w:val="auto"/>
          <w:sz w:val="24"/>
          <w:highlight w:val="none"/>
          <w:lang w:val="en-US" w:eastAsia="zh-CN"/>
        </w:rPr>
        <w:t>并收到业主通知</w:t>
      </w:r>
      <w:r>
        <w:rPr>
          <w:rFonts w:hint="eastAsia" w:ascii="宋体" w:hAnsi="宋体" w:cs="宋体"/>
          <w:color w:val="auto"/>
          <w:sz w:val="24"/>
          <w:highlight w:val="none"/>
          <w:lang w:eastAsia="zh-CN"/>
        </w:rPr>
        <w:t>后</w:t>
      </w:r>
      <w:r>
        <w:rPr>
          <w:rFonts w:hint="eastAsia" w:ascii="宋体" w:hAnsi="宋体" w:cs="宋体"/>
          <w:color w:val="auto"/>
          <w:sz w:val="24"/>
          <w:highlight w:val="none"/>
          <w:lang w:val="en-US" w:eastAsia="zh-CN"/>
        </w:rPr>
        <w:t>60</w:t>
      </w:r>
      <w:r>
        <w:rPr>
          <w:rFonts w:hint="eastAsia" w:ascii="宋体" w:hAnsi="宋体" w:cs="宋体"/>
          <w:color w:val="auto"/>
          <w:sz w:val="24"/>
          <w:highlight w:val="none"/>
          <w:lang w:eastAsia="zh-CN"/>
        </w:rPr>
        <w:t>日历天</w:t>
      </w:r>
      <w:r>
        <w:rPr>
          <w:rFonts w:hint="eastAsia" w:ascii="宋体" w:hAnsi="宋体" w:cs="宋体"/>
          <w:color w:val="auto"/>
          <w:sz w:val="24"/>
          <w:highlight w:val="none"/>
          <w:lang w:val="en-US" w:eastAsia="zh-CN"/>
        </w:rPr>
        <w:t>内完工</w:t>
      </w:r>
      <w:r>
        <w:rPr>
          <w:rFonts w:hint="eastAsia" w:ascii="宋体" w:hAnsi="宋体" w:cs="宋体"/>
          <w:color w:val="auto"/>
          <w:sz w:val="24"/>
          <w:highlight w:val="none"/>
        </w:rPr>
        <w:t>。</w:t>
      </w:r>
      <w:r>
        <w:rPr>
          <w:rFonts w:hint="eastAsia" w:ascii="宋体" w:hAnsi="宋体"/>
          <w:color w:val="auto"/>
          <w:sz w:val="24"/>
          <w:highlight w:val="none"/>
        </w:rPr>
        <w:t>（每延迟一天罚1000元，限额为合同总价的 1 %。如果实际施工工期提前于合同工期，采购人不给予奖励。如因采购人原因造成工期延误，工期顺延。）</w:t>
      </w:r>
    </w:p>
    <w:p w14:paraId="61C4208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sz w:val="24"/>
        </w:rPr>
        <w:t>缺陷责任期：2年，自验收合格之日起计算。质保期按《建设工程质量管理条例》执行。</w:t>
      </w:r>
    </w:p>
    <w:p w14:paraId="2C01DCE7">
      <w:pPr>
        <w:autoSpaceDE w:val="0"/>
        <w:spacing w:line="440" w:lineRule="atLeast"/>
        <w:ind w:firstLine="480" w:firstLineChars="200"/>
        <w:rPr>
          <w:rFonts w:hint="eastAsia" w:ascii="宋体" w:hAnsi="宋体" w:eastAsia="宋体" w:cs="Arial"/>
          <w:bCs/>
          <w:color w:val="auto"/>
          <w:sz w:val="24"/>
          <w:highlight w:val="none"/>
        </w:rPr>
      </w:pPr>
      <w:r>
        <w:rPr>
          <w:rFonts w:hint="eastAsia" w:ascii="宋体" w:hAnsi="宋体" w:cs="宋体"/>
          <w:color w:val="auto"/>
          <w:sz w:val="24"/>
          <w:highlight w:val="none"/>
        </w:rPr>
        <w:t>3、</w:t>
      </w:r>
      <w:r>
        <w:rPr>
          <w:rFonts w:hint="eastAsia" w:ascii="宋体" w:hAnsi="宋体" w:cs="Arial"/>
          <w:bCs/>
          <w:color w:val="auto"/>
          <w:sz w:val="24"/>
          <w:highlight w:val="none"/>
        </w:rPr>
        <w:t>本合同为</w:t>
      </w:r>
      <w:r>
        <w:rPr>
          <w:rFonts w:hint="eastAsia" w:ascii="宋体" w:hAnsi="宋体" w:eastAsia="宋体" w:cs="Arial"/>
          <w:bCs/>
          <w:color w:val="auto"/>
          <w:sz w:val="24"/>
          <w:highlight w:val="none"/>
        </w:rPr>
        <w:t>固定总价合同，其合同总价已包含采购人确认的施工图、磋商响应方报价所列内容及所涉及的各项风险费用，竣工结算时在完成本合同工程范围内不作调整</w:t>
      </w:r>
      <w:r>
        <w:rPr>
          <w:rFonts w:hint="eastAsia" w:ascii="宋体" w:hAnsi="宋体" w:cs="Arial"/>
          <w:bCs/>
          <w:color w:val="auto"/>
          <w:sz w:val="24"/>
          <w:highlight w:val="none"/>
          <w:lang w:val="en-US" w:eastAsia="zh-CN"/>
        </w:rPr>
        <w:t>,经甲方同意若工程量有增减则按实结算</w:t>
      </w:r>
      <w:r>
        <w:rPr>
          <w:rFonts w:hint="eastAsia" w:ascii="宋体" w:hAnsi="宋体" w:eastAsia="宋体" w:cs="Arial"/>
          <w:bCs/>
          <w:color w:val="auto"/>
          <w:sz w:val="24"/>
          <w:highlight w:val="none"/>
        </w:rPr>
        <w:t>。</w:t>
      </w:r>
    </w:p>
    <w:p w14:paraId="33770C99">
      <w:pPr>
        <w:autoSpaceDE w:val="0"/>
        <w:spacing w:line="440" w:lineRule="atLeast"/>
        <w:ind w:firstLine="480" w:firstLineChars="200"/>
        <w:rPr>
          <w:rFonts w:hint="eastAsia" w:ascii="宋体" w:hAnsi="宋体" w:eastAsia="宋体" w:cs="Arial"/>
          <w:bCs/>
          <w:color w:val="auto"/>
          <w:sz w:val="24"/>
          <w:highlight w:val="none"/>
        </w:rPr>
      </w:pPr>
      <w:r>
        <w:rPr>
          <w:rFonts w:hint="eastAsia" w:ascii="宋体" w:hAnsi="宋体" w:eastAsia="宋体" w:cs="Arial"/>
          <w:bCs/>
          <w:color w:val="auto"/>
          <w:sz w:val="24"/>
          <w:highlight w:val="none"/>
        </w:rPr>
        <w:t>4、</w:t>
      </w:r>
      <w:r>
        <w:rPr>
          <w:rFonts w:hint="eastAsia" w:ascii="宋体" w:hAnsi="宋体" w:eastAsia="宋体" w:cs="仿宋_GB2312"/>
          <w:bCs w:val="0"/>
          <w:color w:val="auto"/>
          <w:sz w:val="24"/>
          <w:highlight w:val="none"/>
        </w:rPr>
        <w:t>磋商报价包括项目所需的施工、货物、材料、安装、备品备件、障碍物迁移与场地准备、工程保险、检测费、办公及其他物品购置费、移交、人员培训、税费、调试等本项目相关的一切费用及税金。</w:t>
      </w:r>
    </w:p>
    <w:p w14:paraId="1FC5A88C">
      <w:pPr>
        <w:autoSpaceDE w:val="0"/>
        <w:spacing w:line="440" w:lineRule="atLeast"/>
        <w:ind w:firstLine="480" w:firstLineChars="200"/>
        <w:rPr>
          <w:rFonts w:hint="eastAsia" w:ascii="宋体" w:hAnsi="宋体" w:eastAsia="宋体" w:cs="Arial"/>
          <w:bCs/>
          <w:color w:val="auto"/>
          <w:sz w:val="24"/>
          <w:highlight w:val="none"/>
        </w:rPr>
      </w:pPr>
      <w:r>
        <w:rPr>
          <w:rFonts w:hint="eastAsia" w:ascii="宋体" w:hAnsi="宋体" w:eastAsia="宋体" w:cs="Arial"/>
          <w:bCs/>
          <w:color w:val="auto"/>
          <w:sz w:val="24"/>
          <w:highlight w:val="none"/>
        </w:rPr>
        <w:t>5、供应商应自行勘察现场，工程风险由供应商自行承担，结合自身能力进行磋商报价。</w:t>
      </w:r>
    </w:p>
    <w:p w14:paraId="3370A635">
      <w:pPr>
        <w:autoSpaceDE w:val="0"/>
        <w:spacing w:line="440" w:lineRule="atLeast"/>
        <w:rPr>
          <w:rFonts w:hint="eastAsia" w:ascii="宋体" w:hAnsi="宋体" w:eastAsia="宋体" w:cs="Arial"/>
          <w:b/>
          <w:bCs/>
          <w:color w:val="auto"/>
          <w:sz w:val="24"/>
          <w:highlight w:val="none"/>
        </w:rPr>
      </w:pPr>
      <w:r>
        <w:rPr>
          <w:rFonts w:hint="eastAsia" w:ascii="宋体" w:hAnsi="宋体" w:eastAsia="宋体" w:cs="Arial"/>
          <w:b/>
          <w:bCs/>
          <w:color w:val="auto"/>
          <w:sz w:val="24"/>
          <w:highlight w:val="none"/>
          <w:lang w:eastAsia="zh-CN"/>
        </w:rPr>
        <w:t>（</w:t>
      </w:r>
      <w:r>
        <w:rPr>
          <w:rFonts w:hint="eastAsia" w:ascii="宋体" w:hAnsi="宋体" w:cs="Arial"/>
          <w:b/>
          <w:bCs/>
          <w:color w:val="auto"/>
          <w:sz w:val="24"/>
          <w:highlight w:val="none"/>
          <w:lang w:val="en-US" w:eastAsia="zh-CN"/>
        </w:rPr>
        <w:t>八</w:t>
      </w:r>
      <w:r>
        <w:rPr>
          <w:rFonts w:hint="eastAsia" w:ascii="宋体" w:hAnsi="宋体" w:eastAsia="宋体" w:cs="Arial"/>
          <w:b/>
          <w:bCs/>
          <w:color w:val="auto"/>
          <w:sz w:val="24"/>
          <w:highlight w:val="none"/>
          <w:lang w:eastAsia="zh-CN"/>
        </w:rPr>
        <w:t>）</w:t>
      </w:r>
      <w:r>
        <w:rPr>
          <w:rFonts w:hint="eastAsia" w:ascii="宋体" w:hAnsi="宋体" w:eastAsia="宋体" w:cs="Arial"/>
          <w:b/>
          <w:bCs/>
          <w:color w:val="auto"/>
          <w:sz w:val="24"/>
          <w:highlight w:val="none"/>
        </w:rPr>
        <w:t>验收</w:t>
      </w:r>
    </w:p>
    <w:p w14:paraId="1B56A1FD">
      <w:pPr>
        <w:widowControl/>
        <w:overflowPunct w:val="0"/>
        <w:autoSpaceDE w:val="0"/>
        <w:autoSpaceDN w:val="0"/>
        <w:adjustRightInd w:val="0"/>
        <w:spacing w:line="360" w:lineRule="auto"/>
        <w:ind w:firstLine="480" w:firstLineChars="200"/>
        <w:jc w:val="left"/>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CB44616">
      <w:pPr>
        <w:widowControl/>
        <w:overflowPunct w:val="0"/>
        <w:autoSpaceDE w:val="0"/>
        <w:autoSpaceDN w:val="0"/>
        <w:adjustRightInd w:val="0"/>
        <w:spacing w:line="360" w:lineRule="auto"/>
        <w:ind w:firstLine="480" w:firstLineChars="200"/>
        <w:jc w:val="left"/>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2、采购人可以邀请参加本项目的其他供应商或者第三方机构参与验收。参与验收的供应商或者第三方机构的意见作为验收书的参考资料一并存档。</w:t>
      </w:r>
    </w:p>
    <w:p w14:paraId="6111C3C2">
      <w:pPr>
        <w:widowControl/>
        <w:overflowPunct w:val="0"/>
        <w:autoSpaceDE w:val="0"/>
        <w:autoSpaceDN w:val="0"/>
        <w:adjustRightInd w:val="0"/>
        <w:spacing w:line="360" w:lineRule="auto"/>
        <w:ind w:firstLine="480" w:firstLineChars="200"/>
        <w:jc w:val="left"/>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2C6B7A8">
      <w:pPr>
        <w:widowControl/>
        <w:overflowPunct w:val="0"/>
        <w:autoSpaceDE w:val="0"/>
        <w:autoSpaceDN w:val="0"/>
        <w:adjustRightInd w:val="0"/>
        <w:spacing w:line="360" w:lineRule="auto"/>
        <w:ind w:firstLine="480" w:firstLineChars="200"/>
        <w:jc w:val="left"/>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4、采购人原则上应当在履约验收之日起2个工作日内，将履约验收结果在浙江政府采购网上公告。</w:t>
      </w:r>
    </w:p>
    <w:p w14:paraId="123999B7">
      <w:pPr>
        <w:widowControl/>
        <w:overflowPunct w:val="0"/>
        <w:autoSpaceDE w:val="0"/>
        <w:autoSpaceDN w:val="0"/>
        <w:adjustRightInd w:val="0"/>
        <w:spacing w:line="360" w:lineRule="auto"/>
        <w:ind w:firstLine="480" w:firstLineChars="200"/>
        <w:jc w:val="left"/>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5、验收合格的项目，采购人将根据采购合同的约定及时向供应商支付采购资金、退还履约保证金。</w:t>
      </w:r>
    </w:p>
    <w:p w14:paraId="6C82F662">
      <w:pPr>
        <w:widowControl/>
        <w:overflowPunct w:val="0"/>
        <w:autoSpaceDE w:val="0"/>
        <w:autoSpaceDN w:val="0"/>
        <w:adjustRightInd w:val="0"/>
        <w:spacing w:line="360" w:lineRule="auto"/>
        <w:ind w:firstLine="480" w:firstLineChars="200"/>
        <w:jc w:val="left"/>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08B1A83">
      <w:pPr>
        <w:widowControl/>
        <w:numPr>
          <w:ilvl w:val="0"/>
          <w:numId w:val="5"/>
        </w:numPr>
        <w:overflowPunct w:val="0"/>
        <w:autoSpaceDE w:val="0"/>
        <w:autoSpaceDN w:val="0"/>
        <w:adjustRightInd w:val="0"/>
        <w:spacing w:line="360" w:lineRule="auto"/>
        <w:ind w:firstLine="480" w:firstLineChars="200"/>
        <w:jc w:val="left"/>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验收费用由中标单位支付。</w:t>
      </w:r>
    </w:p>
    <w:bookmarkEnd w:id="4"/>
    <w:p w14:paraId="3781C929">
      <w:pPr>
        <w:pStyle w:val="2"/>
        <w:keepNext w:val="0"/>
        <w:keepLines w:val="0"/>
        <w:pageBreakBefore/>
        <w:spacing w:line="240" w:lineRule="auto"/>
        <w:jc w:val="center"/>
        <w:rPr>
          <w:rFonts w:ascii="宋体" w:hAnsi="宋体" w:cs="宋体"/>
          <w:color w:val="auto"/>
          <w:kern w:val="0"/>
          <w:sz w:val="24"/>
          <w:szCs w:val="24"/>
          <w:highlight w:val="none"/>
        </w:rPr>
      </w:pPr>
      <w:bookmarkStart w:id="8" w:name="_Toc14824"/>
      <w:bookmarkStart w:id="9" w:name="_Toc11373"/>
      <w:r>
        <w:rPr>
          <w:rFonts w:hint="eastAsia" w:ascii="宋体" w:hAnsi="宋体" w:cs="宋体"/>
          <w:color w:val="auto"/>
          <w:sz w:val="24"/>
          <w:szCs w:val="24"/>
          <w:highlight w:val="none"/>
        </w:rPr>
        <w:t>第三章   供应商须知</w:t>
      </w:r>
      <w:bookmarkEnd w:id="8"/>
      <w:bookmarkEnd w:id="9"/>
    </w:p>
    <w:p w14:paraId="3E41511C">
      <w:pPr>
        <w:pStyle w:val="20"/>
        <w:snapToGrid w:val="0"/>
        <w:spacing w:before="120" w:after="120"/>
        <w:ind w:firstLine="472" w:firstLineChars="196"/>
        <w:jc w:val="right"/>
        <w:outlineLvl w:val="1"/>
        <w:rPr>
          <w:rFonts w:ascii="宋体" w:hAnsi="宋体" w:cs="宋体"/>
          <w:b/>
          <w:color w:val="auto"/>
          <w:szCs w:val="24"/>
          <w:highlight w:val="none"/>
        </w:rPr>
      </w:pPr>
      <w:bookmarkStart w:id="10" w:name="_Toc17545"/>
      <w:bookmarkStart w:id="11" w:name="_Toc2380"/>
      <w:r>
        <w:rPr>
          <w:rFonts w:hint="eastAsia" w:ascii="宋体" w:hAnsi="宋体" w:cs="宋体"/>
          <w:b/>
          <w:color w:val="auto"/>
          <w:szCs w:val="24"/>
          <w:highlight w:val="none"/>
        </w:rPr>
        <w:t>前附表</w:t>
      </w:r>
      <w:bookmarkEnd w:id="10"/>
      <w:bookmarkEnd w:id="11"/>
    </w:p>
    <w:tbl>
      <w:tblPr>
        <w:tblStyle w:val="3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0"/>
        <w:gridCol w:w="8743"/>
      </w:tblGrid>
      <w:tr w14:paraId="01B23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FFA6CD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8743" w:type="dxa"/>
            <w:tcBorders>
              <w:top w:val="single" w:color="auto" w:sz="4" w:space="0"/>
              <w:left w:val="single" w:color="auto" w:sz="4" w:space="0"/>
              <w:bottom w:val="single" w:color="auto" w:sz="4" w:space="0"/>
              <w:right w:val="single" w:color="auto" w:sz="4" w:space="0"/>
            </w:tcBorders>
            <w:vAlign w:val="center"/>
          </w:tcPr>
          <w:p w14:paraId="59AE7AA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内容、要求</w:t>
            </w:r>
          </w:p>
        </w:tc>
      </w:tr>
      <w:tr w14:paraId="1D49C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6CC48A60">
            <w:pPr>
              <w:snapToGrid w:val="0"/>
              <w:spacing w:line="420" w:lineRule="exact"/>
              <w:ind w:firstLine="240" w:firstLineChars="100"/>
              <w:jc w:val="left"/>
              <w:rPr>
                <w:rFonts w:ascii="宋体" w:hAnsi="宋体" w:cs="宋体"/>
                <w:color w:val="auto"/>
                <w:sz w:val="24"/>
                <w:highlight w:val="none"/>
              </w:rPr>
            </w:pPr>
            <w:r>
              <w:rPr>
                <w:rFonts w:hint="eastAsia" w:ascii="宋体" w:hAnsi="宋体" w:cs="宋体"/>
                <w:color w:val="auto"/>
                <w:sz w:val="24"/>
                <w:highlight w:val="none"/>
              </w:rPr>
              <w:t>1</w:t>
            </w:r>
          </w:p>
        </w:tc>
        <w:tc>
          <w:tcPr>
            <w:tcW w:w="8743" w:type="dxa"/>
            <w:tcBorders>
              <w:top w:val="single" w:color="auto" w:sz="4" w:space="0"/>
              <w:left w:val="single" w:color="auto" w:sz="4" w:space="0"/>
              <w:bottom w:val="single" w:color="auto" w:sz="4" w:space="0"/>
              <w:right w:val="single" w:color="auto" w:sz="4" w:space="0"/>
            </w:tcBorders>
            <w:vAlign w:val="center"/>
          </w:tcPr>
          <w:p w14:paraId="679CB4CB">
            <w:pPr>
              <w:snapToGrid w:val="0"/>
              <w:spacing w:line="420" w:lineRule="exact"/>
              <w:jc w:val="left"/>
              <w:rPr>
                <w:rFonts w:hint="eastAsia" w:ascii="宋体" w:hAnsi="宋体" w:eastAsia="宋体" w:cs="宋体"/>
                <w:b/>
                <w:bCs/>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 xml:space="preserve">东阳市肛肠外科医院4000kVA双电源配电工程采购项目 </w:t>
            </w:r>
          </w:p>
        </w:tc>
      </w:tr>
      <w:tr w14:paraId="42BBE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53758D7E">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8743" w:type="dxa"/>
            <w:tcBorders>
              <w:top w:val="single" w:color="auto" w:sz="4" w:space="0"/>
              <w:left w:val="single" w:color="auto" w:sz="4" w:space="0"/>
              <w:bottom w:val="single" w:color="auto" w:sz="4" w:space="0"/>
              <w:right w:val="single" w:color="auto" w:sz="4" w:space="0"/>
            </w:tcBorders>
            <w:vAlign w:val="center"/>
          </w:tcPr>
          <w:p w14:paraId="5CEF1399">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磋商报价及费用：1、本项目磋商应以</w:t>
            </w:r>
            <w:r>
              <w:rPr>
                <w:rFonts w:hint="eastAsia" w:ascii="宋体" w:hAnsi="宋体"/>
                <w:color w:val="auto"/>
                <w:sz w:val="24"/>
                <w:highlight w:val="none"/>
              </w:rPr>
              <w:t>人民币</w:t>
            </w:r>
            <w:r>
              <w:rPr>
                <w:rFonts w:hint="eastAsia" w:ascii="宋体" w:hAnsi="宋体" w:cs="宋体"/>
                <w:color w:val="auto"/>
                <w:sz w:val="24"/>
                <w:highlight w:val="none"/>
              </w:rPr>
              <w:t>报价；2、不论磋商结果如何，供应商均应自行承担所有与磋商有关的全部费用；3、磋商费用：</w:t>
            </w:r>
            <w:r>
              <w:rPr>
                <w:rFonts w:hint="eastAsia" w:ascii="宋体" w:hAnsi="宋体" w:cs="宋体"/>
                <w:color w:val="auto"/>
                <w:sz w:val="24"/>
                <w:highlight w:val="none"/>
                <w:lang w:eastAsia="zh-CN"/>
              </w:rPr>
              <w:t>大地工程咨询有限公司</w:t>
            </w:r>
            <w:r>
              <w:rPr>
                <w:rFonts w:hint="eastAsia" w:ascii="宋体" w:hAnsi="宋体" w:cs="宋体"/>
                <w:color w:val="auto"/>
                <w:sz w:val="24"/>
                <w:highlight w:val="none"/>
              </w:rPr>
              <w:t>按照本磋商文件总则第（五）条规定向中标人收取中标服务费。</w:t>
            </w:r>
          </w:p>
        </w:tc>
      </w:tr>
      <w:tr w14:paraId="4615BC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461360C9">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8743" w:type="dxa"/>
            <w:tcBorders>
              <w:top w:val="single" w:color="auto" w:sz="4" w:space="0"/>
              <w:left w:val="single" w:color="auto" w:sz="4" w:space="0"/>
              <w:bottom w:val="single" w:color="auto" w:sz="4" w:space="0"/>
              <w:right w:val="single" w:color="auto" w:sz="4" w:space="0"/>
            </w:tcBorders>
            <w:vAlign w:val="center"/>
          </w:tcPr>
          <w:p w14:paraId="6AAF5EB6">
            <w:pPr>
              <w:snapToGrid w:val="0"/>
              <w:spacing w:line="420" w:lineRule="exact"/>
              <w:rPr>
                <w:rFonts w:ascii="宋体" w:hAnsi="宋体" w:cs="宋体"/>
                <w:color w:val="auto"/>
                <w:sz w:val="24"/>
                <w:highlight w:val="none"/>
              </w:rPr>
            </w:pPr>
            <w:r>
              <w:rPr>
                <w:rFonts w:hint="eastAsia" w:ascii="宋体" w:hAnsi="宋体" w:cs="宋体"/>
                <w:b/>
                <w:bCs/>
                <w:color w:val="auto"/>
                <w:sz w:val="24"/>
                <w:highlight w:val="none"/>
              </w:rPr>
              <w:t>根据《政府采购促进中小企业管理办法》及《关于印发中小企业划型标准规定的通知工信部联企业》（〔2011〕300号）有关规定，本采购标的对应的所属行业为：</w:t>
            </w:r>
            <w:r>
              <w:rPr>
                <w:rFonts w:ascii="宋体" w:hAnsi="宋体" w:cs="宋体"/>
                <w:b/>
                <w:bCs/>
                <w:color w:val="auto"/>
                <w:sz w:val="24"/>
                <w:highlight w:val="none"/>
              </w:rPr>
              <w:t>建筑业</w:t>
            </w:r>
            <w:r>
              <w:rPr>
                <w:rFonts w:hint="eastAsia" w:ascii="宋体" w:hAnsi="宋体" w:cs="宋体"/>
                <w:b/>
                <w:bCs/>
                <w:color w:val="auto"/>
                <w:sz w:val="24"/>
                <w:highlight w:val="none"/>
              </w:rPr>
              <w:t>。</w:t>
            </w:r>
          </w:p>
        </w:tc>
      </w:tr>
      <w:tr w14:paraId="2B1737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07A8D044">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8743" w:type="dxa"/>
            <w:tcBorders>
              <w:top w:val="single" w:color="auto" w:sz="4" w:space="0"/>
              <w:left w:val="single" w:color="auto" w:sz="4" w:space="0"/>
              <w:bottom w:val="single" w:color="auto" w:sz="4" w:space="0"/>
              <w:right w:val="single" w:color="auto" w:sz="4" w:space="0"/>
            </w:tcBorders>
            <w:vAlign w:val="center"/>
          </w:tcPr>
          <w:p w14:paraId="150EA2E0">
            <w:pPr>
              <w:snapToGrid w:val="0"/>
              <w:spacing w:line="348" w:lineRule="auto"/>
              <w:rPr>
                <w:rFonts w:ascii="宋体" w:hAnsi="宋体" w:cs="宋体"/>
                <w:color w:val="auto"/>
                <w:sz w:val="24"/>
                <w:highlight w:val="none"/>
              </w:rPr>
            </w:pPr>
            <w:r>
              <w:rPr>
                <w:rFonts w:hint="eastAsia" w:ascii="宋体" w:hAnsi="宋体" w:cs="宋体"/>
                <w:color w:val="auto"/>
                <w:sz w:val="24"/>
                <w:highlight w:val="none"/>
              </w:rPr>
              <w:t>根据《关于在政府采购活动中查询及使用信用记录有关问题的通知》财库[2016]125号的规定：</w:t>
            </w:r>
          </w:p>
          <w:p w14:paraId="66547003">
            <w:pPr>
              <w:snapToGrid w:val="0"/>
              <w:spacing w:line="348" w:lineRule="auto"/>
              <w:rPr>
                <w:rFonts w:ascii="宋体" w:hAnsi="宋体" w:cs="宋体"/>
                <w:color w:val="auto"/>
                <w:sz w:val="24"/>
                <w:highlight w:val="none"/>
              </w:rPr>
            </w:pPr>
            <w:r>
              <w:rPr>
                <w:rFonts w:hint="eastAsia" w:ascii="宋体" w:hAnsi="宋体" w:cs="宋体"/>
                <w:color w:val="auto"/>
                <w:sz w:val="24"/>
                <w:highlight w:val="none"/>
              </w:rPr>
              <w:t>（1）采购人或采购代理机构将对本项目供应商的信用记录进行查询。查询渠道为信用中国网站（www.creditchina.gov.cn）、中国政府采购网（www.ccgp.gov.cn）；</w:t>
            </w:r>
          </w:p>
          <w:p w14:paraId="6532E19B">
            <w:pPr>
              <w:snapToGrid w:val="0"/>
              <w:spacing w:line="348" w:lineRule="auto"/>
              <w:rPr>
                <w:rFonts w:ascii="宋体" w:hAnsi="宋体" w:cs="宋体"/>
                <w:color w:val="auto"/>
                <w:sz w:val="24"/>
                <w:highlight w:val="none"/>
              </w:rPr>
            </w:pPr>
            <w:r>
              <w:rPr>
                <w:rFonts w:hint="eastAsia" w:ascii="宋体" w:hAnsi="宋体" w:cs="宋体"/>
                <w:color w:val="auto"/>
                <w:sz w:val="24"/>
                <w:highlight w:val="none"/>
              </w:rPr>
              <w:t>（2）截止时点：提交投标文件（响应文件）截止时间前3年内；</w:t>
            </w:r>
          </w:p>
          <w:p w14:paraId="531617D8">
            <w:pPr>
              <w:snapToGrid w:val="0"/>
              <w:spacing w:line="348" w:lineRule="auto"/>
              <w:rPr>
                <w:rFonts w:ascii="宋体" w:hAnsi="宋体" w:cs="宋体"/>
                <w:color w:val="auto"/>
                <w:sz w:val="24"/>
                <w:highlight w:val="none"/>
              </w:rPr>
            </w:pPr>
            <w:r>
              <w:rPr>
                <w:rFonts w:hint="eastAsia" w:ascii="宋体" w:hAnsi="宋体" w:cs="宋体"/>
                <w:color w:val="auto"/>
                <w:sz w:val="24"/>
                <w:highlight w:val="none"/>
              </w:rPr>
              <w:t>（3）查询记录和证据的留存：信用信息查询记录和证据以网页截图等方式留存。</w:t>
            </w:r>
          </w:p>
          <w:p w14:paraId="42F97ED8">
            <w:pPr>
              <w:snapToGrid w:val="0"/>
              <w:spacing w:line="348" w:lineRule="auto"/>
              <w:rPr>
                <w:rFonts w:hint="eastAsia" w:ascii="宋体" w:hAnsi="宋体" w:cs="宋体"/>
                <w:color w:val="auto"/>
                <w:sz w:val="24"/>
                <w:highlight w:val="none"/>
              </w:rPr>
            </w:pPr>
            <w:r>
              <w:rPr>
                <w:rFonts w:hint="eastAsia" w:ascii="宋体" w:hAnsi="宋体" w:cs="宋体"/>
                <w:color w:val="auto"/>
                <w:sz w:val="24"/>
                <w:highlight w:val="none"/>
              </w:rPr>
              <w:t>（4）使用规则：被列入失信被执行人、重大税收违法案件当事人名单、政府采购严重违法失信行为记录名单及其它不符合《中华人民共和国政府采购法》第二十二条规定条件的，其投标将被拒绝。</w:t>
            </w:r>
          </w:p>
          <w:p w14:paraId="3317803B">
            <w:pPr>
              <w:snapToGrid w:val="0"/>
              <w:spacing w:line="348" w:lineRule="auto"/>
              <w:rPr>
                <w:rFonts w:ascii="宋体" w:hAnsi="宋体" w:cs="宋体"/>
                <w:color w:val="auto"/>
                <w:sz w:val="24"/>
                <w:highlight w:val="none"/>
              </w:rPr>
            </w:pPr>
            <w:r>
              <w:rPr>
                <w:rFonts w:hint="eastAsia" w:ascii="宋体" w:hAnsi="宋体" w:cs="宋体"/>
                <w:color w:val="auto"/>
                <w:sz w:val="24"/>
                <w:highlight w:val="none"/>
              </w:rPr>
              <w:t>（5）联合体成员任意一方存在不良信用记录的，视同联合体存在不良信用记录。</w:t>
            </w:r>
          </w:p>
        </w:tc>
      </w:tr>
      <w:tr w14:paraId="5883A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3"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C02B836">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8743" w:type="dxa"/>
            <w:tcBorders>
              <w:top w:val="single" w:color="auto" w:sz="4" w:space="0"/>
              <w:left w:val="single" w:color="auto" w:sz="4" w:space="0"/>
              <w:bottom w:val="single" w:color="auto" w:sz="4" w:space="0"/>
              <w:right w:val="single" w:color="auto" w:sz="4" w:space="0"/>
            </w:tcBorders>
            <w:vAlign w:val="center"/>
          </w:tcPr>
          <w:p w14:paraId="1BBD9253">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答疑与澄清：供应商如认为磋商文件表述不清晰、存在歧视性、排他性或者其他违法内容的，应当按照磋商公告第三、八条规定以书面形式要求招标方作出书面解释、澄清或者向招标方提出书面质疑；</w:t>
            </w:r>
            <w:r>
              <w:rPr>
                <w:rFonts w:hint="eastAsia" w:ascii="宋体" w:hAnsi="宋体" w:cs="宋体"/>
                <w:b/>
                <w:color w:val="auto"/>
                <w:sz w:val="24"/>
                <w:highlight w:val="none"/>
              </w:rPr>
              <w:t>在质疑截止时间前，未对磋商文件提出质疑时，视供应商对磋商文件的默认；</w:t>
            </w:r>
            <w:r>
              <w:rPr>
                <w:rFonts w:hint="eastAsia" w:ascii="宋体" w:hAnsi="宋体" w:cs="宋体"/>
                <w:color w:val="auto"/>
                <w:sz w:val="24"/>
                <w:highlight w:val="none"/>
              </w:rPr>
              <w:t>招标采购单位对已发出的磋商文件进行必要澄清、答复、修改或者补充的，在财政部门指定的政府采购信息发布媒体上发布更正公告，并以书面形式通知所有已获取磋商文件的供应商；答疑内容是磋商文件的组成部分；澄清或者修改的内容可能影响磋商响应文件编制的，应当在磋商截止时间至少5日前，以书面形式通知所有获取磋商文件的潜在供应商；不足5日的，顺延提交磋商响应文件的截止时间。</w:t>
            </w:r>
          </w:p>
        </w:tc>
      </w:tr>
      <w:tr w14:paraId="109B57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7DF88085">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8743" w:type="dxa"/>
            <w:tcBorders>
              <w:top w:val="single" w:color="auto" w:sz="4" w:space="0"/>
              <w:left w:val="single" w:color="auto" w:sz="4" w:space="0"/>
              <w:bottom w:val="single" w:color="auto" w:sz="4" w:space="0"/>
              <w:right w:val="single" w:color="auto" w:sz="4" w:space="0"/>
            </w:tcBorders>
            <w:vAlign w:val="center"/>
          </w:tcPr>
          <w:p w14:paraId="077D21D8">
            <w:pPr>
              <w:autoSpaceDE w:val="0"/>
              <w:autoSpaceDN w:val="0"/>
              <w:snapToGrid w:val="0"/>
              <w:spacing w:line="420" w:lineRule="exact"/>
              <w:textAlignment w:val="bottom"/>
              <w:rPr>
                <w:rFonts w:ascii="宋体" w:hAnsi="宋体" w:cs="宋体"/>
                <w:color w:val="auto"/>
                <w:sz w:val="24"/>
                <w:highlight w:val="none"/>
              </w:rPr>
            </w:pPr>
            <w:r>
              <w:rPr>
                <w:rFonts w:hint="eastAsia" w:ascii="宋体" w:hAnsi="宋体" w:cs="宋体"/>
                <w:color w:val="auto"/>
                <w:sz w:val="24"/>
                <w:highlight w:val="none"/>
              </w:rPr>
              <w:t>磋商响应文件的递交：</w:t>
            </w:r>
          </w:p>
          <w:p w14:paraId="5479EC30">
            <w:pPr>
              <w:autoSpaceDE w:val="0"/>
              <w:autoSpaceDN w:val="0"/>
              <w:snapToGrid w:val="0"/>
              <w:spacing w:line="420" w:lineRule="exact"/>
              <w:textAlignment w:val="bottom"/>
              <w:rPr>
                <w:rFonts w:ascii="宋体" w:hAnsi="宋体" w:cs="宋体"/>
                <w:color w:val="auto"/>
                <w:sz w:val="24"/>
                <w:highlight w:val="none"/>
              </w:rPr>
            </w:pPr>
            <w:r>
              <w:rPr>
                <w:rFonts w:hint="eastAsia" w:ascii="宋体" w:hAnsi="宋体" w:cs="宋体"/>
                <w:color w:val="auto"/>
                <w:sz w:val="24"/>
                <w:highlight w:val="none"/>
              </w:rPr>
              <w:t>本项目磋商响应文件由资格审查文件、商务技术文件和报价文件三部分组成。供应商应按以下方式递交磋商响应文件：</w:t>
            </w:r>
          </w:p>
          <w:p w14:paraId="6D2670F4">
            <w:pPr>
              <w:autoSpaceDE w:val="0"/>
              <w:autoSpaceDN w:val="0"/>
              <w:snapToGrid w:val="0"/>
              <w:spacing w:line="420" w:lineRule="exact"/>
              <w:textAlignment w:val="bottom"/>
              <w:rPr>
                <w:rFonts w:ascii="宋体" w:hAnsi="宋体" w:cs="宋体"/>
                <w:color w:val="auto"/>
                <w:sz w:val="24"/>
                <w:highlight w:val="none"/>
              </w:rPr>
            </w:pPr>
            <w:r>
              <w:rPr>
                <w:rFonts w:hint="eastAsia" w:ascii="宋体" w:hAnsi="宋体" w:cs="宋体"/>
                <w:color w:val="auto"/>
                <w:sz w:val="24"/>
                <w:highlight w:val="none"/>
              </w:rPr>
              <w:t>▲1、本项目实行“网上磋商、电子评标”，供应商应于磋商截止时间前在“政采云”（电子交易平台）上传输、递交电子版磋商响应文件（包括资格审查文件、商务技术文件和报价文件）；</w:t>
            </w:r>
          </w:p>
          <w:p w14:paraId="41835690">
            <w:pPr>
              <w:autoSpaceDE w:val="0"/>
              <w:autoSpaceDN w:val="0"/>
              <w:snapToGrid w:val="0"/>
              <w:spacing w:line="420" w:lineRule="exact"/>
              <w:textAlignment w:val="bottom"/>
              <w:rPr>
                <w:rFonts w:ascii="宋体" w:hAnsi="宋体" w:cs="宋体"/>
                <w:color w:val="auto"/>
                <w:sz w:val="24"/>
                <w:highlight w:val="none"/>
              </w:rPr>
            </w:pPr>
            <w:r>
              <w:rPr>
                <w:rFonts w:hint="eastAsia" w:ascii="宋体" w:hAnsi="宋体" w:cs="宋体"/>
                <w:color w:val="auto"/>
                <w:sz w:val="24"/>
                <w:highlight w:val="none"/>
              </w:rPr>
              <w:t>2、为了避免由于电子交易平台无法正常运行等技术、安全故障原因造成磋商响应文件无法解密或解密失败，导致磋商无效的情况，供应商可以在磋商截止时间前将电子备份磋商响应文件（经政采云电子交易客户端和CA驱动制作出的后缀名为“bfbs”的加密电子备份磋商响应文件）发送至</w:t>
            </w:r>
            <w:r>
              <w:rPr>
                <w:rFonts w:hint="eastAsia" w:ascii="宋体" w:hAnsi="宋体" w:cs="宋体"/>
                <w:color w:val="auto"/>
                <w:sz w:val="24"/>
                <w:highlight w:val="none"/>
                <w:lang w:eastAsia="zh-CN"/>
              </w:rPr>
              <w:t>大地工程咨询有限公司</w:t>
            </w:r>
            <w:r>
              <w:rPr>
                <w:rFonts w:hint="eastAsia" w:ascii="宋体" w:hAnsi="宋体" w:cs="宋体"/>
                <w:color w:val="auto"/>
                <w:sz w:val="24"/>
                <w:highlight w:val="none"/>
              </w:rPr>
              <w:t>邮箱：</w:t>
            </w:r>
            <w:r>
              <w:rPr>
                <w:rFonts w:hint="eastAsia" w:ascii="宋体" w:hAnsi="宋体" w:cs="宋体"/>
                <w:color w:val="auto"/>
                <w:sz w:val="24"/>
                <w:highlight w:val="none"/>
                <w:lang w:val="en-US" w:eastAsia="zh-CN"/>
              </w:rPr>
              <w:t>908767311@qq.com</w:t>
            </w:r>
            <w:r>
              <w:rPr>
                <w:rFonts w:hint="eastAsia" w:ascii="宋体" w:hAnsi="宋体" w:cs="宋体"/>
                <w:color w:val="auto"/>
                <w:sz w:val="24"/>
                <w:highlight w:val="none"/>
              </w:rPr>
              <w:t>，逾期发送或发错后缀名的备份磋商响应文件将被视为无效；</w:t>
            </w:r>
          </w:p>
          <w:p w14:paraId="7E242490">
            <w:pPr>
              <w:autoSpaceDE w:val="0"/>
              <w:autoSpaceDN w:val="0"/>
              <w:snapToGrid w:val="0"/>
              <w:spacing w:line="420" w:lineRule="exact"/>
              <w:textAlignment w:val="bottom"/>
              <w:rPr>
                <w:rFonts w:ascii="宋体" w:hAnsi="宋体" w:cs="宋体"/>
                <w:color w:val="auto"/>
                <w:sz w:val="24"/>
                <w:highlight w:val="none"/>
              </w:rPr>
            </w:pPr>
            <w:r>
              <w:rPr>
                <w:rFonts w:hint="eastAsia" w:ascii="宋体" w:hAnsi="宋体" w:cs="宋体"/>
                <w:color w:val="auto"/>
                <w:sz w:val="24"/>
                <w:highlight w:val="none"/>
              </w:rPr>
              <w:t>3、供应商仅提交电子备份磋商响应文件的，磋商无效；</w:t>
            </w:r>
          </w:p>
          <w:p w14:paraId="07A080A9">
            <w:pPr>
              <w:autoSpaceDE w:val="0"/>
              <w:autoSpaceDN w:val="0"/>
              <w:snapToGrid w:val="0"/>
              <w:spacing w:line="420" w:lineRule="exact"/>
              <w:textAlignment w:val="bottom"/>
              <w:rPr>
                <w:rFonts w:ascii="宋体" w:hAnsi="宋体" w:cs="宋体"/>
                <w:color w:val="auto"/>
                <w:sz w:val="24"/>
                <w:highlight w:val="none"/>
              </w:rPr>
            </w:pPr>
            <w:r>
              <w:rPr>
                <w:rFonts w:hint="eastAsia" w:ascii="宋体" w:hAnsi="宋体" w:cs="宋体"/>
                <w:color w:val="auto"/>
                <w:sz w:val="24"/>
                <w:highlight w:val="none"/>
              </w:rPr>
              <w:t>4、本项目不强制供应商提交电子备份磋商响应文件；如在开评标时出现电子磋商响应文件无法解密或解密失败等情况，因供应商未提供电子备份磋商响应文件而造成磋商无效等一切后果和风险由供应商自行承担。</w:t>
            </w:r>
          </w:p>
        </w:tc>
      </w:tr>
      <w:tr w14:paraId="21D84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92673FF">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8743" w:type="dxa"/>
            <w:tcBorders>
              <w:top w:val="single" w:color="auto" w:sz="4" w:space="0"/>
              <w:left w:val="single" w:color="auto" w:sz="4" w:space="0"/>
              <w:bottom w:val="single" w:color="auto" w:sz="4" w:space="0"/>
              <w:right w:val="single" w:color="auto" w:sz="4" w:space="0"/>
            </w:tcBorders>
            <w:vAlign w:val="center"/>
          </w:tcPr>
          <w:p w14:paraId="42EAA424">
            <w:pPr>
              <w:snapToGrid w:val="0"/>
              <w:spacing w:line="420" w:lineRule="exact"/>
              <w:rPr>
                <w:rFonts w:hint="eastAsia" w:ascii="宋体" w:hAnsi="宋体" w:eastAsia="宋体" w:cs="宋体"/>
                <w:bCs/>
                <w:color w:val="auto"/>
                <w:sz w:val="24"/>
                <w:highlight w:val="none"/>
                <w:u w:val="single"/>
                <w:lang w:eastAsia="zh-CN"/>
              </w:rPr>
            </w:pPr>
            <w:r>
              <w:rPr>
                <w:rFonts w:hint="eastAsia" w:ascii="宋体" w:hAnsi="宋体" w:cs="宋体"/>
                <w:bCs/>
                <w:color w:val="auto"/>
                <w:sz w:val="24"/>
                <w:highlight w:val="none"/>
              </w:rPr>
              <w:t>磋商截止时间：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 xml:space="preserve"> 6 </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 xml:space="preserve"> 2 </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 xml:space="preserve"> 14 </w:t>
            </w:r>
            <w:r>
              <w:rPr>
                <w:rFonts w:hint="eastAsia" w:ascii="宋体" w:hAnsi="宋体" w:cs="宋体"/>
                <w:color w:val="auto"/>
                <w:sz w:val="24"/>
                <w:highlight w:val="none"/>
                <w:lang w:eastAsia="zh-CN"/>
              </w:rPr>
              <w:t>时</w:t>
            </w:r>
            <w:r>
              <w:rPr>
                <w:rFonts w:hint="eastAsia" w:ascii="宋体" w:hAnsi="宋体" w:cs="宋体"/>
                <w:color w:val="auto"/>
                <w:sz w:val="24"/>
                <w:highlight w:val="none"/>
                <w:lang w:val="en-US" w:eastAsia="zh-CN"/>
              </w:rPr>
              <w:t xml:space="preserve"> 00 </w:t>
            </w:r>
            <w:r>
              <w:rPr>
                <w:rFonts w:hint="eastAsia" w:ascii="宋体" w:hAnsi="宋体" w:cs="宋体"/>
                <w:color w:val="auto"/>
                <w:sz w:val="24"/>
                <w:highlight w:val="none"/>
                <w:lang w:eastAsia="zh-CN"/>
              </w:rPr>
              <w:t>分</w:t>
            </w:r>
          </w:p>
          <w:p w14:paraId="70EE1D15">
            <w:pPr>
              <w:pStyle w:val="20"/>
              <w:spacing w:line="420" w:lineRule="exact"/>
              <w:rPr>
                <w:rFonts w:ascii="宋体" w:hAnsi="宋体" w:cs="宋体"/>
                <w:bCs/>
                <w:color w:val="auto"/>
                <w:szCs w:val="24"/>
                <w:highlight w:val="none"/>
              </w:rPr>
            </w:pPr>
            <w:r>
              <w:rPr>
                <w:rFonts w:hint="eastAsia" w:ascii="宋体" w:hAnsi="宋体" w:cs="宋体"/>
                <w:bCs/>
                <w:color w:val="auto"/>
                <w:szCs w:val="24"/>
                <w:highlight w:val="none"/>
              </w:rPr>
              <w:t>1、供应商应当在磋商截止时间前在“政采云”（电子交易平台）上自行上传加密的电子磋商响应文件。磋商截止时间前未完成传输的，视为撤回电子磋商响应文件。磋商截止时间后递交的电子磋商响应文件，将被政采云平台拒收。</w:t>
            </w:r>
          </w:p>
          <w:p w14:paraId="0A9578EF">
            <w:pPr>
              <w:snapToGrid w:val="0"/>
              <w:spacing w:line="420" w:lineRule="exact"/>
              <w:rPr>
                <w:rFonts w:ascii="宋体" w:hAnsi="宋体" w:cs="宋体"/>
                <w:bCs/>
                <w:color w:val="auto"/>
                <w:sz w:val="24"/>
                <w:highlight w:val="none"/>
              </w:rPr>
            </w:pPr>
            <w:r>
              <w:rPr>
                <w:rFonts w:hint="eastAsia" w:ascii="宋体" w:hAnsi="宋体" w:cs="宋体"/>
                <w:bCs/>
                <w:color w:val="auto"/>
                <w:sz w:val="24"/>
                <w:highlight w:val="none"/>
              </w:rPr>
              <w:t>2、电子备份磋商响应文件的递交时间：供应商应当在磋商截止时间前，逾期未递交的视为自动放弃。</w:t>
            </w:r>
          </w:p>
          <w:p w14:paraId="0B8F7784">
            <w:pPr>
              <w:pStyle w:val="20"/>
              <w:spacing w:line="420" w:lineRule="exact"/>
              <w:rPr>
                <w:rFonts w:ascii="宋体" w:hAnsi="宋体" w:cs="宋体"/>
                <w:color w:val="auto"/>
                <w:szCs w:val="24"/>
                <w:highlight w:val="none"/>
              </w:rPr>
            </w:pPr>
            <w:r>
              <w:rPr>
                <w:rFonts w:hint="eastAsia" w:ascii="宋体" w:hAnsi="宋体" w:cs="宋体"/>
                <w:bCs/>
                <w:color w:val="auto"/>
                <w:szCs w:val="24"/>
                <w:highlight w:val="none"/>
              </w:rPr>
              <w:t>3、供应商应当在磋商截止时间前完成磋商准备事宜（应具备上网的技术条件并保持网络及联系方式畅通）及电子磋商响应文件的传输递交，可以补充、修改或者撤回电子磋商响应文件。补充或者修改电子磋商响应文件的，应当先行撤回原文件，补充、修改后重新传输递交。</w:t>
            </w:r>
          </w:p>
        </w:tc>
      </w:tr>
      <w:tr w14:paraId="31ADE7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0DBC0D0A">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8743" w:type="dxa"/>
            <w:tcBorders>
              <w:top w:val="single" w:color="auto" w:sz="4" w:space="0"/>
              <w:left w:val="single" w:color="auto" w:sz="4" w:space="0"/>
              <w:bottom w:val="single" w:color="auto" w:sz="4" w:space="0"/>
              <w:right w:val="single" w:color="auto" w:sz="4" w:space="0"/>
            </w:tcBorders>
            <w:vAlign w:val="center"/>
          </w:tcPr>
          <w:p w14:paraId="1F896313">
            <w:pPr>
              <w:snapToGrid w:val="0"/>
              <w:spacing w:line="42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开标时间：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 xml:space="preserve"> 6 </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 xml:space="preserve"> 2 </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 xml:space="preserve"> 14 </w:t>
            </w:r>
            <w:r>
              <w:rPr>
                <w:rFonts w:hint="eastAsia" w:ascii="宋体" w:hAnsi="宋体" w:cs="宋体"/>
                <w:color w:val="auto"/>
                <w:sz w:val="24"/>
                <w:highlight w:val="none"/>
                <w:lang w:eastAsia="zh-CN"/>
              </w:rPr>
              <w:t>时</w:t>
            </w:r>
            <w:r>
              <w:rPr>
                <w:rFonts w:hint="eastAsia" w:ascii="宋体" w:hAnsi="宋体" w:cs="宋体"/>
                <w:color w:val="auto"/>
                <w:sz w:val="24"/>
                <w:highlight w:val="none"/>
                <w:lang w:val="en-US" w:eastAsia="zh-CN"/>
              </w:rPr>
              <w:t xml:space="preserve"> 00 </w:t>
            </w:r>
            <w:r>
              <w:rPr>
                <w:rFonts w:hint="eastAsia" w:ascii="宋体" w:hAnsi="宋体" w:cs="宋体"/>
                <w:color w:val="auto"/>
                <w:sz w:val="24"/>
                <w:highlight w:val="none"/>
                <w:lang w:eastAsia="zh-CN"/>
              </w:rPr>
              <w:t>分</w:t>
            </w:r>
          </w:p>
          <w:p w14:paraId="6BBA4EF8">
            <w:pPr>
              <w:snapToGrid w:val="0"/>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不要求供应商到开标现场开标，但供应商应派法定代表人或委托代理人委托代理人应当是供应商的在职正式职工准时在线出席电子开标会议，随时关注开标进度，如在开标过程中有电子询标，应在规定的时间内对电子询标函进行澄清回复。</w:t>
            </w:r>
          </w:p>
          <w:p w14:paraId="6E9D3E7F">
            <w:pPr>
              <w:snapToGrid w:val="0"/>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截止开标时间，政采云（电子交易平台）自动提取所有磋商响应文件，供应商须在开标时间截止后30分钟内对上传政采云的磋商响应文件进行解密，所有供应商在规定的解密时限内解密完成或解密时限到后，采购代理机构开启磋商响应文件；供应商超过解密时限的，系统默认自动放弃。</w:t>
            </w:r>
          </w:p>
        </w:tc>
      </w:tr>
      <w:tr w14:paraId="744C85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67329C1A">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9</w:t>
            </w:r>
          </w:p>
        </w:tc>
        <w:tc>
          <w:tcPr>
            <w:tcW w:w="8743" w:type="dxa"/>
            <w:tcBorders>
              <w:top w:val="single" w:color="auto" w:sz="4" w:space="0"/>
              <w:left w:val="single" w:color="auto" w:sz="4" w:space="0"/>
              <w:bottom w:val="single" w:color="auto" w:sz="4" w:space="0"/>
              <w:right w:val="single" w:color="auto" w:sz="4" w:space="0"/>
            </w:tcBorders>
            <w:vAlign w:val="center"/>
          </w:tcPr>
          <w:p w14:paraId="4A61DD13">
            <w:pPr>
              <w:autoSpaceDE w:val="0"/>
              <w:autoSpaceDN w:val="0"/>
              <w:snapToGrid w:val="0"/>
              <w:spacing w:line="420" w:lineRule="exact"/>
              <w:textAlignment w:val="bottom"/>
              <w:rPr>
                <w:rFonts w:ascii="宋体" w:hAnsi="宋体" w:cs="宋体"/>
                <w:color w:val="auto"/>
                <w:sz w:val="24"/>
                <w:highlight w:val="none"/>
              </w:rPr>
            </w:pPr>
            <w:r>
              <w:rPr>
                <w:rFonts w:hint="eastAsia" w:ascii="宋体" w:hAnsi="宋体" w:cs="宋体"/>
                <w:b/>
                <w:bCs/>
                <w:color w:val="auto"/>
                <w:sz w:val="24"/>
                <w:highlight w:val="none"/>
              </w:rPr>
              <w:t>磋商办法：综合评分法（其中报价分为两轮）</w:t>
            </w:r>
          </w:p>
        </w:tc>
      </w:tr>
      <w:tr w14:paraId="0D11E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EF1E974">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8743" w:type="dxa"/>
            <w:tcBorders>
              <w:top w:val="single" w:color="auto" w:sz="4" w:space="0"/>
              <w:left w:val="single" w:color="auto" w:sz="4" w:space="0"/>
              <w:bottom w:val="single" w:color="auto" w:sz="4" w:space="0"/>
              <w:right w:val="single" w:color="auto" w:sz="4" w:space="0"/>
            </w:tcBorders>
            <w:vAlign w:val="center"/>
          </w:tcPr>
          <w:p w14:paraId="2EB73C93">
            <w:pPr>
              <w:autoSpaceDE w:val="0"/>
              <w:autoSpaceDN w:val="0"/>
              <w:snapToGrid w:val="0"/>
              <w:spacing w:line="420" w:lineRule="exact"/>
              <w:textAlignment w:val="bottom"/>
              <w:rPr>
                <w:rFonts w:ascii="宋体" w:hAnsi="宋体" w:cs="宋体"/>
                <w:color w:val="auto"/>
                <w:sz w:val="24"/>
                <w:highlight w:val="none"/>
              </w:rPr>
            </w:pPr>
            <w:bookmarkStart w:id="12" w:name="_Toc457480905"/>
            <w:r>
              <w:rPr>
                <w:rFonts w:hint="eastAsia" w:ascii="宋体" w:hAnsi="宋体" w:cs="宋体"/>
                <w:color w:val="auto"/>
                <w:sz w:val="24"/>
                <w:highlight w:val="none"/>
              </w:rPr>
              <w:t>中标结果公告：自中标人确定之日起2个工作日内，中标结果公告于浙江省政府采购网(http://zfcg.czt.zj.gov.cn/)、东阳市公共资源交易网(http://www.dongyang.gov.cn/ggzyjy/index.html)，公告1个工作日</w:t>
            </w:r>
            <w:bookmarkEnd w:id="12"/>
            <w:r>
              <w:rPr>
                <w:rFonts w:hint="eastAsia" w:ascii="宋体" w:hAnsi="宋体" w:cs="宋体"/>
                <w:color w:val="auto"/>
                <w:sz w:val="24"/>
                <w:highlight w:val="none"/>
              </w:rPr>
              <w:t>。</w:t>
            </w:r>
          </w:p>
        </w:tc>
      </w:tr>
      <w:tr w14:paraId="43C37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C85FF41">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8743" w:type="dxa"/>
            <w:tcBorders>
              <w:top w:val="single" w:color="auto" w:sz="4" w:space="0"/>
              <w:left w:val="single" w:color="auto" w:sz="4" w:space="0"/>
              <w:bottom w:val="single" w:color="auto" w:sz="4" w:space="0"/>
              <w:right w:val="single" w:color="auto" w:sz="4" w:space="0"/>
            </w:tcBorders>
            <w:vAlign w:val="center"/>
          </w:tcPr>
          <w:p w14:paraId="560A13F8">
            <w:pPr>
              <w:autoSpaceDE w:val="0"/>
              <w:autoSpaceDN w:val="0"/>
              <w:snapToGrid w:val="0"/>
              <w:spacing w:line="420" w:lineRule="exact"/>
              <w:textAlignment w:val="bottom"/>
              <w:rPr>
                <w:rFonts w:ascii="宋体" w:hAnsi="宋体" w:cs="宋体"/>
                <w:color w:val="auto"/>
                <w:sz w:val="24"/>
                <w:highlight w:val="none"/>
              </w:rPr>
            </w:pPr>
            <w:r>
              <w:rPr>
                <w:rFonts w:hint="eastAsia" w:ascii="宋体" w:hAnsi="宋体" w:cs="宋体"/>
                <w:color w:val="auto"/>
                <w:sz w:val="24"/>
                <w:highlight w:val="none"/>
              </w:rPr>
              <w:t>《中标通知书》的领取时间：中标人应自中标结果公告结束日起，在3个工作日内领取，否则按放弃中标资格处理，并因违反诚信原则，提交财政部门列入政府采购黑名单。</w:t>
            </w:r>
          </w:p>
        </w:tc>
      </w:tr>
      <w:tr w14:paraId="76D9C6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6F242214">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12</w:t>
            </w:r>
          </w:p>
        </w:tc>
        <w:tc>
          <w:tcPr>
            <w:tcW w:w="8743" w:type="dxa"/>
            <w:tcBorders>
              <w:top w:val="single" w:color="auto" w:sz="4" w:space="0"/>
              <w:left w:val="single" w:color="auto" w:sz="4" w:space="0"/>
              <w:bottom w:val="single" w:color="auto" w:sz="4" w:space="0"/>
              <w:right w:val="single" w:color="auto" w:sz="4" w:space="0"/>
            </w:tcBorders>
            <w:vAlign w:val="center"/>
          </w:tcPr>
          <w:p w14:paraId="3BD561FD">
            <w:pPr>
              <w:autoSpaceDE w:val="0"/>
              <w:autoSpaceDN w:val="0"/>
              <w:snapToGrid w:val="0"/>
              <w:spacing w:line="360" w:lineRule="auto"/>
              <w:textAlignment w:val="bottom"/>
              <w:rPr>
                <w:rFonts w:hint="eastAsia" w:ascii="宋体" w:hAnsi="宋体" w:eastAsia="宋体" w:cs="宋体"/>
                <w:color w:val="auto"/>
                <w:sz w:val="24"/>
                <w:highlight w:val="none"/>
              </w:rPr>
            </w:pPr>
            <w:r>
              <w:rPr>
                <w:rFonts w:hint="eastAsia" w:ascii="宋体" w:hAnsi="宋体" w:cs="宋体"/>
                <w:color w:val="auto"/>
                <w:sz w:val="24"/>
                <w:highlight w:val="none"/>
              </w:rPr>
              <w:t>履约保证金：</w:t>
            </w:r>
          </w:p>
          <w:p w14:paraId="6B1FF484">
            <w:pPr>
              <w:autoSpaceDE w:val="0"/>
              <w:autoSpaceDN w:val="0"/>
              <w:snapToGrid w:val="0"/>
              <w:spacing w:line="360" w:lineRule="auto"/>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中标人在收到中标通知书后，需向采购人提供</w:t>
            </w:r>
            <w:r>
              <w:rPr>
                <w:rFonts w:hint="eastAsia" w:ascii="宋体" w:hAnsi="宋体" w:eastAsia="宋体" w:cs="宋体"/>
                <w:color w:val="auto"/>
                <w:sz w:val="24"/>
                <w:highlight w:val="none"/>
                <w:lang w:val="en-US" w:eastAsia="zh-CN"/>
              </w:rPr>
              <w:t>中标价的1</w:t>
            </w:r>
            <w:r>
              <w:rPr>
                <w:rFonts w:hint="eastAsia" w:ascii="宋体" w:hAnsi="宋体" w:eastAsia="宋体" w:cs="宋体"/>
                <w:color w:val="auto"/>
                <w:sz w:val="24"/>
                <w:highlight w:val="none"/>
              </w:rPr>
              <w:t>%的履约保证金，在中标人与采购人签订合同前递交，投标人需以支票、汇票、本票或者金融机构、保险公司、担保机构出具的保函（可在政采云平台购买，咨询热线4009039583）等非现金形式提交。</w:t>
            </w:r>
          </w:p>
          <w:p w14:paraId="35B6DACE">
            <w:pPr>
              <w:autoSpaceDE w:val="0"/>
              <w:autoSpaceDN w:val="0"/>
              <w:snapToGrid w:val="0"/>
              <w:spacing w:line="420" w:lineRule="exact"/>
              <w:textAlignment w:val="bottom"/>
              <w:rPr>
                <w:rFonts w:ascii="宋体" w:hAnsi="宋体" w:cs="宋体"/>
                <w:color w:val="auto"/>
                <w:sz w:val="24"/>
                <w:highlight w:val="none"/>
              </w:rPr>
            </w:pPr>
            <w:r>
              <w:rPr>
                <w:rFonts w:hint="eastAsia" w:ascii="宋体" w:hAnsi="宋体" w:eastAsia="宋体" w:cs="宋体"/>
                <w:color w:val="auto"/>
                <w:sz w:val="24"/>
                <w:highlight w:val="none"/>
                <w:lang w:val="en-US" w:eastAsia="zh-CN"/>
              </w:rPr>
              <w:t>中标人也</w:t>
            </w:r>
            <w:r>
              <w:rPr>
                <w:rFonts w:hint="eastAsia" w:ascii="宋体" w:hAnsi="宋体" w:eastAsia="宋体" w:cs="宋体"/>
                <w:color w:val="auto"/>
                <w:sz w:val="24"/>
                <w:highlight w:val="none"/>
              </w:rPr>
              <w:t>可登录政采云平台-【金融服务】—【我的项目】—【已备案合同】以保函形式提供：</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中标人</w:t>
            </w:r>
            <w:r>
              <w:rPr>
                <w:rFonts w:hint="eastAsia" w:ascii="宋体" w:hAnsi="宋体" w:eastAsia="宋体" w:cs="宋体"/>
                <w:color w:val="auto"/>
                <w:sz w:val="24"/>
                <w:highlight w:val="none"/>
              </w:rPr>
              <w:t>在合同列表选择需要投保的合同，点击[保函推荐]。</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在弹框里查看推荐的保函产品，</w:t>
            </w:r>
            <w:r>
              <w:rPr>
                <w:rFonts w:hint="eastAsia" w:ascii="宋体" w:hAnsi="宋体" w:eastAsia="宋体" w:cs="宋体"/>
                <w:color w:val="auto"/>
                <w:sz w:val="24"/>
                <w:highlight w:val="none"/>
                <w:lang w:val="en-US" w:eastAsia="zh-CN"/>
              </w:rPr>
              <w:t>中标人</w:t>
            </w:r>
            <w:r>
              <w:rPr>
                <w:rFonts w:hint="eastAsia" w:ascii="宋体" w:hAnsi="宋体" w:eastAsia="宋体" w:cs="宋体"/>
                <w:color w:val="auto"/>
                <w:sz w:val="24"/>
                <w:highlight w:val="none"/>
              </w:rPr>
              <w:t>自行选择保函产品，点击[立即申请]。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在弹框里填写保函申请信息。具体步骤：选择产品—填写供应商信息—选择中标项目—确认信息—等待保险/保函受理—确认保单—支付保费—成功出单。政采云金融专线400-903-9583。</w:t>
            </w:r>
          </w:p>
        </w:tc>
      </w:tr>
      <w:tr w14:paraId="3E64A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6"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7C398392">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13</w:t>
            </w:r>
          </w:p>
        </w:tc>
        <w:tc>
          <w:tcPr>
            <w:tcW w:w="8743" w:type="dxa"/>
            <w:tcBorders>
              <w:top w:val="single" w:color="auto" w:sz="4" w:space="0"/>
              <w:left w:val="single" w:color="auto" w:sz="4" w:space="0"/>
              <w:bottom w:val="single" w:color="auto" w:sz="4" w:space="0"/>
              <w:right w:val="single" w:color="auto" w:sz="4" w:space="0"/>
            </w:tcBorders>
            <w:vAlign w:val="center"/>
          </w:tcPr>
          <w:p w14:paraId="4851C41B">
            <w:pPr>
              <w:snapToGrid w:val="0"/>
              <w:spacing w:line="348" w:lineRule="auto"/>
              <w:jc w:val="left"/>
              <w:rPr>
                <w:rFonts w:ascii="宋体" w:hAnsi="宋体" w:cs="宋体"/>
                <w:color w:val="auto"/>
                <w:sz w:val="24"/>
                <w:highlight w:val="none"/>
              </w:rPr>
            </w:pPr>
            <w:r>
              <w:rPr>
                <w:rFonts w:hint="eastAsia" w:ascii="宋体" w:hAnsi="宋体" w:cs="宋体"/>
                <w:color w:val="auto"/>
                <w:sz w:val="24"/>
                <w:highlight w:val="none"/>
              </w:rPr>
              <w:t>1、企业信用融资: 省财政厅、浙江银监局、省金融办制定了《浙江省政府采购支持中小企业信用融资试点办法》浙财采监[2012]13号)，所称的政府采购信用融资，是指银行业金融机构(以下简称银行)以政府采购诚信考核和信用审查为基础，凭借政府采购合同，按优于一般中小企业的贷款利率直接向申请贷款的供应商发放贷款的一种融资方式。供应商可登录浙江政府采购网(http://zfcg.czt.zj.gov.cn/)的中小企业信用融资栏目了解相关信息。 供应商可以通过浙江政府采购网(http://zfcg.czt.zj.gov.cn/)首页的“浙江政采贷”模块进入申请，还可以通过政府采购云平台(https://www.zcygov.cn/)首页的“金融服务”模块进入申请。</w:t>
            </w:r>
          </w:p>
          <w:p w14:paraId="16B2C64C">
            <w:pPr>
              <w:snapToGrid w:val="0"/>
              <w:spacing w:line="348" w:lineRule="auto"/>
              <w:jc w:val="left"/>
              <w:rPr>
                <w:rFonts w:ascii="宋体" w:hAnsi="宋体" w:cs="宋体"/>
                <w:color w:val="auto"/>
                <w:sz w:val="24"/>
                <w:highlight w:val="none"/>
              </w:rPr>
            </w:pPr>
            <w:r>
              <w:rPr>
                <w:rFonts w:hint="eastAsia" w:ascii="宋体" w:hAnsi="宋体" w:cs="宋体"/>
                <w:color w:val="auto"/>
                <w:sz w:val="24"/>
                <w:highlight w:val="none"/>
              </w:rPr>
              <w:t xml:space="preserve">2、政府采购金融服务提示：为扩大政府采购金融服务面，除政采云网上金融服务合作银行外，东阳市范围内增加浙商银行金华分行东阳支行作为线下合作银行。   </w:t>
            </w:r>
          </w:p>
          <w:p w14:paraId="41B002C9">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浙商银行金华东阳支行联系人：许燕  联系电话：13967983441  0579-86222992</w:t>
            </w:r>
          </w:p>
        </w:tc>
      </w:tr>
      <w:tr w14:paraId="75988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6A9210F3">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14</w:t>
            </w:r>
          </w:p>
        </w:tc>
        <w:tc>
          <w:tcPr>
            <w:tcW w:w="8743" w:type="dxa"/>
            <w:tcBorders>
              <w:top w:val="single" w:color="auto" w:sz="4" w:space="0"/>
              <w:left w:val="single" w:color="auto" w:sz="4" w:space="0"/>
              <w:bottom w:val="single" w:color="auto" w:sz="4" w:space="0"/>
              <w:right w:val="single" w:color="auto" w:sz="4" w:space="0"/>
            </w:tcBorders>
            <w:vAlign w:val="center"/>
          </w:tcPr>
          <w:p w14:paraId="6B9B3C39">
            <w:pPr>
              <w:autoSpaceDE w:val="0"/>
              <w:autoSpaceDN w:val="0"/>
              <w:snapToGrid w:val="0"/>
              <w:spacing w:line="420" w:lineRule="exact"/>
              <w:textAlignment w:val="bottom"/>
              <w:rPr>
                <w:rFonts w:ascii="宋体" w:hAnsi="宋体" w:cs="宋体"/>
                <w:color w:val="auto"/>
                <w:sz w:val="24"/>
                <w:highlight w:val="none"/>
              </w:rPr>
            </w:pPr>
            <w:r>
              <w:rPr>
                <w:rFonts w:hint="eastAsia" w:ascii="宋体" w:hAnsi="宋体" w:cs="宋体"/>
                <w:color w:val="auto"/>
                <w:sz w:val="24"/>
                <w:highlight w:val="none"/>
              </w:rPr>
              <w:t>签订合同时间：发出《中标通知书》之日起20天内。</w:t>
            </w:r>
          </w:p>
        </w:tc>
      </w:tr>
      <w:tr w14:paraId="290694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2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FB20B81">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15</w:t>
            </w:r>
          </w:p>
        </w:tc>
        <w:tc>
          <w:tcPr>
            <w:tcW w:w="8743" w:type="dxa"/>
            <w:tcBorders>
              <w:top w:val="single" w:color="auto" w:sz="4" w:space="0"/>
              <w:left w:val="single" w:color="auto" w:sz="4" w:space="0"/>
              <w:bottom w:val="single" w:color="auto" w:sz="4" w:space="0"/>
              <w:right w:val="single" w:color="auto" w:sz="4" w:space="0"/>
            </w:tcBorders>
            <w:vAlign w:val="center"/>
          </w:tcPr>
          <w:p w14:paraId="0272BB7C">
            <w:pPr>
              <w:autoSpaceDE w:val="0"/>
              <w:autoSpaceDN w:val="0"/>
              <w:snapToGrid w:val="0"/>
              <w:spacing w:line="420" w:lineRule="exact"/>
              <w:textAlignment w:val="bottom"/>
              <w:rPr>
                <w:rFonts w:ascii="宋体" w:hAnsi="宋体" w:cs="宋体"/>
                <w:color w:val="auto"/>
                <w:sz w:val="24"/>
                <w:highlight w:val="none"/>
              </w:rPr>
            </w:pPr>
            <w:r>
              <w:rPr>
                <w:rFonts w:hint="eastAsia" w:ascii="宋体" w:hAnsi="宋体" w:cs="宋体"/>
                <w:color w:val="auto"/>
                <w:sz w:val="24"/>
                <w:highlight w:val="none"/>
              </w:rPr>
              <w:t>中标人与</w:t>
            </w:r>
            <w:r>
              <w:rPr>
                <w:rFonts w:hint="eastAsia" w:ascii="宋体" w:hAnsi="宋体" w:cs="宋体"/>
                <w:color w:val="auto"/>
                <w:sz w:val="24"/>
                <w:highlight w:val="none"/>
                <w:lang w:eastAsia="zh-CN"/>
              </w:rPr>
              <w:t>东阳市湖溪镇中心卫生院（东阳市肛肠外科医院）</w:t>
            </w:r>
            <w:r>
              <w:rPr>
                <w:rFonts w:hint="eastAsia" w:ascii="宋体" w:hAnsi="宋体" w:cs="宋体"/>
                <w:color w:val="auto"/>
                <w:sz w:val="24"/>
                <w:highlight w:val="none"/>
              </w:rPr>
              <w:t>签订政府采购合同。</w:t>
            </w:r>
          </w:p>
        </w:tc>
      </w:tr>
      <w:tr w14:paraId="17372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57740D4F">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16</w:t>
            </w:r>
          </w:p>
        </w:tc>
        <w:tc>
          <w:tcPr>
            <w:tcW w:w="8743" w:type="dxa"/>
            <w:tcBorders>
              <w:top w:val="single" w:color="auto" w:sz="4" w:space="0"/>
              <w:left w:val="single" w:color="auto" w:sz="4" w:space="0"/>
              <w:bottom w:val="single" w:color="auto" w:sz="4" w:space="0"/>
              <w:right w:val="single" w:color="auto" w:sz="4" w:space="0"/>
            </w:tcBorders>
            <w:vAlign w:val="center"/>
          </w:tcPr>
          <w:p w14:paraId="543EF67C">
            <w:pPr>
              <w:autoSpaceDE w:val="0"/>
              <w:autoSpaceDN w:val="0"/>
              <w:snapToGrid w:val="0"/>
              <w:spacing w:line="42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付款方式：</w:t>
            </w:r>
          </w:p>
          <w:p w14:paraId="7BF8BBCE">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color w:val="auto"/>
                <w:sz w:val="24"/>
                <w:highlight w:val="none"/>
              </w:rPr>
              <w:t>（1）合同生效以及具备实施条件后7个工作日内支付合同价款的40%作为预付款</w:t>
            </w:r>
            <w:r>
              <w:rPr>
                <w:rFonts w:hint="eastAsia" w:ascii="宋体" w:hAnsi="宋体" w:eastAsia="宋体" w:cs="宋体"/>
                <w:color w:val="auto"/>
                <w:sz w:val="24"/>
                <w:szCs w:val="24"/>
                <w:highlight w:val="none"/>
                <w:lang w:val="en-US" w:eastAsia="zh-CN"/>
              </w:rPr>
              <w:t>（供应商明确表示无需预付款或主动降低预付款比例的，采购人可不适用前述规定</w:t>
            </w:r>
            <w:r>
              <w:rPr>
                <w:rFonts w:hint="eastAsia" w:ascii="宋体" w:hAnsi="宋体" w:eastAsia="宋体" w:cs="宋体"/>
                <w:color w:val="auto"/>
                <w:sz w:val="24"/>
                <w:szCs w:val="24"/>
                <w:highlight w:val="none"/>
              </w:rPr>
              <w:t>；采购人根据项目特</w:t>
            </w:r>
            <w:r>
              <w:rPr>
                <w:rFonts w:hint="eastAsia" w:ascii="宋体" w:hAnsi="宋体" w:eastAsia="宋体" w:cs="宋体"/>
                <w:color w:val="auto"/>
                <w:sz w:val="24"/>
                <w:szCs w:val="24"/>
                <w:highlight w:val="none"/>
                <w:lang w:val="en-US" w:eastAsia="zh-CN"/>
              </w:rPr>
              <w:t>点、供应商诚信等因素，可以要求中标人提交预付款保函）；</w:t>
            </w:r>
          </w:p>
          <w:p w14:paraId="6A56EEE8">
            <w:pPr>
              <w:spacing w:line="360" w:lineRule="auto"/>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）全部工程完工后支付至合同价款的</w:t>
            </w:r>
            <w:r>
              <w:rPr>
                <w:rFonts w:hint="eastAsia" w:ascii="宋体" w:hAnsi="宋体"/>
                <w:color w:val="auto"/>
                <w:sz w:val="24"/>
                <w:highlight w:val="none"/>
                <w:lang w:val="en-US" w:eastAsia="zh-CN"/>
              </w:rPr>
              <w:t>70</w:t>
            </w:r>
            <w:r>
              <w:rPr>
                <w:rFonts w:hint="eastAsia" w:ascii="宋体" w:hAnsi="宋体"/>
                <w:color w:val="auto"/>
                <w:sz w:val="24"/>
                <w:highlight w:val="none"/>
              </w:rPr>
              <w:t>%；</w:t>
            </w:r>
          </w:p>
          <w:p w14:paraId="7E5C1606">
            <w:pPr>
              <w:spacing w:line="360" w:lineRule="auto"/>
              <w:rPr>
                <w:rFonts w:hint="eastAsia" w:ascii="宋体" w:hAnsi="宋体" w:eastAsia="宋体" w:cs="宋体"/>
                <w:color w:val="auto"/>
                <w:sz w:val="24"/>
                <w:szCs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w:t>
            </w:r>
            <w:r>
              <w:rPr>
                <w:rFonts w:hint="eastAsia" w:ascii="宋体" w:hAnsi="宋体" w:eastAsia="宋体" w:cs="宋体"/>
                <w:color w:val="auto"/>
                <w:sz w:val="24"/>
                <w:szCs w:val="24"/>
                <w:highlight w:val="none"/>
                <w:lang w:val="en-US" w:eastAsia="zh-CN"/>
              </w:rPr>
              <w:t>全部工程竣工验收合格及结算</w:t>
            </w:r>
            <w:r>
              <w:rPr>
                <w:rFonts w:hint="eastAsia" w:ascii="宋体" w:hAnsi="宋体" w:cs="宋体"/>
                <w:color w:val="auto"/>
                <w:sz w:val="24"/>
                <w:szCs w:val="24"/>
                <w:highlight w:val="none"/>
                <w:lang w:val="en-US" w:eastAsia="zh-CN"/>
              </w:rPr>
              <w:t>审核完成</w:t>
            </w:r>
            <w:r>
              <w:rPr>
                <w:rFonts w:hint="eastAsia" w:ascii="宋体" w:hAnsi="宋体" w:eastAsia="宋体" w:cs="宋体"/>
                <w:color w:val="auto"/>
                <w:sz w:val="24"/>
                <w:szCs w:val="24"/>
                <w:highlight w:val="none"/>
                <w:lang w:val="en-US" w:eastAsia="zh-CN"/>
              </w:rPr>
              <w:t>后7个工作日支付</w:t>
            </w:r>
            <w:r>
              <w:rPr>
                <w:rFonts w:hint="eastAsia" w:ascii="宋体" w:hAnsi="宋体" w:cs="宋体"/>
                <w:color w:val="auto"/>
                <w:sz w:val="24"/>
                <w:szCs w:val="24"/>
                <w:highlight w:val="none"/>
                <w:lang w:val="en-US" w:eastAsia="zh-CN"/>
              </w:rPr>
              <w:t>至</w:t>
            </w:r>
            <w:r>
              <w:rPr>
                <w:rFonts w:hint="eastAsia" w:ascii="宋体" w:hAnsi="宋体" w:eastAsia="宋体" w:cs="宋体"/>
                <w:color w:val="auto"/>
                <w:sz w:val="24"/>
                <w:szCs w:val="24"/>
                <w:highlight w:val="none"/>
                <w:lang w:val="en-US" w:eastAsia="zh-CN"/>
              </w:rPr>
              <w:t>100%（不计息）。</w:t>
            </w:r>
          </w:p>
          <w:p w14:paraId="68D1B7E2">
            <w:pPr>
              <w:pStyle w:val="37"/>
              <w:ind w:left="0" w:leftChars="0" w:firstLine="482" w:firstLineChars="200"/>
              <w:rPr>
                <w:rFonts w:hint="eastAsia"/>
              </w:rPr>
            </w:pPr>
            <w:r>
              <w:rPr>
                <w:rFonts w:hint="eastAsia" w:ascii="宋体" w:hAnsi="宋体" w:cs="宋体"/>
                <w:b/>
                <w:bCs/>
                <w:color w:val="auto"/>
                <w:sz w:val="24"/>
                <w:szCs w:val="24"/>
                <w:highlight w:val="none"/>
              </w:rPr>
              <w:t>注：农民工工资相关要求：农民工工资相关的管理、认定、支付等事项按东阳市根治欠薪工作领导小组办公室《关于落实“两备案一承诺”制度的通知》文件执行。</w:t>
            </w:r>
          </w:p>
          <w:p w14:paraId="53A40261">
            <w:pPr>
              <w:autoSpaceDE w:val="0"/>
              <w:spacing w:line="440" w:lineRule="atLeast"/>
              <w:ind w:firstLine="482" w:firstLineChars="200"/>
            </w:pPr>
            <w:r>
              <w:rPr>
                <w:rFonts w:hint="eastAsia" w:ascii="宋体" w:hAnsi="宋体" w:eastAsia="宋体" w:cs="Times New Roman"/>
                <w:b/>
                <w:bCs/>
                <w:color w:val="auto"/>
                <w:sz w:val="24"/>
                <w:lang w:val="en-US" w:eastAsia="zh-CN"/>
              </w:rPr>
              <w:t>最终结算方式：项目</w:t>
            </w:r>
            <w:r>
              <w:rPr>
                <w:rFonts w:hint="eastAsia" w:ascii="宋体" w:hAnsi="宋体" w:cs="Times New Roman"/>
                <w:b/>
                <w:bCs/>
                <w:color w:val="auto"/>
                <w:sz w:val="24"/>
                <w:lang w:val="en-US" w:eastAsia="zh-CN"/>
              </w:rPr>
              <w:t>结算审核</w:t>
            </w:r>
            <w:r>
              <w:rPr>
                <w:rFonts w:hint="eastAsia" w:ascii="宋体" w:hAnsi="宋体" w:eastAsia="宋体" w:cs="Times New Roman"/>
                <w:b/>
                <w:bCs/>
                <w:color w:val="auto"/>
                <w:sz w:val="24"/>
                <w:lang w:val="en-US" w:eastAsia="zh-CN"/>
              </w:rPr>
              <w:t>后的总价*</w:t>
            </w:r>
            <w:r>
              <w:rPr>
                <w:rFonts w:hint="eastAsia" w:ascii="宋体" w:hAnsi="宋体" w:cs="Times New Roman"/>
                <w:b/>
                <w:bCs/>
                <w:color w:val="auto"/>
                <w:sz w:val="24"/>
                <w:lang w:val="en-US" w:eastAsia="zh-CN"/>
              </w:rPr>
              <w:t>(1-让利下浮率)</w:t>
            </w:r>
          </w:p>
        </w:tc>
      </w:tr>
      <w:tr w14:paraId="3D5D1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7D41AE2E">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17</w:t>
            </w:r>
          </w:p>
        </w:tc>
        <w:tc>
          <w:tcPr>
            <w:tcW w:w="8743" w:type="dxa"/>
            <w:tcBorders>
              <w:top w:val="single" w:color="auto" w:sz="4" w:space="0"/>
              <w:left w:val="single" w:color="auto" w:sz="4" w:space="0"/>
              <w:bottom w:val="single" w:color="auto" w:sz="4" w:space="0"/>
              <w:right w:val="single" w:color="auto" w:sz="4" w:space="0"/>
            </w:tcBorders>
            <w:vAlign w:val="center"/>
          </w:tcPr>
          <w:p w14:paraId="5ED02C84">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服务地点：东阳市内，采购人指定的地点。</w:t>
            </w:r>
          </w:p>
          <w:p w14:paraId="5CA2C918">
            <w:pPr>
              <w:snapToGrid w:val="0"/>
              <w:spacing w:line="348" w:lineRule="auto"/>
              <w:rPr>
                <w:rFonts w:ascii="宋体" w:hAnsi="宋体" w:cs="宋体"/>
                <w:color w:val="auto"/>
                <w:sz w:val="24"/>
                <w:highlight w:val="none"/>
              </w:rPr>
            </w:pPr>
            <w:r>
              <w:rPr>
                <w:rFonts w:hint="eastAsia" w:ascii="宋体" w:hAnsi="宋体" w:cs="宋体"/>
                <w:color w:val="auto"/>
                <w:sz w:val="24"/>
                <w:highlight w:val="none"/>
              </w:rPr>
              <w:t>验收：</w:t>
            </w:r>
          </w:p>
          <w:p w14:paraId="725876D0">
            <w:pPr>
              <w:snapToGrid w:val="0"/>
              <w:spacing w:line="348" w:lineRule="auto"/>
              <w:rPr>
                <w:rFonts w:ascii="宋体" w:hAnsi="宋体" w:cs="宋体"/>
                <w:color w:val="auto"/>
                <w:sz w:val="24"/>
                <w:highlight w:val="none"/>
              </w:rPr>
            </w:pPr>
            <w:r>
              <w:rPr>
                <w:rFonts w:hint="eastAsia" w:ascii="宋体" w:hAnsi="宋体" w:cs="宋体"/>
                <w:color w:val="auto"/>
                <w:sz w:val="24"/>
                <w:highlight w:val="none"/>
              </w:rPr>
              <w:t>1.采购人组织相关人员对供应商履约的验收，验收费用由中标人承担；采购人出具一式二份验收报告，一份由中标人保管，一份由</w:t>
            </w:r>
            <w:r>
              <w:rPr>
                <w:rFonts w:hint="eastAsia" w:ascii="宋体" w:hAnsi="宋体" w:cs="宋体"/>
                <w:color w:val="auto"/>
                <w:sz w:val="24"/>
                <w:highlight w:val="none"/>
                <w:lang w:eastAsia="zh-CN"/>
              </w:rPr>
              <w:t>大地工程咨询有限公司</w:t>
            </w:r>
            <w:r>
              <w:rPr>
                <w:rFonts w:hint="eastAsia" w:ascii="宋体" w:hAnsi="宋体" w:cs="宋体"/>
                <w:color w:val="auto"/>
                <w:sz w:val="24"/>
                <w:highlight w:val="none"/>
              </w:rPr>
              <w:t>（原件）存档。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12CD02C">
            <w:pPr>
              <w:snapToGrid w:val="0"/>
              <w:spacing w:line="348" w:lineRule="auto"/>
              <w:rPr>
                <w:rFonts w:ascii="宋体" w:hAnsi="宋体" w:cs="宋体"/>
                <w:color w:val="auto"/>
                <w:sz w:val="24"/>
                <w:highlight w:val="none"/>
              </w:rPr>
            </w:pPr>
            <w:r>
              <w:rPr>
                <w:rFonts w:hint="eastAsia" w:ascii="宋体" w:hAnsi="宋体" w:cs="宋体"/>
                <w:color w:val="auto"/>
                <w:sz w:val="24"/>
                <w:highlight w:val="none"/>
              </w:rPr>
              <w:t>2.采购人可以邀请参加本项目的其他供应商或者第三方机构参与验收。参与验收的供应商或者第三方机构的意见作为验收书的参考资料一并存档。</w:t>
            </w:r>
          </w:p>
          <w:p w14:paraId="615604F3">
            <w:pPr>
              <w:snapToGrid w:val="0"/>
              <w:spacing w:line="348" w:lineRule="auto"/>
              <w:rPr>
                <w:rFonts w:ascii="宋体" w:hAnsi="宋体" w:cs="宋体"/>
                <w:color w:val="auto"/>
                <w:sz w:val="24"/>
                <w:highlight w:val="none"/>
              </w:rPr>
            </w:pPr>
            <w:r>
              <w:rPr>
                <w:rFonts w:hint="eastAsia" w:ascii="宋体" w:hAnsi="宋体" w:cs="宋体"/>
                <w:color w:val="auto"/>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635B12B">
            <w:pPr>
              <w:snapToGrid w:val="0"/>
              <w:spacing w:line="348" w:lineRule="auto"/>
              <w:rPr>
                <w:rFonts w:ascii="宋体" w:hAnsi="宋体" w:cs="宋体"/>
                <w:color w:val="auto"/>
                <w:sz w:val="24"/>
                <w:highlight w:val="none"/>
              </w:rPr>
            </w:pPr>
            <w:r>
              <w:rPr>
                <w:rFonts w:hint="eastAsia" w:ascii="宋体" w:hAnsi="宋体" w:cs="宋体"/>
                <w:color w:val="auto"/>
                <w:sz w:val="24"/>
                <w:highlight w:val="none"/>
              </w:rPr>
              <w:t>4.采购人原则上应当在履约验收之日起2个工作日内，将履约验收结果在浙江政府采购网上公告。</w:t>
            </w:r>
          </w:p>
          <w:p w14:paraId="1422EB9A">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5.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tc>
      </w:tr>
      <w:tr w14:paraId="22161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49DDA9B9">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18</w:t>
            </w:r>
          </w:p>
        </w:tc>
        <w:tc>
          <w:tcPr>
            <w:tcW w:w="8743" w:type="dxa"/>
            <w:tcBorders>
              <w:top w:val="single" w:color="auto" w:sz="4" w:space="0"/>
              <w:left w:val="single" w:color="auto" w:sz="4" w:space="0"/>
              <w:bottom w:val="single" w:color="auto" w:sz="4" w:space="0"/>
              <w:right w:val="single" w:color="auto" w:sz="4" w:space="0"/>
            </w:tcBorders>
            <w:vAlign w:val="center"/>
          </w:tcPr>
          <w:p w14:paraId="6A43AD7E">
            <w:pPr>
              <w:snapToGrid w:val="0"/>
              <w:spacing w:beforeLines="50" w:line="348" w:lineRule="auto"/>
              <w:outlineLvl w:val="2"/>
              <w:rPr>
                <w:rFonts w:ascii="宋体" w:hAnsi="宋体"/>
                <w:b/>
                <w:color w:val="auto"/>
                <w:sz w:val="24"/>
                <w:highlight w:val="none"/>
              </w:rPr>
            </w:pPr>
            <w:bookmarkStart w:id="13" w:name="_Toc28684"/>
            <w:r>
              <w:rPr>
                <w:rFonts w:hint="eastAsia" w:ascii="宋体" w:hAnsi="宋体"/>
                <w:b/>
                <w:color w:val="auto"/>
                <w:sz w:val="24"/>
                <w:highlight w:val="none"/>
              </w:rPr>
              <w:t>供应商有下列情形之一的，列入失信名单，同时依照《政府采购法》第七十七条及《中华人民共和国政府采购法实施条例》第七十二条规定处罚并追求法律责任。</w:t>
            </w:r>
            <w:bookmarkEnd w:id="13"/>
          </w:p>
          <w:p w14:paraId="6DF0FD91">
            <w:pPr>
              <w:snapToGrid w:val="0"/>
              <w:spacing w:line="348" w:lineRule="auto"/>
              <w:jc w:val="left"/>
              <w:rPr>
                <w:rFonts w:ascii="宋体" w:hAnsi="宋体"/>
                <w:color w:val="auto"/>
                <w:sz w:val="24"/>
                <w:highlight w:val="none"/>
              </w:rPr>
            </w:pPr>
            <w:r>
              <w:rPr>
                <w:rFonts w:hint="eastAsia" w:ascii="宋体" w:hAnsi="宋体"/>
                <w:color w:val="auto"/>
                <w:sz w:val="24"/>
                <w:highlight w:val="none"/>
              </w:rPr>
              <w:t xml:space="preserve">1、提供虚假材料谋取中标、成交的； </w:t>
            </w:r>
          </w:p>
          <w:p w14:paraId="004A1077">
            <w:pPr>
              <w:snapToGrid w:val="0"/>
              <w:spacing w:line="348" w:lineRule="auto"/>
              <w:jc w:val="left"/>
              <w:rPr>
                <w:rFonts w:ascii="宋体" w:hAnsi="宋体"/>
                <w:color w:val="auto"/>
                <w:sz w:val="24"/>
                <w:highlight w:val="none"/>
              </w:rPr>
            </w:pPr>
            <w:r>
              <w:rPr>
                <w:rFonts w:hint="eastAsia" w:ascii="宋体" w:hAnsi="宋体"/>
                <w:color w:val="auto"/>
                <w:sz w:val="24"/>
                <w:highlight w:val="none"/>
              </w:rPr>
              <w:t xml:space="preserve">2、采取不正当手段诋毁、排挤其他供应商的； </w:t>
            </w:r>
          </w:p>
          <w:p w14:paraId="599903E1">
            <w:pPr>
              <w:snapToGrid w:val="0"/>
              <w:spacing w:line="348" w:lineRule="auto"/>
              <w:jc w:val="left"/>
              <w:rPr>
                <w:rFonts w:ascii="宋体" w:hAnsi="宋体"/>
                <w:color w:val="auto"/>
                <w:sz w:val="24"/>
                <w:highlight w:val="none"/>
              </w:rPr>
            </w:pPr>
            <w:r>
              <w:rPr>
                <w:rFonts w:hint="eastAsia" w:ascii="宋体" w:hAnsi="宋体"/>
                <w:color w:val="auto"/>
                <w:sz w:val="24"/>
                <w:highlight w:val="none"/>
              </w:rPr>
              <w:t xml:space="preserve">3、与采购人、其他供应商或者采购代理机构恶意串通的； </w:t>
            </w:r>
          </w:p>
          <w:p w14:paraId="3E299ED6">
            <w:pPr>
              <w:snapToGrid w:val="0"/>
              <w:spacing w:line="348" w:lineRule="auto"/>
              <w:jc w:val="left"/>
              <w:rPr>
                <w:rFonts w:ascii="宋体" w:hAnsi="宋体"/>
                <w:color w:val="auto"/>
                <w:sz w:val="24"/>
                <w:highlight w:val="none"/>
              </w:rPr>
            </w:pPr>
            <w:r>
              <w:rPr>
                <w:rFonts w:hint="eastAsia" w:ascii="宋体" w:hAnsi="宋体"/>
                <w:color w:val="auto"/>
                <w:sz w:val="24"/>
                <w:highlight w:val="none"/>
              </w:rPr>
              <w:t xml:space="preserve">4、向采购人、采购代理机构行贿或者提供其他不正当利益的； </w:t>
            </w:r>
          </w:p>
          <w:p w14:paraId="2EE6FA29">
            <w:pPr>
              <w:snapToGrid w:val="0"/>
              <w:spacing w:line="348" w:lineRule="auto"/>
              <w:jc w:val="left"/>
              <w:rPr>
                <w:rFonts w:ascii="宋体" w:hAnsi="宋体"/>
                <w:color w:val="auto"/>
                <w:sz w:val="24"/>
                <w:highlight w:val="none"/>
              </w:rPr>
            </w:pPr>
            <w:r>
              <w:rPr>
                <w:rFonts w:hint="eastAsia" w:ascii="宋体" w:hAnsi="宋体"/>
                <w:color w:val="auto"/>
                <w:sz w:val="24"/>
                <w:highlight w:val="none"/>
              </w:rPr>
              <w:t xml:space="preserve">5、在招标采购过程中与采购人进行协商谈判的； </w:t>
            </w:r>
          </w:p>
          <w:p w14:paraId="693A2196">
            <w:pPr>
              <w:snapToGrid w:val="0"/>
              <w:spacing w:line="348" w:lineRule="auto"/>
              <w:jc w:val="left"/>
              <w:rPr>
                <w:rFonts w:ascii="宋体" w:hAnsi="宋体"/>
                <w:color w:val="auto"/>
                <w:sz w:val="24"/>
                <w:highlight w:val="none"/>
              </w:rPr>
            </w:pPr>
            <w:r>
              <w:rPr>
                <w:rFonts w:hint="eastAsia" w:ascii="宋体" w:hAnsi="宋体"/>
                <w:color w:val="auto"/>
                <w:sz w:val="24"/>
                <w:highlight w:val="none"/>
              </w:rPr>
              <w:t>6、向评标委员会、竞争性谈判小组或者询价小组成员行贿或者提供其他不正当利益；</w:t>
            </w:r>
          </w:p>
          <w:p w14:paraId="1C5EFEC8">
            <w:pPr>
              <w:snapToGrid w:val="0"/>
              <w:spacing w:line="348" w:lineRule="auto"/>
              <w:jc w:val="left"/>
              <w:rPr>
                <w:rFonts w:ascii="宋体" w:hAnsi="宋体"/>
                <w:color w:val="auto"/>
                <w:sz w:val="24"/>
                <w:highlight w:val="none"/>
              </w:rPr>
            </w:pPr>
            <w:r>
              <w:rPr>
                <w:rFonts w:hint="eastAsia" w:ascii="宋体" w:hAnsi="宋体"/>
                <w:color w:val="auto"/>
                <w:sz w:val="24"/>
                <w:highlight w:val="none"/>
              </w:rPr>
              <w:t>7、中标或者成交后无正当理由拒不与采购人签订政府采购合同；</w:t>
            </w:r>
          </w:p>
          <w:p w14:paraId="3898319F">
            <w:pPr>
              <w:snapToGrid w:val="0"/>
              <w:spacing w:line="348" w:lineRule="auto"/>
              <w:jc w:val="left"/>
              <w:rPr>
                <w:rFonts w:ascii="宋体" w:hAnsi="宋体"/>
                <w:color w:val="auto"/>
                <w:sz w:val="24"/>
                <w:highlight w:val="none"/>
              </w:rPr>
            </w:pPr>
            <w:r>
              <w:rPr>
                <w:rFonts w:hint="eastAsia" w:ascii="宋体" w:hAnsi="宋体"/>
                <w:color w:val="auto"/>
                <w:sz w:val="24"/>
                <w:highlight w:val="none"/>
              </w:rPr>
              <w:t>8、未按照采购文件确定的事项签订政府采购合同；</w:t>
            </w:r>
          </w:p>
          <w:p w14:paraId="700CEADC">
            <w:pPr>
              <w:snapToGrid w:val="0"/>
              <w:spacing w:line="348" w:lineRule="auto"/>
              <w:jc w:val="left"/>
              <w:rPr>
                <w:rFonts w:ascii="宋体" w:hAnsi="宋体"/>
                <w:color w:val="auto"/>
                <w:sz w:val="24"/>
                <w:highlight w:val="none"/>
              </w:rPr>
            </w:pPr>
            <w:r>
              <w:rPr>
                <w:rFonts w:hint="eastAsia" w:ascii="宋体" w:hAnsi="宋体"/>
                <w:color w:val="auto"/>
                <w:sz w:val="24"/>
                <w:highlight w:val="none"/>
              </w:rPr>
              <w:t>9、将政府采购合同转包；</w:t>
            </w:r>
          </w:p>
          <w:p w14:paraId="02AD92A5">
            <w:pPr>
              <w:snapToGrid w:val="0"/>
              <w:spacing w:line="348" w:lineRule="auto"/>
              <w:jc w:val="left"/>
              <w:rPr>
                <w:rFonts w:ascii="宋体" w:hAnsi="宋体"/>
                <w:color w:val="auto"/>
                <w:sz w:val="24"/>
                <w:highlight w:val="none"/>
              </w:rPr>
            </w:pPr>
            <w:r>
              <w:rPr>
                <w:rFonts w:hint="eastAsia" w:ascii="宋体" w:hAnsi="宋体"/>
                <w:color w:val="auto"/>
                <w:sz w:val="24"/>
                <w:highlight w:val="none"/>
              </w:rPr>
              <w:t>10、提供假冒伪劣产品；</w:t>
            </w:r>
          </w:p>
          <w:p w14:paraId="5188CD3B">
            <w:pPr>
              <w:snapToGrid w:val="0"/>
              <w:spacing w:line="348" w:lineRule="auto"/>
              <w:jc w:val="left"/>
              <w:rPr>
                <w:rFonts w:ascii="宋体" w:hAnsi="宋体"/>
                <w:color w:val="auto"/>
                <w:sz w:val="24"/>
                <w:highlight w:val="none"/>
              </w:rPr>
            </w:pPr>
            <w:r>
              <w:rPr>
                <w:rFonts w:hint="eastAsia" w:ascii="宋体" w:hAnsi="宋体"/>
                <w:color w:val="auto"/>
                <w:sz w:val="24"/>
                <w:highlight w:val="none"/>
              </w:rPr>
              <w:t>11、擅自变更、中止或者终止政府采购合同。</w:t>
            </w:r>
          </w:p>
          <w:p w14:paraId="5A7C3E2E">
            <w:pPr>
              <w:snapToGrid w:val="0"/>
              <w:spacing w:line="348" w:lineRule="auto"/>
              <w:rPr>
                <w:rFonts w:ascii="宋体" w:hAnsi="宋体" w:cs="宋体"/>
                <w:color w:val="auto"/>
                <w:sz w:val="24"/>
                <w:highlight w:val="none"/>
              </w:rPr>
            </w:pPr>
            <w:r>
              <w:rPr>
                <w:rFonts w:hint="eastAsia" w:ascii="宋体" w:hAnsi="宋体"/>
                <w:color w:val="auto"/>
                <w:sz w:val="24"/>
                <w:highlight w:val="none"/>
              </w:rPr>
              <w:t>12、其他严重扰乱招投标程序的。</w:t>
            </w:r>
          </w:p>
        </w:tc>
      </w:tr>
      <w:tr w14:paraId="7A3BE7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7D87436">
            <w:pPr>
              <w:snapToGrid w:val="0"/>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19</w:t>
            </w:r>
          </w:p>
        </w:tc>
        <w:tc>
          <w:tcPr>
            <w:tcW w:w="8743" w:type="dxa"/>
            <w:tcBorders>
              <w:top w:val="single" w:color="auto" w:sz="4" w:space="0"/>
              <w:left w:val="single" w:color="auto" w:sz="4" w:space="0"/>
              <w:bottom w:val="single" w:color="auto" w:sz="4" w:space="0"/>
              <w:right w:val="single" w:color="auto" w:sz="4" w:space="0"/>
            </w:tcBorders>
            <w:vAlign w:val="center"/>
          </w:tcPr>
          <w:p w14:paraId="6C1AC19A">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olor w:val="auto"/>
                <w:sz w:val="24"/>
                <w:highlight w:val="none"/>
              </w:rPr>
            </w:pPr>
            <w:r>
              <w:rPr>
                <w:rFonts w:hint="eastAsia" w:ascii="宋体" w:hAnsi="宋体"/>
                <w:color w:val="auto"/>
                <w:sz w:val="24"/>
                <w:highlight w:val="none"/>
              </w:rPr>
              <w:t>供应商在全国范围12个月内三次以上质疑不成立提起投诉查无实据的，由财政部门列入不良行为记录名单。列入不良行为记录名单的供应商参加浙江政府采购活动须按照《中华人民共和国政府采购法实施条例》第三十三条、第四十八条规定缴纳投标保证金（</w:t>
            </w:r>
            <w:r>
              <w:rPr>
                <w:rFonts w:hint="eastAsia" w:ascii="宋体" w:hAnsi="宋体"/>
                <w:color w:val="auto"/>
                <w:sz w:val="24"/>
                <w:highlight w:val="none"/>
                <w:lang w:val="en-US" w:eastAsia="zh-CN"/>
              </w:rPr>
              <w:t>本项目为</w:t>
            </w:r>
            <w:r>
              <w:rPr>
                <w:rFonts w:hint="eastAsia" w:ascii="宋体" w:hAnsi="宋体"/>
                <w:color w:val="auto"/>
                <w:sz w:val="24"/>
                <w:highlight w:val="none"/>
              </w:rPr>
              <w:t>项目预算金额的2%）、履约保证金（</w:t>
            </w:r>
            <w:r>
              <w:rPr>
                <w:rFonts w:hint="eastAsia" w:ascii="宋体" w:hAnsi="宋体"/>
                <w:color w:val="auto"/>
                <w:sz w:val="24"/>
                <w:highlight w:val="none"/>
                <w:lang w:val="en-US" w:eastAsia="zh-CN"/>
              </w:rPr>
              <w:t>本项目为</w:t>
            </w:r>
            <w:r>
              <w:rPr>
                <w:rFonts w:hint="eastAsia" w:ascii="宋体" w:hAnsi="宋体"/>
                <w:color w:val="auto"/>
                <w:sz w:val="24"/>
                <w:highlight w:val="none"/>
              </w:rPr>
              <w:t>合同金额的10%）。</w:t>
            </w:r>
          </w:p>
          <w:p w14:paraId="34190E38">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投标保证金</w:t>
            </w:r>
            <w:r>
              <w:rPr>
                <w:rFonts w:hint="eastAsia" w:ascii="宋体" w:hAnsi="宋体" w:eastAsia="宋体" w:cs="宋体"/>
                <w:b/>
                <w:color w:val="auto"/>
                <w:sz w:val="24"/>
                <w:szCs w:val="24"/>
                <w:highlight w:val="none"/>
              </w:rPr>
              <w:t>汇至以下账户：</w:t>
            </w:r>
          </w:p>
          <w:p w14:paraId="27FC5797">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账户名称：</w:t>
            </w:r>
            <w:r>
              <w:rPr>
                <w:rFonts w:hint="eastAsia" w:ascii="宋体" w:hAnsi="宋体" w:eastAsia="宋体" w:cs="宋体"/>
                <w:b/>
                <w:color w:val="auto"/>
                <w:sz w:val="24"/>
                <w:highlight w:val="none"/>
                <w:lang w:eastAsia="zh-CN"/>
              </w:rPr>
              <w:t>大地</w:t>
            </w:r>
            <w:r>
              <w:rPr>
                <w:rFonts w:hint="eastAsia" w:ascii="宋体" w:hAnsi="宋体" w:eastAsia="宋体" w:cs="宋体"/>
                <w:b/>
                <w:color w:val="auto"/>
                <w:sz w:val="24"/>
                <w:highlight w:val="none"/>
              </w:rPr>
              <w:t>工程咨询有限公司东阳分公司</w:t>
            </w:r>
          </w:p>
          <w:p w14:paraId="782E2A75">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开户银行：</w:t>
            </w:r>
            <w:r>
              <w:rPr>
                <w:rFonts w:hint="eastAsia" w:ascii="宋体" w:hAnsi="宋体" w:eastAsia="宋体" w:cs="宋体"/>
                <w:b/>
                <w:color w:val="auto"/>
                <w:sz w:val="24"/>
                <w:highlight w:val="none"/>
                <w:lang w:eastAsia="zh-CN"/>
              </w:rPr>
              <w:t>东阳农商银行城东李宅分理处</w:t>
            </w:r>
          </w:p>
          <w:p w14:paraId="62AB55B9">
            <w:pPr>
              <w:snapToGrid w:val="0"/>
              <w:spacing w:line="348" w:lineRule="auto"/>
              <w:rPr>
                <w:rFonts w:hint="eastAsia" w:ascii="宋体" w:hAnsi="宋体"/>
                <w:color w:val="auto"/>
                <w:sz w:val="24"/>
                <w:highlight w:val="none"/>
              </w:rPr>
            </w:pPr>
            <w:r>
              <w:rPr>
                <w:rFonts w:hint="eastAsia" w:ascii="宋体" w:hAnsi="宋体" w:eastAsia="宋体" w:cs="宋体"/>
                <w:b/>
                <w:color w:val="auto"/>
                <w:sz w:val="24"/>
                <w:highlight w:val="none"/>
              </w:rPr>
              <w:t>银行帐号：</w:t>
            </w:r>
            <w:r>
              <w:rPr>
                <w:rFonts w:hint="eastAsia" w:ascii="宋体" w:hAnsi="宋体" w:eastAsia="宋体" w:cs="宋体"/>
                <w:b/>
                <w:color w:val="auto"/>
                <w:sz w:val="24"/>
                <w:highlight w:val="none"/>
                <w:lang w:val="en-US" w:eastAsia="zh-CN"/>
              </w:rPr>
              <w:t>201000253862845</w:t>
            </w:r>
          </w:p>
        </w:tc>
      </w:tr>
      <w:tr w14:paraId="64950B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EA8717F">
            <w:pPr>
              <w:snapToGrid w:val="0"/>
              <w:spacing w:line="420" w:lineRule="exact"/>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20</w:t>
            </w:r>
          </w:p>
        </w:tc>
        <w:tc>
          <w:tcPr>
            <w:tcW w:w="8743" w:type="dxa"/>
            <w:tcBorders>
              <w:top w:val="single" w:color="auto" w:sz="4" w:space="0"/>
              <w:left w:val="single" w:color="auto" w:sz="4" w:space="0"/>
              <w:bottom w:val="single" w:color="auto" w:sz="4" w:space="0"/>
              <w:right w:val="single" w:color="auto" w:sz="4" w:space="0"/>
            </w:tcBorders>
            <w:vAlign w:val="center"/>
          </w:tcPr>
          <w:p w14:paraId="62A1F161">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磋商响应文件有效期：</w:t>
            </w:r>
            <w:r>
              <w:rPr>
                <w:rFonts w:hint="eastAsia" w:ascii="宋体" w:hAnsi="宋体" w:cs="宋体"/>
                <w:color w:val="auto"/>
                <w:sz w:val="24"/>
                <w:highlight w:val="none"/>
                <w:u w:val="single"/>
              </w:rPr>
              <w:t>60</w:t>
            </w:r>
            <w:r>
              <w:rPr>
                <w:rFonts w:hint="eastAsia" w:ascii="宋体" w:hAnsi="宋体" w:cs="宋体"/>
                <w:color w:val="auto"/>
                <w:sz w:val="24"/>
                <w:highlight w:val="none"/>
              </w:rPr>
              <w:t>天</w:t>
            </w:r>
          </w:p>
        </w:tc>
      </w:tr>
      <w:tr w14:paraId="1EA3ED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51DAFD1">
            <w:pPr>
              <w:snapToGrid w:val="0"/>
              <w:spacing w:line="420" w:lineRule="exact"/>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21</w:t>
            </w:r>
          </w:p>
        </w:tc>
        <w:tc>
          <w:tcPr>
            <w:tcW w:w="8743" w:type="dxa"/>
            <w:tcBorders>
              <w:top w:val="single" w:color="auto" w:sz="4" w:space="0"/>
              <w:left w:val="single" w:color="auto" w:sz="4" w:space="0"/>
              <w:bottom w:val="single" w:color="auto" w:sz="4" w:space="0"/>
              <w:right w:val="single" w:color="auto" w:sz="4" w:space="0"/>
            </w:tcBorders>
            <w:vAlign w:val="center"/>
          </w:tcPr>
          <w:p w14:paraId="3BC855DB">
            <w:pPr>
              <w:snapToGrid w:val="0"/>
              <w:spacing w:line="420" w:lineRule="exact"/>
              <w:rPr>
                <w:rFonts w:ascii="宋体" w:hAnsi="宋体" w:cs="宋体"/>
                <w:b/>
                <w:color w:val="auto"/>
                <w:sz w:val="24"/>
                <w:highlight w:val="none"/>
              </w:rPr>
            </w:pPr>
            <w:r>
              <w:rPr>
                <w:rFonts w:hint="eastAsia" w:ascii="宋体" w:hAnsi="宋体" w:cs="宋体"/>
                <w:b/>
                <w:color w:val="auto"/>
                <w:sz w:val="24"/>
                <w:highlight w:val="none"/>
              </w:rPr>
              <w:t>招标方对供应商的落选不作出任何解释。</w:t>
            </w:r>
          </w:p>
        </w:tc>
      </w:tr>
      <w:tr w14:paraId="75B38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2DFE55B">
            <w:pPr>
              <w:snapToGrid w:val="0"/>
              <w:spacing w:line="420" w:lineRule="exact"/>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22</w:t>
            </w:r>
          </w:p>
        </w:tc>
        <w:tc>
          <w:tcPr>
            <w:tcW w:w="8743" w:type="dxa"/>
            <w:tcBorders>
              <w:top w:val="single" w:color="auto" w:sz="4" w:space="0"/>
              <w:left w:val="single" w:color="auto" w:sz="4" w:space="0"/>
              <w:bottom w:val="single" w:color="auto" w:sz="4" w:space="0"/>
              <w:right w:val="single" w:color="auto" w:sz="4" w:space="0"/>
            </w:tcBorders>
            <w:vAlign w:val="center"/>
          </w:tcPr>
          <w:p w14:paraId="5CF265D0">
            <w:pPr>
              <w:spacing w:line="420" w:lineRule="exact"/>
              <w:rPr>
                <w:rFonts w:ascii="宋体" w:hAnsi="宋体" w:cs="宋体"/>
                <w:b/>
                <w:color w:val="auto"/>
                <w:sz w:val="24"/>
                <w:highlight w:val="none"/>
              </w:rPr>
            </w:pPr>
            <w:r>
              <w:rPr>
                <w:rFonts w:hint="eastAsia" w:ascii="宋体" w:hAnsi="宋体" w:cs="宋体"/>
                <w:b/>
                <w:color w:val="auto"/>
                <w:kern w:val="0"/>
                <w:sz w:val="24"/>
                <w:highlight w:val="none"/>
              </w:rPr>
              <w:t>采购人和招标代理机构的任何工作人员对供应商所作的任何口头解释、介绍、答复，仅供供应商参考，不作为磋商依据，对采购人、招标代理机构和供应商无任何约束力，一切以网上公告及书面形式为准。</w:t>
            </w:r>
          </w:p>
        </w:tc>
      </w:tr>
      <w:tr w14:paraId="564DFF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38BCB86">
            <w:pPr>
              <w:snapToGrid w:val="0"/>
              <w:spacing w:line="42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w:t>
            </w:r>
          </w:p>
        </w:tc>
        <w:tc>
          <w:tcPr>
            <w:tcW w:w="8743" w:type="dxa"/>
            <w:tcBorders>
              <w:top w:val="single" w:color="auto" w:sz="4" w:space="0"/>
              <w:left w:val="single" w:color="auto" w:sz="4" w:space="0"/>
              <w:bottom w:val="single" w:color="auto" w:sz="4" w:space="0"/>
              <w:right w:val="single" w:color="auto" w:sz="4" w:space="0"/>
            </w:tcBorders>
            <w:vAlign w:val="center"/>
          </w:tcPr>
          <w:p w14:paraId="2FFA33BC">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解释：本磋商文件的解释权属于</w:t>
            </w:r>
            <w:r>
              <w:rPr>
                <w:rFonts w:hint="eastAsia" w:ascii="宋体" w:hAnsi="宋体" w:cs="宋体"/>
                <w:color w:val="auto"/>
                <w:sz w:val="24"/>
                <w:highlight w:val="none"/>
                <w:lang w:eastAsia="zh-CN"/>
              </w:rPr>
              <w:t>大地工程咨询有限公司</w:t>
            </w:r>
            <w:r>
              <w:rPr>
                <w:rFonts w:hint="eastAsia" w:ascii="宋体" w:hAnsi="宋体" w:cs="宋体"/>
                <w:color w:val="auto"/>
                <w:sz w:val="24"/>
                <w:highlight w:val="none"/>
              </w:rPr>
              <w:t>。</w:t>
            </w:r>
          </w:p>
        </w:tc>
      </w:tr>
    </w:tbl>
    <w:p w14:paraId="2E559EA5">
      <w:pPr>
        <w:pStyle w:val="20"/>
        <w:snapToGrid w:val="0"/>
        <w:spacing w:before="120" w:after="120" w:line="420" w:lineRule="exact"/>
        <w:rPr>
          <w:rFonts w:ascii="宋体" w:hAnsi="宋体" w:cs="宋体"/>
          <w:b/>
          <w:color w:val="auto"/>
          <w:szCs w:val="24"/>
          <w:highlight w:val="none"/>
        </w:rPr>
      </w:pPr>
      <w:r>
        <w:rPr>
          <w:rFonts w:hint="eastAsia" w:ascii="宋体" w:hAnsi="宋体" w:cs="宋体"/>
          <w:b/>
          <w:color w:val="auto"/>
          <w:szCs w:val="24"/>
          <w:highlight w:val="none"/>
        </w:rPr>
        <w:t>注：如本磋商文件后面的条款与本表有矛盾的以本表的内容为准。</w:t>
      </w:r>
    </w:p>
    <w:p w14:paraId="1329DDE2">
      <w:pPr>
        <w:pStyle w:val="20"/>
        <w:pageBreakBefore/>
        <w:numPr>
          <w:ilvl w:val="0"/>
          <w:numId w:val="6"/>
        </w:numPr>
        <w:snapToGrid w:val="0"/>
        <w:spacing w:line="360" w:lineRule="auto"/>
        <w:ind w:left="826" w:hanging="826" w:hangingChars="343"/>
        <w:jc w:val="center"/>
        <w:outlineLvl w:val="1"/>
        <w:rPr>
          <w:rFonts w:ascii="宋体" w:hAnsi="宋体" w:cs="宋体"/>
          <w:b/>
          <w:color w:val="auto"/>
          <w:szCs w:val="24"/>
          <w:highlight w:val="none"/>
        </w:rPr>
      </w:pPr>
      <w:bookmarkStart w:id="14" w:name="_Toc17945"/>
      <w:bookmarkStart w:id="15" w:name="_Toc19299"/>
      <w:r>
        <w:rPr>
          <w:rFonts w:hint="eastAsia" w:ascii="宋体" w:hAnsi="宋体" w:cs="宋体"/>
          <w:b/>
          <w:color w:val="auto"/>
          <w:szCs w:val="24"/>
          <w:highlight w:val="none"/>
        </w:rPr>
        <w:t>总则</w:t>
      </w:r>
      <w:bookmarkEnd w:id="14"/>
      <w:bookmarkEnd w:id="15"/>
    </w:p>
    <w:p w14:paraId="29839773">
      <w:pPr>
        <w:spacing w:line="440" w:lineRule="exact"/>
        <w:rPr>
          <w:rFonts w:ascii="宋体" w:hAnsi="宋体" w:cs="宋体"/>
          <w:b/>
          <w:color w:val="auto"/>
          <w:sz w:val="24"/>
          <w:highlight w:val="none"/>
        </w:rPr>
      </w:pPr>
      <w:bookmarkStart w:id="16" w:name="_Toc407182093"/>
      <w:r>
        <w:rPr>
          <w:rFonts w:hint="eastAsia" w:ascii="宋体" w:hAnsi="宋体" w:cs="宋体"/>
          <w:b/>
          <w:color w:val="auto"/>
          <w:sz w:val="24"/>
          <w:highlight w:val="none"/>
        </w:rPr>
        <w:t>（一） 适用范围</w:t>
      </w:r>
      <w:bookmarkEnd w:id="16"/>
    </w:p>
    <w:p w14:paraId="4544F912">
      <w:pPr>
        <w:spacing w:line="44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本磋商文件适用于</w:t>
      </w:r>
      <w:r>
        <w:rPr>
          <w:rFonts w:hint="eastAsia" w:ascii="宋体" w:hAnsi="宋体" w:cs="宋体"/>
          <w:color w:val="auto"/>
          <w:sz w:val="24"/>
          <w:highlight w:val="none"/>
          <w:lang w:eastAsia="zh-CN"/>
        </w:rPr>
        <w:t>东阳市肛肠外科医院4000kVA双电源配电工程采购项目</w:t>
      </w:r>
      <w:r>
        <w:rPr>
          <w:rFonts w:hint="eastAsia" w:ascii="宋体" w:hAnsi="宋体" w:cs="宋体"/>
          <w:color w:val="auto"/>
          <w:sz w:val="24"/>
          <w:highlight w:val="none"/>
        </w:rPr>
        <w:t>的招标、磋商、定标、验收、合同履约、付款等行为（法律、法规另有规定的，从其规定）。</w:t>
      </w:r>
    </w:p>
    <w:p w14:paraId="5E4EC0B9">
      <w:pPr>
        <w:spacing w:line="440" w:lineRule="exact"/>
        <w:rPr>
          <w:rFonts w:ascii="宋体" w:hAnsi="宋体" w:cs="宋体"/>
          <w:b/>
          <w:color w:val="auto"/>
          <w:sz w:val="24"/>
          <w:highlight w:val="none"/>
        </w:rPr>
      </w:pPr>
      <w:bookmarkStart w:id="17" w:name="_Toc407182094"/>
      <w:r>
        <w:rPr>
          <w:rFonts w:hint="eastAsia" w:ascii="宋体" w:hAnsi="宋体" w:cs="宋体"/>
          <w:b/>
          <w:color w:val="auto"/>
          <w:sz w:val="24"/>
          <w:highlight w:val="none"/>
        </w:rPr>
        <w:t>（二）定义</w:t>
      </w:r>
      <w:bookmarkEnd w:id="17"/>
    </w:p>
    <w:p w14:paraId="4B729BE8">
      <w:pPr>
        <w:snapToGrid w:val="0"/>
        <w:spacing w:line="440" w:lineRule="exact"/>
        <w:jc w:val="left"/>
        <w:rPr>
          <w:rFonts w:ascii="宋体" w:hAnsi="宋体" w:cs="宋体"/>
          <w:color w:val="auto"/>
          <w:sz w:val="24"/>
          <w:highlight w:val="none"/>
        </w:rPr>
      </w:pPr>
      <w:r>
        <w:rPr>
          <w:rFonts w:hint="eastAsia" w:ascii="宋体" w:hAnsi="宋体" w:cs="宋体"/>
          <w:color w:val="auto"/>
          <w:sz w:val="24"/>
          <w:highlight w:val="none"/>
        </w:rPr>
        <w:t>1.招标采购单位系指组织本次招标的</w:t>
      </w:r>
      <w:r>
        <w:rPr>
          <w:rFonts w:hint="eastAsia" w:ascii="宋体" w:hAnsi="宋体" w:cs="宋体"/>
          <w:color w:val="auto"/>
          <w:sz w:val="24"/>
          <w:highlight w:val="none"/>
          <w:lang w:eastAsia="zh-CN"/>
        </w:rPr>
        <w:t>大地工程咨询有限公司</w:t>
      </w:r>
      <w:r>
        <w:rPr>
          <w:rFonts w:hint="eastAsia" w:ascii="宋体" w:hAnsi="宋体" w:cs="宋体"/>
          <w:color w:val="auto"/>
          <w:sz w:val="24"/>
          <w:highlight w:val="none"/>
        </w:rPr>
        <w:t>（“招标方”）和</w:t>
      </w:r>
      <w:r>
        <w:rPr>
          <w:rFonts w:hint="eastAsia" w:ascii="宋体" w:hAnsi="宋体" w:cs="宋体"/>
          <w:color w:val="auto"/>
          <w:sz w:val="24"/>
          <w:highlight w:val="none"/>
          <w:lang w:eastAsia="zh-CN"/>
        </w:rPr>
        <w:t>东阳市湖溪镇中心卫生院（东阳市肛肠外科医院）</w:t>
      </w:r>
      <w:r>
        <w:rPr>
          <w:rFonts w:hint="eastAsia" w:ascii="宋体" w:hAnsi="宋体" w:cs="宋体"/>
          <w:color w:val="auto"/>
          <w:sz w:val="24"/>
          <w:highlight w:val="none"/>
        </w:rPr>
        <w:t>（“采购人”）。</w:t>
      </w:r>
    </w:p>
    <w:p w14:paraId="12945B71">
      <w:pPr>
        <w:spacing w:line="440" w:lineRule="exact"/>
        <w:rPr>
          <w:rFonts w:ascii="宋体" w:hAnsi="宋体" w:cs="宋体"/>
          <w:color w:val="auto"/>
          <w:sz w:val="24"/>
          <w:highlight w:val="none"/>
        </w:rPr>
      </w:pPr>
      <w:r>
        <w:rPr>
          <w:rFonts w:hint="eastAsia" w:ascii="宋体" w:hAnsi="宋体" w:cs="宋体"/>
          <w:color w:val="auto"/>
          <w:sz w:val="24"/>
          <w:highlight w:val="none"/>
        </w:rPr>
        <w:t>2.“供应商”系指向招标方提交磋商响应文件的单位或个人。</w:t>
      </w:r>
    </w:p>
    <w:p w14:paraId="28C8DF55">
      <w:pPr>
        <w:spacing w:line="440" w:lineRule="exact"/>
        <w:rPr>
          <w:rFonts w:ascii="宋体" w:hAnsi="宋体" w:cs="宋体"/>
          <w:color w:val="auto"/>
          <w:sz w:val="24"/>
          <w:highlight w:val="none"/>
        </w:rPr>
      </w:pPr>
      <w:r>
        <w:rPr>
          <w:rFonts w:hint="eastAsia" w:ascii="宋体" w:hAnsi="宋体" w:cs="宋体"/>
          <w:color w:val="auto"/>
          <w:sz w:val="24"/>
          <w:highlight w:val="none"/>
        </w:rPr>
        <w:t xml:space="preserve">3.“服务”系指磋商文件规定供应商须承担的本项目所衍生的一切服务义务。 </w:t>
      </w:r>
    </w:p>
    <w:p w14:paraId="5A780E92">
      <w:pPr>
        <w:spacing w:line="440" w:lineRule="exact"/>
        <w:rPr>
          <w:rFonts w:ascii="宋体" w:hAnsi="宋体" w:cs="宋体"/>
          <w:color w:val="auto"/>
          <w:sz w:val="24"/>
          <w:highlight w:val="none"/>
        </w:rPr>
      </w:pPr>
      <w:r>
        <w:rPr>
          <w:rFonts w:hint="eastAsia" w:ascii="宋体" w:hAnsi="宋体" w:cs="宋体"/>
          <w:color w:val="auto"/>
          <w:sz w:val="24"/>
          <w:highlight w:val="none"/>
        </w:rPr>
        <w:t>4.“项目”系指供应商按磋商文件规定向采购人提供的成果和项目服务。</w:t>
      </w:r>
    </w:p>
    <w:p w14:paraId="4760DE32">
      <w:pPr>
        <w:spacing w:line="440" w:lineRule="exact"/>
        <w:rPr>
          <w:rFonts w:ascii="宋体" w:hAnsi="宋体" w:cs="宋体"/>
          <w:color w:val="auto"/>
          <w:sz w:val="24"/>
          <w:highlight w:val="none"/>
        </w:rPr>
      </w:pPr>
      <w:r>
        <w:rPr>
          <w:rFonts w:hint="eastAsia" w:ascii="宋体" w:hAnsi="宋体" w:cs="宋体"/>
          <w:color w:val="auto"/>
          <w:sz w:val="24"/>
          <w:highlight w:val="none"/>
        </w:rPr>
        <w:t>5.“书面形式”包括信函、传真、电报等。</w:t>
      </w:r>
    </w:p>
    <w:p w14:paraId="06975A7B">
      <w:pPr>
        <w:spacing w:line="44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cs="宋体"/>
          <w:color w:val="auto"/>
          <w:sz w:val="24"/>
          <w:highlight w:val="none"/>
        </w:rPr>
        <w:t>“▲”系指实质性要求条款；“★”系指重要指标。</w:t>
      </w:r>
    </w:p>
    <w:p w14:paraId="4073F127">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.采购项目需要落实的政府采购政策</w:t>
      </w:r>
    </w:p>
    <w:p w14:paraId="36C7586B">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 本项目原则上采购本国生产的货物、工程和服务，不允许采购进口产品。除非采购人采购进口产品，已经在采购活动开始前向财政部门提出申请并获得财政部门审核同意，且在采购需求中明确规定可以采购进口产品，未明确视同不得采购进口产品（但如果因信息不对称等原因，仍有满足需求的国内产品要求参与采购竞争的，采购人、采购机构不会对其加以限制，仍将按照公平竞争原则实施采购）。</w:t>
      </w:r>
    </w:p>
    <w:p w14:paraId="4AC88E97">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.2 支持绿色发展</w:t>
      </w:r>
    </w:p>
    <w:p w14:paraId="400D856D">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采购人拟采购的产品属于政府强制采购的节能产品品目清单范围的，供应商未按采购文件要求提供国家确定的认证机构出具的、处于有效期之内的节能产品认证证书的，投标无效。</w:t>
      </w:r>
    </w:p>
    <w:p w14:paraId="64D47F27">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2.2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5BB3FADD">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.3支持中小企业发展</w:t>
      </w:r>
    </w:p>
    <w:p w14:paraId="2511020B">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1FB584D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符合中小企业划分标准的个体工商户，在政府采购活动中视同中小企业。</w:t>
      </w:r>
    </w:p>
    <w:p w14:paraId="18B8A598">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.3.2在政府采购活动中，供应商提供的货物、工程或者服务符合下列情形的，享受中小企业扶持政策：</w:t>
      </w:r>
    </w:p>
    <w:p w14:paraId="74035775">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.3.2.1在货物采购项目中，货物由中小企业制造，即货物由中小企业生产且使用该中小企业商号或者注册商标；</w:t>
      </w:r>
    </w:p>
    <w:p w14:paraId="530689DA">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.3.2.2在工程采购项目中，工程由中小企业承建，即工程施工单位为中小企业；</w:t>
      </w:r>
    </w:p>
    <w:p w14:paraId="6A4A37A1">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.3.2.3在服务采购项目中，服务由中小企业承接，即提供服务的人员为中小企业依照《中华人民共和国劳动合同法》订立劳动合同的从业人员。</w:t>
      </w:r>
    </w:p>
    <w:p w14:paraId="75CFA65F">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在货物采购项目中，供应商提供的货物既有中小企业制造货物，也有大型企业制造货物的，不享受中小企业扶持政策。</w:t>
      </w:r>
    </w:p>
    <w:p w14:paraId="01D2E685">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14:paraId="08CF4908">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3.3对于未预留份额专门面向中小企业的政府采购货物或服务项目，以及预留份额政府采购货物或服务项目中的非预留部分标项，对小型和微型企业的投标报价给予10%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327F5662">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.3.4符合《关于促进残疾人就业政府采购政策的通知》（财库〔2017〕141号）规定的条件并提供《残疾人福利性单位声明函》的残疾人福利性单位视同小型、微型企业；</w:t>
      </w:r>
    </w:p>
    <w:p w14:paraId="501A49E4">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658F5137">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3.6可享受中小企业扶持政策的供应商应按照采购文件格式要求提供《中小企业声明函》，供应商提供的《中小企业声明函》与实际情况不符的，供应商未按采购文件要求提供国家确定的认证机构出具的、处于有效期之内的产品认证证书的，不享受中小企业扶持政策。声明内容不实的，属于提供虚假材料谋取中标、成交的，依法承担法律责任。</w:t>
      </w:r>
    </w:p>
    <w:p w14:paraId="6CB0C637">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.3.7中小企业享受扶持政策获得政府采购合同的，小微企业不得将合同分包给大中型企业，中型企业不得将合同分包给大型企业。</w:t>
      </w:r>
    </w:p>
    <w:p w14:paraId="3DFF127C">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.4支持创新发展</w:t>
      </w:r>
    </w:p>
    <w:p w14:paraId="05ADBDE9">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.4.1 采购人优先采购被认定为首台套产品和“制造精品”的自主创新产品。</w:t>
      </w:r>
    </w:p>
    <w:p w14:paraId="15C839C4">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365DCE7F">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.5中小企业信用融资：为支持和促进中小企业发展，进一步发挥政府采购政策功能， 省财政厅、浙江银监局、省金融办制定了《浙江省政府采购支持中小企业信用融资试点办法》浙财采监[2012]13号)，所称的政府采购信用融资，是指银行业金融机构(以下简称银行)以政府采购诚信考核和信用审查为基础，凭借政府采购合同，按优于一般中小企业的贷款利率直接向申请贷款的投标人发放贷款的一种融资方式。投标人可登陆浙江政府采购( (http:/www zizfcg gov.cn)的中小企业信用融资栏目了解相关信息。 供应商可以通过浙江政府采购网(https://zfcg. czt.zj. gov.cn/)首页的“浙江政采贷”模块进入申请，还可以通过政府采购云平台(https://wwwzcygov.cn/)首页的“金融服务”模块进入申请。</w:t>
      </w:r>
    </w:p>
    <w:p w14:paraId="34E1375B">
      <w:pPr>
        <w:spacing w:line="440" w:lineRule="exact"/>
        <w:rPr>
          <w:rFonts w:ascii="宋体" w:hAnsi="宋体" w:cs="宋体"/>
          <w:b/>
          <w:color w:val="auto"/>
          <w:sz w:val="24"/>
          <w:highlight w:val="none"/>
        </w:rPr>
      </w:pPr>
      <w:r>
        <w:rPr>
          <w:rFonts w:hint="eastAsia" w:ascii="宋体" w:hAnsi="宋体" w:cs="宋体"/>
          <w:b/>
          <w:color w:val="auto"/>
          <w:sz w:val="24"/>
          <w:highlight w:val="none"/>
        </w:rPr>
        <w:t>（三）磋商方式</w:t>
      </w:r>
    </w:p>
    <w:p w14:paraId="0473C52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本次招标采用公开招标方式进行。</w:t>
      </w:r>
    </w:p>
    <w:p w14:paraId="46F70CD3">
      <w:pPr>
        <w:spacing w:line="440" w:lineRule="exact"/>
        <w:rPr>
          <w:rFonts w:ascii="宋体" w:hAnsi="宋体" w:cs="宋体"/>
          <w:b/>
          <w:color w:val="auto"/>
          <w:sz w:val="24"/>
          <w:highlight w:val="none"/>
        </w:rPr>
      </w:pPr>
      <w:r>
        <w:rPr>
          <w:rFonts w:hint="eastAsia" w:ascii="宋体" w:hAnsi="宋体" w:cs="宋体"/>
          <w:b/>
          <w:color w:val="auto"/>
          <w:sz w:val="24"/>
          <w:highlight w:val="none"/>
        </w:rPr>
        <w:t>（四）磋商委托</w:t>
      </w:r>
    </w:p>
    <w:p w14:paraId="2060003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如供应商代表不是法定代表人，须有法定代表人出具的授权委托书，委托代理人必须为供应商的在职正式职工。</w:t>
      </w:r>
    </w:p>
    <w:p w14:paraId="34A4EC9F">
      <w:pPr>
        <w:spacing w:line="440" w:lineRule="exact"/>
        <w:rPr>
          <w:rFonts w:ascii="宋体" w:hAnsi="宋体" w:cs="宋体"/>
          <w:b/>
          <w:color w:val="auto"/>
          <w:sz w:val="24"/>
          <w:highlight w:val="none"/>
        </w:rPr>
      </w:pPr>
      <w:r>
        <w:rPr>
          <w:rFonts w:hint="eastAsia" w:ascii="宋体" w:hAnsi="宋体" w:cs="宋体"/>
          <w:b/>
          <w:color w:val="auto"/>
          <w:sz w:val="24"/>
          <w:highlight w:val="none"/>
        </w:rPr>
        <w:t>▲（五）磋商费用</w:t>
      </w:r>
    </w:p>
    <w:p w14:paraId="5B05A80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1.不论磋商结果如何，供应商均应自行承担所有与磋商有关的全部费用（磋商文件有相反规定除外）。</w:t>
      </w:r>
    </w:p>
    <w:p w14:paraId="4BF4F319">
      <w:pPr>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color w:val="auto"/>
          <w:sz w:val="24"/>
          <w:highlight w:val="none"/>
        </w:rPr>
        <w:t>2.</w:t>
      </w:r>
      <w:r>
        <w:rPr>
          <w:rFonts w:hint="eastAsia" w:ascii="宋体" w:hAnsi="宋体" w:cs="宋体"/>
          <w:b/>
          <w:bCs/>
          <w:color w:val="auto"/>
          <w:sz w:val="24"/>
          <w:highlight w:val="none"/>
          <w:lang w:eastAsia="zh-CN"/>
        </w:rPr>
        <w:t>大地工程咨询有限公司</w:t>
      </w:r>
      <w:r>
        <w:rPr>
          <w:rFonts w:hint="eastAsia" w:ascii="宋体" w:hAnsi="宋体" w:cs="宋体"/>
          <w:b/>
          <w:bCs/>
          <w:color w:val="auto"/>
          <w:sz w:val="24"/>
          <w:highlight w:val="none"/>
        </w:rPr>
        <w:t>按差额定率累进法计算（详见本条下列表格收费标准），向中标人收取中标服务费，在中标结果公示结束之日起3天内（在领取中标通知书前）交纳。</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5"/>
        <w:gridCol w:w="4004"/>
      </w:tblGrid>
      <w:tr w14:paraId="4135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5195" w:type="dxa"/>
            <w:tcBorders>
              <w:top w:val="single" w:color="auto" w:sz="4" w:space="0"/>
              <w:left w:val="single" w:color="auto" w:sz="4" w:space="0"/>
              <w:bottom w:val="single" w:color="auto" w:sz="4" w:space="0"/>
              <w:right w:val="single" w:color="auto" w:sz="4" w:space="0"/>
              <w:tl2br w:val="single" w:color="auto" w:sz="4" w:space="0"/>
            </w:tcBorders>
          </w:tcPr>
          <w:p w14:paraId="0D5B3C4C">
            <w:pPr>
              <w:snapToGrid w:val="0"/>
              <w:ind w:firstLine="1400" w:firstLineChars="700"/>
              <w:textAlignment w:val="baseline"/>
              <w:rPr>
                <w:rFonts w:ascii="宋体" w:hAnsi="宋体" w:cs="宋体"/>
                <w:b/>
                <w:color w:val="auto"/>
                <w:sz w:val="24"/>
                <w:highlight w:val="none"/>
              </w:rPr>
            </w:pPr>
            <w:r>
              <w:rPr>
                <w:rFonts w:ascii="宋体" w:hAnsi="宋体" w:cs="宋体"/>
                <w:color w:val="auto"/>
                <w:sz w:val="20"/>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uR037VAAAACQEAAA8A&#10;AAAAAAAAAQAgAAAAIgAAAGRycy9kb3ducmV2LnhtbFBLAQIUABQAAAAIAIdO4kD+bTyG4QEAALID&#10;AAAOAAAAAAAAAAEAIAAAACQBAABkcnMvZTJvRG9jLnhtbFBLBQYAAAAABgAGAFkBAAB3BQAAAAA=&#10;">
                      <v:fill on="f" focussize="0,0"/>
                      <v:stroke color="#000000" joinstyle="round"/>
                      <v:imagedata o:title=""/>
                      <o:lock v:ext="edit" aspectratio="f"/>
                    </v:line>
                  </w:pict>
                </mc:Fallback>
              </mc:AlternateContent>
            </w:r>
            <w:r>
              <w:rPr>
                <w:rFonts w:hint="eastAsia" w:ascii="宋体" w:hAnsi="宋体" w:cs="宋体"/>
                <w:b/>
                <w:color w:val="auto"/>
                <w:sz w:val="24"/>
                <w:highlight w:val="none"/>
              </w:rPr>
              <w:t>服务类型</w:t>
            </w:r>
          </w:p>
          <w:p w14:paraId="18A7EF52">
            <w:pPr>
              <w:snapToGrid w:val="0"/>
              <w:textAlignment w:val="baseline"/>
              <w:rPr>
                <w:rFonts w:ascii="宋体" w:hAnsi="宋体" w:cs="宋体"/>
                <w:b/>
                <w:color w:val="auto"/>
                <w:sz w:val="24"/>
                <w:highlight w:val="none"/>
              </w:rPr>
            </w:pPr>
            <w:r>
              <w:rPr>
                <w:rFonts w:hint="eastAsia" w:ascii="宋体" w:hAnsi="宋体" w:cs="宋体"/>
                <w:b/>
                <w:color w:val="auto"/>
                <w:sz w:val="24"/>
                <w:highlight w:val="none"/>
              </w:rPr>
              <w:t>费率</w:t>
            </w:r>
          </w:p>
          <w:p w14:paraId="79F29A74">
            <w:pPr>
              <w:snapToGrid w:val="0"/>
              <w:textAlignment w:val="baseline"/>
              <w:rPr>
                <w:rFonts w:ascii="宋体" w:hAnsi="宋体" w:cs="宋体"/>
                <w:b/>
                <w:color w:val="auto"/>
                <w:sz w:val="24"/>
                <w:highlight w:val="none"/>
              </w:rPr>
            </w:pPr>
            <w:r>
              <w:rPr>
                <w:rFonts w:ascii="宋体" w:hAnsi="宋体" w:cs="宋体"/>
                <w:color w:val="auto"/>
                <w:sz w:val="20"/>
                <w:highlight w:val="none"/>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40005</wp:posOffset>
                      </wp:positionV>
                      <wp:extent cx="3260090" cy="335280"/>
                      <wp:effectExtent l="635" t="4445" r="3175" b="1587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3260090" cy="33528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55pt;margin-top:3.15pt;height:26.4pt;width:256.7pt;z-index:251660288;mso-width-relative:page;mso-height-relative:page;" filled="f" stroked="t" coordsize="21600,21600" o:gfxdata="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QpBZPWAAAACAEAAA8AAAAAAAAAAQAgAAAAIgAAAGRycy9kb3ducmV2LnhtbFBLAQIUABQAAAAI&#10;AIdO4kDgkV3J7wEAAL0DAAAOAAAAAAAAAAEAIAAAACUBAABkcnMvZTJvRG9jLnhtbFBLBQYAAAAA&#10;BgAGAFkBAACGBQAAAAA=&#10;">
                      <v:fill on="f" focussize="0,0"/>
                      <v:stroke color="#000000" joinstyle="round"/>
                      <v:imagedata o:title=""/>
                      <o:lock v:ext="edit" aspectratio="f"/>
                    </v:line>
                  </w:pict>
                </mc:Fallback>
              </mc:AlternateContent>
            </w:r>
          </w:p>
          <w:p w14:paraId="17EFE2AD">
            <w:pPr>
              <w:snapToGrid w:val="0"/>
              <w:textAlignment w:val="baseline"/>
              <w:rPr>
                <w:rFonts w:ascii="宋体" w:hAnsi="宋体" w:cs="宋体"/>
                <w:b/>
                <w:color w:val="auto"/>
                <w:sz w:val="24"/>
                <w:highlight w:val="none"/>
              </w:rPr>
            </w:pPr>
            <w:r>
              <w:rPr>
                <w:rFonts w:hint="eastAsia" w:ascii="宋体" w:hAnsi="宋体" w:cs="宋体"/>
                <w:b/>
                <w:color w:val="auto"/>
                <w:sz w:val="24"/>
                <w:highlight w:val="none"/>
              </w:rPr>
              <w:t>中标金额（万元）</w:t>
            </w:r>
          </w:p>
        </w:tc>
        <w:tc>
          <w:tcPr>
            <w:tcW w:w="4004" w:type="dxa"/>
            <w:tcBorders>
              <w:top w:val="single" w:color="auto" w:sz="4" w:space="0"/>
              <w:left w:val="single" w:color="auto" w:sz="4" w:space="0"/>
              <w:bottom w:val="single" w:color="auto" w:sz="4" w:space="0"/>
              <w:right w:val="single" w:color="auto" w:sz="4" w:space="0"/>
            </w:tcBorders>
            <w:vAlign w:val="center"/>
          </w:tcPr>
          <w:p w14:paraId="3A35D055">
            <w:pPr>
              <w:snapToGrid w:val="0"/>
              <w:jc w:val="center"/>
              <w:textAlignment w:val="baseline"/>
              <w:rPr>
                <w:rFonts w:ascii="宋体" w:hAnsi="宋体" w:cs="宋体"/>
                <w:b/>
                <w:color w:val="auto"/>
                <w:sz w:val="24"/>
                <w:highlight w:val="none"/>
              </w:rPr>
            </w:pPr>
            <w:r>
              <w:rPr>
                <w:rFonts w:hint="eastAsia" w:ascii="宋体" w:hAnsi="宋体" w:cs="宋体"/>
                <w:b/>
                <w:color w:val="auto"/>
                <w:sz w:val="24"/>
                <w:highlight w:val="none"/>
                <w:lang w:val="en-US" w:eastAsia="zh-CN"/>
              </w:rPr>
              <w:t>工程</w:t>
            </w:r>
            <w:r>
              <w:rPr>
                <w:rFonts w:hint="eastAsia" w:ascii="宋体" w:hAnsi="宋体" w:cs="宋体"/>
                <w:b/>
                <w:color w:val="auto"/>
                <w:sz w:val="24"/>
                <w:highlight w:val="none"/>
              </w:rPr>
              <w:t>招标</w:t>
            </w:r>
          </w:p>
        </w:tc>
      </w:tr>
      <w:tr w14:paraId="49EA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5" w:type="dxa"/>
            <w:tcBorders>
              <w:top w:val="single" w:color="auto" w:sz="4" w:space="0"/>
              <w:left w:val="single" w:color="auto" w:sz="4" w:space="0"/>
              <w:bottom w:val="single" w:color="auto" w:sz="4" w:space="0"/>
              <w:right w:val="single" w:color="auto" w:sz="4" w:space="0"/>
            </w:tcBorders>
          </w:tcPr>
          <w:p w14:paraId="4C6E87FB">
            <w:pPr>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100以下</w:t>
            </w:r>
          </w:p>
        </w:tc>
        <w:tc>
          <w:tcPr>
            <w:tcW w:w="4004" w:type="dxa"/>
            <w:tcBorders>
              <w:top w:val="single" w:color="auto" w:sz="4" w:space="0"/>
              <w:left w:val="single" w:color="auto" w:sz="4" w:space="0"/>
              <w:bottom w:val="single" w:color="auto" w:sz="4" w:space="0"/>
              <w:right w:val="single" w:color="auto" w:sz="4" w:space="0"/>
            </w:tcBorders>
          </w:tcPr>
          <w:p w14:paraId="48AF9750">
            <w:pPr>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p>
        </w:tc>
      </w:tr>
      <w:tr w14:paraId="56EC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195" w:type="dxa"/>
            <w:tcBorders>
              <w:top w:val="single" w:color="auto" w:sz="4" w:space="0"/>
              <w:left w:val="single" w:color="auto" w:sz="4" w:space="0"/>
              <w:bottom w:val="single" w:color="auto" w:sz="4" w:space="0"/>
              <w:right w:val="single" w:color="auto" w:sz="4" w:space="0"/>
            </w:tcBorders>
          </w:tcPr>
          <w:p w14:paraId="702BDE0D">
            <w:pPr>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100-500</w:t>
            </w:r>
          </w:p>
        </w:tc>
        <w:tc>
          <w:tcPr>
            <w:tcW w:w="4004" w:type="dxa"/>
            <w:tcBorders>
              <w:top w:val="single" w:color="auto" w:sz="4" w:space="0"/>
              <w:left w:val="single" w:color="auto" w:sz="4" w:space="0"/>
              <w:bottom w:val="single" w:color="auto" w:sz="4" w:space="0"/>
              <w:right w:val="single" w:color="auto" w:sz="4" w:space="0"/>
            </w:tcBorders>
          </w:tcPr>
          <w:p w14:paraId="38FC96DE">
            <w:pPr>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w:t>
            </w:r>
          </w:p>
        </w:tc>
      </w:tr>
    </w:tbl>
    <w:p w14:paraId="35D0BC97">
      <w:pPr>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中标服务费由中标供应商汇至以下账户：</w:t>
      </w:r>
    </w:p>
    <w:p w14:paraId="53AEE0B6">
      <w:pPr>
        <w:snapToGrid w:val="0"/>
        <w:spacing w:line="360" w:lineRule="auto"/>
        <w:ind w:firstLine="482" w:firstLineChars="200"/>
        <w:textAlignment w:val="baseline"/>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帐户名称：</w:t>
      </w:r>
      <w:r>
        <w:rPr>
          <w:rFonts w:hint="eastAsia" w:ascii="宋体" w:hAnsi="宋体" w:cs="宋体"/>
          <w:b/>
          <w:bCs/>
          <w:color w:val="auto"/>
          <w:sz w:val="24"/>
          <w:highlight w:val="none"/>
          <w:lang w:eastAsia="zh-CN"/>
        </w:rPr>
        <w:t>大地工程咨询有限公司</w:t>
      </w:r>
      <w:r>
        <w:rPr>
          <w:rFonts w:hint="eastAsia" w:ascii="宋体" w:hAnsi="宋体" w:cs="宋体"/>
          <w:b/>
          <w:bCs/>
          <w:color w:val="auto"/>
          <w:sz w:val="24"/>
          <w:highlight w:val="none"/>
          <w:lang w:val="en-US" w:eastAsia="zh-CN"/>
        </w:rPr>
        <w:t>东阳分公司</w:t>
      </w:r>
    </w:p>
    <w:p w14:paraId="04014E32">
      <w:pPr>
        <w:snapToGrid w:val="0"/>
        <w:spacing w:line="360" w:lineRule="auto"/>
        <w:ind w:firstLine="482" w:firstLineChars="200"/>
        <w:textAlignment w:val="baseline"/>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开户银行：</w:t>
      </w:r>
      <w:r>
        <w:rPr>
          <w:rFonts w:hint="eastAsia" w:ascii="宋体" w:hAnsi="宋体" w:eastAsia="宋体" w:cs="宋体"/>
          <w:b/>
          <w:color w:val="auto"/>
          <w:sz w:val="24"/>
          <w:highlight w:val="none"/>
          <w:lang w:eastAsia="zh-CN"/>
        </w:rPr>
        <w:t>东阳农商银行城东李宅分理处</w:t>
      </w:r>
    </w:p>
    <w:p w14:paraId="16A43E09">
      <w:pPr>
        <w:snapToGrid w:val="0"/>
        <w:spacing w:line="360" w:lineRule="auto"/>
        <w:ind w:firstLine="482" w:firstLineChars="200"/>
        <w:textAlignment w:val="baseline"/>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银行账号：</w:t>
      </w:r>
      <w:r>
        <w:rPr>
          <w:rFonts w:hint="eastAsia" w:ascii="宋体" w:hAnsi="宋体" w:eastAsia="宋体" w:cs="宋体"/>
          <w:b/>
          <w:color w:val="auto"/>
          <w:sz w:val="24"/>
          <w:highlight w:val="none"/>
          <w:lang w:val="en-US" w:eastAsia="zh-CN"/>
        </w:rPr>
        <w:t>201000253862845</w:t>
      </w:r>
    </w:p>
    <w:p w14:paraId="001D4706">
      <w:pPr>
        <w:spacing w:line="440" w:lineRule="exact"/>
        <w:rPr>
          <w:rFonts w:ascii="宋体" w:hAnsi="宋体" w:cs="宋体"/>
          <w:color w:val="auto"/>
          <w:sz w:val="24"/>
          <w:highlight w:val="none"/>
        </w:rPr>
      </w:pPr>
      <w:r>
        <w:rPr>
          <w:rFonts w:hint="eastAsia" w:ascii="宋体" w:hAnsi="宋体" w:cs="宋体"/>
          <w:b/>
          <w:color w:val="auto"/>
          <w:sz w:val="24"/>
          <w:highlight w:val="none"/>
        </w:rPr>
        <w:t>（六）联合体</w:t>
      </w:r>
      <w:r>
        <w:rPr>
          <w:rFonts w:hint="eastAsia" w:ascii="宋体" w:hAnsi="宋体" w:cs="宋体"/>
          <w:b/>
          <w:bCs/>
          <w:color w:val="auto"/>
          <w:sz w:val="24"/>
          <w:highlight w:val="none"/>
        </w:rPr>
        <w:t>投标</w:t>
      </w:r>
      <w:r>
        <w:rPr>
          <w:rFonts w:hint="eastAsia" w:ascii="宋体" w:hAnsi="宋体" w:cs="宋体"/>
          <w:b/>
          <w:color w:val="auto"/>
          <w:sz w:val="24"/>
          <w:highlight w:val="none"/>
        </w:rPr>
        <w:tab/>
      </w:r>
    </w:p>
    <w:p w14:paraId="16F9985E">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本项目接受联合体投标。</w:t>
      </w:r>
    </w:p>
    <w:p w14:paraId="63328E5C">
      <w:pPr>
        <w:spacing w:line="440" w:lineRule="exact"/>
        <w:rPr>
          <w:rFonts w:ascii="宋体" w:hAnsi="宋体" w:cs="宋体"/>
          <w:b/>
          <w:color w:val="auto"/>
          <w:kern w:val="0"/>
          <w:sz w:val="24"/>
          <w:highlight w:val="none"/>
        </w:rPr>
      </w:pPr>
      <w:r>
        <w:rPr>
          <w:rFonts w:hint="eastAsia" w:ascii="宋体" w:hAnsi="宋体" w:cs="宋体"/>
          <w:b/>
          <w:color w:val="auto"/>
          <w:sz w:val="24"/>
          <w:highlight w:val="none"/>
        </w:rPr>
        <w:t>（七）</w:t>
      </w:r>
      <w:r>
        <w:rPr>
          <w:rFonts w:hint="eastAsia" w:ascii="宋体" w:hAnsi="宋体" w:cs="宋体"/>
          <w:b/>
          <w:color w:val="auto"/>
          <w:kern w:val="0"/>
          <w:sz w:val="24"/>
          <w:highlight w:val="none"/>
        </w:rPr>
        <w:t>转包与分包</w:t>
      </w:r>
    </w:p>
    <w:p w14:paraId="6D7AC311">
      <w:pPr>
        <w:spacing w:line="440" w:lineRule="exact"/>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1.本项目不允许转包。</w:t>
      </w:r>
    </w:p>
    <w:p w14:paraId="12C4C888">
      <w:pPr>
        <w:spacing w:line="440" w:lineRule="exact"/>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2.本项目允许分包。</w:t>
      </w:r>
    </w:p>
    <w:p w14:paraId="4996948D">
      <w:pPr>
        <w:spacing w:line="440" w:lineRule="exact"/>
        <w:rPr>
          <w:rFonts w:ascii="宋体" w:hAnsi="宋体" w:cs="宋体"/>
          <w:b/>
          <w:bCs/>
          <w:color w:val="auto"/>
          <w:sz w:val="24"/>
          <w:highlight w:val="none"/>
        </w:rPr>
      </w:pPr>
      <w:r>
        <w:rPr>
          <w:rFonts w:hint="eastAsia" w:ascii="宋体" w:hAnsi="宋体" w:cs="宋体"/>
          <w:b/>
          <w:color w:val="auto"/>
          <w:sz w:val="24"/>
          <w:highlight w:val="none"/>
        </w:rPr>
        <w:t>▲</w:t>
      </w:r>
      <w:r>
        <w:rPr>
          <w:rFonts w:hint="eastAsia" w:ascii="宋体" w:hAnsi="宋体" w:cs="宋体"/>
          <w:b/>
          <w:bCs/>
          <w:color w:val="auto"/>
          <w:sz w:val="24"/>
          <w:highlight w:val="none"/>
        </w:rPr>
        <w:t>（八）特别说明：</w:t>
      </w:r>
    </w:p>
    <w:p w14:paraId="7439D638">
      <w:pPr>
        <w:spacing w:line="440" w:lineRule="exact"/>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多个供应商参加磋商，如其中两家或两家以上供应商的法定代表人为同一人或相互之间存在投资关系且达到控股的，应当按一个供应商认定。</w:t>
      </w:r>
    </w:p>
    <w:p w14:paraId="7E95071A">
      <w:pPr>
        <w:spacing w:line="440" w:lineRule="exact"/>
        <w:rPr>
          <w:rFonts w:ascii="宋体" w:hAnsi="宋体"/>
          <w:color w:val="auto"/>
          <w:sz w:val="24"/>
          <w:highlight w:val="none"/>
        </w:rPr>
      </w:pPr>
      <w:r>
        <w:rPr>
          <w:rFonts w:hint="eastAsia" w:ascii="宋体" w:hAnsi="宋体"/>
          <w:color w:val="auto"/>
          <w:sz w:val="24"/>
          <w:highlight w:val="none"/>
        </w:rPr>
        <w:t>2.供应商磋商所使用的资格、信誉、荣誉与企业认证必须为本法人所拥有。供应商磋商所使用的采购项目实施人员必须为本法人员工（或必须为本法人或控股公司正式员工）。</w:t>
      </w:r>
    </w:p>
    <w:p w14:paraId="21E86891">
      <w:pPr>
        <w:spacing w:line="440" w:lineRule="exact"/>
        <w:rPr>
          <w:rFonts w:ascii="宋体" w:hAnsi="宋体"/>
          <w:color w:val="auto"/>
          <w:sz w:val="24"/>
          <w:highlight w:val="none"/>
        </w:rPr>
      </w:pPr>
      <w:r>
        <w:rPr>
          <w:rFonts w:hint="eastAsia" w:ascii="宋体" w:hAnsi="宋体"/>
          <w:color w:val="auto"/>
          <w:sz w:val="24"/>
          <w:highlight w:val="none"/>
        </w:rPr>
        <w:t>3.供应商应仔细阅读磋商文件的所有内容，按照磋商文件的要求提交磋商响应文件，并对所提供的全部资料的真实性承担法律责任。</w:t>
      </w:r>
    </w:p>
    <w:p w14:paraId="0628E7D4">
      <w:pPr>
        <w:spacing w:line="440" w:lineRule="exact"/>
        <w:rPr>
          <w:rFonts w:ascii="宋体" w:hAnsi="宋体"/>
          <w:color w:val="auto"/>
          <w:sz w:val="24"/>
          <w:highlight w:val="none"/>
        </w:rPr>
      </w:pPr>
      <w:r>
        <w:rPr>
          <w:rFonts w:hint="eastAsia" w:ascii="宋体" w:hAnsi="宋体"/>
          <w:color w:val="auto"/>
          <w:sz w:val="24"/>
          <w:highlight w:val="none"/>
        </w:rPr>
        <w:t>4.供应商在磋商活动中提供任何虚假材料,其磋商无效，并报监管部门查处；中标后发现的,中标人须依照《中华人民共和国消费者权益保护法》第49条之规定双倍赔偿采购人，且民事赔偿并不免除违法供应商的行政与刑事责任。</w:t>
      </w:r>
    </w:p>
    <w:p w14:paraId="5F793D1A">
      <w:pPr>
        <w:spacing w:line="440" w:lineRule="exact"/>
        <w:rPr>
          <w:color w:val="auto"/>
          <w:sz w:val="24"/>
          <w:highlight w:val="none"/>
        </w:rPr>
      </w:pPr>
      <w:r>
        <w:rPr>
          <w:rFonts w:hint="eastAsia" w:ascii="宋体" w:hAnsi="宋体" w:cs="宋体"/>
          <w:color w:val="auto"/>
          <w:sz w:val="24"/>
          <w:highlight w:val="none"/>
        </w:rPr>
        <w:t>5. 磋商小组认为预中标人的磋商报价明显低于其他通过符合性审查供应商的报价，有可能影响产品质量或者不能诚信履约的，应当要求其在磋商现场合理的时间内提供书面说明，必要时提交相关证明材料，预中标人不能证明其报价合理性的，磋商小组应当将其作为无效磋商响应处理。</w:t>
      </w:r>
    </w:p>
    <w:p w14:paraId="448A939E">
      <w:pPr>
        <w:spacing w:line="440" w:lineRule="exact"/>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 xml:space="preserve"> 招标方不保证最低报价者为中标方。</w:t>
      </w:r>
    </w:p>
    <w:p w14:paraId="212C38B0">
      <w:pPr>
        <w:spacing w:line="440" w:lineRule="exact"/>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w:t>
      </w:r>
      <w:r>
        <w:rPr>
          <w:rFonts w:hint="eastAsia" w:ascii="宋体" w:hAnsi="宋体"/>
          <w:color w:val="auto"/>
          <w:sz w:val="24"/>
          <w:highlight w:val="none"/>
        </w:rPr>
        <w:t>“政采云”平台运营机构，以及与该机构有直接控股或者管理关系可能影响采购公正性的任何单位和个人，不得在该平台进行的政府采购项目电子交易中磋商、响应政府采购项目。</w:t>
      </w:r>
    </w:p>
    <w:p w14:paraId="069B9224">
      <w:pPr>
        <w:spacing w:line="440" w:lineRule="exact"/>
        <w:rPr>
          <w:rFonts w:ascii="宋体" w:hAnsi="宋体" w:cs="宋体"/>
          <w:b/>
          <w:bCs/>
          <w:color w:val="auto"/>
          <w:sz w:val="24"/>
          <w:highlight w:val="none"/>
        </w:rPr>
      </w:pPr>
      <w:r>
        <w:rPr>
          <w:rFonts w:hint="eastAsia" w:ascii="宋体" w:hAnsi="宋体" w:cs="宋体"/>
          <w:b/>
          <w:bCs/>
          <w:color w:val="auto"/>
          <w:sz w:val="24"/>
          <w:highlight w:val="none"/>
        </w:rPr>
        <w:t>（九）质疑和投诉</w:t>
      </w:r>
    </w:p>
    <w:p w14:paraId="19CBC94F">
      <w:pPr>
        <w:spacing w:line="440" w:lineRule="exact"/>
        <w:rPr>
          <w:rFonts w:ascii="宋体" w:hAnsi="宋体" w:cs="宋体"/>
          <w:color w:val="auto"/>
          <w:sz w:val="24"/>
          <w:highlight w:val="none"/>
        </w:rPr>
      </w:pPr>
      <w:r>
        <w:rPr>
          <w:rFonts w:hint="eastAsia" w:ascii="宋体" w:hAnsi="宋体" w:cs="宋体"/>
          <w:color w:val="auto"/>
          <w:sz w:val="24"/>
          <w:highlight w:val="none"/>
        </w:rPr>
        <w:t>1.供应商认为磋商文件、招标过程或中标结果使自己的合法权益受到损害的，应当在知道或者应知其权益受到损害之日起七个工作日内，以书面形式向采购人、招标方提出质疑。供应商对招标方的质疑答复不满意或者招标方未在规定时间内作出答复的，可以在答复期满后十五个工作日内向同级采购监管部门投诉。</w:t>
      </w:r>
    </w:p>
    <w:p w14:paraId="56522800">
      <w:pPr>
        <w:spacing w:line="440" w:lineRule="exact"/>
        <w:rPr>
          <w:rFonts w:ascii="宋体" w:hAnsi="宋体" w:cs="宋体"/>
          <w:color w:val="auto"/>
          <w:sz w:val="24"/>
          <w:highlight w:val="none"/>
        </w:rPr>
      </w:pPr>
      <w:r>
        <w:rPr>
          <w:rFonts w:hint="eastAsia" w:ascii="宋体" w:hAnsi="宋体" w:cs="宋体"/>
          <w:color w:val="auto"/>
          <w:sz w:val="24"/>
          <w:highlight w:val="none"/>
        </w:rPr>
        <w:t>2.质疑、投诉应当采用书面形式，质疑书、投诉书均应明确阐述磋商文件、招标过程或中标结果中使自己合法权益受到损害的实质性内容，提供相关事实、依据和证据及其来源或线索，便于有关单位调查、答复和处理。</w:t>
      </w:r>
    </w:p>
    <w:p w14:paraId="52597FD7">
      <w:pPr>
        <w:spacing w:line="440" w:lineRule="exact"/>
        <w:rPr>
          <w:rFonts w:hint="eastAsia" w:ascii="宋体" w:hAnsi="宋体" w:cs="宋体"/>
          <w:color w:val="auto"/>
          <w:sz w:val="24"/>
          <w:highlight w:val="none"/>
        </w:rPr>
      </w:pPr>
      <w:r>
        <w:rPr>
          <w:rFonts w:hint="eastAsia" w:ascii="宋体" w:hAnsi="宋体" w:cs="宋体"/>
          <w:color w:val="auto"/>
          <w:sz w:val="24"/>
          <w:highlight w:val="none"/>
        </w:rPr>
        <w:t>3. 采购人、招标方应当按照《浙江省政府采购供应商质疑处理办法》、中华人民共和国财政部第94号令《政府采购质疑和投诉办法》、《政府采购竞争性磋商采购方式管理暂行办法》进行受理与答复质疑。</w:t>
      </w:r>
      <w:bookmarkStart w:id="18" w:name="_Toc454196066"/>
      <w:bookmarkStart w:id="19" w:name="_Toc458697268"/>
      <w:bookmarkStart w:id="20" w:name="_Toc22910"/>
    </w:p>
    <w:p w14:paraId="0E4207F5">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w:t>
      </w:r>
      <w:bookmarkEnd w:id="18"/>
      <w:bookmarkEnd w:id="19"/>
      <w:r>
        <w:rPr>
          <w:rFonts w:hint="eastAsia" w:ascii="宋体" w:hAnsi="宋体" w:eastAsia="宋体" w:cs="宋体"/>
          <w:b/>
          <w:bCs/>
          <w:color w:val="auto"/>
          <w:sz w:val="32"/>
          <w:szCs w:val="32"/>
          <w:highlight w:val="none"/>
        </w:rPr>
        <w:t>磋商文件</w:t>
      </w:r>
      <w:bookmarkEnd w:id="20"/>
    </w:p>
    <w:p w14:paraId="3D0B79B6">
      <w:pPr>
        <w:spacing w:line="360" w:lineRule="auto"/>
        <w:rPr>
          <w:rFonts w:ascii="宋体" w:hAnsi="宋体" w:cs="宋体"/>
          <w:b/>
          <w:color w:val="auto"/>
          <w:sz w:val="24"/>
          <w:highlight w:val="none"/>
        </w:rPr>
      </w:pPr>
      <w:r>
        <w:rPr>
          <w:rFonts w:hint="eastAsia" w:ascii="宋体" w:hAnsi="宋体" w:cs="宋体"/>
          <w:b/>
          <w:color w:val="auto"/>
          <w:sz w:val="24"/>
          <w:highlight w:val="none"/>
        </w:rPr>
        <w:t>（一）磋商文件的构成。本磋商文件由以下部分组成：</w:t>
      </w:r>
    </w:p>
    <w:p w14:paraId="36744C24">
      <w:pPr>
        <w:spacing w:line="360" w:lineRule="auto"/>
        <w:rPr>
          <w:rFonts w:ascii="宋体" w:hAnsi="宋体" w:cs="宋体"/>
          <w:color w:val="auto"/>
          <w:sz w:val="24"/>
          <w:highlight w:val="none"/>
        </w:rPr>
      </w:pPr>
      <w:r>
        <w:rPr>
          <w:rFonts w:hint="eastAsia" w:ascii="宋体" w:hAnsi="宋体" w:cs="宋体"/>
          <w:color w:val="auto"/>
          <w:sz w:val="24"/>
          <w:highlight w:val="none"/>
        </w:rPr>
        <w:t>1.磋商公告</w:t>
      </w:r>
    </w:p>
    <w:p w14:paraId="4E422C16">
      <w:pPr>
        <w:spacing w:line="360" w:lineRule="auto"/>
        <w:rPr>
          <w:rFonts w:ascii="宋体" w:hAnsi="宋体" w:cs="宋体"/>
          <w:color w:val="auto"/>
          <w:sz w:val="24"/>
          <w:highlight w:val="none"/>
        </w:rPr>
      </w:pPr>
      <w:r>
        <w:rPr>
          <w:rFonts w:hint="eastAsia" w:ascii="宋体" w:hAnsi="宋体" w:cs="宋体"/>
          <w:color w:val="auto"/>
          <w:sz w:val="24"/>
          <w:highlight w:val="none"/>
        </w:rPr>
        <w:t>2.招标需求</w:t>
      </w:r>
    </w:p>
    <w:p w14:paraId="0ACF425C">
      <w:pPr>
        <w:spacing w:line="360" w:lineRule="auto"/>
        <w:rPr>
          <w:rFonts w:ascii="宋体" w:hAnsi="宋体" w:cs="宋体"/>
          <w:color w:val="auto"/>
          <w:sz w:val="24"/>
          <w:highlight w:val="none"/>
        </w:rPr>
      </w:pPr>
      <w:r>
        <w:rPr>
          <w:rFonts w:hint="eastAsia" w:ascii="宋体" w:hAnsi="宋体" w:cs="宋体"/>
          <w:color w:val="auto"/>
          <w:sz w:val="24"/>
          <w:highlight w:val="none"/>
        </w:rPr>
        <w:t>3.供应商须知</w:t>
      </w:r>
    </w:p>
    <w:p w14:paraId="3635833B">
      <w:pPr>
        <w:spacing w:line="360" w:lineRule="auto"/>
        <w:rPr>
          <w:rFonts w:ascii="宋体" w:hAnsi="宋体" w:cs="宋体"/>
          <w:color w:val="auto"/>
          <w:sz w:val="24"/>
          <w:highlight w:val="none"/>
        </w:rPr>
      </w:pPr>
      <w:r>
        <w:rPr>
          <w:rFonts w:hint="eastAsia" w:ascii="宋体" w:hAnsi="宋体" w:cs="宋体"/>
          <w:color w:val="auto"/>
          <w:sz w:val="24"/>
          <w:highlight w:val="none"/>
        </w:rPr>
        <w:t>4.磋商办法及标准</w:t>
      </w:r>
    </w:p>
    <w:p w14:paraId="01601636">
      <w:pPr>
        <w:spacing w:line="360" w:lineRule="auto"/>
        <w:rPr>
          <w:rFonts w:ascii="宋体" w:hAnsi="宋体" w:cs="宋体"/>
          <w:color w:val="auto"/>
          <w:sz w:val="24"/>
          <w:highlight w:val="none"/>
        </w:rPr>
      </w:pPr>
      <w:r>
        <w:rPr>
          <w:rFonts w:hint="eastAsia" w:ascii="宋体" w:hAnsi="宋体" w:cs="宋体"/>
          <w:color w:val="auto"/>
          <w:sz w:val="24"/>
          <w:highlight w:val="none"/>
        </w:rPr>
        <w:t>5.合同主要条款</w:t>
      </w:r>
    </w:p>
    <w:p w14:paraId="1A5E8190">
      <w:pPr>
        <w:spacing w:line="360" w:lineRule="auto"/>
        <w:rPr>
          <w:rFonts w:ascii="宋体" w:hAnsi="宋体" w:cs="宋体"/>
          <w:color w:val="auto"/>
          <w:sz w:val="24"/>
          <w:highlight w:val="none"/>
        </w:rPr>
      </w:pPr>
      <w:r>
        <w:rPr>
          <w:rFonts w:hint="eastAsia" w:ascii="宋体" w:hAnsi="宋体" w:cs="宋体"/>
          <w:color w:val="auto"/>
          <w:sz w:val="24"/>
          <w:highlight w:val="none"/>
        </w:rPr>
        <w:t>6.磋商响应文件格式</w:t>
      </w:r>
    </w:p>
    <w:p w14:paraId="0D3DF782">
      <w:pPr>
        <w:spacing w:line="360" w:lineRule="auto"/>
        <w:rPr>
          <w:rFonts w:ascii="宋体" w:hAnsi="宋体" w:cs="宋体"/>
          <w:color w:val="auto"/>
          <w:sz w:val="24"/>
          <w:highlight w:val="none"/>
        </w:rPr>
      </w:pPr>
      <w:r>
        <w:rPr>
          <w:rFonts w:hint="eastAsia" w:ascii="宋体" w:hAnsi="宋体" w:cs="宋体"/>
          <w:color w:val="auto"/>
          <w:sz w:val="24"/>
          <w:highlight w:val="none"/>
        </w:rPr>
        <w:t>7.本项目磋商文件的澄清、答复、修改、补充的内容</w:t>
      </w:r>
    </w:p>
    <w:p w14:paraId="60068126">
      <w:pPr>
        <w:spacing w:line="360" w:lineRule="auto"/>
        <w:rPr>
          <w:rFonts w:ascii="宋体" w:hAnsi="宋体" w:cs="宋体"/>
          <w:b/>
          <w:color w:val="auto"/>
          <w:sz w:val="24"/>
          <w:highlight w:val="none"/>
        </w:rPr>
      </w:pPr>
      <w:r>
        <w:rPr>
          <w:rFonts w:hint="eastAsia" w:ascii="宋体" w:hAnsi="宋体" w:cs="宋体"/>
          <w:b/>
          <w:color w:val="auto"/>
          <w:sz w:val="24"/>
          <w:highlight w:val="none"/>
        </w:rPr>
        <w:t>（二）供应商的风险</w:t>
      </w:r>
    </w:p>
    <w:p w14:paraId="1F1E81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供应商没有按照磋商文件要求提供全部资料，或者供应商没有对磋商文件在各方面作出实质性响应是供应商的风险，并可能导致其磋商被拒绝。</w:t>
      </w:r>
    </w:p>
    <w:p w14:paraId="7328C1EF">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（三）磋商文件的澄清与修改 </w:t>
      </w:r>
    </w:p>
    <w:p w14:paraId="39C088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供应商应认真阅读本磋商文件，发现其中有误或有不合理要求的，供应商应当按照磋商公告第三、八条规定以书面形式要求招标方澄清</w:t>
      </w:r>
      <w:r>
        <w:rPr>
          <w:rFonts w:hint="eastAsia" w:ascii="宋体" w:hAnsi="宋体" w:cs="宋体"/>
          <w:color w:val="auto"/>
          <w:sz w:val="24"/>
          <w:highlight w:val="none"/>
        </w:rPr>
        <w:t>。招标方对已发出的磋商文件进行必要澄清、答复、修改或补充的，应当在磋商文件要求提交磋商响应文件截止时间5日前，在财政部门指定的政府采购信息发布媒体上发布更正公告，并以书面形式通知所有磋商文件收受人。</w:t>
      </w:r>
    </w:p>
    <w:p w14:paraId="52A860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2.招标方必须以书面形式答复供应商要求澄清的问题，并将不包含问题来源的答复书面通知所有购买磋商文件的供应商；除书面答复以外的其他澄清方式及澄清内容均无效。</w:t>
      </w:r>
    </w:p>
    <w:p w14:paraId="2AC13C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3.磋商文件澄清、答复、修改、补充的内容为磋商文件的组成部分。当磋商文件与磋商文件的答复、澄清、修改、补充通知就同一内容的表述不一致时，以最后发出的书面文件为准。</w:t>
      </w:r>
    </w:p>
    <w:p w14:paraId="3B766E8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4.磋商文件的澄清、答复、修改或补充都应该通过本招标机构以法定形式发布，采购人非通过本机构，不得擅自澄清、答复、修改或补充磋商文件。</w:t>
      </w:r>
    </w:p>
    <w:p w14:paraId="5361E18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5、磋商过程中，实质性变动的内容，经采购人代表确认后，磋商小组可以根据磋商文件和磋商情况实质性变动采购需求中的技术、服务要求以及合同草案条款，但不得变动磋商文件中其他内容，否则磋商小组不得变动磋商文件中的实质性内容。供应商应当根据磋商变动情况和磋商小组的要求重新提交响应内容，响应内容应当通过电子交易平台交换数据电文的形式提交。</w:t>
      </w:r>
      <w:bookmarkStart w:id="21" w:name="_Toc454196067"/>
      <w:bookmarkStart w:id="22" w:name="_Toc458697269"/>
      <w:bookmarkStart w:id="23" w:name="_Toc8645"/>
    </w:p>
    <w:p w14:paraId="26DFDED9">
      <w:pPr>
        <w:spacing w:line="360" w:lineRule="auto"/>
        <w:ind w:firstLine="1990" w:firstLineChars="826"/>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三、磋商响应文件的编制</w:t>
      </w:r>
      <w:bookmarkEnd w:id="21"/>
      <w:bookmarkEnd w:id="22"/>
      <w:bookmarkEnd w:id="23"/>
    </w:p>
    <w:p w14:paraId="3D7B019C">
      <w:pPr>
        <w:spacing w:line="430" w:lineRule="exact"/>
        <w:rPr>
          <w:rFonts w:ascii="宋体" w:hAnsi="宋体" w:cs="宋体"/>
          <w:b/>
          <w:color w:val="auto"/>
          <w:sz w:val="24"/>
          <w:highlight w:val="none"/>
        </w:rPr>
      </w:pPr>
      <w:r>
        <w:rPr>
          <w:rFonts w:hint="eastAsia" w:ascii="宋体" w:hAnsi="宋体" w:cs="宋体"/>
          <w:b/>
          <w:color w:val="auto"/>
          <w:sz w:val="24"/>
          <w:highlight w:val="none"/>
        </w:rPr>
        <w:t>（一）磋商响应文件的组成</w:t>
      </w:r>
    </w:p>
    <w:p w14:paraId="29AD9A7D">
      <w:pPr>
        <w:spacing w:line="430" w:lineRule="exact"/>
        <w:rPr>
          <w:rFonts w:ascii="宋体" w:hAnsi="宋体" w:cs="宋体"/>
          <w:color w:val="auto"/>
          <w:sz w:val="24"/>
          <w:highlight w:val="none"/>
        </w:rPr>
      </w:pPr>
      <w:r>
        <w:rPr>
          <w:rFonts w:hint="eastAsia" w:ascii="宋体" w:hAnsi="宋体" w:cs="宋体"/>
          <w:color w:val="auto"/>
          <w:sz w:val="24"/>
          <w:highlight w:val="none"/>
        </w:rPr>
        <w:t>磋商响应文件由资格审查文件、商务技术文件、报价文件三部分组成。</w:t>
      </w:r>
    </w:p>
    <w:p w14:paraId="041361AB">
      <w:pPr>
        <w:spacing w:line="430" w:lineRule="exact"/>
        <w:rPr>
          <w:rFonts w:ascii="宋体" w:hAnsi="宋体" w:cs="宋体"/>
          <w:b/>
          <w:color w:val="auto"/>
          <w:sz w:val="24"/>
          <w:highlight w:val="none"/>
        </w:rPr>
      </w:pPr>
      <w:r>
        <w:rPr>
          <w:rFonts w:hint="eastAsia" w:ascii="宋体"/>
          <w:b/>
          <w:color w:val="auto"/>
          <w:sz w:val="28"/>
          <w:szCs w:val="28"/>
          <w:highlight w:val="none"/>
        </w:rPr>
        <w:t>▲</w:t>
      </w:r>
      <w:r>
        <w:rPr>
          <w:rFonts w:hint="eastAsia" w:ascii="宋体" w:hAnsi="宋体" w:cs="宋体"/>
          <w:b/>
          <w:color w:val="auto"/>
          <w:sz w:val="24"/>
          <w:highlight w:val="none"/>
        </w:rPr>
        <w:t>1.资格审查文件：</w:t>
      </w:r>
    </w:p>
    <w:p w14:paraId="398885CC">
      <w:pPr>
        <w:spacing w:line="360" w:lineRule="auto"/>
        <w:rPr>
          <w:rFonts w:ascii="宋体" w:hAnsi="宋体" w:cs="宋体"/>
          <w:color w:val="auto"/>
          <w:sz w:val="24"/>
          <w:highlight w:val="none"/>
        </w:rPr>
      </w:pPr>
      <w:r>
        <w:rPr>
          <w:rFonts w:hint="eastAsia" w:ascii="宋体" w:hAnsi="宋体" w:cs="宋体"/>
          <w:color w:val="auto"/>
          <w:sz w:val="24"/>
          <w:highlight w:val="none"/>
        </w:rPr>
        <w:t>（1）具有独立承担民事责任的能力：供应商须在投标文件中出具符合以下情况的证明材料复印件（五选一）：</w:t>
      </w:r>
    </w:p>
    <w:p w14:paraId="4B0044BE">
      <w:pPr>
        <w:spacing w:line="360" w:lineRule="auto"/>
        <w:rPr>
          <w:rFonts w:ascii="宋体" w:hAnsi="宋体" w:cs="宋体"/>
          <w:color w:val="auto"/>
          <w:sz w:val="24"/>
          <w:highlight w:val="none"/>
        </w:rPr>
      </w:pPr>
      <w:r>
        <w:rPr>
          <w:rFonts w:hint="eastAsia" w:ascii="宋体" w:hAnsi="宋体" w:cs="宋体"/>
          <w:color w:val="auto"/>
          <w:sz w:val="24"/>
          <w:highlight w:val="none"/>
        </w:rPr>
        <w:t>①如供应商是企业（包括合伙企业），提供在工商部门注册的有效“企业法人营业执照”或“营业执照”；</w:t>
      </w:r>
    </w:p>
    <w:p w14:paraId="51F20E0B">
      <w:pPr>
        <w:spacing w:line="360" w:lineRule="auto"/>
        <w:rPr>
          <w:rFonts w:ascii="宋体" w:hAnsi="宋体" w:cs="宋体"/>
          <w:color w:val="auto"/>
          <w:sz w:val="24"/>
          <w:highlight w:val="none"/>
        </w:rPr>
      </w:pPr>
      <w:r>
        <w:rPr>
          <w:rFonts w:hint="eastAsia" w:ascii="宋体" w:hAnsi="宋体" w:cs="宋体"/>
          <w:color w:val="auto"/>
          <w:sz w:val="24"/>
          <w:highlight w:val="none"/>
        </w:rPr>
        <w:t>②如供应商是事业单位，提供有效的“事业单位法人证书”；</w:t>
      </w:r>
    </w:p>
    <w:p w14:paraId="6CF67F4A">
      <w:pPr>
        <w:spacing w:line="360" w:lineRule="auto"/>
        <w:rPr>
          <w:rFonts w:ascii="宋体" w:hAnsi="宋体" w:cs="宋体"/>
          <w:color w:val="auto"/>
          <w:sz w:val="24"/>
          <w:highlight w:val="none"/>
        </w:rPr>
      </w:pPr>
      <w:r>
        <w:rPr>
          <w:rFonts w:hint="eastAsia" w:ascii="宋体" w:hAnsi="宋体" w:cs="宋体"/>
          <w:color w:val="auto"/>
          <w:sz w:val="24"/>
          <w:highlight w:val="none"/>
        </w:rPr>
        <w:t>③如供应商是非企业专业服务机构的，提供执业许可证等证明文件；</w:t>
      </w:r>
    </w:p>
    <w:p w14:paraId="05D92342">
      <w:pPr>
        <w:spacing w:line="360" w:lineRule="auto"/>
        <w:rPr>
          <w:rFonts w:ascii="宋体" w:hAnsi="宋体" w:cs="宋体"/>
          <w:color w:val="auto"/>
          <w:sz w:val="24"/>
          <w:highlight w:val="none"/>
        </w:rPr>
      </w:pPr>
      <w:r>
        <w:rPr>
          <w:rFonts w:hint="eastAsia" w:ascii="宋体" w:hAnsi="宋体" w:cs="宋体"/>
          <w:color w:val="auto"/>
          <w:sz w:val="24"/>
          <w:highlight w:val="none"/>
        </w:rPr>
        <w:t>④如供应商是个体工商户，提供有效的“个体工商户营业执照”；</w:t>
      </w:r>
    </w:p>
    <w:p w14:paraId="5CA91942">
      <w:pPr>
        <w:spacing w:line="360" w:lineRule="auto"/>
        <w:rPr>
          <w:rFonts w:ascii="宋体" w:hAnsi="宋体" w:cs="宋体"/>
          <w:color w:val="auto"/>
          <w:sz w:val="24"/>
          <w:highlight w:val="none"/>
        </w:rPr>
      </w:pPr>
      <w:r>
        <w:rPr>
          <w:rFonts w:hint="eastAsia" w:ascii="宋体" w:hAnsi="宋体" w:cs="宋体"/>
          <w:color w:val="auto"/>
          <w:sz w:val="24"/>
          <w:highlight w:val="none"/>
        </w:rPr>
        <w:t>⑤如供应商是自然人，提供有效的自然人身份证明（居民身份证正反面或公安机关出具的临时居民身份证正反面或港澳台胞证或护照）。</w:t>
      </w:r>
    </w:p>
    <w:p w14:paraId="7C2D5B47">
      <w:pPr>
        <w:spacing w:line="360" w:lineRule="auto"/>
        <w:rPr>
          <w:rFonts w:ascii="宋体" w:hAnsi="宋体" w:cs="宋体"/>
          <w:color w:val="auto"/>
          <w:sz w:val="24"/>
          <w:highlight w:val="none"/>
        </w:rPr>
      </w:pPr>
      <w:r>
        <w:rPr>
          <w:rFonts w:hint="eastAsia" w:ascii="宋体" w:hAnsi="宋体" w:cs="宋体"/>
          <w:color w:val="auto"/>
          <w:sz w:val="24"/>
          <w:highlight w:val="none"/>
        </w:rPr>
        <w:t>（2）法定代表人身份证复印件或法定代表人授权委托书(格式见附件)；</w:t>
      </w:r>
    </w:p>
    <w:p w14:paraId="622FD162">
      <w:pPr>
        <w:spacing w:line="360" w:lineRule="auto"/>
        <w:rPr>
          <w:rFonts w:ascii="宋体" w:hAnsi="宋体" w:cs="宋体"/>
          <w:color w:val="auto"/>
          <w:sz w:val="24"/>
          <w:highlight w:val="none"/>
        </w:rPr>
      </w:pPr>
      <w:r>
        <w:rPr>
          <w:rFonts w:hint="eastAsia" w:ascii="宋体" w:hAnsi="宋体" w:cs="宋体"/>
          <w:color w:val="auto"/>
          <w:sz w:val="24"/>
          <w:highlight w:val="none"/>
        </w:rPr>
        <w:t>（3）符合参加政府采购活动应当具备的一般条件的承诺函（格式见附件）；</w:t>
      </w:r>
    </w:p>
    <w:p w14:paraId="420EA3C5">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信用记录网络查询页面截图（以省级及以上政府采购网和信用中国查询截图为准）；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7C9809C">
      <w:pPr>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）东阳市政府采购代理机构社会评价表（格式见附件）；</w:t>
      </w:r>
    </w:p>
    <w:p w14:paraId="73F5984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磋商声明书 (格式见附件) ；</w:t>
      </w:r>
    </w:p>
    <w:p w14:paraId="122AC54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）政府采购活动现场确认声明书 (格式见附件) ；</w:t>
      </w:r>
    </w:p>
    <w:p w14:paraId="6C5F3635">
      <w:pPr>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）联合体协议书（联合体投标时提供）（格式见附件）；</w:t>
      </w:r>
    </w:p>
    <w:p w14:paraId="23799830">
      <w:pPr>
        <w:spacing w:line="360" w:lineRule="auto"/>
        <w:rPr>
          <w:rFonts w:hint="eastAsia" w:ascii="宋体" w:hAnsi="宋体" w:cs="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9</w:t>
      </w:r>
      <w:r>
        <w:rPr>
          <w:rFonts w:hint="eastAsia" w:ascii="宋体" w:hAnsi="宋体"/>
          <w:color w:val="auto"/>
          <w:sz w:val="24"/>
          <w:highlight w:val="none"/>
        </w:rPr>
        <w:t>）</w:t>
      </w:r>
      <w:r>
        <w:rPr>
          <w:rFonts w:hint="eastAsia" w:ascii="宋体" w:hAnsi="宋体" w:cs="宋体"/>
          <w:color w:val="auto"/>
          <w:sz w:val="24"/>
          <w:highlight w:val="none"/>
        </w:rPr>
        <w:t>落实政府采购政策需满足的资格：供应商为中小企业/小微企业，提供《中小企业声明函》（格式见附件）；</w:t>
      </w:r>
    </w:p>
    <w:p w14:paraId="29D5A0B0">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招标公告中的本项目特定资格要求；</w:t>
      </w:r>
    </w:p>
    <w:p w14:paraId="2E461A15">
      <w:pPr>
        <w:spacing w:line="360" w:lineRule="auto"/>
        <w:rPr>
          <w:rFonts w:ascii="宋体" w:hAnsi="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）分包意向协议；（分包时提供，格式见附件）；</w:t>
      </w:r>
    </w:p>
    <w:p w14:paraId="153D3D15">
      <w:pPr>
        <w:spacing w:line="360" w:lineRule="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）供应商情况介绍；</w:t>
      </w:r>
    </w:p>
    <w:p w14:paraId="049E6C81">
      <w:pPr>
        <w:spacing w:line="360" w:lineRule="auto"/>
        <w:rPr>
          <w:rFonts w:hint="eastAsia" w:ascii="宋体" w:hAnsi="宋体" w:cs="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3</w:t>
      </w:r>
      <w:r>
        <w:rPr>
          <w:rFonts w:hint="eastAsia" w:ascii="宋体" w:hAnsi="宋体"/>
          <w:color w:val="auto"/>
          <w:sz w:val="24"/>
          <w:highlight w:val="none"/>
        </w:rPr>
        <w:t>）已缴纳投标保证金的证明（被列入不良行为记录名单的供应商提供）</w:t>
      </w:r>
      <w:r>
        <w:rPr>
          <w:rFonts w:hint="eastAsia" w:ascii="宋体" w:hAnsi="宋体"/>
          <w:color w:val="auto"/>
          <w:sz w:val="24"/>
          <w:highlight w:val="none"/>
          <w:lang w:eastAsia="zh-CN"/>
        </w:rPr>
        <w:t>；</w:t>
      </w:r>
    </w:p>
    <w:p w14:paraId="2A57A2ED">
      <w:pPr>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）供应商认为有必要提供的其它文件。</w:t>
      </w:r>
    </w:p>
    <w:p w14:paraId="4C6D49DF">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.商务技术文件</w:t>
      </w:r>
    </w:p>
    <w:p w14:paraId="0968D57B">
      <w:pPr>
        <w:spacing w:line="360" w:lineRule="auto"/>
        <w:rPr>
          <w:rFonts w:ascii="宋体" w:hAnsi="宋体"/>
          <w:color w:val="auto"/>
          <w:sz w:val="24"/>
          <w:highlight w:val="none"/>
        </w:rPr>
      </w:pPr>
      <w:r>
        <w:rPr>
          <w:rFonts w:hint="eastAsia" w:ascii="宋体" w:hAnsi="宋体" w:cs="宋体"/>
          <w:b/>
          <w:color w:val="auto"/>
          <w:sz w:val="24"/>
          <w:highlight w:val="none"/>
        </w:rPr>
        <w:t>▲</w:t>
      </w:r>
      <w:r>
        <w:rPr>
          <w:rFonts w:hint="eastAsia" w:ascii="宋体" w:hAnsi="宋体"/>
          <w:color w:val="auto"/>
          <w:sz w:val="24"/>
          <w:highlight w:val="none"/>
        </w:rPr>
        <w:t>（1）资信商务、技术自评得分表（格式见附件）；</w:t>
      </w:r>
    </w:p>
    <w:p w14:paraId="47BCCCD9">
      <w:pPr>
        <w:spacing w:line="360" w:lineRule="auto"/>
        <w:rPr>
          <w:rFonts w:hint="eastAsia" w:ascii="宋体" w:hAnsi="宋体" w:eastAsia="宋体"/>
          <w:color w:val="auto"/>
          <w:sz w:val="24"/>
          <w:highlight w:val="none"/>
        </w:rPr>
      </w:pPr>
      <w:r>
        <w:rPr>
          <w:rFonts w:hint="eastAsia" w:ascii="宋体" w:hAnsi="宋体" w:cs="宋体"/>
          <w:b/>
          <w:color w:val="auto"/>
          <w:sz w:val="24"/>
          <w:highlight w:val="none"/>
        </w:rPr>
        <w:t>▲</w:t>
      </w:r>
      <w:r>
        <w:rPr>
          <w:rFonts w:hint="eastAsia" w:ascii="宋体" w:hAnsi="宋体" w:eastAsia="宋体"/>
          <w:color w:val="auto"/>
          <w:sz w:val="24"/>
          <w:highlight w:val="none"/>
        </w:rPr>
        <w:t>（2）</w:t>
      </w:r>
      <w:r>
        <w:rPr>
          <w:rFonts w:hint="eastAsia" w:ascii="宋体" w:hAnsi="宋体"/>
          <w:color w:val="auto"/>
          <w:sz w:val="24"/>
          <w:highlight w:val="none"/>
        </w:rPr>
        <w:t>商务响应表（格式见附件）；</w:t>
      </w:r>
    </w:p>
    <w:p w14:paraId="2C8C8C43">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3</w:t>
      </w:r>
      <w:r>
        <w:rPr>
          <w:rFonts w:hint="eastAsia" w:ascii="宋体" w:hAnsi="宋体" w:eastAsia="宋体"/>
          <w:color w:val="auto"/>
          <w:sz w:val="24"/>
          <w:highlight w:val="none"/>
        </w:rPr>
        <w:t>）项目理解情况；</w:t>
      </w:r>
    </w:p>
    <w:p w14:paraId="3F1A1C22">
      <w:pPr>
        <w:spacing w:line="360" w:lineRule="auto"/>
        <w:rPr>
          <w:rFonts w:hint="eastAsia" w:ascii="宋体" w:hAnsi="宋体"/>
          <w:color w:val="auto"/>
          <w:sz w:val="24"/>
          <w:highlight w:val="none"/>
          <w:lang w:eastAsia="zh-CN"/>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4</w:t>
      </w:r>
      <w:r>
        <w:rPr>
          <w:rFonts w:hint="eastAsia" w:ascii="宋体" w:hAnsi="宋体" w:eastAsia="宋体"/>
          <w:color w:val="auto"/>
          <w:sz w:val="24"/>
          <w:highlight w:val="none"/>
        </w:rPr>
        <w:t>）</w:t>
      </w:r>
      <w:r>
        <w:rPr>
          <w:rFonts w:hint="default" w:ascii="宋体" w:hAnsi="宋体" w:eastAsia="宋体" w:cs="宋体"/>
          <w:color w:val="auto"/>
          <w:sz w:val="24"/>
          <w:highlight w:val="none"/>
          <w:lang w:val="en-US" w:eastAsia="zh-CN"/>
        </w:rPr>
        <w:t>突发事件应急预案</w:t>
      </w:r>
      <w:r>
        <w:rPr>
          <w:rFonts w:hint="eastAsia" w:ascii="宋体" w:hAnsi="宋体"/>
          <w:color w:val="auto"/>
          <w:sz w:val="24"/>
          <w:highlight w:val="none"/>
          <w:lang w:eastAsia="zh-CN"/>
        </w:rPr>
        <w:t>；</w:t>
      </w:r>
    </w:p>
    <w:p w14:paraId="3473E277">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5</w:t>
      </w:r>
      <w:r>
        <w:rPr>
          <w:rFonts w:hint="eastAsia" w:ascii="宋体" w:hAnsi="宋体" w:eastAsia="宋体"/>
          <w:color w:val="auto"/>
          <w:sz w:val="24"/>
          <w:highlight w:val="none"/>
        </w:rPr>
        <w:t>）施工方案；</w:t>
      </w:r>
    </w:p>
    <w:p w14:paraId="5DFE26DC">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6</w:t>
      </w:r>
      <w:r>
        <w:rPr>
          <w:rFonts w:hint="eastAsia" w:ascii="宋体" w:hAnsi="宋体" w:eastAsia="宋体"/>
          <w:color w:val="auto"/>
          <w:sz w:val="24"/>
          <w:highlight w:val="none"/>
        </w:rPr>
        <w:t>）施工进度；</w:t>
      </w:r>
    </w:p>
    <w:p w14:paraId="4977E276">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7</w:t>
      </w:r>
      <w:r>
        <w:rPr>
          <w:rFonts w:hint="eastAsia" w:ascii="宋体" w:hAnsi="宋体" w:eastAsia="宋体"/>
          <w:color w:val="auto"/>
          <w:sz w:val="24"/>
          <w:highlight w:val="none"/>
        </w:rPr>
        <w:t xml:space="preserve">）质量保障； </w:t>
      </w:r>
    </w:p>
    <w:p w14:paraId="6B0599C8">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8</w:t>
      </w:r>
      <w:r>
        <w:rPr>
          <w:rFonts w:hint="eastAsia" w:ascii="宋体" w:hAnsi="宋体" w:eastAsia="宋体"/>
          <w:color w:val="auto"/>
          <w:sz w:val="24"/>
          <w:highlight w:val="none"/>
        </w:rPr>
        <w:t>）安全、文明施工等的保证措施；</w:t>
      </w:r>
    </w:p>
    <w:p w14:paraId="0954F934">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9</w:t>
      </w:r>
      <w:r>
        <w:rPr>
          <w:rFonts w:hint="eastAsia" w:ascii="宋体" w:hAnsi="宋体" w:eastAsia="宋体"/>
          <w:color w:val="auto"/>
          <w:sz w:val="24"/>
          <w:highlight w:val="none"/>
        </w:rPr>
        <w:t>）施工机具设备；</w:t>
      </w:r>
    </w:p>
    <w:p w14:paraId="7D67AEE9">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color w:val="auto"/>
          <w:sz w:val="24"/>
          <w:highlight w:val="none"/>
          <w:lang w:val="en-US" w:eastAsia="zh-CN"/>
        </w:rPr>
        <w:t>0</w:t>
      </w:r>
      <w:r>
        <w:rPr>
          <w:rFonts w:hint="eastAsia" w:ascii="宋体" w:hAnsi="宋体" w:eastAsia="宋体"/>
          <w:color w:val="auto"/>
          <w:sz w:val="24"/>
          <w:highlight w:val="none"/>
        </w:rPr>
        <w:t>）材料设备进场计划；</w:t>
      </w:r>
    </w:p>
    <w:p w14:paraId="2C5786B6">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color w:val="auto"/>
          <w:sz w:val="24"/>
          <w:highlight w:val="none"/>
          <w:lang w:eastAsia="zh-CN"/>
        </w:rPr>
        <w:t>项目人员</w:t>
      </w:r>
      <w:r>
        <w:rPr>
          <w:rFonts w:hint="eastAsia" w:ascii="宋体" w:hAnsi="宋体" w:eastAsia="宋体"/>
          <w:color w:val="auto"/>
          <w:sz w:val="24"/>
          <w:highlight w:val="none"/>
        </w:rPr>
        <w:t>；</w:t>
      </w:r>
    </w:p>
    <w:p w14:paraId="34C2859B">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color w:val="auto"/>
          <w:sz w:val="24"/>
          <w:highlight w:val="none"/>
          <w:lang w:val="en-US" w:eastAsia="zh-CN"/>
        </w:rPr>
        <w:t>2</w:t>
      </w:r>
      <w:r>
        <w:rPr>
          <w:rFonts w:hint="eastAsia" w:ascii="宋体" w:hAnsi="宋体" w:eastAsia="宋体"/>
          <w:color w:val="auto"/>
          <w:sz w:val="24"/>
          <w:highlight w:val="none"/>
        </w:rPr>
        <w:t>）布置情况；</w:t>
      </w:r>
    </w:p>
    <w:p w14:paraId="6E1796FE">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color w:val="auto"/>
          <w:sz w:val="24"/>
          <w:highlight w:val="none"/>
          <w:lang w:val="en-US" w:eastAsia="zh-CN"/>
        </w:rPr>
        <w:t>3</w:t>
      </w:r>
      <w:r>
        <w:rPr>
          <w:rFonts w:hint="eastAsia" w:ascii="宋体" w:hAnsi="宋体" w:eastAsia="宋体"/>
          <w:color w:val="auto"/>
          <w:sz w:val="24"/>
          <w:highlight w:val="none"/>
        </w:rPr>
        <w:t>）关键工序、复杂环节的相应技术措施；</w:t>
      </w:r>
    </w:p>
    <w:p w14:paraId="2FA062D1">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color w:val="auto"/>
          <w:sz w:val="24"/>
          <w:highlight w:val="none"/>
          <w:lang w:val="en-US" w:eastAsia="zh-CN"/>
        </w:rPr>
        <w:t>4</w:t>
      </w:r>
      <w:r>
        <w:rPr>
          <w:rFonts w:hint="eastAsia" w:ascii="宋体" w:hAnsi="宋体" w:eastAsia="宋体"/>
          <w:color w:val="auto"/>
          <w:sz w:val="24"/>
          <w:highlight w:val="none"/>
        </w:rPr>
        <w:t xml:space="preserve">）施工重点难点分析； </w:t>
      </w:r>
    </w:p>
    <w:p w14:paraId="101D3885">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color w:val="auto"/>
          <w:sz w:val="24"/>
          <w:highlight w:val="none"/>
          <w:lang w:val="en-US" w:eastAsia="zh-CN"/>
        </w:rPr>
        <w:t>5</w:t>
      </w:r>
      <w:r>
        <w:rPr>
          <w:rFonts w:hint="eastAsia" w:ascii="宋体" w:hAnsi="宋体" w:eastAsia="宋体"/>
          <w:color w:val="auto"/>
          <w:sz w:val="24"/>
          <w:highlight w:val="none"/>
        </w:rPr>
        <w:t>）成品保护的保证措施；</w:t>
      </w:r>
    </w:p>
    <w:p w14:paraId="2F37117E">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color w:val="auto"/>
          <w:sz w:val="24"/>
          <w:highlight w:val="none"/>
          <w:lang w:val="en-US" w:eastAsia="zh-CN"/>
        </w:rPr>
        <w:t>6</w:t>
      </w:r>
      <w:r>
        <w:rPr>
          <w:rFonts w:hint="eastAsia" w:ascii="宋体" w:hAnsi="宋体" w:eastAsia="宋体"/>
          <w:color w:val="auto"/>
          <w:sz w:val="24"/>
          <w:highlight w:val="none"/>
        </w:rPr>
        <w:t>）管理协调；</w:t>
      </w:r>
    </w:p>
    <w:p w14:paraId="069EA127">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17</w:t>
      </w:r>
      <w:r>
        <w:rPr>
          <w:rFonts w:hint="eastAsia" w:ascii="宋体" w:hAnsi="宋体" w:eastAsia="宋体"/>
          <w:color w:val="auto"/>
          <w:sz w:val="24"/>
          <w:highlight w:val="none"/>
        </w:rPr>
        <w:t>）</w:t>
      </w:r>
      <w:r>
        <w:rPr>
          <w:rFonts w:hint="eastAsia" w:ascii="宋体" w:hAnsi="宋体"/>
          <w:color w:val="auto"/>
          <w:sz w:val="24"/>
          <w:highlight w:val="none"/>
          <w:lang w:eastAsia="zh-CN"/>
        </w:rPr>
        <w:t>企业</w:t>
      </w:r>
      <w:r>
        <w:rPr>
          <w:rFonts w:hint="eastAsia" w:ascii="宋体" w:hAnsi="宋体" w:eastAsia="宋体"/>
          <w:color w:val="auto"/>
          <w:sz w:val="24"/>
          <w:highlight w:val="none"/>
        </w:rPr>
        <w:t>证书；</w:t>
      </w:r>
    </w:p>
    <w:p w14:paraId="4318A8F3">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18</w:t>
      </w:r>
      <w:r>
        <w:rPr>
          <w:rFonts w:hint="eastAsia" w:ascii="宋体" w:hAnsi="宋体" w:eastAsia="宋体"/>
          <w:color w:val="auto"/>
          <w:sz w:val="24"/>
          <w:highlight w:val="none"/>
        </w:rPr>
        <w:t>）同类项目业绩；</w:t>
      </w:r>
    </w:p>
    <w:p w14:paraId="48443646">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19</w:t>
      </w:r>
      <w:r>
        <w:rPr>
          <w:rFonts w:hint="eastAsia" w:ascii="宋体" w:hAnsi="宋体" w:eastAsia="宋体"/>
          <w:color w:val="auto"/>
          <w:sz w:val="24"/>
          <w:highlight w:val="none"/>
        </w:rPr>
        <w:t>）售后保障；</w:t>
      </w:r>
    </w:p>
    <w:p w14:paraId="17835539">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color w:val="auto"/>
          <w:sz w:val="24"/>
          <w:highlight w:val="none"/>
          <w:lang w:val="en-US" w:eastAsia="zh-CN"/>
        </w:rPr>
        <w:t>1</w:t>
      </w:r>
      <w:r>
        <w:rPr>
          <w:rFonts w:hint="eastAsia" w:ascii="宋体" w:hAnsi="宋体" w:eastAsia="宋体"/>
          <w:color w:val="auto"/>
          <w:sz w:val="24"/>
          <w:highlight w:val="none"/>
        </w:rPr>
        <w:t>）合理化建议；</w:t>
      </w:r>
    </w:p>
    <w:p w14:paraId="2131ACF6">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color w:val="auto"/>
          <w:sz w:val="24"/>
          <w:highlight w:val="none"/>
          <w:lang w:val="en-US" w:eastAsia="zh-CN"/>
        </w:rPr>
        <w:t>2</w:t>
      </w:r>
      <w:r>
        <w:rPr>
          <w:rFonts w:hint="eastAsia" w:ascii="宋体" w:hAnsi="宋体" w:eastAsia="宋体"/>
          <w:color w:val="auto"/>
          <w:sz w:val="24"/>
          <w:highlight w:val="none"/>
        </w:rPr>
        <w:t>）安全生产及其他承诺函（格式见附件）；</w:t>
      </w:r>
    </w:p>
    <w:p w14:paraId="78568ECD">
      <w:pPr>
        <w:spacing w:line="360" w:lineRule="auto"/>
        <w:rPr>
          <w:rFonts w:hint="eastAsia" w:ascii="宋体" w:hAnsi="宋体" w:eastAsia="宋体"/>
          <w:color w:val="auto"/>
          <w:sz w:val="24"/>
          <w:highlight w:val="none"/>
          <w:lang w:eastAsia="zh-CN"/>
        </w:rPr>
      </w:pP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2</w:t>
      </w:r>
      <w:r>
        <w:rPr>
          <w:rFonts w:hint="eastAsia" w:ascii="宋体" w:hAnsi="宋体"/>
          <w:color w:val="auto"/>
          <w:sz w:val="24"/>
          <w:highlight w:val="none"/>
          <w:lang w:val="en-US" w:eastAsia="zh-CN"/>
        </w:rPr>
        <w:t>3</w:t>
      </w:r>
      <w:r>
        <w:rPr>
          <w:rFonts w:hint="eastAsia" w:ascii="宋体" w:hAnsi="宋体" w:eastAsia="宋体"/>
          <w:color w:val="auto"/>
          <w:sz w:val="24"/>
          <w:highlight w:val="none"/>
          <w:lang w:eastAsia="zh-CN"/>
        </w:rPr>
        <w:t>）人员现场到位率承诺书（格式见附件）；</w:t>
      </w:r>
    </w:p>
    <w:p w14:paraId="269EAB4F">
      <w:pPr>
        <w:spacing w:line="360" w:lineRule="auto"/>
        <w:rPr>
          <w:rFonts w:ascii="宋体" w:hAnsi="宋体"/>
          <w:bCs/>
          <w:color w:val="auto"/>
          <w:sz w:val="24"/>
          <w:highlight w:val="none"/>
        </w:rPr>
      </w:pPr>
      <w:r>
        <w:rPr>
          <w:rFonts w:hint="eastAsia" w:ascii="宋体" w:hAnsi="宋体"/>
          <w:bCs/>
          <w:color w:val="auto"/>
          <w:sz w:val="24"/>
          <w:highlight w:val="none"/>
        </w:rPr>
        <w:t>（2</w:t>
      </w:r>
      <w:r>
        <w:rPr>
          <w:rFonts w:hint="eastAsia" w:ascii="宋体" w:hAnsi="宋体"/>
          <w:bCs/>
          <w:color w:val="auto"/>
          <w:sz w:val="24"/>
          <w:highlight w:val="none"/>
          <w:lang w:val="en-US" w:eastAsia="zh-CN"/>
        </w:rPr>
        <w:t>4</w:t>
      </w:r>
      <w:r>
        <w:rPr>
          <w:rFonts w:hint="eastAsia" w:ascii="宋体" w:hAnsi="宋体"/>
          <w:bCs/>
          <w:color w:val="auto"/>
          <w:sz w:val="24"/>
          <w:highlight w:val="none"/>
        </w:rPr>
        <w:t>）</w:t>
      </w:r>
      <w:r>
        <w:rPr>
          <w:rFonts w:hint="eastAsia" w:ascii="宋体" w:hAnsi="宋体" w:cs="宋体"/>
          <w:color w:val="auto"/>
          <w:sz w:val="24"/>
          <w:highlight w:val="none"/>
        </w:rPr>
        <w:t>供应商</w:t>
      </w:r>
      <w:r>
        <w:rPr>
          <w:rFonts w:hint="eastAsia" w:ascii="宋体" w:hAnsi="宋体"/>
          <w:bCs/>
          <w:color w:val="auto"/>
          <w:sz w:val="24"/>
          <w:highlight w:val="none"/>
        </w:rPr>
        <w:t>需要说明的其他文件和说明。</w:t>
      </w:r>
    </w:p>
    <w:p w14:paraId="30762446">
      <w:pPr>
        <w:spacing w:line="430" w:lineRule="exact"/>
        <w:rPr>
          <w:rFonts w:ascii="宋体" w:hAnsi="宋体" w:cs="宋体"/>
          <w:b/>
          <w:color w:val="auto"/>
          <w:sz w:val="24"/>
          <w:highlight w:val="none"/>
        </w:rPr>
      </w:pP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.报价文件</w:t>
      </w:r>
    </w:p>
    <w:p w14:paraId="095A6469">
      <w:pPr>
        <w:spacing w:line="430" w:lineRule="exact"/>
        <w:rPr>
          <w:rFonts w:ascii="宋体" w:hAnsi="宋体" w:cs="宋体"/>
          <w:color w:val="auto"/>
          <w:sz w:val="24"/>
          <w:highlight w:val="none"/>
        </w:rPr>
      </w:pPr>
      <w:r>
        <w:rPr>
          <w:rFonts w:hint="eastAsia" w:ascii="宋体" w:hAnsi="宋体" w:cs="宋体"/>
          <w:color w:val="auto"/>
          <w:sz w:val="24"/>
          <w:highlight w:val="none"/>
        </w:rPr>
        <w:t xml:space="preserve">（1）磋商响应函（格式见附件）； </w:t>
      </w:r>
    </w:p>
    <w:p w14:paraId="503ECCC2">
      <w:pPr>
        <w:spacing w:line="430" w:lineRule="exac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 xml:space="preserve">）初次报价表（格式见附件）； </w:t>
      </w:r>
    </w:p>
    <w:p w14:paraId="0DD72244">
      <w:pPr>
        <w:spacing w:line="430" w:lineRule="exact"/>
        <w:rPr>
          <w:rFonts w:ascii="宋体" w:hAnsi="宋体" w:cs="宋体"/>
          <w:b/>
          <w:bCs/>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）供应商针对报价需要说明的其他文件和说明（格式自拟）；</w:t>
      </w:r>
    </w:p>
    <w:p w14:paraId="4B55260A">
      <w:pPr>
        <w:spacing w:line="430" w:lineRule="exact"/>
        <w:rPr>
          <w:rFonts w:ascii="宋体" w:hAnsi="宋体" w:cs="宋体"/>
          <w:b/>
          <w:color w:val="auto"/>
          <w:sz w:val="24"/>
          <w:highlight w:val="none"/>
        </w:rPr>
      </w:pPr>
      <w:r>
        <w:rPr>
          <w:rFonts w:hint="eastAsia" w:ascii="宋体" w:hAnsi="宋体" w:cs="宋体"/>
          <w:b/>
          <w:color w:val="auto"/>
          <w:sz w:val="24"/>
          <w:highlight w:val="none"/>
        </w:rPr>
        <w:t>▲（二）磋商响应文件的语言及计量</w:t>
      </w:r>
    </w:p>
    <w:p w14:paraId="06A39852">
      <w:pPr>
        <w:spacing w:line="430" w:lineRule="exact"/>
        <w:rPr>
          <w:rFonts w:ascii="宋体" w:hAnsi="宋体" w:cs="宋体"/>
          <w:color w:val="auto"/>
          <w:sz w:val="24"/>
          <w:highlight w:val="none"/>
        </w:rPr>
      </w:pPr>
      <w:r>
        <w:rPr>
          <w:rFonts w:hint="eastAsia" w:ascii="宋体" w:hAnsi="宋体" w:cs="宋体"/>
          <w:color w:val="auto"/>
          <w:sz w:val="24"/>
          <w:highlight w:val="none"/>
        </w:rPr>
        <w:t>1．磋商响应文件以及磋商响应方与招标方就有关磋商事宜的所有来往函电，均应以中文汉语书写。除签名、盖章、专用名称等特殊情形外，以中文汉语以外的文字表述的磋商响应文件视同未提供。</w:t>
      </w:r>
    </w:p>
    <w:p w14:paraId="2E340A89">
      <w:pPr>
        <w:spacing w:line="43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2.磋商计量单位，应采用中华人民共和国法定计量单位（货币单位：人民币元），否则视同未响应。</w:t>
      </w:r>
    </w:p>
    <w:p w14:paraId="10F03037">
      <w:pPr>
        <w:spacing w:line="430" w:lineRule="exact"/>
        <w:rPr>
          <w:rFonts w:ascii="宋体" w:hAnsi="宋体" w:cs="宋体"/>
          <w:b/>
          <w:bCs/>
          <w:color w:val="auto"/>
          <w:sz w:val="24"/>
          <w:highlight w:val="none"/>
        </w:rPr>
      </w:pPr>
      <w:r>
        <w:rPr>
          <w:rFonts w:hint="eastAsia" w:ascii="宋体" w:hAnsi="宋体" w:cs="宋体"/>
          <w:b/>
          <w:bCs/>
          <w:color w:val="auto"/>
          <w:sz w:val="24"/>
          <w:highlight w:val="none"/>
        </w:rPr>
        <w:t>▲（三）磋商报价</w:t>
      </w:r>
    </w:p>
    <w:p w14:paraId="4AC8495B">
      <w:pPr>
        <w:spacing w:line="430" w:lineRule="exact"/>
        <w:rPr>
          <w:rFonts w:ascii="宋体" w:hAnsi="宋体" w:cs="宋体"/>
          <w:color w:val="auto"/>
          <w:sz w:val="24"/>
          <w:highlight w:val="none"/>
        </w:rPr>
      </w:pPr>
      <w:r>
        <w:rPr>
          <w:rFonts w:hint="eastAsia" w:ascii="宋体" w:hAnsi="宋体" w:cs="宋体"/>
          <w:color w:val="auto"/>
          <w:sz w:val="24"/>
          <w:highlight w:val="none"/>
        </w:rPr>
        <w:t>1.磋商报价应按磋商文件中相关附表格式填写。</w:t>
      </w:r>
    </w:p>
    <w:p w14:paraId="47DDF658">
      <w:pPr>
        <w:pStyle w:val="16"/>
        <w:spacing w:line="430" w:lineRule="exact"/>
        <w:ind w:firstLine="0" w:firstLineChars="0"/>
        <w:rPr>
          <w:rFonts w:ascii="宋体" w:hAnsi="宋体" w:eastAsia="宋体" w:cs="仿宋_GB2312"/>
          <w:bCs w:val="0"/>
          <w:color w:val="auto"/>
          <w:sz w:val="24"/>
          <w:highlight w:val="none"/>
        </w:rPr>
      </w:pPr>
      <w:r>
        <w:rPr>
          <w:rFonts w:hint="eastAsia" w:ascii="宋体" w:hAnsi="宋体" w:eastAsia="宋体" w:cs="仿宋_GB2312"/>
          <w:bCs w:val="0"/>
          <w:color w:val="auto"/>
          <w:sz w:val="24"/>
          <w:highlight w:val="none"/>
        </w:rPr>
        <w:t>2.磋商报价包括项目所需的施工、货物、材料、安装、备品备件、障碍物迁移与场地准备、工程保险、检测费、办公及其他物品购置费、移交、人员培训、税费、调试等本项目相关的一切费用及税金。</w:t>
      </w:r>
    </w:p>
    <w:p w14:paraId="6BB57E91">
      <w:pPr>
        <w:spacing w:line="430" w:lineRule="exact"/>
        <w:rPr>
          <w:rFonts w:ascii="宋体" w:hAnsi="宋体" w:cs="宋体"/>
          <w:b/>
          <w:bCs/>
          <w:color w:val="auto"/>
          <w:sz w:val="24"/>
          <w:highlight w:val="none"/>
        </w:rPr>
      </w:pPr>
      <w:r>
        <w:rPr>
          <w:rFonts w:hint="eastAsia" w:ascii="宋体" w:hAnsi="宋体" w:cs="宋体"/>
          <w:b/>
          <w:bCs/>
          <w:color w:val="auto"/>
          <w:sz w:val="24"/>
          <w:highlight w:val="none"/>
        </w:rPr>
        <w:t>（四）磋商响应文件的有效期</w:t>
      </w:r>
    </w:p>
    <w:p w14:paraId="0883FD40">
      <w:pPr>
        <w:spacing w:line="430" w:lineRule="exact"/>
        <w:rPr>
          <w:rFonts w:ascii="宋体" w:hAnsi="宋体" w:cs="宋体"/>
          <w:color w:val="auto"/>
          <w:sz w:val="24"/>
          <w:highlight w:val="none"/>
        </w:rPr>
      </w:pPr>
      <w:bookmarkStart w:id="24" w:name="_Toc405368930"/>
      <w:bookmarkStart w:id="25" w:name="_Toc450548873"/>
      <w:r>
        <w:rPr>
          <w:rFonts w:hint="eastAsia" w:ascii="宋体" w:hAnsi="宋体" w:cs="宋体"/>
          <w:color w:val="auto"/>
          <w:sz w:val="24"/>
          <w:highlight w:val="none"/>
        </w:rPr>
        <w:t>▲1.自磋商截止日起</w:t>
      </w:r>
      <w:r>
        <w:rPr>
          <w:rFonts w:hint="eastAsia" w:ascii="宋体" w:hAnsi="宋体" w:cs="宋体"/>
          <w:color w:val="auto"/>
          <w:sz w:val="24"/>
          <w:highlight w:val="none"/>
          <w:u w:val="single"/>
        </w:rPr>
        <w:t>60</w:t>
      </w:r>
      <w:r>
        <w:rPr>
          <w:rFonts w:hint="eastAsia" w:ascii="宋体" w:hAnsi="宋体" w:cs="宋体"/>
          <w:color w:val="auto"/>
          <w:sz w:val="24"/>
          <w:highlight w:val="none"/>
        </w:rPr>
        <w:t>天磋商响应文件应保持有效。有效期不足的磋商响应文件将被拒绝。</w:t>
      </w:r>
    </w:p>
    <w:p w14:paraId="74158B4F">
      <w:pPr>
        <w:spacing w:line="430" w:lineRule="exact"/>
        <w:rPr>
          <w:rFonts w:ascii="宋体" w:hAnsi="宋体" w:cs="宋体"/>
          <w:color w:val="auto"/>
          <w:sz w:val="24"/>
          <w:highlight w:val="none"/>
        </w:rPr>
      </w:pPr>
      <w:r>
        <w:rPr>
          <w:rFonts w:hint="eastAsia" w:ascii="宋体" w:hAnsi="宋体" w:cs="宋体"/>
          <w:color w:val="auto"/>
          <w:sz w:val="24"/>
          <w:highlight w:val="none"/>
        </w:rPr>
        <w:t>2.在特殊情况下，招标人可与供应商协商延长磋商响应文件的有效期，这种要求和答复均以书面形式进行。</w:t>
      </w:r>
    </w:p>
    <w:p w14:paraId="62ED44FB">
      <w:pPr>
        <w:spacing w:line="430" w:lineRule="exact"/>
        <w:rPr>
          <w:rFonts w:ascii="宋体" w:hAnsi="宋体" w:cs="宋体"/>
          <w:color w:val="auto"/>
          <w:sz w:val="24"/>
          <w:highlight w:val="none"/>
        </w:rPr>
      </w:pPr>
      <w:bookmarkStart w:id="26" w:name="_Toc407182105"/>
      <w:r>
        <w:rPr>
          <w:rFonts w:hint="eastAsia" w:ascii="宋体" w:hAnsi="宋体" w:cs="宋体"/>
          <w:color w:val="auto"/>
          <w:sz w:val="24"/>
          <w:highlight w:val="none"/>
        </w:rPr>
        <w:t>3.供应商可拒绝接受延期要求，若同意延长有效期的供应商，则不能修改磋商响应文件。</w:t>
      </w:r>
      <w:bookmarkEnd w:id="26"/>
      <w:r>
        <w:rPr>
          <w:rFonts w:hint="eastAsia" w:ascii="宋体" w:hAnsi="宋体" w:cs="宋体"/>
          <w:color w:val="auto"/>
          <w:sz w:val="24"/>
          <w:highlight w:val="none"/>
        </w:rPr>
        <w:t xml:space="preserve"> </w:t>
      </w:r>
    </w:p>
    <w:p w14:paraId="1959FE87">
      <w:pPr>
        <w:spacing w:line="430" w:lineRule="exact"/>
        <w:rPr>
          <w:rFonts w:ascii="宋体" w:hAnsi="宋体" w:cs="宋体"/>
          <w:color w:val="auto"/>
          <w:sz w:val="24"/>
          <w:highlight w:val="none"/>
        </w:rPr>
      </w:pPr>
      <w:r>
        <w:rPr>
          <w:rFonts w:hint="eastAsia" w:ascii="宋体" w:hAnsi="宋体" w:cs="宋体"/>
          <w:color w:val="auto"/>
          <w:sz w:val="24"/>
          <w:highlight w:val="none"/>
        </w:rPr>
        <w:t>4.中标人的磋商响应文件自开标之日起至合同履行完毕止均应保持有效。</w:t>
      </w:r>
    </w:p>
    <w:bookmarkEnd w:id="24"/>
    <w:bookmarkEnd w:id="25"/>
    <w:p w14:paraId="41242F0E">
      <w:pPr>
        <w:spacing w:line="360" w:lineRule="auto"/>
        <w:rPr>
          <w:rFonts w:ascii="宋体" w:hAnsi="宋体" w:cs="宋体"/>
          <w:b/>
          <w:color w:val="auto"/>
          <w:sz w:val="24"/>
          <w:highlight w:val="none"/>
        </w:rPr>
      </w:pPr>
      <w:r>
        <w:rPr>
          <w:rFonts w:hint="eastAsia" w:ascii="宋体" w:hAnsi="宋体" w:cs="宋体"/>
          <w:b/>
          <w:color w:val="auto"/>
          <w:sz w:val="24"/>
          <w:highlight w:val="none"/>
        </w:rPr>
        <w:t>▲（五）履约保证金</w:t>
      </w:r>
    </w:p>
    <w:p w14:paraId="7805872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▲1.保证金形式：</w:t>
      </w:r>
      <w:r>
        <w:rPr>
          <w:rFonts w:hint="eastAsia" w:ascii="宋体" w:hAnsi="宋体" w:cs="宋体"/>
          <w:color w:val="auto"/>
          <w:sz w:val="24"/>
          <w:highlight w:val="none"/>
          <w:u w:val="single"/>
          <w:lang w:val="en-US" w:eastAsia="zh-CN"/>
        </w:rPr>
        <w:t>支票</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val="en-US" w:eastAsia="zh-CN"/>
        </w:rPr>
        <w:t>汇票</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val="en-US" w:eastAsia="zh-CN"/>
        </w:rPr>
        <w:t>本票</w:t>
      </w:r>
      <w:r>
        <w:rPr>
          <w:rFonts w:hint="eastAsia" w:ascii="宋体" w:hAnsi="宋体" w:eastAsia="宋体" w:cs="宋体"/>
          <w:color w:val="auto"/>
          <w:sz w:val="24"/>
          <w:highlight w:val="none"/>
          <w:u w:val="single"/>
        </w:rPr>
        <w:t>、保函</w:t>
      </w:r>
      <w:r>
        <w:rPr>
          <w:rFonts w:hint="eastAsia" w:ascii="宋体" w:hAnsi="宋体" w:eastAsia="宋体" w:cs="宋体"/>
          <w:color w:val="auto"/>
          <w:sz w:val="24"/>
          <w:highlight w:val="none"/>
        </w:rPr>
        <w:t xml:space="preserve">   </w:t>
      </w:r>
    </w:p>
    <w:p w14:paraId="01DC0008">
      <w:pPr>
        <w:numPr>
          <w:ilvl w:val="0"/>
          <w:numId w:val="0"/>
        </w:num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▲2.中标人在收到中标通知书后，需向采购人提供</w:t>
      </w:r>
      <w:r>
        <w:rPr>
          <w:rFonts w:hint="eastAsia" w:ascii="宋体" w:hAnsi="宋体" w:cs="宋体"/>
          <w:color w:val="auto"/>
          <w:sz w:val="24"/>
          <w:highlight w:val="none"/>
          <w:lang w:val="en-US" w:eastAsia="zh-CN"/>
        </w:rPr>
        <w:t>中标价的1</w:t>
      </w:r>
      <w:r>
        <w:rPr>
          <w:rFonts w:hint="eastAsia" w:ascii="宋体" w:hAnsi="宋体" w:eastAsia="宋体" w:cs="宋体"/>
          <w:color w:val="auto"/>
          <w:sz w:val="24"/>
          <w:highlight w:val="none"/>
        </w:rPr>
        <w:t>%的履约保证金，在中标人与采购人签订合同前递交，</w:t>
      </w:r>
      <w:r>
        <w:rPr>
          <w:rFonts w:hint="eastAsia" w:ascii="宋体" w:hAnsi="宋体" w:eastAsia="宋体" w:cs="宋体"/>
          <w:color w:val="auto"/>
          <w:sz w:val="24"/>
          <w:highlight w:val="none"/>
          <w:lang w:val="en-US" w:eastAsia="zh-CN"/>
        </w:rPr>
        <w:t>中标人</w:t>
      </w:r>
      <w:r>
        <w:rPr>
          <w:rFonts w:hint="eastAsia" w:ascii="宋体" w:hAnsi="宋体" w:eastAsia="宋体" w:cs="宋体"/>
          <w:color w:val="auto"/>
          <w:sz w:val="24"/>
          <w:highlight w:val="none"/>
        </w:rPr>
        <w:t>需以支票、汇票、本票或者金融机构、保险公司、担保机构出具的</w:t>
      </w:r>
      <w:r>
        <w:rPr>
          <w:rFonts w:hint="eastAsia" w:ascii="宋体" w:hAnsi="宋体" w:cs="宋体"/>
          <w:color w:val="auto"/>
          <w:sz w:val="24"/>
          <w:highlight w:val="none"/>
          <w:lang w:val="en-US" w:eastAsia="zh-CN"/>
        </w:rPr>
        <w:t>保函/保险（可在政采云平台购买，咨询热线4009039583）等非现金形式</w:t>
      </w:r>
      <w:r>
        <w:rPr>
          <w:rFonts w:hint="eastAsia" w:ascii="宋体" w:hAnsi="宋体" w:eastAsia="宋体" w:cs="宋体"/>
          <w:color w:val="auto"/>
          <w:sz w:val="24"/>
          <w:highlight w:val="none"/>
          <w:lang w:val="en-US" w:eastAsia="zh-CN"/>
        </w:rPr>
        <w:t>提交（保函期限应大于履约期限2个月）</w:t>
      </w:r>
      <w:r>
        <w:rPr>
          <w:rFonts w:hint="eastAsia" w:ascii="宋体" w:hAnsi="宋体" w:eastAsia="宋体" w:cs="宋体"/>
          <w:color w:val="auto"/>
          <w:sz w:val="24"/>
          <w:highlight w:val="none"/>
        </w:rPr>
        <w:t>。</w:t>
      </w:r>
    </w:p>
    <w:p w14:paraId="1716F41E">
      <w:pPr>
        <w:numPr>
          <w:ilvl w:val="0"/>
          <w:numId w:val="0"/>
        </w:numPr>
        <w:spacing w:line="360" w:lineRule="auto"/>
        <w:ind w:firstLine="480" w:firstLineChars="200"/>
        <w:rPr>
          <w:rFonts w:hint="eastAsia"/>
          <w:color w:val="auto"/>
          <w:highlight w:val="none"/>
        </w:rPr>
      </w:pPr>
      <w:r>
        <w:rPr>
          <w:rFonts w:hint="eastAsia" w:ascii="宋体" w:hAnsi="宋体" w:eastAsia="宋体" w:cs="宋体"/>
          <w:color w:val="auto"/>
          <w:sz w:val="24"/>
          <w:highlight w:val="none"/>
          <w:lang w:val="en-US" w:eastAsia="zh-CN"/>
        </w:rPr>
        <w:t>中标人也可登录政采云平台-【金融服务】—【我的项目】—【已备案合同】以保函形式提供：（1）中标人在合同列表选择需要投保的合同，点击[保函推荐]。（2）在弹框里查看推荐的保函产品，中标人自行选择保函产品，点击[立即申请]。（3）在弹框里填写保函申请信息。具体步骤：选择产品—填写供应商信息—选择中标项目—确认信息—等待保险/保函受理—确认保单—支付保费—成功出单。政采云金融专线400-903-9583。</w:t>
      </w:r>
    </w:p>
    <w:p w14:paraId="07D525B4">
      <w:pPr>
        <w:spacing w:line="430" w:lineRule="exact"/>
        <w:rPr>
          <w:rFonts w:ascii="宋体" w:hAnsi="宋体" w:cs="宋体"/>
          <w:b/>
          <w:color w:val="auto"/>
          <w:sz w:val="24"/>
          <w:highlight w:val="none"/>
        </w:rPr>
      </w:pPr>
      <w:r>
        <w:rPr>
          <w:rFonts w:hint="eastAsia" w:ascii="宋体" w:hAnsi="宋体" w:cs="宋体"/>
          <w:b/>
          <w:color w:val="auto"/>
          <w:sz w:val="24"/>
          <w:highlight w:val="none"/>
        </w:rPr>
        <w:t>（六）磋商响应文件的签署</w:t>
      </w:r>
    </w:p>
    <w:p w14:paraId="59C7C340">
      <w:pPr>
        <w:numPr>
          <w:ilvl w:val="0"/>
          <w:numId w:val="7"/>
        </w:numPr>
        <w:spacing w:line="430" w:lineRule="exact"/>
        <w:rPr>
          <w:rFonts w:ascii="宋体" w:hAnsi="宋体" w:cs="宋体"/>
          <w:color w:val="auto"/>
          <w:sz w:val="24"/>
          <w:highlight w:val="none"/>
        </w:rPr>
      </w:pPr>
      <w:r>
        <w:rPr>
          <w:rFonts w:hint="eastAsia" w:ascii="宋体" w:hAnsi="宋体" w:cs="宋体"/>
          <w:color w:val="auto"/>
          <w:sz w:val="24"/>
          <w:highlight w:val="none"/>
        </w:rPr>
        <w:t>供应商应按本磋商文件规定的格式和顺序编制磋商响应文件并标注页码，因磋商响应文件内容不完整、编排混乱、放弃关联点或关联点错误等原因导致磋商响应文件被误读、漏读或者查找不到相关内容等风险由供应商自行承担。</w:t>
      </w:r>
    </w:p>
    <w:p w14:paraId="51D7FF1F">
      <w:pPr>
        <w:spacing w:line="430" w:lineRule="exact"/>
        <w:rPr>
          <w:rFonts w:ascii="宋体" w:hAnsi="宋体" w:cs="宋体"/>
          <w:b/>
          <w:color w:val="auto"/>
          <w:sz w:val="24"/>
          <w:highlight w:val="none"/>
        </w:rPr>
      </w:pPr>
      <w:r>
        <w:rPr>
          <w:rFonts w:hint="eastAsia" w:ascii="宋体" w:hAnsi="宋体" w:cs="宋体"/>
          <w:b/>
          <w:color w:val="auto"/>
          <w:sz w:val="24"/>
          <w:highlight w:val="none"/>
        </w:rPr>
        <w:t>2. 磋商响应文件需盖章签字的地方必须由供应商法定代表人或法定代表人的授权委托人签署并加盖单位公章，供应商应写全称。</w:t>
      </w:r>
    </w:p>
    <w:p w14:paraId="7C97D988">
      <w:pPr>
        <w:spacing w:line="430" w:lineRule="exact"/>
        <w:rPr>
          <w:rFonts w:ascii="宋体" w:hAnsi="宋体" w:cs="宋体"/>
          <w:color w:val="auto"/>
          <w:sz w:val="24"/>
          <w:highlight w:val="none"/>
        </w:rPr>
      </w:pPr>
      <w:r>
        <w:rPr>
          <w:rFonts w:hint="eastAsia" w:ascii="宋体" w:hAnsi="宋体" w:cs="宋体"/>
          <w:color w:val="auto"/>
          <w:sz w:val="24"/>
          <w:highlight w:val="none"/>
        </w:rPr>
        <w:t>3.磋商响应文件不得涂改，若有修改错漏处，须加盖单位公章和由法定代表人或授权委托人签字或盖章。磋商响应文件因字迹潦草或表达不清所引起的后果由供应商负责。</w:t>
      </w:r>
    </w:p>
    <w:p w14:paraId="7F2110D8">
      <w:pPr>
        <w:spacing w:line="430" w:lineRule="exact"/>
        <w:rPr>
          <w:rFonts w:ascii="宋体" w:hAnsi="宋体" w:cs="宋体"/>
          <w:b/>
          <w:color w:val="auto"/>
          <w:sz w:val="24"/>
          <w:highlight w:val="none"/>
        </w:rPr>
      </w:pPr>
      <w:r>
        <w:rPr>
          <w:rFonts w:hint="eastAsia" w:ascii="宋体" w:hAnsi="宋体" w:cs="宋体"/>
          <w:b/>
          <w:color w:val="auto"/>
          <w:sz w:val="24"/>
          <w:highlight w:val="none"/>
        </w:rPr>
        <w:t>▲（七）磋商响应文件的上传、递交、修改和撤回</w:t>
      </w:r>
    </w:p>
    <w:p w14:paraId="16C19878">
      <w:pPr>
        <w:spacing w:line="430" w:lineRule="exact"/>
        <w:ind w:firstLine="495"/>
        <w:rPr>
          <w:rFonts w:ascii="宋体" w:hAnsi="宋体" w:cs="宋体"/>
          <w:color w:val="auto"/>
          <w:sz w:val="24"/>
          <w:highlight w:val="none"/>
        </w:rPr>
      </w:pPr>
      <w:r>
        <w:rPr>
          <w:rFonts w:hint="eastAsia" w:ascii="宋体" w:hAnsi="宋体" w:cs="宋体"/>
          <w:color w:val="auto"/>
          <w:sz w:val="24"/>
          <w:highlight w:val="none"/>
        </w:rPr>
        <w:t>1. 供应商应当在磋商截止时间前在“政采云”（电子交易平台）上自行上传加密的电子磋商响应文件。</w:t>
      </w:r>
    </w:p>
    <w:p w14:paraId="5E035EB8">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2.未按规定上传的磋商响应文件将被拒绝，由此造成磋商响应文件解密失败或被误投的风险由供应商承担。</w:t>
      </w:r>
    </w:p>
    <w:p w14:paraId="17505EEF">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 供应商未在“政采云”（电子交易平台）上自行上传加密的电子磋商响应文件，仅提交电子备份磋商响应文件的，磋商无效。</w:t>
      </w:r>
    </w:p>
    <w:p w14:paraId="25FD055B">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 供应商应当在磋商截止时间前完成电子磋商响应文件的传输递交，并可以补充、修改或者撤回电子磋商响应文件。补充或者修改电子磋商响应文件的，应当先行撤回原文件，补充、修改后重新传输递交。磋商截止时间前未完成传输的，视为撤回磋商响应文件。磋商、响应截止时间后上传的磋商响应文件，将被政采云平台拒收。</w:t>
      </w:r>
    </w:p>
    <w:p w14:paraId="6CC63C0C">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在磋商截止时间之前，可以对已提交的电子备份磋商响应文件进行修改或撤回，并书面通知招标采购单位；修改后重新递交的电子备份磋商响应文件应当按本磋商文件的要求签署、盖章。磋商截止时间后，供应商不得撤回、修改电子备份磋商响应文件。</w:t>
      </w:r>
    </w:p>
    <w:p w14:paraId="27624097">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 截止开标时间，政采云（电子交易平台）自动提取所有磋商响应文件，供应商须在开标时间截止后30分钟内对上传政采云的磋商响应文件进行解密，所有供应商在规定的解密时限内解密完成或解密时限到后，采购代理机构开启磋商响应文件；供应商超过解密时限的，系统默认自动放弃。</w:t>
      </w:r>
    </w:p>
    <w:p w14:paraId="4E7A2BAF">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 电子磋商响应文件无法解密或解密失败时，供应商提供了电子备份磋商响应文件的，以电子备份磋商响应文件作为评审依据，否则视为磋商响应文件撤回。磋商响应文件已按时解密的，电子备份磋商响应文件自动失效。</w:t>
      </w:r>
    </w:p>
    <w:p w14:paraId="05A32C97">
      <w:pPr>
        <w:spacing w:line="430" w:lineRule="exact"/>
        <w:rPr>
          <w:rFonts w:ascii="宋体" w:hAnsi="宋体" w:cs="宋体"/>
          <w:b/>
          <w:color w:val="auto"/>
          <w:sz w:val="24"/>
          <w:highlight w:val="none"/>
        </w:rPr>
      </w:pPr>
      <w:r>
        <w:rPr>
          <w:rFonts w:hint="eastAsia" w:ascii="宋体" w:hAnsi="宋体" w:cs="宋体"/>
          <w:b/>
          <w:color w:val="auto"/>
          <w:sz w:val="24"/>
          <w:highlight w:val="none"/>
        </w:rPr>
        <w:t>（八）磋商无效的情形</w:t>
      </w:r>
    </w:p>
    <w:p w14:paraId="0E193A63">
      <w:pPr>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实质上没有响应磋商文件要求的磋商将被视为无效磋商。供应商不得通过修正或撤消不合要求的偏离或保留从而使其磋商成为实质上响应的磋商，但经磋商小组认定属于供应商疏忽、笔误所造成的差错，应当允许其在磋商结束之前进行修改或者补正。限期内不补正或经补正后仍不符合磋商文件要求的，应认定其磋商无效。供应商修改、补正磋商响应文件后，不影响磋商小组对其磋商响应文件所作的评价和评分结果。</w:t>
      </w:r>
    </w:p>
    <w:p w14:paraId="1B612C0E">
      <w:pPr>
        <w:spacing w:line="430" w:lineRule="exact"/>
        <w:rPr>
          <w:rFonts w:ascii="宋体" w:hAnsi="宋体" w:cs="宋体"/>
          <w:b/>
          <w:color w:val="auto"/>
          <w:sz w:val="24"/>
          <w:highlight w:val="none"/>
        </w:rPr>
      </w:pPr>
      <w:r>
        <w:rPr>
          <w:rFonts w:hint="eastAsia" w:ascii="宋体" w:hAnsi="宋体" w:cs="宋体"/>
          <w:b/>
          <w:color w:val="auto"/>
          <w:sz w:val="24"/>
          <w:highlight w:val="none"/>
        </w:rPr>
        <w:t>1.在符合性审查和商务评审时，如发现下列情形之一的，磋商响应文件将被视为无效：</w:t>
      </w:r>
    </w:p>
    <w:p w14:paraId="4D932564">
      <w:pPr>
        <w:spacing w:line="430" w:lineRule="exact"/>
        <w:rPr>
          <w:rFonts w:ascii="宋体" w:hAnsi="宋体" w:cs="宋体"/>
          <w:color w:val="auto"/>
          <w:sz w:val="24"/>
          <w:highlight w:val="none"/>
        </w:rPr>
      </w:pPr>
      <w:r>
        <w:rPr>
          <w:rFonts w:hint="eastAsia" w:ascii="宋体" w:hAnsi="宋体" w:cs="宋体"/>
          <w:color w:val="auto"/>
          <w:sz w:val="24"/>
          <w:highlight w:val="none"/>
        </w:rPr>
        <w:t>（1）供应商仅提交电子备份磋商响应文件的；</w:t>
      </w:r>
    </w:p>
    <w:p w14:paraId="35BAD591">
      <w:pPr>
        <w:spacing w:line="430" w:lineRule="exact"/>
        <w:ind w:firstLine="120" w:firstLineChars="50"/>
        <w:rPr>
          <w:rFonts w:ascii="宋体" w:hAnsi="宋体" w:cs="宋体"/>
          <w:color w:val="auto"/>
          <w:sz w:val="24"/>
          <w:highlight w:val="none"/>
        </w:rPr>
      </w:pPr>
      <w:r>
        <w:rPr>
          <w:rFonts w:hint="eastAsia" w:ascii="宋体" w:hAnsi="宋体" w:cs="宋体"/>
          <w:color w:val="auto"/>
          <w:sz w:val="24"/>
          <w:highlight w:val="none"/>
        </w:rPr>
        <w:t>(2) 在开磋商时出现电子磋商响应文件无法解密或解密失败等情况，供应商未提供电子备份磋商响应文件，无法对供应商继续进行评审的；</w:t>
      </w:r>
    </w:p>
    <w:p w14:paraId="60939AC7">
      <w:pPr>
        <w:spacing w:line="430" w:lineRule="exact"/>
        <w:rPr>
          <w:rFonts w:ascii="宋体" w:hAnsi="宋体" w:cs="宋体"/>
          <w:color w:val="auto"/>
          <w:sz w:val="24"/>
          <w:highlight w:val="none"/>
        </w:rPr>
      </w:pPr>
      <w:r>
        <w:rPr>
          <w:rFonts w:hint="eastAsia" w:ascii="宋体" w:hAnsi="宋体" w:cs="宋体"/>
          <w:color w:val="auto"/>
          <w:sz w:val="24"/>
          <w:highlight w:val="none"/>
        </w:rPr>
        <w:t>（3）供应商未在规定的时间内对电子询标函进行澄清回复、拒绝澄清回复或澄清回复的内容改变了磋商响应文件的实质性内容的；</w:t>
      </w:r>
    </w:p>
    <w:p w14:paraId="614DC626">
      <w:pPr>
        <w:spacing w:line="430" w:lineRule="exact"/>
        <w:rPr>
          <w:rFonts w:ascii="宋体" w:hAnsi="宋体" w:cs="宋体"/>
          <w:color w:val="auto"/>
          <w:sz w:val="24"/>
          <w:highlight w:val="none"/>
        </w:rPr>
      </w:pPr>
      <w:r>
        <w:rPr>
          <w:rFonts w:hint="eastAsia" w:ascii="宋体" w:hAnsi="宋体" w:cs="宋体"/>
          <w:color w:val="auto"/>
          <w:sz w:val="24"/>
          <w:highlight w:val="none"/>
        </w:rPr>
        <w:t xml:space="preserve">（4）网上下载的证明文件，不能通过真实性验证的（发现提供虚假资料的，按照提供虚假资料处理）； </w:t>
      </w:r>
    </w:p>
    <w:p w14:paraId="3ADFFDBD">
      <w:pPr>
        <w:spacing w:line="430" w:lineRule="exact"/>
        <w:rPr>
          <w:rFonts w:ascii="宋体" w:hAnsi="宋体" w:cs="宋体"/>
          <w:color w:val="auto"/>
          <w:sz w:val="24"/>
          <w:highlight w:val="none"/>
        </w:rPr>
      </w:pPr>
      <w:r>
        <w:rPr>
          <w:rFonts w:hint="eastAsia" w:ascii="宋体" w:hAnsi="宋体" w:cs="宋体"/>
          <w:color w:val="auto"/>
          <w:sz w:val="24"/>
          <w:highlight w:val="none"/>
        </w:rPr>
        <w:t>（5）资格证明文件不全的，或者不符合招标文件标明的资格要求的，及未提供招标文件中标有“▲”特殊符号的证明文件的；</w:t>
      </w:r>
    </w:p>
    <w:p w14:paraId="0555339F">
      <w:pPr>
        <w:spacing w:line="430" w:lineRule="exact"/>
        <w:rPr>
          <w:rFonts w:ascii="宋体" w:hAnsi="宋体" w:cs="宋体"/>
          <w:color w:val="auto"/>
          <w:sz w:val="24"/>
          <w:highlight w:val="none"/>
        </w:rPr>
      </w:pPr>
      <w:r>
        <w:rPr>
          <w:rFonts w:hint="eastAsia" w:ascii="宋体" w:hAnsi="宋体" w:cs="宋体"/>
          <w:color w:val="auto"/>
          <w:sz w:val="24"/>
          <w:highlight w:val="none"/>
        </w:rPr>
        <w:t>（6）本项目投标截止之日前三年内，相关主体在“信用中国”网站、中国政府采购网有失信行为或被列入受惩黑名单。</w:t>
      </w:r>
    </w:p>
    <w:p w14:paraId="70E06E86">
      <w:pPr>
        <w:spacing w:line="430" w:lineRule="exact"/>
        <w:rPr>
          <w:rFonts w:ascii="宋体" w:hAnsi="宋体" w:cs="宋体"/>
          <w:color w:val="auto"/>
          <w:sz w:val="24"/>
          <w:highlight w:val="none"/>
        </w:rPr>
      </w:pPr>
      <w:r>
        <w:rPr>
          <w:rFonts w:hint="eastAsia" w:ascii="宋体" w:hAnsi="宋体" w:cs="宋体"/>
          <w:color w:val="auto"/>
          <w:sz w:val="24"/>
          <w:highlight w:val="none"/>
        </w:rPr>
        <w:t>（7）磋商响应文件无法定代表人签字,或未提供法定代表人授权委托书、磋商声明书或者填写项目不齐全的；</w:t>
      </w:r>
    </w:p>
    <w:p w14:paraId="22719D49">
      <w:pPr>
        <w:spacing w:line="430" w:lineRule="exact"/>
        <w:rPr>
          <w:rFonts w:ascii="宋体" w:hAnsi="宋体" w:cs="宋体"/>
          <w:color w:val="auto"/>
          <w:sz w:val="24"/>
          <w:highlight w:val="none"/>
        </w:rPr>
      </w:pPr>
      <w:r>
        <w:rPr>
          <w:rFonts w:hint="eastAsia" w:ascii="宋体" w:hAnsi="宋体" w:cs="宋体"/>
          <w:color w:val="auto"/>
          <w:sz w:val="24"/>
          <w:highlight w:val="none"/>
        </w:rPr>
        <w:t xml:space="preserve">（8）磋商代表人未能出具身份证明或与法定代表人授权委托人身份不符的； </w:t>
      </w:r>
    </w:p>
    <w:p w14:paraId="1BF37691">
      <w:pPr>
        <w:spacing w:line="430" w:lineRule="exact"/>
        <w:rPr>
          <w:rFonts w:ascii="宋体" w:hAnsi="宋体" w:cs="宋体"/>
          <w:color w:val="auto"/>
          <w:sz w:val="24"/>
          <w:highlight w:val="none"/>
        </w:rPr>
      </w:pPr>
      <w:r>
        <w:rPr>
          <w:rFonts w:hint="eastAsia" w:ascii="宋体" w:hAnsi="宋体" w:cs="宋体"/>
          <w:color w:val="auto"/>
          <w:sz w:val="24"/>
          <w:highlight w:val="none"/>
        </w:rPr>
        <w:t>（9）磋商响应文件格式未按磋商文件附件规定的格式、未按磋商文件规定的内容编制磋商响应文件的或者内容虚假的、未按规定签字或盖章的；</w:t>
      </w:r>
    </w:p>
    <w:p w14:paraId="0845EF97">
      <w:pPr>
        <w:spacing w:line="430" w:lineRule="exact"/>
        <w:rPr>
          <w:rFonts w:ascii="宋体" w:hAnsi="宋体" w:cs="宋体"/>
          <w:color w:val="auto"/>
          <w:sz w:val="24"/>
          <w:highlight w:val="none"/>
        </w:rPr>
      </w:pPr>
      <w:r>
        <w:rPr>
          <w:rFonts w:hint="eastAsia" w:ascii="宋体" w:hAnsi="宋体" w:cs="宋体"/>
          <w:color w:val="auto"/>
          <w:sz w:val="24"/>
          <w:highlight w:val="none"/>
        </w:rPr>
        <w:t>（10）磋商响应文件的实质性内容未使用中文表述的或意思表述不明确、前后矛盾的或者使用计量单位不符合磋商文件要求的（经磋商小组认定并允许其当场更正的笔误除外）；</w:t>
      </w:r>
    </w:p>
    <w:p w14:paraId="63788258">
      <w:pPr>
        <w:spacing w:line="430" w:lineRule="exact"/>
        <w:rPr>
          <w:rFonts w:ascii="宋体" w:hAnsi="宋体" w:cs="宋体"/>
          <w:color w:val="auto"/>
          <w:sz w:val="24"/>
          <w:highlight w:val="none"/>
        </w:rPr>
      </w:pPr>
      <w:r>
        <w:rPr>
          <w:rFonts w:hint="eastAsia" w:ascii="宋体" w:hAnsi="宋体" w:cs="宋体"/>
          <w:color w:val="auto"/>
          <w:sz w:val="24"/>
          <w:highlight w:val="none"/>
        </w:rPr>
        <w:t>（11）磋商有效期、服务期（交货期）、质保期、付款方式等商务条款不能满足磋商文件要求的；</w:t>
      </w:r>
    </w:p>
    <w:p w14:paraId="614E5B6C">
      <w:pPr>
        <w:spacing w:line="430" w:lineRule="exact"/>
        <w:rPr>
          <w:rFonts w:ascii="宋体" w:hAnsi="宋体" w:cs="宋体"/>
          <w:color w:val="auto"/>
          <w:sz w:val="24"/>
          <w:highlight w:val="none"/>
        </w:rPr>
      </w:pPr>
      <w:r>
        <w:rPr>
          <w:rFonts w:hint="eastAsia" w:ascii="宋体" w:hAnsi="宋体" w:cs="宋体"/>
          <w:color w:val="auto"/>
          <w:sz w:val="24"/>
          <w:highlight w:val="none"/>
        </w:rPr>
        <w:t>（12）未实质性响应磋商文件要求或者磋商响应文件有招标方不能接受的附加条件的；</w:t>
      </w:r>
    </w:p>
    <w:p w14:paraId="0F2DD37D">
      <w:pPr>
        <w:spacing w:line="430" w:lineRule="exact"/>
        <w:rPr>
          <w:rFonts w:ascii="宋体" w:hAnsi="宋体" w:cs="宋体"/>
          <w:color w:val="auto"/>
          <w:sz w:val="24"/>
          <w:highlight w:val="none"/>
        </w:rPr>
      </w:pPr>
      <w:r>
        <w:rPr>
          <w:rFonts w:hint="eastAsia" w:ascii="宋体" w:hAnsi="宋体" w:cs="宋体"/>
          <w:color w:val="auto"/>
          <w:sz w:val="24"/>
          <w:highlight w:val="none"/>
        </w:rPr>
        <w:t>（13）磋商文件规定的其它磋商无效的情况；</w:t>
      </w:r>
    </w:p>
    <w:p w14:paraId="5E532506">
      <w:pPr>
        <w:tabs>
          <w:tab w:val="left" w:pos="401"/>
        </w:tabs>
        <w:spacing w:line="430" w:lineRule="exact"/>
        <w:rPr>
          <w:rFonts w:ascii="宋体" w:hAnsi="宋体" w:cs="宋体"/>
          <w:color w:val="auto"/>
          <w:sz w:val="24"/>
          <w:highlight w:val="none"/>
        </w:rPr>
      </w:pPr>
      <w:r>
        <w:rPr>
          <w:rFonts w:hint="eastAsia" w:ascii="宋体" w:hAnsi="宋体" w:cs="宋体"/>
          <w:color w:val="auto"/>
          <w:sz w:val="24"/>
          <w:highlight w:val="none"/>
        </w:rPr>
        <w:t>（14）法律、法规规定的其它磋商无效情况。</w:t>
      </w:r>
    </w:p>
    <w:p w14:paraId="6C642D86">
      <w:pPr>
        <w:spacing w:line="430" w:lineRule="exact"/>
        <w:rPr>
          <w:rFonts w:ascii="宋体" w:hAnsi="宋体" w:cs="宋体"/>
          <w:b/>
          <w:color w:val="auto"/>
          <w:sz w:val="24"/>
          <w:highlight w:val="none"/>
        </w:rPr>
      </w:pPr>
      <w:r>
        <w:rPr>
          <w:rFonts w:hint="eastAsia" w:ascii="宋体" w:hAnsi="宋体" w:cs="宋体"/>
          <w:b/>
          <w:color w:val="auto"/>
          <w:sz w:val="24"/>
          <w:highlight w:val="none"/>
        </w:rPr>
        <w:t>2.在技术资信评审时，如发现下列情形之一的，磋商响应文件将被视为无效：</w:t>
      </w:r>
    </w:p>
    <w:p w14:paraId="78522944">
      <w:pPr>
        <w:spacing w:line="430" w:lineRule="exact"/>
        <w:rPr>
          <w:rFonts w:ascii="宋体" w:hAnsi="宋体" w:cs="宋体"/>
          <w:b/>
          <w:color w:val="auto"/>
          <w:sz w:val="24"/>
          <w:highlight w:val="none"/>
        </w:rPr>
      </w:pPr>
      <w:r>
        <w:rPr>
          <w:rFonts w:hint="eastAsia" w:ascii="宋体" w:hAnsi="宋体" w:cs="宋体"/>
          <w:color w:val="auto"/>
          <w:sz w:val="24"/>
          <w:highlight w:val="none"/>
        </w:rPr>
        <w:t>（1）供应商未在规定的时间内对电子询标函进行澄清回复、拒绝澄清回复或澄清回复的内容改变了磋商响应文件的实质性内容的；</w:t>
      </w:r>
    </w:p>
    <w:p w14:paraId="1D2377A8">
      <w:pPr>
        <w:spacing w:line="430" w:lineRule="exact"/>
        <w:rPr>
          <w:rFonts w:ascii="宋体" w:hAnsi="宋体" w:cs="宋体"/>
          <w:color w:val="auto"/>
          <w:sz w:val="24"/>
          <w:highlight w:val="none"/>
        </w:rPr>
      </w:pPr>
      <w:r>
        <w:rPr>
          <w:rFonts w:hint="eastAsia" w:ascii="宋体" w:hAnsi="宋体" w:cs="宋体"/>
          <w:color w:val="auto"/>
          <w:sz w:val="24"/>
          <w:highlight w:val="none"/>
        </w:rPr>
        <w:t>（2）磋商响应文件标明的响应或偏离与事实不符的或虚假响应的；</w:t>
      </w:r>
    </w:p>
    <w:p w14:paraId="6AE58C25">
      <w:pPr>
        <w:spacing w:line="430" w:lineRule="exact"/>
        <w:rPr>
          <w:rFonts w:ascii="宋体" w:hAnsi="宋体" w:cs="宋体"/>
          <w:color w:val="auto"/>
          <w:sz w:val="24"/>
          <w:highlight w:val="none"/>
        </w:rPr>
      </w:pPr>
      <w:r>
        <w:rPr>
          <w:rFonts w:hint="eastAsia" w:ascii="宋体" w:hAnsi="宋体" w:cs="宋体"/>
          <w:color w:val="auto"/>
          <w:sz w:val="24"/>
          <w:highlight w:val="none"/>
        </w:rPr>
        <w:t>（3）明显不符合招标文件质量标准的，或者与招标文件中标有“▲”特殊符号的技术指标、主要功能项目发生实质性偏离的；</w:t>
      </w:r>
    </w:p>
    <w:p w14:paraId="4F7B6D9C">
      <w:pPr>
        <w:spacing w:line="430" w:lineRule="exact"/>
        <w:rPr>
          <w:rFonts w:ascii="宋体" w:hAnsi="宋体" w:cs="宋体"/>
          <w:color w:val="auto"/>
          <w:sz w:val="24"/>
          <w:highlight w:val="none"/>
        </w:rPr>
      </w:pPr>
      <w:r>
        <w:rPr>
          <w:rFonts w:hint="eastAsia" w:ascii="宋体" w:hAnsi="宋体" w:cs="宋体"/>
          <w:color w:val="auto"/>
          <w:sz w:val="24"/>
          <w:highlight w:val="none"/>
        </w:rPr>
        <w:t>（4）磋商文件中允许偏离的技术、性能指标或者辅助功能发生较大负偏离的，经磋商小组认定对项目实际使用造成影响的；</w:t>
      </w:r>
    </w:p>
    <w:p w14:paraId="13BEE52A">
      <w:pPr>
        <w:spacing w:line="430" w:lineRule="exact"/>
        <w:rPr>
          <w:rFonts w:ascii="宋体" w:hAnsi="宋体" w:cs="宋体"/>
          <w:color w:val="auto"/>
          <w:sz w:val="24"/>
          <w:highlight w:val="none"/>
        </w:rPr>
      </w:pPr>
      <w:r>
        <w:rPr>
          <w:rFonts w:hint="eastAsia" w:ascii="宋体" w:hAnsi="宋体" w:cs="宋体"/>
          <w:color w:val="auto"/>
          <w:sz w:val="24"/>
          <w:highlight w:val="none"/>
        </w:rPr>
        <w:t>（5）磋商响应文件技术方案不明确，存在一个或一个以上备选（替代）磋商响应方案的；</w:t>
      </w:r>
    </w:p>
    <w:p w14:paraId="5283958C">
      <w:pPr>
        <w:spacing w:line="430" w:lineRule="exact"/>
        <w:rPr>
          <w:rFonts w:ascii="宋体" w:hAnsi="宋体" w:cs="宋体"/>
          <w:color w:val="auto"/>
          <w:sz w:val="24"/>
          <w:highlight w:val="none"/>
        </w:rPr>
      </w:pPr>
      <w:r>
        <w:rPr>
          <w:rFonts w:hint="eastAsia" w:ascii="宋体" w:hAnsi="宋体" w:cs="宋体"/>
          <w:color w:val="auto"/>
          <w:sz w:val="24"/>
          <w:highlight w:val="none"/>
        </w:rPr>
        <w:t>（6）与其他参加本次磋商供应商的磋商响应文件的文字表述内容相同连续20行以上或者差错相同2处以上的；</w:t>
      </w:r>
    </w:p>
    <w:p w14:paraId="7DCACEBE">
      <w:pPr>
        <w:spacing w:line="430" w:lineRule="exact"/>
        <w:rPr>
          <w:rFonts w:ascii="宋体" w:hAnsi="宋体" w:cs="宋体"/>
          <w:color w:val="auto"/>
          <w:sz w:val="24"/>
          <w:highlight w:val="none"/>
        </w:rPr>
      </w:pPr>
      <w:r>
        <w:rPr>
          <w:rFonts w:hint="eastAsia" w:ascii="宋体" w:hAnsi="宋体" w:cs="宋体"/>
          <w:color w:val="auto"/>
          <w:sz w:val="24"/>
          <w:highlight w:val="none"/>
        </w:rPr>
        <w:t>（7）在资信及商务标、技术标内出现商务报价；</w:t>
      </w:r>
    </w:p>
    <w:p w14:paraId="2BE74CBF">
      <w:pPr>
        <w:spacing w:line="430" w:lineRule="exact"/>
        <w:rPr>
          <w:rFonts w:ascii="宋体" w:hAnsi="宋体" w:cs="宋体"/>
          <w:color w:val="auto"/>
          <w:sz w:val="24"/>
          <w:highlight w:val="none"/>
        </w:rPr>
      </w:pPr>
      <w:r>
        <w:rPr>
          <w:rFonts w:hint="eastAsia" w:ascii="宋体" w:hAnsi="宋体" w:cs="宋体"/>
          <w:color w:val="auto"/>
          <w:sz w:val="24"/>
          <w:highlight w:val="none"/>
        </w:rPr>
        <w:t>（8）磋商文件规定的其它磋商无效的情况；</w:t>
      </w:r>
    </w:p>
    <w:p w14:paraId="0280B6EA">
      <w:pPr>
        <w:spacing w:line="430" w:lineRule="exact"/>
        <w:rPr>
          <w:rFonts w:ascii="宋体" w:hAnsi="宋体" w:cs="宋体"/>
          <w:color w:val="auto"/>
          <w:sz w:val="24"/>
          <w:highlight w:val="none"/>
        </w:rPr>
      </w:pPr>
      <w:r>
        <w:rPr>
          <w:rFonts w:hint="eastAsia" w:ascii="宋体" w:hAnsi="宋体" w:cs="宋体"/>
          <w:color w:val="auto"/>
          <w:sz w:val="24"/>
          <w:highlight w:val="none"/>
        </w:rPr>
        <w:t>（9）法律、法规规定的其它磋商无效情况。</w:t>
      </w:r>
    </w:p>
    <w:p w14:paraId="6AE31D8E">
      <w:pPr>
        <w:spacing w:line="430" w:lineRule="exact"/>
        <w:rPr>
          <w:rFonts w:ascii="宋体" w:hAnsi="宋体" w:cs="宋体"/>
          <w:b/>
          <w:color w:val="auto"/>
          <w:sz w:val="24"/>
          <w:highlight w:val="none"/>
        </w:rPr>
      </w:pPr>
      <w:r>
        <w:rPr>
          <w:rFonts w:hint="eastAsia" w:ascii="宋体" w:hAnsi="宋体" w:cs="宋体"/>
          <w:b/>
          <w:color w:val="auto"/>
          <w:sz w:val="24"/>
          <w:highlight w:val="none"/>
        </w:rPr>
        <w:t>3.在报价评审时，如发现下列情形之一的，磋商响应文件将被视为无效：</w:t>
      </w:r>
    </w:p>
    <w:p w14:paraId="543AE082">
      <w:pPr>
        <w:spacing w:line="336" w:lineRule="auto"/>
        <w:rPr>
          <w:rFonts w:hint="eastAsia" w:ascii="宋体" w:hAnsi="宋体" w:cs="宋体"/>
          <w:sz w:val="24"/>
        </w:rPr>
      </w:pPr>
      <w:r>
        <w:rPr>
          <w:rFonts w:hint="eastAsia" w:ascii="宋体" w:hAnsi="宋体" w:cs="宋体"/>
          <w:sz w:val="24"/>
        </w:rPr>
        <w:t>（1）投标人未在规定的时间内对电子询标函进行澄清回复、拒绝澄清回复或者澄清回复的内容改变了投标文件的实质性内容的；</w:t>
      </w:r>
    </w:p>
    <w:p w14:paraId="08124D08">
      <w:pPr>
        <w:spacing w:line="336" w:lineRule="auto"/>
        <w:rPr>
          <w:rFonts w:hint="eastAsia" w:ascii="宋体" w:hAnsi="宋体" w:cs="宋体"/>
          <w:sz w:val="24"/>
        </w:rPr>
      </w:pPr>
      <w:r>
        <w:rPr>
          <w:rFonts w:hint="eastAsia" w:ascii="宋体" w:hAnsi="宋体" w:cs="宋体"/>
          <w:sz w:val="24"/>
        </w:rPr>
        <w:t>（2）未填写投标报价或未采用人民币报价或者未按照招标文件标明的币种报价的；</w:t>
      </w:r>
    </w:p>
    <w:p w14:paraId="4D4F8D8A">
      <w:pPr>
        <w:spacing w:line="336" w:lineRule="auto"/>
        <w:rPr>
          <w:rFonts w:hint="eastAsia" w:ascii="宋体" w:hAnsi="宋体" w:cs="宋体"/>
          <w:sz w:val="24"/>
        </w:rPr>
      </w:pPr>
      <w:r>
        <w:rPr>
          <w:rFonts w:hint="eastAsia" w:ascii="宋体" w:hAnsi="宋体" w:cs="宋体"/>
          <w:sz w:val="24"/>
        </w:rPr>
        <w:t>（3）投标报价具有选择性的，或者开标价格与投标文件承诺的优惠（折扣）价格不一致的；</w:t>
      </w:r>
    </w:p>
    <w:p w14:paraId="32162107">
      <w:pPr>
        <w:spacing w:line="336" w:lineRule="auto"/>
        <w:rPr>
          <w:rFonts w:hint="eastAsia" w:ascii="宋体" w:hAnsi="宋体" w:cs="宋体"/>
          <w:sz w:val="24"/>
        </w:rPr>
      </w:pPr>
      <w:r>
        <w:rPr>
          <w:rFonts w:hint="eastAsia" w:ascii="宋体" w:hAnsi="宋体" w:cs="宋体"/>
          <w:sz w:val="24"/>
        </w:rPr>
        <w:t>（4）报价高于用户设定的最高限价或预算金额的；</w:t>
      </w:r>
    </w:p>
    <w:p w14:paraId="2A0774F2">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政府采购评审中出现下列1~4情形之一的，评审委员会应当启动异常低价投标(响应)审查程序，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般不少于30分钟。其中，属于第3项情形，供应商已随投标(响应)文件一并提交相关书面说明及必要的证明材料的，在评审现场可不再重复提交(本项目鼓励属于以下第3项情形的供应商在报价文件中提供必要的证明材料):</w:t>
      </w:r>
    </w:p>
    <w:p w14:paraId="1EBBA12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1.投标（响应）报价低于全部通过符合性审查供应商投标（响应）报价平均值50%的，即投标（响应）报价&lt;全部通过符合性审查供应商投标（响应）报价平均值×50%；</w:t>
      </w:r>
    </w:p>
    <w:p w14:paraId="397D0914">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2.投标（响应）报价低于通过符合性审查的次低报价供应商投标（响应）报价50%的，即投标（响应）报价&lt;通过符合性审查的次低报价供应商投标（响应）报价×50%；</w:t>
      </w:r>
    </w:p>
    <w:p w14:paraId="070B5233">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3.投标（响应）报价低于采购项目最高限价45%的，即投标（响应）报价&lt;采购项目最高限价×45%；</w:t>
      </w:r>
    </w:p>
    <w:p w14:paraId="28BA52F4">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4.评审委员会基于专业判断，认为供应商报价过低，有可能影响产品质量或者不能诚信履约的其他情形。</w:t>
      </w:r>
    </w:p>
    <w:p w14:paraId="5F3AD53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5.相关法律法规对供应商报价有规定的，从其规定。</w:t>
      </w:r>
    </w:p>
    <w:p w14:paraId="0D8CBAD5">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评审专家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200B360">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（6）电子投标文件未按规定要求进行签字、电子签章的。</w:t>
      </w:r>
    </w:p>
    <w:p w14:paraId="7BAF25A8">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法律、法规规定的其它投标无效情况。</w:t>
      </w:r>
    </w:p>
    <w:p w14:paraId="37EC5166">
      <w:pPr>
        <w:spacing w:line="360" w:lineRule="auto"/>
        <w:rPr>
          <w:rFonts w:hint="eastAsia" w:ascii="宋体" w:hAnsi="宋体" w:cs="宋体"/>
          <w:b/>
          <w:sz w:val="24"/>
          <w:lang w:val="en-US" w:eastAsia="zh-CN"/>
        </w:rPr>
      </w:pPr>
      <w:r>
        <w:rPr>
          <w:rFonts w:hint="eastAsia" w:ascii="宋体" w:hAnsi="宋体" w:cs="宋体"/>
          <w:b/>
          <w:sz w:val="24"/>
          <w:lang w:val="en-US" w:eastAsia="zh-CN"/>
        </w:rPr>
        <w:t>4.参加同一个标段（包）的供应商存在下列情形之一的，其投标（响应）文件无效：</w:t>
      </w:r>
    </w:p>
    <w:p w14:paraId="0D07B1B6">
      <w:pPr>
        <w:spacing w:line="360" w:lineRule="auto"/>
        <w:rPr>
          <w:rFonts w:hint="eastAsia" w:ascii="宋体" w:hAnsi="宋体" w:cs="宋体"/>
          <w:b w:val="0"/>
          <w:bCs/>
          <w:sz w:val="24"/>
          <w:lang w:val="en-US" w:eastAsia="zh-CN"/>
        </w:rPr>
      </w:pPr>
      <w:r>
        <w:rPr>
          <w:rFonts w:hint="eastAsia" w:ascii="宋体" w:hAnsi="宋体" w:cs="宋体"/>
          <w:b w:val="0"/>
          <w:bCs/>
          <w:sz w:val="24"/>
          <w:lang w:val="en-US" w:eastAsia="zh-CN"/>
        </w:rPr>
        <w:t>（一）不同供应商制作电子投标（响应）文件的计算机网卡MAC地址相同的；</w:t>
      </w:r>
    </w:p>
    <w:p w14:paraId="5BCD0AA5">
      <w:pPr>
        <w:spacing w:line="360" w:lineRule="auto"/>
        <w:rPr>
          <w:rFonts w:hint="eastAsia" w:ascii="宋体" w:hAnsi="宋体" w:cs="宋体"/>
          <w:b w:val="0"/>
          <w:bCs/>
          <w:sz w:val="24"/>
          <w:lang w:val="en-US" w:eastAsia="zh-CN"/>
        </w:rPr>
      </w:pPr>
      <w:r>
        <w:rPr>
          <w:rFonts w:hint="eastAsia" w:ascii="宋体" w:hAnsi="宋体" w:cs="宋体"/>
          <w:b w:val="0"/>
          <w:bCs/>
          <w:sz w:val="24"/>
          <w:lang w:val="en-US" w:eastAsia="zh-CN"/>
        </w:rPr>
        <w:t>（二）不同供应商制作电子投标（响应）文件的计算机硬盘序列号相同的；</w:t>
      </w:r>
    </w:p>
    <w:p w14:paraId="6EA907C7">
      <w:pPr>
        <w:pStyle w:val="37"/>
        <w:ind w:left="0" w:leftChars="0" w:firstLine="0" w:firstLineChars="0"/>
        <w:rPr>
          <w:rFonts w:hint="eastAsia"/>
        </w:rPr>
      </w:pPr>
      <w:r>
        <w:rPr>
          <w:rFonts w:hint="eastAsia" w:ascii="宋体" w:hAnsi="宋体" w:cs="宋体"/>
          <w:b w:val="0"/>
          <w:bCs/>
          <w:sz w:val="24"/>
          <w:lang w:val="en-US" w:eastAsia="zh-CN"/>
        </w:rPr>
        <w:t>（三）不同供应商的投标（响应）文件的内容存在两处以上细节错误一致，且无法合理解释的。”</w:t>
      </w:r>
    </w:p>
    <w:p w14:paraId="640C8A37">
      <w:pPr>
        <w:spacing w:line="430" w:lineRule="exact"/>
        <w:rPr>
          <w:rFonts w:ascii="宋体" w:hAnsi="宋体" w:cs="宋体"/>
          <w:b/>
          <w:color w:val="auto"/>
          <w:sz w:val="24"/>
          <w:highlight w:val="none"/>
        </w:rPr>
      </w:pP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.被拒绝的磋商响应文件为无效。</w:t>
      </w:r>
    </w:p>
    <w:p w14:paraId="011DB611">
      <w:pPr>
        <w:spacing w:line="430" w:lineRule="exact"/>
        <w:rPr>
          <w:rFonts w:hint="eastAsia" w:ascii="宋体" w:hAnsi="宋体" w:cs="宋体"/>
          <w:b/>
          <w:color w:val="auto"/>
          <w:sz w:val="24"/>
          <w:highlight w:val="none"/>
        </w:rPr>
      </w:pP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.根据有关法律、法规规定为无效、废标的，按法律、法规规定执行。</w:t>
      </w:r>
      <w:bookmarkStart w:id="27" w:name="_Toc458697270"/>
      <w:bookmarkStart w:id="28" w:name="_Toc8570"/>
    </w:p>
    <w:p w14:paraId="1EE1BD03">
      <w:pPr>
        <w:spacing w:line="430" w:lineRule="exact"/>
        <w:ind w:firstLine="3614" w:firstLineChars="15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四、开标</w:t>
      </w:r>
      <w:bookmarkEnd w:id="27"/>
      <w:bookmarkEnd w:id="28"/>
    </w:p>
    <w:p w14:paraId="620CBDA9">
      <w:pPr>
        <w:spacing w:line="360" w:lineRule="auto"/>
        <w:rPr>
          <w:rFonts w:ascii="宋体" w:hAnsi="宋体" w:cs="宋体"/>
          <w:b/>
          <w:color w:val="auto"/>
          <w:sz w:val="24"/>
          <w:highlight w:val="none"/>
        </w:rPr>
      </w:pPr>
      <w:bookmarkStart w:id="29" w:name="_Toc458697271"/>
      <w:r>
        <w:rPr>
          <w:rFonts w:hint="eastAsia" w:ascii="宋体" w:hAnsi="宋体" w:cs="宋体"/>
          <w:b/>
          <w:color w:val="auto"/>
          <w:sz w:val="24"/>
          <w:highlight w:val="none"/>
        </w:rPr>
        <w:t xml:space="preserve">（一）开标准备   </w:t>
      </w:r>
    </w:p>
    <w:p w14:paraId="6EBC53AC">
      <w:pPr>
        <w:spacing w:line="360" w:lineRule="auto"/>
        <w:ind w:firstLine="720" w:firstLineChars="300"/>
        <w:rPr>
          <w:rFonts w:ascii="宋体" w:hAnsi="宋体" w:cs="宋体"/>
          <w:bCs/>
          <w:color w:val="auto"/>
          <w:sz w:val="24"/>
          <w:highlight w:val="none"/>
        </w:rPr>
      </w:pPr>
      <w:r>
        <w:rPr>
          <w:rFonts w:hint="eastAsia" w:ascii="宋体" w:hAnsi="宋体" w:cs="宋体"/>
          <w:bCs/>
          <w:color w:val="auto"/>
          <w:sz w:val="24"/>
          <w:highlight w:val="none"/>
        </w:rPr>
        <w:t>采购代理机构将在规定的时间和地点进行电子开标，供应商的法定代表人或其委托代理人【委托代理人应当是供应商的在职正式职工】应做好磋商准备，准时在线参加电子开标会议，随时关注磋商进度。</w:t>
      </w:r>
    </w:p>
    <w:p w14:paraId="5BC00DE9">
      <w:pPr>
        <w:spacing w:line="360" w:lineRule="auto"/>
        <w:rPr>
          <w:rFonts w:ascii="宋体" w:hAnsi="宋体" w:cs="宋体"/>
          <w:b/>
          <w:color w:val="auto"/>
          <w:sz w:val="24"/>
          <w:highlight w:val="none"/>
        </w:rPr>
      </w:pPr>
      <w:r>
        <w:rPr>
          <w:rFonts w:hint="eastAsia" w:ascii="宋体" w:hAnsi="宋体" w:cs="宋体"/>
          <w:b/>
          <w:color w:val="auto"/>
          <w:sz w:val="24"/>
          <w:highlight w:val="none"/>
        </w:rPr>
        <w:t>（二）电子磋商开标程序</w:t>
      </w:r>
    </w:p>
    <w:p w14:paraId="76595FBA">
      <w:pPr>
        <w:spacing w:line="360" w:lineRule="auto"/>
        <w:rPr>
          <w:rFonts w:ascii="宋体" w:hAnsi="宋体" w:cs="宋体"/>
          <w:bCs/>
          <w:color w:val="auto"/>
          <w:sz w:val="24"/>
          <w:highlight w:val="none"/>
        </w:rPr>
      </w:pPr>
      <w:r>
        <w:rPr>
          <w:rFonts w:hint="eastAsia" w:ascii="宋体" w:hAnsi="宋体" w:cs="宋体"/>
          <w:bCs/>
          <w:color w:val="auto"/>
          <w:sz w:val="24"/>
          <w:highlight w:val="none"/>
        </w:rPr>
        <w:t>1.开标会由招标代理机构主持，主持人宣布开标会议开始；</w:t>
      </w:r>
    </w:p>
    <w:p w14:paraId="7AA04590">
      <w:pPr>
        <w:spacing w:line="360" w:lineRule="auto"/>
        <w:rPr>
          <w:rFonts w:ascii="宋体" w:hAnsi="宋体" w:cs="宋体"/>
          <w:bCs/>
          <w:color w:val="auto"/>
          <w:sz w:val="24"/>
          <w:highlight w:val="none"/>
        </w:rPr>
      </w:pPr>
      <w:r>
        <w:rPr>
          <w:rFonts w:hint="eastAsia" w:ascii="宋体" w:hAnsi="宋体" w:cs="宋体"/>
          <w:bCs/>
          <w:color w:val="auto"/>
          <w:sz w:val="24"/>
          <w:highlight w:val="none"/>
        </w:rPr>
        <w:t>2.主持人宣布会议纪律及磋商期间的有关事项；告知应当回避的情形,提请有关人员回避；</w:t>
      </w:r>
    </w:p>
    <w:p w14:paraId="3D16F8AF">
      <w:pPr>
        <w:spacing w:line="360" w:lineRule="auto"/>
        <w:rPr>
          <w:rFonts w:ascii="宋体" w:hAnsi="宋体" w:cs="宋体"/>
          <w:color w:val="auto"/>
          <w:sz w:val="24"/>
          <w:highlight w:val="none"/>
        </w:rPr>
      </w:pPr>
      <w:r>
        <w:rPr>
          <w:rFonts w:hint="eastAsia" w:ascii="宋体" w:hAnsi="宋体" w:cs="宋体"/>
          <w:color w:val="auto"/>
          <w:sz w:val="24"/>
          <w:highlight w:val="none"/>
        </w:rPr>
        <w:t>3.开标及评审程序</w:t>
      </w:r>
    </w:p>
    <w:p w14:paraId="292FF5F1">
      <w:pPr>
        <w:spacing w:line="360" w:lineRule="auto"/>
        <w:rPr>
          <w:rFonts w:ascii="宋体" w:hAnsi="宋体" w:cs="宋体"/>
          <w:color w:val="auto"/>
          <w:sz w:val="24"/>
          <w:highlight w:val="none"/>
        </w:rPr>
      </w:pPr>
      <w:r>
        <w:rPr>
          <w:rFonts w:hint="eastAsia" w:ascii="宋体" w:hAnsi="宋体" w:cs="宋体"/>
          <w:color w:val="auto"/>
          <w:sz w:val="24"/>
          <w:highlight w:val="none"/>
        </w:rPr>
        <w:t>3.1在开标时间截止后30分钟内由各供应商自行对磋商响应文件进行解密；</w:t>
      </w:r>
    </w:p>
    <w:p w14:paraId="1FA065D1">
      <w:pPr>
        <w:spacing w:line="360" w:lineRule="auto"/>
        <w:ind w:left="480" w:hanging="480" w:hangingChars="200"/>
        <w:rPr>
          <w:rFonts w:ascii="宋体" w:hAnsi="宋体" w:cs="宋体"/>
          <w:color w:val="auto"/>
          <w:sz w:val="24"/>
          <w:highlight w:val="none"/>
        </w:rPr>
      </w:pPr>
      <w:r>
        <w:rPr>
          <w:rFonts w:hint="eastAsia" w:ascii="宋体" w:hAnsi="宋体" w:cs="宋体"/>
          <w:color w:val="auto"/>
          <w:sz w:val="24"/>
          <w:highlight w:val="none"/>
        </w:rPr>
        <w:t>3.2由采购人进行资格审查；</w:t>
      </w:r>
    </w:p>
    <w:p w14:paraId="02850267">
      <w:pPr>
        <w:spacing w:line="360" w:lineRule="auto"/>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通过资格审查的供应商进行在线磋商；</w:t>
      </w:r>
    </w:p>
    <w:p w14:paraId="31F99C98">
      <w:pPr>
        <w:spacing w:line="360" w:lineRule="auto"/>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供应商提交最终报价；</w:t>
      </w:r>
    </w:p>
    <w:p w14:paraId="6C215865">
      <w:pPr>
        <w:spacing w:line="360" w:lineRule="auto"/>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5专家对</w:t>
      </w:r>
      <w:r>
        <w:rPr>
          <w:rFonts w:hint="eastAsia" w:ascii="宋体" w:hAnsi="宋体" w:cs="宋体"/>
          <w:color w:val="auto"/>
          <w:sz w:val="24"/>
          <w:highlight w:val="none"/>
        </w:rPr>
        <w:t>商务技术响应文件进行评审</w:t>
      </w:r>
      <w:r>
        <w:rPr>
          <w:rFonts w:hint="eastAsia" w:ascii="宋体" w:hAnsi="宋体" w:cs="宋体"/>
          <w:color w:val="auto"/>
          <w:sz w:val="24"/>
          <w:highlight w:val="none"/>
          <w:lang w:eastAsia="zh-CN"/>
        </w:rPr>
        <w:t>，</w:t>
      </w:r>
      <w:r>
        <w:rPr>
          <w:rFonts w:hint="eastAsia" w:ascii="宋体" w:hAnsi="宋体" w:cs="宋体"/>
          <w:color w:val="auto"/>
          <w:sz w:val="24"/>
          <w:highlight w:val="none"/>
        </w:rPr>
        <w:t>系统对各供应商的商务技术进行汇总；</w:t>
      </w:r>
    </w:p>
    <w:p w14:paraId="584D7755">
      <w:pPr>
        <w:spacing w:line="360" w:lineRule="auto"/>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在系统上公布评审结果。</w:t>
      </w:r>
    </w:p>
    <w:p w14:paraId="3E60B2CD">
      <w:pPr>
        <w:spacing w:line="360" w:lineRule="auto"/>
        <w:rPr>
          <w:rFonts w:ascii="宋体" w:hAnsi="宋体" w:cs="宋体"/>
          <w:b/>
          <w:color w:val="auto"/>
          <w:sz w:val="24"/>
          <w:highlight w:val="none"/>
        </w:rPr>
      </w:pPr>
      <w:r>
        <w:rPr>
          <w:rFonts w:hint="eastAsia" w:ascii="宋体" w:hAnsi="宋体" w:cs="宋体"/>
          <w:b/>
          <w:color w:val="auto"/>
          <w:sz w:val="24"/>
          <w:highlight w:val="none"/>
        </w:rPr>
        <w:t>特别说明：政采云公司如对电子化开标及评审程序有调整的，按调整后的程序操作。</w:t>
      </w:r>
    </w:p>
    <w:p w14:paraId="3716E191">
      <w:pPr>
        <w:numPr>
          <w:ilvl w:val="0"/>
          <w:numId w:val="8"/>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本项目采用政采云电子磋商开标及评审程序，磋商时出现电子磋商响应文件无法解密或解密失败等情况时，采购代理机构可上传供应商的电子备份磋商响应文件继续评审。</w:t>
      </w:r>
      <w:bookmarkStart w:id="30" w:name="_Toc14573"/>
    </w:p>
    <w:p w14:paraId="2E16C856">
      <w:pPr>
        <w:numPr>
          <w:ilvl w:val="0"/>
          <w:numId w:val="0"/>
        </w:numPr>
        <w:spacing w:line="360" w:lineRule="auto"/>
        <w:ind w:firstLine="3373" w:firstLineChars="14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bookmarkEnd w:id="29"/>
      <w:r>
        <w:rPr>
          <w:rFonts w:hint="eastAsia" w:ascii="宋体" w:hAnsi="宋体" w:eastAsia="宋体" w:cs="宋体"/>
          <w:b/>
          <w:bCs/>
          <w:color w:val="auto"/>
          <w:sz w:val="24"/>
          <w:szCs w:val="24"/>
          <w:highlight w:val="none"/>
        </w:rPr>
        <w:t>磋商</w:t>
      </w:r>
      <w:bookmarkEnd w:id="30"/>
    </w:p>
    <w:p w14:paraId="62BE5580">
      <w:pPr>
        <w:spacing w:line="360" w:lineRule="auto"/>
        <w:rPr>
          <w:rFonts w:ascii="宋体" w:hAnsi="宋体" w:cs="宋体"/>
          <w:b/>
          <w:color w:val="auto"/>
          <w:sz w:val="24"/>
          <w:highlight w:val="none"/>
        </w:rPr>
      </w:pPr>
      <w:r>
        <w:rPr>
          <w:rFonts w:hint="eastAsia" w:ascii="宋体" w:hAnsi="宋体" w:cs="宋体"/>
          <w:b/>
          <w:color w:val="auto"/>
          <w:sz w:val="24"/>
          <w:highlight w:val="none"/>
        </w:rPr>
        <w:t>（一）组建磋商小组</w:t>
      </w:r>
    </w:p>
    <w:p w14:paraId="4FA7BE80">
      <w:pPr>
        <w:spacing w:line="360" w:lineRule="auto"/>
        <w:rPr>
          <w:rFonts w:ascii="宋体" w:hAnsi="宋体" w:cs="宋体"/>
          <w:color w:val="auto"/>
          <w:sz w:val="24"/>
          <w:highlight w:val="none"/>
        </w:rPr>
      </w:pPr>
      <w:r>
        <w:rPr>
          <w:rFonts w:hint="eastAsia" w:ascii="宋体" w:hAnsi="宋体" w:cs="宋体"/>
          <w:color w:val="auto"/>
          <w:sz w:val="24"/>
          <w:highlight w:val="none"/>
        </w:rPr>
        <w:t>本项目磋商小组由政府采购评审专家</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人和采购人代表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人,共</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人组成。（允许采购人不推荐采购人代表参加，如采购人不推荐采购人代表参加评审时，磋商小组（</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人）都从评标专家库中抽取）。</w:t>
      </w:r>
    </w:p>
    <w:p w14:paraId="50A45825">
      <w:pPr>
        <w:spacing w:line="360" w:lineRule="auto"/>
        <w:rPr>
          <w:rFonts w:ascii="宋体" w:hAnsi="宋体" w:cs="宋体"/>
          <w:b/>
          <w:color w:val="auto"/>
          <w:sz w:val="24"/>
          <w:highlight w:val="none"/>
        </w:rPr>
      </w:pPr>
      <w:r>
        <w:rPr>
          <w:rFonts w:hint="eastAsia" w:ascii="宋体" w:hAnsi="宋体" w:cs="宋体"/>
          <w:b/>
          <w:color w:val="auto"/>
          <w:sz w:val="24"/>
          <w:highlight w:val="none"/>
        </w:rPr>
        <w:t>（二）磋商的方式</w:t>
      </w:r>
    </w:p>
    <w:p w14:paraId="44724056">
      <w:pPr>
        <w:spacing w:line="360" w:lineRule="auto"/>
        <w:rPr>
          <w:rFonts w:ascii="宋体" w:hAnsi="宋体" w:cs="宋体"/>
          <w:color w:val="auto"/>
          <w:sz w:val="24"/>
          <w:highlight w:val="none"/>
        </w:rPr>
      </w:pPr>
      <w:r>
        <w:rPr>
          <w:rFonts w:hint="eastAsia" w:ascii="宋体" w:hAnsi="宋体" w:cs="宋体"/>
          <w:color w:val="auto"/>
          <w:sz w:val="24"/>
          <w:highlight w:val="none"/>
        </w:rPr>
        <w:t>本项目采用不公开方式磋商，磋商的依据为磋商文件和磋商响应文件。</w:t>
      </w:r>
    </w:p>
    <w:p w14:paraId="75A18EB5">
      <w:pPr>
        <w:spacing w:line="360" w:lineRule="auto"/>
        <w:rPr>
          <w:rFonts w:ascii="宋体" w:hAnsi="宋体" w:cs="宋体"/>
          <w:b/>
          <w:color w:val="auto"/>
          <w:sz w:val="24"/>
          <w:highlight w:val="none"/>
        </w:rPr>
      </w:pPr>
      <w:r>
        <w:rPr>
          <w:rFonts w:hint="eastAsia" w:ascii="宋体" w:hAnsi="宋体" w:cs="宋体"/>
          <w:b/>
          <w:color w:val="auto"/>
          <w:sz w:val="24"/>
          <w:highlight w:val="none"/>
        </w:rPr>
        <w:t>（三）磋商程序</w:t>
      </w:r>
    </w:p>
    <w:p w14:paraId="003E6744">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1.形式审查</w:t>
      </w:r>
    </w:p>
    <w:p w14:paraId="184A38A4">
      <w:pPr>
        <w:spacing w:line="360" w:lineRule="auto"/>
        <w:rPr>
          <w:rFonts w:ascii="宋体" w:hAnsi="宋体" w:cs="宋体"/>
          <w:b/>
          <w:color w:val="auto"/>
          <w:sz w:val="24"/>
          <w:highlight w:val="none"/>
        </w:rPr>
      </w:pPr>
      <w:r>
        <w:rPr>
          <w:rFonts w:hint="eastAsia" w:ascii="宋体" w:hAnsi="宋体" w:cs="宋体"/>
          <w:color w:val="auto"/>
          <w:sz w:val="24"/>
          <w:highlight w:val="none"/>
        </w:rPr>
        <w:t>招标方工作人员协助磋商小组对供应商的商务技术文件、报价文件的完整性、合法性等进行审查。</w:t>
      </w:r>
    </w:p>
    <w:p w14:paraId="130D4FB3">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2.实质审查与比较</w:t>
      </w:r>
    </w:p>
    <w:p w14:paraId="37CB4B0A">
      <w:pPr>
        <w:spacing w:line="360" w:lineRule="auto"/>
        <w:rPr>
          <w:rFonts w:ascii="宋体" w:hAnsi="宋体" w:cs="宋体"/>
          <w:color w:val="auto"/>
          <w:sz w:val="24"/>
          <w:highlight w:val="none"/>
        </w:rPr>
      </w:pPr>
      <w:r>
        <w:rPr>
          <w:rFonts w:hint="eastAsia" w:ascii="宋体" w:hAnsi="宋体" w:cs="宋体"/>
          <w:color w:val="auto"/>
          <w:sz w:val="24"/>
          <w:highlight w:val="none"/>
        </w:rPr>
        <w:t>（1）磋商小组审查磋商响应文件的实质性内容是否符合磋商文件的实质性要求。</w:t>
      </w:r>
    </w:p>
    <w:p w14:paraId="19B78F22">
      <w:pPr>
        <w:spacing w:line="360" w:lineRule="auto"/>
        <w:rPr>
          <w:rFonts w:ascii="宋体" w:hAnsi="宋体" w:cs="宋体"/>
          <w:color w:val="auto"/>
          <w:sz w:val="24"/>
          <w:highlight w:val="none"/>
        </w:rPr>
      </w:pPr>
      <w:r>
        <w:rPr>
          <w:rFonts w:hint="eastAsia" w:ascii="宋体" w:hAnsi="宋体" w:cs="宋体"/>
          <w:color w:val="auto"/>
          <w:sz w:val="24"/>
          <w:highlight w:val="none"/>
        </w:rPr>
        <w:t>（2）磋商小组将对供应商的磋商响应文件进行审查、核对,如有疑问,将对供应商进行电子询标,供应商须在规定的时间内向磋商小组澄清有关问题,并在政采云上进行询标答复。</w:t>
      </w:r>
    </w:p>
    <w:p w14:paraId="360847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供应商代表未在规定的时间内进行澄清、拒绝澄清或者澄清的内容改变了磋商响应文件的实质性内容的，磋商小组有权对该磋商响应文件作出不利于供应商的评判。</w:t>
      </w:r>
    </w:p>
    <w:p w14:paraId="02BCDD30">
      <w:pPr>
        <w:spacing w:line="360" w:lineRule="auto"/>
        <w:rPr>
          <w:rFonts w:ascii="宋体" w:hAnsi="宋体" w:cs="宋体"/>
          <w:color w:val="auto"/>
          <w:sz w:val="24"/>
          <w:highlight w:val="none"/>
        </w:rPr>
      </w:pPr>
      <w:r>
        <w:rPr>
          <w:rFonts w:hint="eastAsia" w:ascii="宋体" w:hAnsi="宋体" w:cs="宋体"/>
          <w:color w:val="auto"/>
          <w:sz w:val="24"/>
          <w:highlight w:val="none"/>
        </w:rPr>
        <w:t>（3）各供应商的技术得分为所有评委的有效评分的算术平均数，由指定专人进行计算复核。</w:t>
      </w:r>
    </w:p>
    <w:p w14:paraId="2E84C4E7">
      <w:pPr>
        <w:spacing w:line="360" w:lineRule="auto"/>
        <w:rPr>
          <w:rFonts w:ascii="宋体" w:hAnsi="宋体" w:cs="宋体"/>
          <w:color w:val="auto"/>
          <w:sz w:val="24"/>
          <w:highlight w:val="none"/>
        </w:rPr>
      </w:pPr>
      <w:r>
        <w:rPr>
          <w:rFonts w:hint="eastAsia" w:ascii="宋体" w:hAnsi="宋体" w:cs="宋体"/>
          <w:color w:val="auto"/>
          <w:sz w:val="24"/>
          <w:highlight w:val="none"/>
        </w:rPr>
        <w:t>（4）招标方工作人员协助磋商小组审核商务报价有无计算错误，并根据本项目的评分标准计算各供应商的商务报价得分。</w:t>
      </w:r>
    </w:p>
    <w:p w14:paraId="69354A34">
      <w:pPr>
        <w:spacing w:line="360" w:lineRule="auto"/>
        <w:rPr>
          <w:rFonts w:ascii="宋体" w:hAnsi="宋体" w:cs="宋体"/>
          <w:color w:val="auto"/>
          <w:sz w:val="24"/>
          <w:highlight w:val="none"/>
        </w:rPr>
      </w:pPr>
      <w:r>
        <w:rPr>
          <w:rFonts w:hint="eastAsia" w:ascii="宋体" w:hAnsi="宋体" w:cs="宋体"/>
          <w:color w:val="auto"/>
          <w:sz w:val="24"/>
          <w:highlight w:val="none"/>
        </w:rPr>
        <w:t>（5）磋商小组完成磋商后,招标方工作人员对系统中的得分汇总进行复核,计算出本项目最终得分，磋商小组按磋商原则推荐中标候选人并起草磋商报告。</w:t>
      </w:r>
    </w:p>
    <w:p w14:paraId="332FAFA0">
      <w:pPr>
        <w:spacing w:line="360" w:lineRule="auto"/>
        <w:rPr>
          <w:rFonts w:ascii="宋体" w:hAnsi="宋体" w:cs="宋体"/>
          <w:b/>
          <w:color w:val="auto"/>
          <w:sz w:val="24"/>
          <w:highlight w:val="none"/>
        </w:rPr>
      </w:pPr>
      <w:r>
        <w:rPr>
          <w:rFonts w:hint="eastAsia" w:ascii="宋体" w:hAnsi="宋体" w:cs="宋体"/>
          <w:b/>
          <w:color w:val="auto"/>
          <w:sz w:val="24"/>
          <w:highlight w:val="none"/>
        </w:rPr>
        <w:t>（四）澄清问题的形式</w:t>
      </w:r>
    </w:p>
    <w:p w14:paraId="11CD2650">
      <w:pPr>
        <w:spacing w:line="360" w:lineRule="auto"/>
        <w:rPr>
          <w:rFonts w:ascii="宋体" w:hAnsi="宋体" w:cs="宋体"/>
          <w:color w:val="auto"/>
          <w:sz w:val="24"/>
          <w:highlight w:val="none"/>
        </w:rPr>
      </w:pPr>
      <w:r>
        <w:rPr>
          <w:rFonts w:hint="eastAsia" w:ascii="宋体" w:hAnsi="宋体" w:cs="宋体"/>
          <w:color w:val="auto"/>
          <w:sz w:val="24"/>
          <w:highlight w:val="none"/>
        </w:rPr>
        <w:t>对磋商响应文件中含义不明确、同类问题表述不一致或者有明显文字和计算错误的内容，磋商小组可要求供应商作出必要的澄清、说明或者纠正，供应商应在询标规定时间内进行澄清或说明（需盖CA电子签章或实体公章），并不得超出磋商响应文件的范围或者改变磋商响应文件的实质性内容。</w:t>
      </w:r>
    </w:p>
    <w:p w14:paraId="09B12A1E">
      <w:pPr>
        <w:spacing w:line="360" w:lineRule="auto"/>
        <w:rPr>
          <w:rFonts w:ascii="宋体" w:hAnsi="宋体" w:cs="宋体"/>
          <w:b/>
          <w:color w:val="auto"/>
          <w:sz w:val="24"/>
          <w:highlight w:val="none"/>
        </w:rPr>
      </w:pPr>
      <w:r>
        <w:rPr>
          <w:rFonts w:hint="eastAsia" w:ascii="宋体" w:hAnsi="宋体" w:cs="宋体"/>
          <w:b/>
          <w:color w:val="auto"/>
          <w:sz w:val="24"/>
          <w:highlight w:val="none"/>
        </w:rPr>
        <w:t>（五）错误修正</w:t>
      </w:r>
    </w:p>
    <w:p w14:paraId="0018F921">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磋商响应文件如果出现计算或表达上的错误，修正错误的原则如下：</w:t>
      </w:r>
    </w:p>
    <w:p w14:paraId="50FB3EF4">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1. 磋商响应文件中开标一览表（报价表）内容与与磋商响应文件中相应内容不一致的，以开标一览表（报价表）为准；</w:t>
      </w:r>
    </w:p>
    <w:p w14:paraId="20D8B72E">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14:paraId="17567D68">
      <w:pPr>
        <w:spacing w:line="360" w:lineRule="auto"/>
        <w:ind w:left="359" w:leftChars="171"/>
        <w:rPr>
          <w:rFonts w:ascii="宋体" w:hAnsi="宋体" w:cs="宋体"/>
          <w:color w:val="auto"/>
          <w:sz w:val="24"/>
          <w:highlight w:val="none"/>
        </w:rPr>
      </w:pPr>
      <w:r>
        <w:rPr>
          <w:rFonts w:hint="eastAsia" w:ascii="宋体" w:hAnsi="宋体" w:cs="宋体"/>
          <w:color w:val="auto"/>
          <w:sz w:val="24"/>
          <w:highlight w:val="none"/>
        </w:rPr>
        <w:t>3.单价金额小数点或者百分比有明显错位的，以开标一览表的总价为准，并修改单价；4.总价金额与按单价汇总金额不一致的，以单价金额计算结果为准；</w:t>
      </w:r>
    </w:p>
    <w:p w14:paraId="5E6C6359">
      <w:pPr>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5.政采云系统磋商报价与磋商响应文件中开标一览表（报价表）相应内容不一致的，以开标一览表（报价表）为准。</w:t>
      </w:r>
    </w:p>
    <w:p w14:paraId="31A70988">
      <w:pPr>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6.对不同文字文本磋商响应文件的解释发生异议的，以中文文本为准。</w:t>
      </w:r>
    </w:p>
    <w:p w14:paraId="2628FCF4">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同时出现两种以上不一致的，按照前款规定的顺序修正。修正后的报价按照《政府采购货物和服务招标投标管理办法》（第87号令）第五十一条第二款规定：供应商的澄清、说明或者补正应当采用书面形式，并加盖公章，或者由法定代表人或其授权的代表签字。供应商的澄清、说明或者补正不得超出磋商响应文件的范围或者改变磋商响应文件的实质性内容的规定经供应商确认后产生约束力，供应商不确认的，其磋商无效。</w:t>
      </w:r>
    </w:p>
    <w:p w14:paraId="4A48D477">
      <w:pPr>
        <w:spacing w:line="360" w:lineRule="auto"/>
        <w:rPr>
          <w:rFonts w:ascii="宋体" w:hAnsi="宋体" w:cs="宋体"/>
          <w:b/>
          <w:bCs/>
          <w:color w:val="auto"/>
          <w:sz w:val="24"/>
          <w:highlight w:val="none"/>
        </w:rPr>
      </w:pPr>
      <w:r>
        <w:rPr>
          <w:rFonts w:hint="eastAsia" w:ascii="宋体" w:hAnsi="宋体" w:cs="宋体"/>
          <w:b/>
          <w:color w:val="auto"/>
          <w:sz w:val="24"/>
          <w:highlight w:val="none"/>
        </w:rPr>
        <w:t>（六）磋商原则和磋商办法</w:t>
      </w:r>
    </w:p>
    <w:p w14:paraId="26D4DB16">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1.磋商小组必须公平、公正评审，遵纪守法，客观、廉洁地履行职责。</w:t>
      </w:r>
    </w:p>
    <w:p w14:paraId="22BD37BF">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2.磋商小组在评审开始前，应关闭并上交随身携带的各种通信工具。</w:t>
      </w:r>
    </w:p>
    <w:p w14:paraId="6C465F21">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3.磋商小组在评审过程中，未经许可不得中途离开评审现场，不得迟到早退。</w:t>
      </w:r>
    </w:p>
    <w:p w14:paraId="4F5900D9">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4.磋商小组和工作人员不得透露评审过程中的讨论情况和评审结果。</w:t>
      </w:r>
    </w:p>
    <w:p w14:paraId="4B5BEAE7">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5.评审时，磋商小组须按竞争性磋商文件规定的程序、条件和标准，对供应商投标文件的合规性、完整性和有效性进行审查、比较和评估，其中对供应商的资格条件、主要技术参数、商务报价和其他评审要素等，磋商小组应逐项进行审查、比较，不得漏评少评。如发现与竞争性磋商文件要求相偏离的，应对其偏离情形进行必要的核实，并在工作底稿中予以说明；如属于实质性偏离或符合无效投标文件的，可询问供应商，并允许供应商进行陈述申辩，但不允许其对偏离条款进行补充、修正或撤回。</w:t>
      </w:r>
    </w:p>
    <w:p w14:paraId="13C5D5AD">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6.采购人、采购代理机构不得向评审委员会的磋商小组作倾向性、误导性的解释或者说明。</w:t>
      </w:r>
    </w:p>
    <w:p w14:paraId="1A226197">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7.采购代理机构应当为磋商小组提供必要的评审条件和相应的评审工作底稿，并严格按规定程序组织磋商小组有步骤地进行项目评审，对各磋商小组的评审情况和评审意见进行合理性和合规性审查，对明显畸高、畸低的重大差异评审情况（其总评分偏离平均分30%以上），提醒相关磋商小组进行复核或书面说明理由。</w:t>
      </w:r>
    </w:p>
    <w:p w14:paraId="060D6113">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8.磋商小组在评审过程中不得将自己的观点强加给其他磋商小组，磋商小组应自主发表见解，对评审意见承担个人责任。</w:t>
      </w:r>
    </w:p>
    <w:p w14:paraId="743F6993">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9.评审结束后，评审委员会应向采购代理机构提交项目评审报告。评审报告是采购人确定中标人的合法依据，评审委员会应当如实、客观地反映评审情况，按竞争性磋商文件的评审办法和细则的规定推荐中标候选人，说明推荐理由，并重点对中标候选人的技术、服务和价格等情况进行评价和比较。如排名第一的供应商报价为最高报价的，评审报告中须对其报价的合理性等进行分析和特别说明。</w:t>
      </w:r>
    </w:p>
    <w:p w14:paraId="7A091D70">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10.磋商小组应当独立、客观、公正地提出评审意见，不得带有倾向性，不得影响其他磋商小组评审，并在评审报告上签字；如对评审报告有异议的，可在报告上签署不同意见，并说明理由，否则将视为同意。</w:t>
      </w:r>
    </w:p>
    <w:p w14:paraId="0D80F342">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11.磋商小组应当遵守评审工作纪律，不得泄露评审文件、评审情况和评审中获悉的商业秘密。</w:t>
      </w:r>
    </w:p>
    <w:p w14:paraId="3D38EAB6">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评审委员会在评审过程中发现供应商有行贿、提供虚假材料或者串通等违法行为的，应当及时向财政部门报告。</w:t>
      </w:r>
    </w:p>
    <w:p w14:paraId="196DABF1">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12.竞争性磋商文件内容违反国家有关强制性规定的，评审委员会应当停止评审并向采购代理机构说明情况。</w:t>
      </w:r>
    </w:p>
    <w:p w14:paraId="2302D414">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13.磋商小组应当配合采购代理机构答复供应商提出的质疑。</w:t>
      </w:r>
    </w:p>
    <w:p w14:paraId="4B2E79C3">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14.磋商小组应当配合财政部门的投诉处理工作。</w:t>
      </w:r>
    </w:p>
    <w:p w14:paraId="0812E302">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15.磋商小组有如下行为之一的，责令改正，给予警告，可以并处一千元以下的罚款：</w:t>
      </w:r>
    </w:p>
    <w:p w14:paraId="47BE1BE5">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①明知应当回避而未主动回避的；</w:t>
      </w:r>
    </w:p>
    <w:p w14:paraId="3F15619E">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②在得知自己为磋商小组身份后至评审结束前时段内私下接触供应商的；</w:t>
      </w:r>
    </w:p>
    <w:p w14:paraId="75AE7F29">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③在评审过程中擅离职守，影响评审程序正常进行的；</w:t>
      </w:r>
    </w:p>
    <w:p w14:paraId="3134182C">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④在评审过程有明显不合理或者不正当倾向性的；</w:t>
      </w:r>
    </w:p>
    <w:p w14:paraId="46AF92BD">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⑤未按竞争性磋商文件规定的评审方法和标准进行评审的。</w:t>
      </w:r>
    </w:p>
    <w:p w14:paraId="0D7370B3">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⑥上述①至⑤行为影响中标结果的，中标结果无效。</w:t>
      </w:r>
    </w:p>
    <w:p w14:paraId="346499B0">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16.政府采购磋商小组未按照竞争性磋商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14:paraId="48D8034F">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政府采购磋商小组与供应商存在利害关系未回避的，处2万元以上5万元以下的罚款，禁止其参加政府采购评审活动。</w:t>
      </w:r>
    </w:p>
    <w:p w14:paraId="5699A122">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政府采购磋商小组收受采购人、采购代理机构、供应商贿赂或者获取其他不正当利益，构成犯罪的，依法追究刑事责任；尚不构成犯罪的，处2万元以上5万元以下的罚款，禁止其参加政府采购评审活动。</w:t>
      </w:r>
    </w:p>
    <w:p w14:paraId="35EB620A">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政府采购磋商小组有上述违法行为的，其评审意见无效，不得获取评审费；有违法所得的，没收违法所得；给他人造成损失的，依法承担民事责任。</w:t>
      </w:r>
    </w:p>
    <w:p w14:paraId="3F9E5234">
      <w:pPr>
        <w:spacing w:line="360" w:lineRule="auto"/>
        <w:rPr>
          <w:rFonts w:ascii="宋体" w:hAnsi="宋体" w:cs="宋体"/>
          <w:color w:val="auto"/>
          <w:sz w:val="24"/>
          <w:highlight w:val="none"/>
        </w:rPr>
      </w:pPr>
      <w:r>
        <w:rPr>
          <w:rFonts w:hint="eastAsia" w:ascii="宋体" w:hAnsi="宋体" w:cs="宋体"/>
          <w:color w:val="auto"/>
          <w:sz w:val="24"/>
          <w:highlight w:val="none"/>
        </w:rPr>
        <w:t>17.磋商办法。本项目磋商办法是：综合评分法（其中报价分为两轮），具体磋商内容及评分标准等详见《第四章：磋商办法及评分标准》。</w:t>
      </w:r>
    </w:p>
    <w:p w14:paraId="4871FA6D">
      <w:pPr>
        <w:spacing w:line="360" w:lineRule="auto"/>
        <w:rPr>
          <w:rFonts w:ascii="宋体" w:hAnsi="宋体" w:cs="宋体"/>
          <w:b/>
          <w:color w:val="auto"/>
          <w:sz w:val="24"/>
          <w:highlight w:val="none"/>
        </w:rPr>
      </w:pPr>
      <w:r>
        <w:rPr>
          <w:rFonts w:hint="eastAsia" w:ascii="宋体" w:hAnsi="宋体" w:cs="宋体"/>
          <w:b/>
          <w:color w:val="auto"/>
          <w:sz w:val="24"/>
          <w:highlight w:val="none"/>
        </w:rPr>
        <w:t>（七）</w:t>
      </w:r>
      <w:r>
        <w:rPr>
          <w:rFonts w:hint="eastAsia" w:ascii="宋体" w:hAnsi="宋体" w:cs="宋体"/>
          <w:b/>
          <w:bCs/>
          <w:color w:val="auto"/>
          <w:sz w:val="24"/>
          <w:highlight w:val="none"/>
        </w:rPr>
        <w:t>磋商</w:t>
      </w:r>
      <w:r>
        <w:rPr>
          <w:rFonts w:hint="eastAsia" w:ascii="宋体" w:hAnsi="宋体" w:cs="宋体"/>
          <w:b/>
          <w:color w:val="auto"/>
          <w:sz w:val="24"/>
          <w:highlight w:val="none"/>
        </w:rPr>
        <w:t>过程的监控</w:t>
      </w:r>
    </w:p>
    <w:p w14:paraId="14FECC51">
      <w:pPr>
        <w:spacing w:line="360" w:lineRule="auto"/>
        <w:ind w:firstLine="120" w:firstLineChars="50"/>
        <w:rPr>
          <w:rFonts w:ascii="宋体" w:hAnsi="宋体" w:cs="宋体"/>
          <w:color w:val="auto"/>
          <w:sz w:val="24"/>
          <w:highlight w:val="none"/>
        </w:rPr>
      </w:pPr>
      <w:r>
        <w:rPr>
          <w:rFonts w:hint="eastAsia" w:ascii="宋体" w:hAnsi="宋体" w:cs="宋体"/>
          <w:color w:val="auto"/>
          <w:sz w:val="24"/>
          <w:highlight w:val="none"/>
        </w:rPr>
        <w:t>本项目磋商过程实行全程录音、录像监控，供应商在磋商过程中所进行的试图影响磋商结果的不公正活动，可能导致其磋商被拒绝。</w:t>
      </w:r>
    </w:p>
    <w:p w14:paraId="22EB63BF">
      <w:pPr>
        <w:spacing w:line="360" w:lineRule="auto"/>
        <w:rPr>
          <w:rFonts w:ascii="宋体" w:hAnsi="宋体" w:cs="宋体"/>
          <w:b/>
          <w:color w:val="auto"/>
          <w:sz w:val="24"/>
          <w:highlight w:val="none"/>
        </w:rPr>
      </w:pPr>
      <w:r>
        <w:rPr>
          <w:rFonts w:hint="eastAsia" w:ascii="宋体" w:hAnsi="宋体" w:cs="宋体"/>
          <w:b/>
          <w:color w:val="auto"/>
          <w:sz w:val="24"/>
          <w:highlight w:val="none"/>
        </w:rPr>
        <w:t>（八）其他</w:t>
      </w:r>
    </w:p>
    <w:p w14:paraId="061F1DEA">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采购过程中出现以下情形，导致电子交易平台无法正常运行，或者无法保证电子交易的公平、公正和安全时，采购组织机构可中止电子交易活动：</w:t>
      </w:r>
    </w:p>
    <w:p w14:paraId="48DDC51A">
      <w:pPr>
        <w:spacing w:line="400" w:lineRule="exact"/>
        <w:ind w:firstLine="352" w:firstLineChars="147"/>
        <w:rPr>
          <w:rFonts w:ascii="宋体" w:hAnsi="宋体" w:cs="宋体"/>
          <w:color w:val="auto"/>
          <w:sz w:val="24"/>
          <w:highlight w:val="none"/>
        </w:rPr>
      </w:pPr>
      <w:r>
        <w:rPr>
          <w:rFonts w:hint="eastAsia" w:ascii="宋体" w:hAnsi="宋体" w:cs="宋体"/>
          <w:color w:val="auto"/>
          <w:sz w:val="24"/>
          <w:highlight w:val="none"/>
        </w:rPr>
        <w:t>1、电子交易平台发生故障而无法登录访问的；</w:t>
      </w:r>
    </w:p>
    <w:p w14:paraId="77E6CDA1">
      <w:pPr>
        <w:spacing w:line="400" w:lineRule="exact"/>
        <w:ind w:firstLine="352" w:firstLineChars="147"/>
        <w:rPr>
          <w:rFonts w:ascii="宋体" w:hAnsi="宋体" w:cs="宋体"/>
          <w:color w:val="auto"/>
          <w:sz w:val="24"/>
          <w:highlight w:val="none"/>
        </w:rPr>
      </w:pPr>
      <w:r>
        <w:rPr>
          <w:rFonts w:hint="eastAsia" w:ascii="宋体" w:hAnsi="宋体" w:cs="宋体"/>
          <w:color w:val="auto"/>
          <w:sz w:val="24"/>
          <w:highlight w:val="none"/>
        </w:rPr>
        <w:t>2、电子交易平台应用或数据库出现错误，不能进行正常操作的；</w:t>
      </w:r>
    </w:p>
    <w:p w14:paraId="778E59CE">
      <w:pPr>
        <w:spacing w:line="400" w:lineRule="exact"/>
        <w:ind w:firstLine="352" w:firstLineChars="147"/>
        <w:rPr>
          <w:rFonts w:ascii="宋体" w:hAnsi="宋体" w:cs="宋体"/>
          <w:color w:val="auto"/>
          <w:sz w:val="24"/>
          <w:highlight w:val="none"/>
        </w:rPr>
      </w:pPr>
      <w:r>
        <w:rPr>
          <w:rFonts w:hint="eastAsia" w:ascii="宋体" w:hAnsi="宋体" w:cs="宋体"/>
          <w:color w:val="auto"/>
          <w:sz w:val="24"/>
          <w:highlight w:val="none"/>
        </w:rPr>
        <w:t>3、电子交易平台发现严重安全漏洞，有潜在泄密危险的；</w:t>
      </w:r>
    </w:p>
    <w:p w14:paraId="148EA9A7">
      <w:pPr>
        <w:spacing w:line="400" w:lineRule="exact"/>
        <w:ind w:firstLine="352" w:firstLineChars="147"/>
        <w:rPr>
          <w:rFonts w:ascii="宋体" w:hAnsi="宋体" w:cs="宋体"/>
          <w:color w:val="auto"/>
          <w:sz w:val="24"/>
          <w:highlight w:val="none"/>
        </w:rPr>
      </w:pPr>
      <w:r>
        <w:rPr>
          <w:rFonts w:hint="eastAsia" w:ascii="宋体" w:hAnsi="宋体" w:cs="宋体"/>
          <w:color w:val="auto"/>
          <w:sz w:val="24"/>
          <w:highlight w:val="none"/>
        </w:rPr>
        <w:t>4、病毒发作导致不能进行正常操作的；</w:t>
      </w:r>
    </w:p>
    <w:p w14:paraId="2CA328B9">
      <w:pPr>
        <w:spacing w:line="400" w:lineRule="exact"/>
        <w:ind w:firstLine="352" w:firstLineChars="147"/>
        <w:rPr>
          <w:rFonts w:ascii="宋体" w:hAnsi="宋体" w:cs="宋体"/>
          <w:color w:val="auto"/>
          <w:sz w:val="24"/>
          <w:highlight w:val="none"/>
        </w:rPr>
      </w:pPr>
      <w:r>
        <w:rPr>
          <w:rFonts w:hint="eastAsia" w:ascii="宋体" w:hAnsi="宋体" w:cs="宋体"/>
          <w:color w:val="auto"/>
          <w:sz w:val="24"/>
          <w:highlight w:val="none"/>
        </w:rPr>
        <w:t>5、其他无法保证电子交易的公平、公正和安全的情况。</w:t>
      </w:r>
    </w:p>
    <w:p w14:paraId="6F80E6A6">
      <w:pPr>
        <w:spacing w:line="400" w:lineRule="exact"/>
        <w:ind w:firstLine="352" w:firstLineChars="147"/>
        <w:rPr>
          <w:rFonts w:ascii="宋体" w:hAnsi="宋体" w:cs="宋体"/>
          <w:color w:val="auto"/>
          <w:sz w:val="24"/>
          <w:highlight w:val="none"/>
        </w:rPr>
      </w:pPr>
      <w:r>
        <w:rPr>
          <w:rFonts w:hint="eastAsia" w:ascii="宋体" w:hAnsi="宋体" w:cs="宋体"/>
          <w:color w:val="auto"/>
          <w:sz w:val="24"/>
          <w:highlight w:val="none"/>
        </w:rPr>
        <w:t>出现前款规定情形，不影响采购公平、公正性的，采购组织机构可以待上述情形消除后继续组织电子交易活动；影响或可能影响采购公平、公正性的，应当重新采购。</w:t>
      </w:r>
    </w:p>
    <w:p w14:paraId="0C7B85DE">
      <w:pPr>
        <w:numPr>
          <w:ilvl w:val="0"/>
          <w:numId w:val="8"/>
        </w:numPr>
        <w:spacing w:line="400" w:lineRule="exact"/>
        <w:ind w:left="0" w:leftChars="0" w:firstLine="0" w:firstLineChars="0"/>
        <w:rPr>
          <w:rFonts w:hint="eastAsia" w:ascii="宋体" w:hAnsi="宋体" w:cs="宋体"/>
          <w:color w:val="auto"/>
          <w:sz w:val="24"/>
          <w:highlight w:val="none"/>
        </w:rPr>
      </w:pPr>
      <w:r>
        <w:rPr>
          <w:rFonts w:hint="eastAsia" w:ascii="宋体" w:hAnsi="宋体" w:cs="宋体"/>
          <w:color w:val="auto"/>
          <w:sz w:val="24"/>
          <w:highlight w:val="none"/>
        </w:rPr>
        <w:t>投标截止时间后及评审过程中，有效供应商不足2家的项目，则予以废标。</w:t>
      </w:r>
      <w:bookmarkStart w:id="31" w:name="_Toc458697272"/>
      <w:bookmarkStart w:id="32" w:name="_Toc3666"/>
    </w:p>
    <w:p w14:paraId="71C78AE3">
      <w:pPr>
        <w:numPr>
          <w:ilvl w:val="0"/>
          <w:numId w:val="0"/>
        </w:numPr>
        <w:spacing w:line="400" w:lineRule="exact"/>
        <w:ind w:firstLine="3132" w:firstLineChars="13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六、定标</w:t>
      </w:r>
      <w:bookmarkEnd w:id="31"/>
      <w:bookmarkEnd w:id="32"/>
    </w:p>
    <w:p w14:paraId="0A172259">
      <w:pPr>
        <w:spacing w:line="360" w:lineRule="auto"/>
        <w:rPr>
          <w:rFonts w:ascii="宋体" w:hAnsi="宋体" w:cs="宋体"/>
          <w:color w:val="auto"/>
          <w:sz w:val="24"/>
          <w:highlight w:val="none"/>
        </w:rPr>
      </w:pPr>
      <w:r>
        <w:rPr>
          <w:rFonts w:hint="eastAsia" w:ascii="宋体" w:hAnsi="宋体" w:cs="宋体"/>
          <w:color w:val="auto"/>
          <w:sz w:val="24"/>
          <w:highlight w:val="none"/>
        </w:rPr>
        <w:t>（一）确定中标人 。</w:t>
      </w:r>
      <w:r>
        <w:rPr>
          <w:rFonts w:hint="eastAsia" w:ascii="宋体" w:hAnsi="宋体" w:cs="宋体"/>
          <w:b/>
          <w:bCs/>
          <w:color w:val="auto"/>
          <w:sz w:val="24"/>
          <w:highlight w:val="none"/>
        </w:rPr>
        <w:t>本项目由采购人授权磋商小组确定中标人。</w:t>
      </w:r>
    </w:p>
    <w:p w14:paraId="5A600888">
      <w:pPr>
        <w:spacing w:line="360" w:lineRule="auto"/>
        <w:rPr>
          <w:rFonts w:ascii="宋体" w:hAnsi="宋体" w:cs="宋体"/>
          <w:color w:val="auto"/>
          <w:sz w:val="24"/>
          <w:highlight w:val="none"/>
        </w:rPr>
      </w:pPr>
      <w:r>
        <w:rPr>
          <w:rFonts w:hint="eastAsia" w:ascii="宋体" w:hAnsi="宋体" w:cs="宋体"/>
          <w:color w:val="auto"/>
          <w:sz w:val="24"/>
          <w:highlight w:val="none"/>
        </w:rPr>
        <w:t>1.招标方在磋商结束后2个工作日内将磋商报告交采购人确认。</w:t>
      </w:r>
    </w:p>
    <w:p w14:paraId="3E8FEB00">
      <w:pPr>
        <w:spacing w:line="360" w:lineRule="auto"/>
        <w:rPr>
          <w:rFonts w:ascii="宋体" w:hAnsi="宋体" w:cs="宋体"/>
          <w:color w:val="auto"/>
          <w:sz w:val="24"/>
          <w:highlight w:val="none"/>
        </w:rPr>
      </w:pPr>
      <w:r>
        <w:rPr>
          <w:rFonts w:hint="eastAsia" w:ascii="宋体" w:hAnsi="宋体" w:cs="宋体"/>
          <w:color w:val="auto"/>
          <w:sz w:val="24"/>
          <w:highlight w:val="none"/>
        </w:rPr>
        <w:t>2.采购人应在收到磋商报告后5个工作日内对磋商结果进行确认。如有供应商对磋商结果提出质疑的，采购人可在质疑处理完毕后确定中标人。</w:t>
      </w:r>
    </w:p>
    <w:p w14:paraId="2E6E6E27">
      <w:pPr>
        <w:spacing w:line="360" w:lineRule="auto"/>
        <w:rPr>
          <w:rFonts w:ascii="宋体" w:hAnsi="宋体" w:cs="宋体"/>
          <w:color w:val="auto"/>
          <w:sz w:val="24"/>
          <w:highlight w:val="none"/>
        </w:rPr>
      </w:pPr>
      <w:r>
        <w:rPr>
          <w:rFonts w:hint="eastAsia" w:ascii="宋体" w:hAnsi="宋体" w:cs="宋体"/>
          <w:color w:val="auto"/>
          <w:sz w:val="24"/>
          <w:highlight w:val="none"/>
        </w:rPr>
        <w:t>3.采购人依法确定中标人后2个工作日内，招标方以书面形式发出《中标通知书》,并同时在相关网站上发布中标公告。</w:t>
      </w:r>
    </w:p>
    <w:p w14:paraId="4EDAC1B1">
      <w:pPr>
        <w:spacing w:line="360" w:lineRule="auto"/>
        <w:rPr>
          <w:rFonts w:hint="eastAsia" w:ascii="宋体" w:hAnsi="宋体" w:cs="宋体"/>
          <w:color w:val="auto"/>
          <w:sz w:val="24"/>
          <w:highlight w:val="none"/>
        </w:rPr>
      </w:pPr>
      <w:r>
        <w:rPr>
          <w:rFonts w:hint="eastAsia" w:ascii="宋体" w:hAnsi="宋体" w:cs="宋体"/>
          <w:color w:val="auto"/>
          <w:sz w:val="24"/>
          <w:highlight w:val="none"/>
        </w:rPr>
        <w:t>4. 确定中标人后，中标人应在三个工作日内，向招标方领取《中标通知书》，否则按放弃中标资格处理，并因违反诚信原则，提交财政部门列入政府采购黑名单。</w:t>
      </w:r>
      <w:bookmarkStart w:id="33" w:name="_Toc458697273"/>
      <w:bookmarkStart w:id="34" w:name="_Toc23709"/>
    </w:p>
    <w:p w14:paraId="6F2DCDF7">
      <w:pPr>
        <w:spacing w:line="360" w:lineRule="auto"/>
        <w:ind w:firstLine="3132" w:firstLineChars="13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七、合同授予</w:t>
      </w:r>
      <w:bookmarkEnd w:id="33"/>
      <w:bookmarkEnd w:id="34"/>
    </w:p>
    <w:p w14:paraId="7B562271">
      <w:pPr>
        <w:spacing w:line="360" w:lineRule="auto"/>
        <w:rPr>
          <w:rFonts w:ascii="宋体" w:hAnsi="宋体" w:cs="宋体"/>
          <w:b/>
          <w:color w:val="auto"/>
          <w:sz w:val="24"/>
          <w:highlight w:val="none"/>
        </w:rPr>
      </w:pPr>
      <w:r>
        <w:rPr>
          <w:rFonts w:hint="eastAsia" w:ascii="宋体" w:hAnsi="宋体" w:cs="宋体"/>
          <w:b/>
          <w:color w:val="auto"/>
          <w:sz w:val="24"/>
          <w:highlight w:val="none"/>
        </w:rPr>
        <w:t>（一）签订合同</w:t>
      </w:r>
    </w:p>
    <w:p w14:paraId="650E8F15">
      <w:pPr>
        <w:spacing w:line="360" w:lineRule="auto"/>
        <w:rPr>
          <w:rFonts w:ascii="宋体" w:hAnsi="宋体" w:cs="宋体"/>
          <w:color w:val="auto"/>
          <w:sz w:val="24"/>
          <w:highlight w:val="none"/>
        </w:rPr>
      </w:pPr>
      <w:r>
        <w:rPr>
          <w:rFonts w:hint="eastAsia" w:ascii="宋体" w:hAnsi="宋体" w:cs="宋体"/>
          <w:color w:val="auto"/>
          <w:sz w:val="24"/>
          <w:highlight w:val="none"/>
        </w:rPr>
        <w:t>1.除不可抗力等特殊情况外，采购人原则上应当在中标通知书发出之日起20日内，与成交人按照采购文件确定的事项签订政府采购合同，并在签订之日起2个工作日内将政府采购合同在浙江政府采购网上公告。</w:t>
      </w:r>
    </w:p>
    <w:p w14:paraId="206F248E">
      <w:pPr>
        <w:spacing w:line="360" w:lineRule="auto"/>
        <w:rPr>
          <w:rFonts w:ascii="宋体" w:hAnsi="宋体" w:cs="宋体"/>
          <w:color w:val="auto"/>
          <w:sz w:val="24"/>
          <w:highlight w:val="none"/>
        </w:rPr>
      </w:pPr>
      <w:r>
        <w:rPr>
          <w:rFonts w:hint="eastAsia" w:ascii="宋体" w:hAnsi="宋体" w:cs="宋体"/>
          <w:color w:val="auto"/>
          <w:sz w:val="24"/>
          <w:highlight w:val="none"/>
        </w:rPr>
        <w:t>2.成交人按规定的日期、时间、地点，由法定代表人或其授权代表与采购人代表签订合同。如成交人为联合体的，由联合体成员各方法定代表人或其授权代表与采购人代表签订合同。</w:t>
      </w:r>
    </w:p>
    <w:p w14:paraId="6B120167">
      <w:pPr>
        <w:spacing w:line="360" w:lineRule="auto"/>
        <w:rPr>
          <w:rFonts w:ascii="宋体" w:hAnsi="宋体" w:cs="宋体"/>
          <w:color w:val="auto"/>
          <w:sz w:val="24"/>
          <w:highlight w:val="none"/>
        </w:rPr>
      </w:pPr>
      <w:r>
        <w:rPr>
          <w:rFonts w:hint="eastAsia" w:ascii="宋体" w:hAnsi="宋体" w:cs="宋体"/>
          <w:color w:val="auto"/>
          <w:sz w:val="24"/>
          <w:highlight w:val="none"/>
        </w:rPr>
        <w:t>3.如签订合同并生效后，供应商无故拒绝或延期，除按照合同条款处理外，列入不良行为记录一次，并给予通报。</w:t>
      </w:r>
    </w:p>
    <w:p w14:paraId="48AAE686">
      <w:pPr>
        <w:spacing w:line="360" w:lineRule="auto"/>
        <w:rPr>
          <w:rFonts w:ascii="宋体" w:hAnsi="宋体" w:cs="宋体"/>
          <w:color w:val="auto"/>
          <w:sz w:val="24"/>
          <w:highlight w:val="none"/>
        </w:rPr>
      </w:pPr>
      <w:r>
        <w:rPr>
          <w:rFonts w:hint="eastAsia" w:ascii="宋体" w:hAnsi="宋体" w:cs="宋体"/>
          <w:color w:val="auto"/>
          <w:sz w:val="24"/>
          <w:highlight w:val="none"/>
        </w:rPr>
        <w:t>4.成交人拒绝与采购人签订合同的，采购人可以按照评审报告推荐的中标或者成交候选人名单排序，确定下一候选人为成交人，也可以重新开展政府采购活动。</w:t>
      </w:r>
    </w:p>
    <w:p w14:paraId="3E4264E6">
      <w:pPr>
        <w:spacing w:line="360" w:lineRule="auto"/>
        <w:rPr>
          <w:rFonts w:ascii="宋体" w:hAnsi="宋体" w:cs="宋体"/>
          <w:color w:val="auto"/>
          <w:sz w:val="24"/>
          <w:highlight w:val="none"/>
        </w:rPr>
      </w:pPr>
      <w:r>
        <w:rPr>
          <w:rFonts w:hint="eastAsia" w:ascii="宋体" w:hAnsi="宋体" w:cs="宋体"/>
          <w:color w:val="auto"/>
          <w:sz w:val="24"/>
          <w:highlight w:val="none"/>
        </w:rPr>
        <w:t>5.采购人与成交人根据采购文件、磋商响应文件等内容签订政府采购合同，合同签订后送东阳市财政局采监科备案。</w:t>
      </w:r>
    </w:p>
    <w:p w14:paraId="289AE468">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6.政府采购货物和服务项目不得收取质量保证金。政府采购工程以及与工程建设有关的货物、服务，采用招标方式采购的，按国家和省有关规定执行。</w:t>
      </w:r>
    </w:p>
    <w:p w14:paraId="071A38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（二）履约保证金</w:t>
      </w:r>
    </w:p>
    <w:p w14:paraId="4DD22A0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中标人在收到中标通知书后，需向采购人提供</w:t>
      </w:r>
      <w:r>
        <w:rPr>
          <w:rFonts w:hint="eastAsia" w:ascii="宋体" w:hAnsi="宋体" w:cs="宋体"/>
          <w:color w:val="auto"/>
          <w:sz w:val="24"/>
          <w:highlight w:val="none"/>
          <w:lang w:val="en-US" w:eastAsia="zh-CN"/>
        </w:rPr>
        <w:t>中标价的1</w:t>
      </w:r>
      <w:r>
        <w:rPr>
          <w:rFonts w:hint="eastAsia" w:ascii="宋体" w:hAnsi="宋体" w:eastAsia="宋体" w:cs="宋体"/>
          <w:color w:val="auto"/>
          <w:sz w:val="24"/>
          <w:highlight w:val="none"/>
        </w:rPr>
        <w:t>%</w:t>
      </w:r>
      <w:r>
        <w:rPr>
          <w:rFonts w:hint="eastAsia" w:ascii="宋体" w:hAnsi="宋体" w:cs="宋体"/>
          <w:color w:val="auto"/>
          <w:sz w:val="24"/>
          <w:highlight w:val="none"/>
        </w:rPr>
        <w:t>的履约保证金，在中标人与采购人签订合同前递交，投标人需以支票、汇票、本票或者金融机构、保险公司、担保机构出具的保函/保险（可在政采云平台购买，咨询热线4009039583）等非现金形式提交（保函期限应大于履约期限2个月）</w:t>
      </w:r>
      <w:r>
        <w:rPr>
          <w:rFonts w:hint="eastAsia" w:ascii="宋体" w:hAnsi="宋体" w:cs="宋体"/>
          <w:color w:val="auto"/>
          <w:sz w:val="24"/>
          <w:highlight w:val="none"/>
          <w:lang w:eastAsia="zh-CN"/>
        </w:rPr>
        <w:t>。</w:t>
      </w:r>
    </w:p>
    <w:p w14:paraId="09B1FE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highlight w:val="none"/>
          <w:lang w:eastAsia="zh-CN"/>
        </w:rPr>
      </w:pPr>
      <w:r>
        <w:rPr>
          <w:rFonts w:hint="eastAsia" w:ascii="宋体" w:hAnsi="宋体" w:cs="宋体"/>
          <w:color w:val="auto"/>
          <w:sz w:val="24"/>
          <w:highlight w:val="none"/>
          <w:lang w:val="en-US" w:eastAsia="zh-CN"/>
        </w:rPr>
        <w:t>中标人也</w:t>
      </w:r>
      <w:r>
        <w:rPr>
          <w:rFonts w:hint="eastAsia" w:ascii="宋体" w:hAnsi="宋体" w:cs="宋体"/>
          <w:color w:val="auto"/>
          <w:sz w:val="24"/>
          <w:highlight w:val="none"/>
        </w:rPr>
        <w:t>可登录政采云平台-【金融服务】—【我的项目】—【已备案合同】以保函形式提供：</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rPr>
        <w:t>在合同列表选择需要投保的合同，点击[保函推荐]。</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在弹框里查看推荐的保函产品，</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rPr>
        <w:t>自行选择保函产品，点击[立即申请]。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在弹框里填写保函申请信息。具体步骤：选择产品—填写供应商信息—选择中标项目—确认信息—等待保险/保函受理—确认保单—支付保费—成功出单。政采云金融专线400-903-9583。</w:t>
      </w:r>
    </w:p>
    <w:p w14:paraId="708F3F9E">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r>
        <w:rPr>
          <w:rFonts w:hint="eastAsia" w:ascii="宋体" w:hAnsi="宋体" w:eastAsia="宋体" w:cs="宋体"/>
          <w:color w:val="auto"/>
          <w:sz w:val="24"/>
          <w:highlight w:val="none"/>
        </w:rPr>
        <w:t>2.签订合同后，如中标人不按双方合同约定履约，则没收其全部履约保证金，履约保证金不足以赔偿损失的，按实际损失赔偿。</w:t>
      </w:r>
    </w:p>
    <w:p w14:paraId="084C2420">
      <w:pPr>
        <w:pStyle w:val="20"/>
        <w:pageBreakBefore/>
        <w:snapToGrid w:val="0"/>
        <w:spacing w:before="120" w:after="120" w:line="360" w:lineRule="auto"/>
        <w:jc w:val="center"/>
        <w:outlineLvl w:val="0"/>
        <w:rPr>
          <w:rFonts w:ascii="宋体" w:hAnsi="宋体" w:cs="宋体"/>
          <w:b/>
          <w:color w:val="auto"/>
          <w:szCs w:val="24"/>
          <w:highlight w:val="none"/>
        </w:rPr>
      </w:pPr>
      <w:bookmarkStart w:id="35" w:name="_Toc13198"/>
      <w:bookmarkStart w:id="36" w:name="_Toc24894"/>
      <w:r>
        <w:rPr>
          <w:rFonts w:hint="eastAsia" w:ascii="宋体" w:hAnsi="宋体" w:cs="宋体"/>
          <w:b/>
          <w:color w:val="auto"/>
          <w:szCs w:val="24"/>
          <w:highlight w:val="none"/>
        </w:rPr>
        <w:t>第四章  磋商办法及评分标准</w:t>
      </w:r>
      <w:bookmarkEnd w:id="35"/>
      <w:bookmarkEnd w:id="36"/>
    </w:p>
    <w:p w14:paraId="18168758">
      <w:pPr>
        <w:spacing w:line="5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为公正、公平、科学地选择中标人，根据《中华人民共和国政府采购法》等有关法律法规的规定，并结合本项目的实际，制定本办法。</w:t>
      </w:r>
    </w:p>
    <w:p w14:paraId="584E5FD3">
      <w:pPr>
        <w:spacing w:line="540" w:lineRule="exact"/>
        <w:ind w:firstLine="480" w:firstLineChars="200"/>
        <w:rPr>
          <w:rFonts w:ascii="宋体" w:hAnsi="宋体" w:cs="宋体"/>
          <w:strike w:val="0"/>
          <w:dstrike w:val="0"/>
          <w:color w:val="auto"/>
          <w:sz w:val="24"/>
          <w:highlight w:val="none"/>
          <w:u w:val="none"/>
        </w:rPr>
      </w:pPr>
      <w:r>
        <w:rPr>
          <w:rFonts w:hint="eastAsia" w:ascii="宋体" w:hAnsi="宋体" w:cs="宋体"/>
          <w:strike w:val="0"/>
          <w:dstrike w:val="0"/>
          <w:color w:val="auto"/>
          <w:sz w:val="24"/>
          <w:highlight w:val="none"/>
          <w:u w:val="none"/>
        </w:rPr>
        <w:t>本办法适用于</w:t>
      </w:r>
      <w:r>
        <w:rPr>
          <w:rFonts w:hint="eastAsia" w:ascii="宋体" w:hAnsi="宋体" w:cs="宋体"/>
          <w:strike w:val="0"/>
          <w:dstrike w:val="0"/>
          <w:color w:val="auto"/>
          <w:sz w:val="24"/>
          <w:highlight w:val="none"/>
          <w:u w:val="none"/>
          <w:lang w:eastAsia="zh-CN"/>
        </w:rPr>
        <w:t xml:space="preserve">东阳市肛肠外科医院4000kVA双电源配电工程采购项目 </w:t>
      </w:r>
      <w:r>
        <w:rPr>
          <w:rFonts w:hint="eastAsia" w:ascii="宋体" w:hAnsi="宋体" w:cs="宋体"/>
          <w:strike w:val="0"/>
          <w:dstrike w:val="0"/>
          <w:color w:val="auto"/>
          <w:sz w:val="24"/>
          <w:highlight w:val="none"/>
          <w:u w:val="none"/>
        </w:rPr>
        <w:t>的磋商。</w:t>
      </w:r>
    </w:p>
    <w:p w14:paraId="42FCA043">
      <w:pPr>
        <w:spacing w:line="540" w:lineRule="exact"/>
        <w:rPr>
          <w:rFonts w:ascii="宋体" w:hAnsi="宋体" w:cs="宋体"/>
          <w:b/>
          <w:color w:val="auto"/>
          <w:sz w:val="24"/>
          <w:highlight w:val="none"/>
        </w:rPr>
      </w:pPr>
      <w:bookmarkStart w:id="37" w:name="_Toc12525"/>
      <w:bookmarkStart w:id="38" w:name="_Toc26574"/>
      <w:bookmarkStart w:id="39" w:name="_Toc31315"/>
      <w:bookmarkStart w:id="40" w:name="_Toc452728219"/>
      <w:r>
        <w:rPr>
          <w:rFonts w:hint="eastAsia" w:ascii="宋体" w:hAnsi="宋体" w:cs="宋体"/>
          <w:b/>
          <w:color w:val="auto"/>
          <w:sz w:val="24"/>
          <w:highlight w:val="none"/>
        </w:rPr>
        <w:t>一、总则</w:t>
      </w:r>
      <w:bookmarkEnd w:id="37"/>
      <w:bookmarkEnd w:id="38"/>
      <w:bookmarkEnd w:id="39"/>
      <w:bookmarkEnd w:id="40"/>
    </w:p>
    <w:p w14:paraId="1F43CBF3">
      <w:pPr>
        <w:spacing w:line="5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次磋商采用综合评分法，总分为100分，其中价格分30分，技术、商务、资信及其他分70分；合格供应商的磋商得分为各项目汇总得分，中标候选资格按磋商综合得分由高到低顺序排列，得分相同的，按最终轮磋商报价由低到高顺序排列；得分且最终轮磋商报价相同的，按技术得分由高到低顺序排列。有效投标人为 3家时推荐2名中标候选人，有效</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大于 3 家时，推荐 3名中标候选人</w:t>
      </w:r>
      <w:r>
        <w:rPr>
          <w:rFonts w:hint="eastAsia" w:ascii="宋体" w:hAnsi="宋体" w:eastAsia="宋体" w:cs="宋体"/>
          <w:color w:val="auto"/>
          <w:sz w:val="24"/>
          <w:highlight w:val="none"/>
        </w:rPr>
        <w:t>（排名第一的中标候选人为中标人，排名第二的中标候选人为替补中标人）</w:t>
      </w:r>
      <w:r>
        <w:rPr>
          <w:rFonts w:hint="eastAsia" w:ascii="宋体" w:hAnsi="宋体" w:cs="宋体"/>
          <w:color w:val="auto"/>
          <w:sz w:val="24"/>
          <w:highlight w:val="none"/>
        </w:rPr>
        <w:t>……其他供应商中标候选资格依此类推。评分过程中采用四舍五入法，并保留小数2位。</w:t>
      </w:r>
    </w:p>
    <w:p w14:paraId="11AFBCE1">
      <w:pPr>
        <w:spacing w:line="5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供应商磋商综合得分=价格分+(技术分+商务分+资信及其他分)</w:t>
      </w:r>
    </w:p>
    <w:p w14:paraId="5381FD76">
      <w:pPr>
        <w:numPr>
          <w:ilvl w:val="0"/>
          <w:numId w:val="6"/>
        </w:numPr>
        <w:spacing w:line="540" w:lineRule="exact"/>
        <w:rPr>
          <w:rFonts w:ascii="宋体" w:hAnsi="宋体" w:cs="宋体"/>
          <w:b/>
          <w:color w:val="auto"/>
          <w:sz w:val="24"/>
          <w:highlight w:val="none"/>
        </w:rPr>
      </w:pPr>
      <w:bookmarkStart w:id="41" w:name="_Toc12387"/>
      <w:bookmarkStart w:id="42" w:name="_Toc6122"/>
      <w:bookmarkStart w:id="43" w:name="_Toc452728220"/>
      <w:bookmarkStart w:id="44" w:name="_Toc16785"/>
      <w:r>
        <w:rPr>
          <w:rFonts w:hint="eastAsia" w:ascii="宋体" w:hAnsi="宋体" w:cs="宋体"/>
          <w:b/>
          <w:color w:val="auto"/>
          <w:sz w:val="24"/>
          <w:highlight w:val="none"/>
        </w:rPr>
        <w:t>磋商内容及标准</w:t>
      </w:r>
      <w:bookmarkEnd w:id="41"/>
      <w:bookmarkEnd w:id="42"/>
      <w:bookmarkEnd w:id="43"/>
      <w:bookmarkEnd w:id="44"/>
      <w:bookmarkStart w:id="45" w:name="_Toc502652282"/>
      <w:bookmarkStart w:id="46" w:name="_Hlt452359758"/>
      <w:bookmarkStart w:id="47" w:name="_Hlt452359757"/>
    </w:p>
    <w:p w14:paraId="22B77410">
      <w:pPr>
        <w:pStyle w:val="20"/>
        <w:spacing w:before="120" w:after="120" w:line="540" w:lineRule="exact"/>
        <w:rPr>
          <w:rFonts w:ascii="宋体" w:hAnsi="宋体"/>
          <w:b/>
          <w:bCs/>
          <w:color w:val="auto"/>
          <w:szCs w:val="24"/>
          <w:highlight w:val="none"/>
        </w:rPr>
      </w:pPr>
      <w:r>
        <w:rPr>
          <w:rFonts w:hint="eastAsia" w:ascii="宋体" w:hAnsi="宋体"/>
          <w:b/>
          <w:bCs/>
          <w:color w:val="auto"/>
          <w:szCs w:val="24"/>
          <w:highlight w:val="none"/>
        </w:rPr>
        <w:t>（一）技术、商务、资信及其他分（70分）</w:t>
      </w:r>
    </w:p>
    <w:p w14:paraId="4F287360">
      <w:pPr>
        <w:spacing w:line="540" w:lineRule="exact"/>
        <w:ind w:firstLine="480" w:firstLineChars="200"/>
        <w:rPr>
          <w:rFonts w:ascii="宋体" w:hAnsi="宋体"/>
          <w:color w:val="auto"/>
          <w:sz w:val="24"/>
          <w:highlight w:val="none"/>
        </w:rPr>
      </w:pPr>
      <w:r>
        <w:rPr>
          <w:rFonts w:hint="eastAsia" w:ascii="宋体" w:hAnsi="宋体"/>
          <w:color w:val="auto"/>
          <w:sz w:val="24"/>
          <w:highlight w:val="none"/>
        </w:rPr>
        <w:t>技术、商务资信及其他分响应标书要求的磋商单位全部进入商务报价评审。</w:t>
      </w:r>
    </w:p>
    <w:p w14:paraId="0D2E97FA">
      <w:pPr>
        <w:pStyle w:val="17"/>
        <w:spacing w:line="540" w:lineRule="exact"/>
        <w:ind w:left="0" w:leftChars="0"/>
        <w:rPr>
          <w:rFonts w:ascii="宋体" w:hAnsi="宋体"/>
          <w:b/>
          <w:bCs/>
          <w:color w:val="auto"/>
          <w:sz w:val="24"/>
          <w:highlight w:val="none"/>
        </w:rPr>
      </w:pPr>
      <w:r>
        <w:rPr>
          <w:rFonts w:hint="eastAsia" w:ascii="宋体" w:hAnsi="宋体"/>
          <w:b/>
          <w:color w:val="auto"/>
          <w:sz w:val="24"/>
          <w:highlight w:val="none"/>
        </w:rPr>
        <w:t>（二）</w:t>
      </w:r>
      <w:r>
        <w:rPr>
          <w:rFonts w:hint="eastAsia" w:ascii="宋体" w:hAnsi="宋体"/>
          <w:b/>
          <w:bCs/>
          <w:color w:val="auto"/>
          <w:sz w:val="24"/>
          <w:highlight w:val="none"/>
        </w:rPr>
        <w:t xml:space="preserve">价格分（30分） </w:t>
      </w:r>
    </w:p>
    <w:p w14:paraId="06C8616A">
      <w:pPr>
        <w:spacing w:beforeLines="50" w:afterLines="50" w:line="54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价格分采用低价优先法计算，取所有技术、资信商务得分入围投标人中，最终轮磋商报价以最低的磋商报价为基准价，其他投标人的价格分按照下列公式计算：</w:t>
      </w:r>
    </w:p>
    <w:p w14:paraId="5D7F2924">
      <w:pPr>
        <w:spacing w:beforeLines="50" w:afterLines="50" w:line="54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价格分=评标基准价/最终轮磋商报价×30</w:t>
      </w:r>
    </w:p>
    <w:p w14:paraId="3B495F58">
      <w:pPr>
        <w:spacing w:line="540" w:lineRule="exact"/>
        <w:rPr>
          <w:rFonts w:ascii="宋体" w:hAnsi="宋体"/>
          <w:b/>
          <w:bCs/>
          <w:color w:val="auto"/>
          <w:sz w:val="24"/>
          <w:highlight w:val="none"/>
        </w:rPr>
      </w:pPr>
      <w:r>
        <w:rPr>
          <w:rFonts w:hint="eastAsia" w:ascii="宋体" w:hAnsi="宋体"/>
          <w:b/>
          <w:bCs/>
          <w:color w:val="auto"/>
          <w:sz w:val="24"/>
          <w:highlight w:val="none"/>
        </w:rPr>
        <w:t>（三）技术、商务、资信及其他分的计算</w:t>
      </w:r>
    </w:p>
    <w:p w14:paraId="10489DEE">
      <w:pPr>
        <w:spacing w:beforeLines="50" w:afterLines="50" w:line="540" w:lineRule="exact"/>
        <w:ind w:firstLine="480" w:firstLineChars="200"/>
        <w:rPr>
          <w:rFonts w:ascii="宋体" w:hAnsi="宋体"/>
          <w:color w:val="auto"/>
          <w:sz w:val="24"/>
          <w:highlight w:val="none"/>
        </w:rPr>
      </w:pPr>
      <w:r>
        <w:rPr>
          <w:rFonts w:hint="eastAsia" w:ascii="宋体" w:hAnsi="宋体"/>
          <w:color w:val="auto"/>
          <w:sz w:val="24"/>
          <w:highlight w:val="none"/>
        </w:rPr>
        <w:t>技术、商务、资信及其他分按照磋商小组成员的独立评分结果的算术平均分计算，计算公式为：</w:t>
      </w:r>
    </w:p>
    <w:p w14:paraId="6F650807">
      <w:pPr>
        <w:spacing w:beforeLines="50" w:afterLines="50" w:line="540" w:lineRule="exact"/>
        <w:ind w:firstLine="480" w:firstLineChars="200"/>
        <w:rPr>
          <w:rFonts w:hint="eastAsia" w:ascii="宋体" w:hAnsi="宋体" w:eastAsia="宋体"/>
          <w:b/>
          <w:color w:val="auto"/>
          <w:sz w:val="24"/>
          <w:highlight w:val="none"/>
          <w:lang w:val="en-US" w:eastAsia="zh-CN"/>
        </w:rPr>
      </w:pPr>
      <w:r>
        <w:rPr>
          <w:rFonts w:hint="eastAsia" w:ascii="宋体" w:hAnsi="宋体"/>
          <w:color w:val="auto"/>
          <w:sz w:val="24"/>
          <w:highlight w:val="none"/>
        </w:rPr>
        <w:t>技术商务资信及其他分=磋商小组所有成员有效评分合计数/</w:t>
      </w:r>
      <w:r>
        <w:rPr>
          <w:rFonts w:hint="eastAsia" w:ascii="宋体" w:hAnsi="宋体"/>
          <w:color w:val="auto"/>
          <w:sz w:val="24"/>
          <w:highlight w:val="none"/>
          <w:lang w:val="en-US" w:eastAsia="zh-CN"/>
        </w:rPr>
        <w:t>3</w:t>
      </w:r>
    </w:p>
    <w:p w14:paraId="7706933C">
      <w:pPr>
        <w:numPr>
          <w:ilvl w:val="0"/>
          <w:numId w:val="9"/>
        </w:numPr>
        <w:spacing w:line="540" w:lineRule="exact"/>
        <w:rPr>
          <w:rFonts w:hint="eastAsia" w:ascii="宋体" w:hAnsi="宋体"/>
          <w:b/>
          <w:color w:val="auto"/>
          <w:sz w:val="24"/>
          <w:highlight w:val="none"/>
        </w:rPr>
      </w:pPr>
      <w:r>
        <w:rPr>
          <w:rFonts w:hint="eastAsia" w:ascii="宋体" w:hAnsi="宋体"/>
          <w:b/>
          <w:color w:val="auto"/>
          <w:sz w:val="24"/>
          <w:highlight w:val="none"/>
        </w:rPr>
        <w:t>技术分、商务分、资信及其他分评分标准，共70分</w:t>
      </w:r>
    </w:p>
    <w:p w14:paraId="1B6C3C7C">
      <w:pPr>
        <w:numPr>
          <w:ilvl w:val="0"/>
          <w:numId w:val="0"/>
        </w:numPr>
        <w:spacing w:line="540" w:lineRule="exact"/>
        <w:rPr>
          <w:rFonts w:hint="eastAsia" w:ascii="宋体" w:hAnsi="宋体"/>
          <w:b/>
          <w:color w:val="auto"/>
          <w:sz w:val="24"/>
          <w:highlight w:val="none"/>
        </w:rPr>
      </w:pPr>
    </w:p>
    <w:tbl>
      <w:tblPr>
        <w:tblStyle w:val="38"/>
        <w:tblW w:w="1033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5"/>
        <w:gridCol w:w="525"/>
        <w:gridCol w:w="1440"/>
        <w:gridCol w:w="6915"/>
        <w:gridCol w:w="750"/>
      </w:tblGrid>
      <w:tr w14:paraId="2EF57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01C212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1965" w:type="dxa"/>
            <w:gridSpan w:val="2"/>
            <w:tcBorders>
              <w:top w:val="single" w:color="auto" w:sz="4" w:space="0"/>
              <w:left w:val="single" w:color="auto" w:sz="4" w:space="0"/>
              <w:bottom w:val="single" w:color="auto" w:sz="4" w:space="0"/>
              <w:right w:val="single" w:color="auto" w:sz="4" w:space="0"/>
            </w:tcBorders>
            <w:noWrap w:val="0"/>
            <w:vAlign w:val="center"/>
          </w:tcPr>
          <w:p w14:paraId="3D0ECF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评审内容</w:t>
            </w:r>
          </w:p>
        </w:tc>
        <w:tc>
          <w:tcPr>
            <w:tcW w:w="6915" w:type="dxa"/>
            <w:tcBorders>
              <w:top w:val="single" w:color="auto" w:sz="4" w:space="0"/>
              <w:left w:val="single" w:color="auto" w:sz="4" w:space="0"/>
              <w:bottom w:val="single" w:color="auto" w:sz="4" w:space="0"/>
              <w:right w:val="single" w:color="auto" w:sz="4" w:space="0"/>
            </w:tcBorders>
            <w:noWrap w:val="0"/>
            <w:vAlign w:val="center"/>
          </w:tcPr>
          <w:p w14:paraId="5CCB39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评分标准</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5A717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分值</w:t>
            </w:r>
          </w:p>
        </w:tc>
      </w:tr>
      <w:tr w14:paraId="36033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2A1B7C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w:t>
            </w:r>
          </w:p>
        </w:tc>
        <w:tc>
          <w:tcPr>
            <w:tcW w:w="8880" w:type="dxa"/>
            <w:gridSpan w:val="3"/>
            <w:tcBorders>
              <w:top w:val="single" w:color="auto" w:sz="4" w:space="0"/>
              <w:left w:val="single" w:color="auto" w:sz="4" w:space="0"/>
              <w:bottom w:val="single" w:color="auto" w:sz="4" w:space="0"/>
              <w:right w:val="single" w:color="auto" w:sz="4" w:space="0"/>
            </w:tcBorders>
            <w:noWrap w:val="0"/>
            <w:vAlign w:val="center"/>
          </w:tcPr>
          <w:p w14:paraId="50F643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技术分</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BB4A0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60</w:t>
            </w:r>
            <w:r>
              <w:rPr>
                <w:rFonts w:hint="eastAsia" w:ascii="宋体" w:hAnsi="宋体" w:eastAsia="宋体" w:cs="宋体"/>
                <w:b/>
                <w:bCs/>
                <w:color w:val="auto"/>
                <w:sz w:val="24"/>
                <w:highlight w:val="none"/>
              </w:rPr>
              <w:t>分</w:t>
            </w:r>
          </w:p>
        </w:tc>
      </w:tr>
      <w:tr w14:paraId="029CE9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46280E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525" w:type="dxa"/>
            <w:vMerge w:val="restart"/>
            <w:tcBorders>
              <w:left w:val="single" w:color="auto" w:sz="4" w:space="0"/>
              <w:right w:val="single" w:color="auto" w:sz="4" w:space="0"/>
            </w:tcBorders>
            <w:noWrap w:val="0"/>
            <w:vAlign w:val="center"/>
          </w:tcPr>
          <w:p w14:paraId="6D47E7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技术服务水平</w:t>
            </w:r>
          </w:p>
        </w:tc>
        <w:tc>
          <w:tcPr>
            <w:tcW w:w="1440" w:type="dxa"/>
            <w:tcBorders>
              <w:left w:val="single" w:color="auto" w:sz="4" w:space="0"/>
              <w:right w:val="single" w:color="auto" w:sz="4" w:space="0"/>
            </w:tcBorders>
            <w:noWrap w:val="0"/>
            <w:vAlign w:val="center"/>
          </w:tcPr>
          <w:p w14:paraId="6570FC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项目理解情况</w:t>
            </w:r>
          </w:p>
        </w:tc>
        <w:tc>
          <w:tcPr>
            <w:tcW w:w="6915" w:type="dxa"/>
            <w:tcBorders>
              <w:top w:val="single" w:color="auto" w:sz="4" w:space="0"/>
              <w:left w:val="single" w:color="auto" w:sz="4" w:space="0"/>
              <w:bottom w:val="single" w:color="auto" w:sz="4" w:space="0"/>
              <w:right w:val="single" w:color="auto" w:sz="4" w:space="0"/>
            </w:tcBorders>
            <w:noWrap w:val="0"/>
            <w:vAlign w:val="center"/>
          </w:tcPr>
          <w:p w14:paraId="7AB2E2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对项目实施思路</w:t>
            </w:r>
            <w:r>
              <w:rPr>
                <w:rFonts w:hint="eastAsia" w:ascii="宋体" w:hAnsi="宋体" w:cs="宋体"/>
                <w:color w:val="auto"/>
                <w:sz w:val="24"/>
                <w:highlight w:val="none"/>
                <w:lang w:val="en-US" w:eastAsia="zh-CN"/>
              </w:rPr>
              <w:t>（0-2）</w:t>
            </w:r>
            <w:r>
              <w:rPr>
                <w:rFonts w:hint="eastAsia" w:ascii="宋体" w:hAnsi="宋体" w:eastAsia="宋体" w:cs="宋体"/>
                <w:color w:val="auto"/>
                <w:sz w:val="24"/>
                <w:highlight w:val="none"/>
                <w:lang w:val="en-US" w:eastAsia="zh-CN"/>
              </w:rPr>
              <w:t>技术要求</w:t>
            </w:r>
            <w:r>
              <w:rPr>
                <w:rFonts w:hint="eastAsia" w:ascii="宋体" w:hAnsi="宋体" w:cs="宋体"/>
                <w:color w:val="auto"/>
                <w:sz w:val="24"/>
                <w:highlight w:val="none"/>
                <w:lang w:val="en-US" w:eastAsia="zh-CN"/>
              </w:rPr>
              <w:t>（0-2）</w:t>
            </w:r>
            <w:r>
              <w:rPr>
                <w:rFonts w:hint="eastAsia" w:ascii="宋体" w:hAnsi="宋体" w:eastAsia="宋体" w:cs="宋体"/>
                <w:color w:val="auto"/>
                <w:sz w:val="24"/>
                <w:highlight w:val="none"/>
                <w:lang w:val="en-US" w:eastAsia="zh-CN"/>
              </w:rPr>
              <w:t>项目特点的理解情况</w:t>
            </w:r>
            <w:r>
              <w:rPr>
                <w:rFonts w:hint="eastAsia" w:ascii="宋体" w:hAnsi="宋体" w:cs="宋体"/>
                <w:color w:val="auto"/>
                <w:sz w:val="24"/>
                <w:highlight w:val="none"/>
                <w:lang w:val="en-US" w:eastAsia="zh-CN"/>
              </w:rPr>
              <w:t>（0-2）</w:t>
            </w:r>
            <w:r>
              <w:rPr>
                <w:rFonts w:hint="eastAsia" w:ascii="宋体" w:hAnsi="宋体" w:eastAsia="宋体" w:cs="宋体"/>
                <w:color w:val="auto"/>
                <w:sz w:val="24"/>
                <w:highlight w:val="none"/>
                <w:lang w:val="en-US" w:eastAsia="zh-CN"/>
              </w:rPr>
              <w:t>，根据其科学性、合理性进行打分。</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3A779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p>
        </w:tc>
      </w:tr>
      <w:tr w14:paraId="37D66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32CA81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525" w:type="dxa"/>
            <w:vMerge w:val="continue"/>
            <w:tcBorders>
              <w:left w:val="single" w:color="auto" w:sz="4" w:space="0"/>
              <w:right w:val="single" w:color="auto" w:sz="4" w:space="0"/>
            </w:tcBorders>
            <w:noWrap w:val="0"/>
            <w:vAlign w:val="center"/>
          </w:tcPr>
          <w:p w14:paraId="245119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155F7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突发事件应急预案</w:t>
            </w:r>
          </w:p>
        </w:tc>
        <w:tc>
          <w:tcPr>
            <w:tcW w:w="6915" w:type="dxa"/>
            <w:tcBorders>
              <w:top w:val="single" w:color="auto" w:sz="4" w:space="0"/>
              <w:left w:val="single" w:color="auto" w:sz="4" w:space="0"/>
              <w:bottom w:val="single" w:color="auto" w:sz="4" w:space="0"/>
              <w:right w:val="single" w:color="auto" w:sz="4" w:space="0"/>
            </w:tcBorders>
            <w:noWrap w:val="0"/>
            <w:vAlign w:val="center"/>
          </w:tcPr>
          <w:p w14:paraId="025AB3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zh-CN"/>
              </w:rPr>
              <w:t>应急</w:t>
            </w:r>
            <w:r>
              <w:rPr>
                <w:rFonts w:hint="eastAsia" w:ascii="宋体" w:hAnsi="宋体" w:eastAsia="宋体" w:cs="宋体"/>
                <w:color w:val="auto"/>
                <w:sz w:val="24"/>
                <w:szCs w:val="24"/>
                <w:highlight w:val="none"/>
                <w:lang w:val="en-US" w:eastAsia="zh-CN"/>
              </w:rPr>
              <w:t>预案(对于遇到突发事件时的</w:t>
            </w:r>
            <w:r>
              <w:rPr>
                <w:rFonts w:hint="eastAsia" w:ascii="宋体" w:hAnsi="宋体" w:eastAsia="宋体" w:cs="宋体"/>
                <w:color w:val="auto"/>
                <w:sz w:val="24"/>
                <w:szCs w:val="24"/>
                <w:highlight w:val="none"/>
                <w:lang w:val="zh-CN"/>
              </w:rPr>
              <w:t>应急处置方案</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，落实专职人员</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等内容，根据方案是否覆盖全面、是否科学合理、具有针对性和可操作性</w:t>
            </w:r>
            <w:r>
              <w:rPr>
                <w:rFonts w:hint="eastAsia" w:ascii="宋体" w:hAnsi="宋体" w:eastAsia="宋体" w:cs="宋体"/>
                <w:color w:val="auto"/>
                <w:sz w:val="24"/>
                <w:szCs w:val="24"/>
                <w:highlight w:val="none"/>
                <w:lang w:val="en-US" w:eastAsia="zh-CN"/>
              </w:rPr>
              <w:t>等情况酌情打分。</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21E5C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r>
      <w:tr w14:paraId="3E286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8"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528867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525" w:type="dxa"/>
            <w:vMerge w:val="continue"/>
            <w:tcBorders>
              <w:left w:val="single" w:color="auto" w:sz="4" w:space="0"/>
              <w:right w:val="single" w:color="auto" w:sz="4" w:space="0"/>
            </w:tcBorders>
            <w:noWrap w:val="0"/>
            <w:vAlign w:val="center"/>
          </w:tcPr>
          <w:p w14:paraId="5AAD0D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07AE1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施工方案</w:t>
            </w:r>
          </w:p>
        </w:tc>
        <w:tc>
          <w:tcPr>
            <w:tcW w:w="6915" w:type="dxa"/>
            <w:tcBorders>
              <w:top w:val="single" w:color="auto" w:sz="4" w:space="0"/>
              <w:left w:val="single" w:color="auto" w:sz="4" w:space="0"/>
              <w:bottom w:val="single" w:color="auto" w:sz="4" w:space="0"/>
              <w:right w:val="single" w:color="auto" w:sz="4" w:space="0"/>
            </w:tcBorders>
            <w:noWrap w:val="0"/>
            <w:vAlign w:val="center"/>
          </w:tcPr>
          <w:p w14:paraId="4501E0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施工方案内容齐全、结构完整、表述准确、条理清晰程度，与需求的吻合程度</w:t>
            </w:r>
            <w:r>
              <w:rPr>
                <w:rFonts w:hint="eastAsia" w:ascii="宋体" w:hAnsi="宋体" w:cs="宋体"/>
                <w:color w:val="auto"/>
                <w:sz w:val="24"/>
                <w:highlight w:val="none"/>
                <w:lang w:val="en-US" w:eastAsia="zh-CN"/>
              </w:rPr>
              <w:t>（0-3）</w:t>
            </w:r>
            <w:r>
              <w:rPr>
                <w:rFonts w:hint="eastAsia" w:ascii="宋体" w:hAnsi="宋体" w:eastAsia="宋体" w:cs="宋体"/>
                <w:color w:val="auto"/>
                <w:sz w:val="24"/>
                <w:highlight w:val="none"/>
                <w:lang w:val="en-US" w:eastAsia="zh-CN"/>
              </w:rPr>
              <w:t>；是否涵盖本次工程实施有关的内容</w:t>
            </w:r>
            <w:r>
              <w:rPr>
                <w:rFonts w:hint="eastAsia" w:ascii="宋体" w:hAnsi="宋体" w:cs="宋体"/>
                <w:color w:val="auto"/>
                <w:sz w:val="24"/>
                <w:highlight w:val="none"/>
                <w:lang w:val="en-US" w:eastAsia="zh-CN"/>
              </w:rPr>
              <w:t>（0-3）</w:t>
            </w:r>
            <w:r>
              <w:rPr>
                <w:rFonts w:hint="eastAsia" w:ascii="宋体" w:hAnsi="宋体" w:eastAsia="宋体" w:cs="宋体"/>
                <w:color w:val="auto"/>
                <w:sz w:val="24"/>
                <w:highlight w:val="none"/>
                <w:lang w:val="en-US" w:eastAsia="zh-CN"/>
              </w:rPr>
              <w:t>，包括方案的先进性、可行性和扩展性，进行打分。</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7C446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p>
        </w:tc>
      </w:tr>
      <w:tr w14:paraId="0A824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5D3AE5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525" w:type="dxa"/>
            <w:vMerge w:val="continue"/>
            <w:tcBorders>
              <w:left w:val="single" w:color="auto" w:sz="4" w:space="0"/>
              <w:right w:val="single" w:color="auto" w:sz="4" w:space="0"/>
            </w:tcBorders>
            <w:noWrap w:val="0"/>
            <w:vAlign w:val="center"/>
          </w:tcPr>
          <w:p w14:paraId="239136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07F0C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施工进度</w:t>
            </w:r>
          </w:p>
        </w:tc>
        <w:tc>
          <w:tcPr>
            <w:tcW w:w="6915" w:type="dxa"/>
            <w:tcBorders>
              <w:top w:val="single" w:color="auto" w:sz="4" w:space="0"/>
              <w:left w:val="single" w:color="auto" w:sz="4" w:space="0"/>
              <w:bottom w:val="single" w:color="auto" w:sz="4" w:space="0"/>
              <w:right w:val="single" w:color="auto" w:sz="4" w:space="0"/>
            </w:tcBorders>
            <w:noWrap w:val="0"/>
            <w:vAlign w:val="center"/>
          </w:tcPr>
          <w:p w14:paraId="375DDD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根据项目工期要求，施工进度安排合理、准确</w:t>
            </w:r>
            <w:r>
              <w:rPr>
                <w:rFonts w:hint="eastAsia" w:ascii="宋体" w:hAnsi="宋体" w:cs="宋体"/>
                <w:color w:val="auto"/>
                <w:sz w:val="24"/>
                <w:highlight w:val="none"/>
                <w:lang w:val="en-US" w:eastAsia="zh-CN"/>
              </w:rPr>
              <w:t>（0-2），</w:t>
            </w:r>
            <w:r>
              <w:rPr>
                <w:rFonts w:hint="eastAsia" w:ascii="宋体" w:hAnsi="宋体" w:eastAsia="宋体" w:cs="宋体"/>
                <w:color w:val="auto"/>
                <w:sz w:val="24"/>
                <w:highlight w:val="none"/>
                <w:lang w:val="en-US" w:eastAsia="zh-CN"/>
              </w:rPr>
              <w:t>关键节点的控制措施</w:t>
            </w:r>
            <w:r>
              <w:rPr>
                <w:rFonts w:hint="eastAsia" w:ascii="宋体" w:hAnsi="宋体" w:cs="宋体"/>
                <w:color w:val="auto"/>
                <w:sz w:val="24"/>
                <w:highlight w:val="none"/>
                <w:lang w:val="en-US" w:eastAsia="zh-CN"/>
              </w:rPr>
              <w:t>（0-2）</w:t>
            </w:r>
            <w:r>
              <w:rPr>
                <w:rFonts w:hint="eastAsia" w:ascii="宋体" w:hAnsi="宋体" w:eastAsia="宋体" w:cs="宋体"/>
                <w:color w:val="auto"/>
                <w:sz w:val="24"/>
                <w:highlight w:val="none"/>
                <w:lang w:val="en-US" w:eastAsia="zh-CN"/>
              </w:rPr>
              <w:t>进行打分。</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BCA9F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r>
      <w:tr w14:paraId="75255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359D20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525" w:type="dxa"/>
            <w:vMerge w:val="continue"/>
            <w:tcBorders>
              <w:left w:val="single" w:color="auto" w:sz="4" w:space="0"/>
              <w:right w:val="single" w:color="auto" w:sz="4" w:space="0"/>
            </w:tcBorders>
            <w:noWrap w:val="0"/>
            <w:vAlign w:val="center"/>
          </w:tcPr>
          <w:p w14:paraId="629BE1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7E3E4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质量保障</w:t>
            </w:r>
          </w:p>
        </w:tc>
        <w:tc>
          <w:tcPr>
            <w:tcW w:w="6915" w:type="dxa"/>
            <w:tcBorders>
              <w:top w:val="single" w:color="auto" w:sz="4" w:space="0"/>
              <w:left w:val="single" w:color="auto" w:sz="4" w:space="0"/>
              <w:bottom w:val="single" w:color="auto" w:sz="4" w:space="0"/>
              <w:right w:val="single" w:color="auto" w:sz="4" w:space="0"/>
            </w:tcBorders>
            <w:noWrap w:val="0"/>
            <w:vAlign w:val="center"/>
          </w:tcPr>
          <w:p w14:paraId="11FE86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施工质量目标明确</w:t>
            </w:r>
            <w:r>
              <w:rPr>
                <w:rFonts w:hint="eastAsia" w:ascii="宋体" w:hAnsi="宋体" w:cs="宋体"/>
                <w:color w:val="auto"/>
                <w:sz w:val="24"/>
                <w:highlight w:val="none"/>
                <w:lang w:val="en-US" w:eastAsia="zh-CN"/>
              </w:rPr>
              <w:t>（0-2）</w:t>
            </w:r>
            <w:r>
              <w:rPr>
                <w:rFonts w:hint="eastAsia" w:ascii="宋体" w:hAnsi="宋体" w:eastAsia="宋体" w:cs="宋体"/>
                <w:color w:val="auto"/>
                <w:sz w:val="24"/>
                <w:highlight w:val="none"/>
                <w:lang w:val="en-US" w:eastAsia="zh-CN"/>
              </w:rPr>
              <w:t>，质量控制措施</w:t>
            </w:r>
            <w:r>
              <w:rPr>
                <w:rFonts w:hint="eastAsia" w:ascii="宋体" w:hAnsi="宋体" w:cs="宋体"/>
                <w:color w:val="auto"/>
                <w:sz w:val="24"/>
                <w:highlight w:val="none"/>
                <w:lang w:val="en-US" w:eastAsia="zh-CN"/>
              </w:rPr>
              <w:t>（0-2）</w:t>
            </w:r>
            <w:r>
              <w:rPr>
                <w:rFonts w:hint="eastAsia" w:ascii="宋体" w:hAnsi="宋体" w:eastAsia="宋体" w:cs="宋体"/>
                <w:color w:val="auto"/>
                <w:sz w:val="24"/>
                <w:highlight w:val="none"/>
                <w:lang w:val="en-US" w:eastAsia="zh-CN"/>
              </w:rPr>
              <w:t>科学、合理、有技术支撑进行打分。</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7FE1A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r>
      <w:tr w14:paraId="4DEB0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jc w:val="center"/>
        </w:trPr>
        <w:tc>
          <w:tcPr>
            <w:tcW w:w="705" w:type="dxa"/>
            <w:vMerge w:val="restart"/>
            <w:tcBorders>
              <w:top w:val="single" w:color="auto" w:sz="4" w:space="0"/>
              <w:left w:val="single" w:color="auto" w:sz="4" w:space="0"/>
              <w:right w:val="single" w:color="auto" w:sz="4" w:space="0"/>
            </w:tcBorders>
            <w:noWrap w:val="0"/>
            <w:vAlign w:val="center"/>
          </w:tcPr>
          <w:p w14:paraId="7BAB0D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525" w:type="dxa"/>
            <w:vMerge w:val="continue"/>
            <w:tcBorders>
              <w:left w:val="single" w:color="auto" w:sz="4" w:space="0"/>
              <w:right w:val="single" w:color="auto" w:sz="4" w:space="0"/>
            </w:tcBorders>
            <w:noWrap w:val="0"/>
            <w:vAlign w:val="center"/>
          </w:tcPr>
          <w:p w14:paraId="77141D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p>
        </w:tc>
        <w:tc>
          <w:tcPr>
            <w:tcW w:w="1440" w:type="dxa"/>
            <w:vMerge w:val="restart"/>
            <w:tcBorders>
              <w:top w:val="single" w:color="auto" w:sz="4" w:space="0"/>
              <w:left w:val="single" w:color="auto" w:sz="4" w:space="0"/>
              <w:right w:val="single" w:color="auto" w:sz="4" w:space="0"/>
            </w:tcBorders>
            <w:noWrap w:val="0"/>
            <w:vAlign w:val="center"/>
          </w:tcPr>
          <w:p w14:paraId="6FCF2F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安全、文明施工等的保证措施</w:t>
            </w:r>
          </w:p>
        </w:tc>
        <w:tc>
          <w:tcPr>
            <w:tcW w:w="6915" w:type="dxa"/>
            <w:tcBorders>
              <w:top w:val="single" w:color="auto" w:sz="4" w:space="0"/>
              <w:left w:val="single" w:color="auto" w:sz="4" w:space="0"/>
              <w:bottom w:val="single" w:color="auto" w:sz="4" w:space="0"/>
              <w:right w:val="single" w:color="auto" w:sz="4" w:space="0"/>
            </w:tcBorders>
            <w:noWrap w:val="0"/>
            <w:vAlign w:val="center"/>
          </w:tcPr>
          <w:p w14:paraId="3B19B6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根据安全、文明施工及市政、市容、环保、消防的保证措施，并具有详细可行的实施内容，进行打分。</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F7BDE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r>
      <w:tr w14:paraId="3CE5D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5" w:type="dxa"/>
            <w:vMerge w:val="continue"/>
            <w:tcBorders>
              <w:left w:val="single" w:color="auto" w:sz="4" w:space="0"/>
              <w:bottom w:val="single" w:color="auto" w:sz="4" w:space="0"/>
              <w:right w:val="single" w:color="auto" w:sz="4" w:space="0"/>
            </w:tcBorders>
            <w:noWrap w:val="0"/>
            <w:vAlign w:val="center"/>
          </w:tcPr>
          <w:p w14:paraId="38D77A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p>
        </w:tc>
        <w:tc>
          <w:tcPr>
            <w:tcW w:w="525" w:type="dxa"/>
            <w:vMerge w:val="continue"/>
            <w:tcBorders>
              <w:left w:val="single" w:color="auto" w:sz="4" w:space="0"/>
              <w:right w:val="single" w:color="auto" w:sz="4" w:space="0"/>
            </w:tcBorders>
            <w:noWrap w:val="0"/>
            <w:vAlign w:val="center"/>
          </w:tcPr>
          <w:p w14:paraId="320BD1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p>
        </w:tc>
        <w:tc>
          <w:tcPr>
            <w:tcW w:w="1440" w:type="dxa"/>
            <w:vMerge w:val="continue"/>
            <w:tcBorders>
              <w:left w:val="single" w:color="auto" w:sz="4" w:space="0"/>
              <w:bottom w:val="single" w:color="auto" w:sz="4" w:space="0"/>
              <w:right w:val="single" w:color="auto" w:sz="4" w:space="0"/>
            </w:tcBorders>
            <w:noWrap w:val="0"/>
            <w:vAlign w:val="center"/>
          </w:tcPr>
          <w:p w14:paraId="346BEB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p>
        </w:tc>
        <w:tc>
          <w:tcPr>
            <w:tcW w:w="6915" w:type="dxa"/>
            <w:tcBorders>
              <w:top w:val="single" w:color="auto" w:sz="4" w:space="0"/>
              <w:left w:val="single" w:color="auto" w:sz="4" w:space="0"/>
              <w:bottom w:val="single" w:color="auto" w:sz="4" w:space="0"/>
              <w:right w:val="single" w:color="auto" w:sz="4" w:space="0"/>
            </w:tcBorders>
            <w:noWrap w:val="0"/>
            <w:vAlign w:val="center"/>
          </w:tcPr>
          <w:p w14:paraId="1F3E86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根据施工场地周边情况对扬尘治理、垃圾清运、人员管理、降噪等措施进行打分。</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7E75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r>
      <w:tr w14:paraId="7EFBD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13C261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525" w:type="dxa"/>
            <w:vMerge w:val="continue"/>
            <w:tcBorders>
              <w:left w:val="single" w:color="auto" w:sz="4" w:space="0"/>
              <w:right w:val="single" w:color="auto" w:sz="4" w:space="0"/>
            </w:tcBorders>
            <w:noWrap w:val="0"/>
            <w:vAlign w:val="center"/>
          </w:tcPr>
          <w:p w14:paraId="1582BC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33EDE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施工机具</w:t>
            </w:r>
          </w:p>
          <w:p w14:paraId="025F3A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设备</w:t>
            </w:r>
          </w:p>
        </w:tc>
        <w:tc>
          <w:tcPr>
            <w:tcW w:w="6915" w:type="dxa"/>
            <w:tcBorders>
              <w:top w:val="single" w:color="auto" w:sz="4" w:space="0"/>
              <w:left w:val="single" w:color="auto" w:sz="4" w:space="0"/>
              <w:bottom w:val="single" w:color="auto" w:sz="4" w:space="0"/>
              <w:right w:val="single" w:color="auto" w:sz="4" w:space="0"/>
            </w:tcBorders>
            <w:noWrap w:val="0"/>
            <w:vAlign w:val="center"/>
          </w:tcPr>
          <w:p w14:paraId="741C72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施工机具设备的投入能够优于工程实施的需要，且与项目相适应，根据其针对性、合理性进行打分。</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B9C6C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r>
      <w:tr w14:paraId="1C7AA2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72C2E4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525" w:type="dxa"/>
            <w:vMerge w:val="continue"/>
            <w:tcBorders>
              <w:left w:val="single" w:color="auto" w:sz="4" w:space="0"/>
              <w:right w:val="single" w:color="auto" w:sz="4" w:space="0"/>
            </w:tcBorders>
            <w:noWrap w:val="0"/>
            <w:vAlign w:val="center"/>
          </w:tcPr>
          <w:p w14:paraId="1A710A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94301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材料设备进场计划</w:t>
            </w:r>
          </w:p>
        </w:tc>
        <w:tc>
          <w:tcPr>
            <w:tcW w:w="6915" w:type="dxa"/>
            <w:tcBorders>
              <w:top w:val="single" w:color="auto" w:sz="4" w:space="0"/>
              <w:left w:val="single" w:color="auto" w:sz="4" w:space="0"/>
              <w:bottom w:val="single" w:color="auto" w:sz="4" w:space="0"/>
              <w:right w:val="single" w:color="auto" w:sz="4" w:space="0"/>
            </w:tcBorders>
            <w:noWrap w:val="0"/>
            <w:vAlign w:val="center"/>
          </w:tcPr>
          <w:p w14:paraId="7BB715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材料设备进场计划及施工计划情况：是否具有详细的材料设备进场计划、时间安排合理</w:t>
            </w:r>
            <w:r>
              <w:rPr>
                <w:rFonts w:hint="eastAsia" w:ascii="宋体" w:hAnsi="宋体" w:cs="宋体"/>
                <w:color w:val="auto"/>
                <w:sz w:val="24"/>
                <w:highlight w:val="none"/>
                <w:lang w:val="en-US" w:eastAsia="zh-CN"/>
              </w:rPr>
              <w:t>（0-2）</w:t>
            </w:r>
            <w:r>
              <w:rPr>
                <w:rFonts w:hint="eastAsia" w:ascii="宋体" w:hAnsi="宋体" w:eastAsia="宋体" w:cs="宋体"/>
                <w:color w:val="auto"/>
                <w:sz w:val="24"/>
                <w:highlight w:val="none"/>
                <w:lang w:val="en-US" w:eastAsia="zh-CN"/>
              </w:rPr>
              <w:t>、材料数量清点情况</w:t>
            </w:r>
            <w:r>
              <w:rPr>
                <w:rFonts w:hint="eastAsia" w:ascii="宋体" w:hAnsi="宋体" w:cs="宋体"/>
                <w:color w:val="auto"/>
                <w:sz w:val="24"/>
                <w:highlight w:val="none"/>
                <w:lang w:val="en-US" w:eastAsia="zh-CN"/>
              </w:rPr>
              <w:t>（0-1）</w:t>
            </w:r>
            <w:r>
              <w:rPr>
                <w:rFonts w:hint="eastAsia" w:ascii="宋体" w:hAnsi="宋体" w:eastAsia="宋体" w:cs="宋体"/>
                <w:color w:val="auto"/>
                <w:sz w:val="24"/>
                <w:highlight w:val="none"/>
                <w:lang w:val="en-US" w:eastAsia="zh-CN"/>
              </w:rPr>
              <w:t>、材料质量控制情况</w:t>
            </w:r>
            <w:r>
              <w:rPr>
                <w:rFonts w:hint="eastAsia" w:ascii="宋体" w:hAnsi="宋体" w:cs="宋体"/>
                <w:color w:val="auto"/>
                <w:sz w:val="24"/>
                <w:highlight w:val="none"/>
                <w:lang w:val="en-US" w:eastAsia="zh-CN"/>
              </w:rPr>
              <w:t>（0-1）</w:t>
            </w:r>
            <w:r>
              <w:rPr>
                <w:rFonts w:hint="eastAsia" w:ascii="宋体" w:hAnsi="宋体" w:eastAsia="宋体" w:cs="宋体"/>
                <w:color w:val="auto"/>
                <w:sz w:val="24"/>
                <w:highlight w:val="none"/>
                <w:lang w:val="en-US" w:eastAsia="zh-CN"/>
              </w:rPr>
              <w:t xml:space="preserve">进行打分。 </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EDA47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r>
      <w:tr w14:paraId="6532E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9" w:hRule="atLeast"/>
          <w:jc w:val="center"/>
        </w:trPr>
        <w:tc>
          <w:tcPr>
            <w:tcW w:w="705" w:type="dxa"/>
            <w:tcBorders>
              <w:top w:val="single" w:color="auto" w:sz="4" w:space="0"/>
              <w:left w:val="single" w:color="auto" w:sz="4" w:space="0"/>
              <w:right w:val="single" w:color="auto" w:sz="4" w:space="0"/>
            </w:tcBorders>
            <w:noWrap w:val="0"/>
            <w:vAlign w:val="center"/>
          </w:tcPr>
          <w:p w14:paraId="5111CF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525" w:type="dxa"/>
            <w:vMerge w:val="continue"/>
            <w:tcBorders>
              <w:left w:val="single" w:color="auto" w:sz="4" w:space="0"/>
              <w:right w:val="single" w:color="auto" w:sz="4" w:space="0"/>
            </w:tcBorders>
            <w:noWrap w:val="0"/>
            <w:vAlign w:val="center"/>
          </w:tcPr>
          <w:p w14:paraId="365B77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p>
        </w:tc>
        <w:tc>
          <w:tcPr>
            <w:tcW w:w="1440" w:type="dxa"/>
            <w:tcBorders>
              <w:top w:val="single" w:color="auto" w:sz="4" w:space="0"/>
              <w:left w:val="single" w:color="auto" w:sz="4" w:space="0"/>
              <w:right w:val="single" w:color="auto" w:sz="4" w:space="0"/>
            </w:tcBorders>
            <w:noWrap w:val="0"/>
            <w:vAlign w:val="center"/>
          </w:tcPr>
          <w:p w14:paraId="0CBC22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项目人员</w:t>
            </w:r>
          </w:p>
        </w:tc>
        <w:tc>
          <w:tcPr>
            <w:tcW w:w="6915" w:type="dxa"/>
            <w:tcBorders>
              <w:top w:val="single" w:color="auto" w:sz="4" w:space="0"/>
              <w:left w:val="single" w:color="auto" w:sz="4" w:space="0"/>
              <w:right w:val="single" w:color="auto" w:sz="4" w:space="0"/>
            </w:tcBorders>
            <w:noWrap w:val="0"/>
            <w:vAlign w:val="center"/>
          </w:tcPr>
          <w:p w14:paraId="2E0F03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根据拟派项目组成员的人员结构、专业配备的合理性、岗位设置情况（0-2分）、资质</w:t>
            </w:r>
            <w:r>
              <w:rPr>
                <w:rFonts w:hint="eastAsia" w:ascii="宋体" w:hAnsi="宋体" w:cs="宋体"/>
                <w:color w:val="auto"/>
                <w:sz w:val="24"/>
                <w:highlight w:val="none"/>
                <w:lang w:val="en-US" w:eastAsia="zh-CN"/>
              </w:rPr>
              <w:t>情况</w:t>
            </w:r>
            <w:r>
              <w:rPr>
                <w:rFonts w:hint="eastAsia" w:ascii="宋体" w:hAnsi="宋体" w:cs="宋体"/>
                <w:color w:val="auto"/>
                <w:sz w:val="24"/>
                <w:highlight w:val="none"/>
              </w:rPr>
              <w:t>（0-</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分），工作经验（0-</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分）等情况进行打分。</w:t>
            </w:r>
          </w:p>
          <w:p w14:paraId="102851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注：</w:t>
            </w:r>
            <w:r>
              <w:rPr>
                <w:rFonts w:hint="eastAsia" w:ascii="宋体" w:hAnsi="宋体" w:cs="宋体"/>
                <w:sz w:val="24"/>
              </w:rPr>
              <w:t>须提供相关证明材料，并且项目组成员必须是供应商本单位在职员工，还须提供近三个月已在本单位缴纳社保的凭证或承诺书（承诺以上人员为本单位员工，格式自拟）并加盖供应商公章，否则不得分。</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9A4C2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6</w:t>
            </w:r>
          </w:p>
        </w:tc>
      </w:tr>
      <w:tr w14:paraId="1EA6D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07ED78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0</w:t>
            </w:r>
          </w:p>
        </w:tc>
        <w:tc>
          <w:tcPr>
            <w:tcW w:w="525" w:type="dxa"/>
            <w:vMerge w:val="continue"/>
            <w:tcBorders>
              <w:left w:val="single" w:color="auto" w:sz="4" w:space="0"/>
              <w:right w:val="single" w:color="auto" w:sz="4" w:space="0"/>
            </w:tcBorders>
            <w:noWrap w:val="0"/>
            <w:vAlign w:val="center"/>
          </w:tcPr>
          <w:p w14:paraId="372456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C6A52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布置情况</w:t>
            </w:r>
          </w:p>
        </w:tc>
        <w:tc>
          <w:tcPr>
            <w:tcW w:w="6915" w:type="dxa"/>
            <w:tcBorders>
              <w:top w:val="single" w:color="auto" w:sz="4" w:space="0"/>
              <w:left w:val="single" w:color="auto" w:sz="4" w:space="0"/>
              <w:bottom w:val="single" w:color="auto" w:sz="4" w:space="0"/>
              <w:right w:val="single" w:color="auto" w:sz="4" w:space="0"/>
            </w:tcBorders>
            <w:noWrap w:val="0"/>
            <w:vAlign w:val="center"/>
          </w:tcPr>
          <w:p w14:paraId="31EC3F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根据磋商响应方提供的材料堆场、施工通道的安排计划是否符合施工现场实际情况，安排是否科学、合理进行打分。</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89FF4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r>
      <w:tr w14:paraId="5BEAA1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8"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11309A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1</w:t>
            </w:r>
          </w:p>
        </w:tc>
        <w:tc>
          <w:tcPr>
            <w:tcW w:w="525" w:type="dxa"/>
            <w:vMerge w:val="continue"/>
            <w:tcBorders>
              <w:left w:val="single" w:color="auto" w:sz="4" w:space="0"/>
              <w:right w:val="single" w:color="auto" w:sz="4" w:space="0"/>
            </w:tcBorders>
            <w:noWrap w:val="0"/>
            <w:vAlign w:val="center"/>
          </w:tcPr>
          <w:p w14:paraId="63FB64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86F44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关键工序、复杂环节的相应技术措施</w:t>
            </w:r>
          </w:p>
        </w:tc>
        <w:tc>
          <w:tcPr>
            <w:tcW w:w="6915" w:type="dxa"/>
            <w:tcBorders>
              <w:top w:val="single" w:color="auto" w:sz="4" w:space="0"/>
              <w:left w:val="single" w:color="auto" w:sz="4" w:space="0"/>
              <w:bottom w:val="single" w:color="auto" w:sz="4" w:space="0"/>
              <w:right w:val="single" w:color="auto" w:sz="4" w:space="0"/>
            </w:tcBorders>
            <w:noWrap w:val="0"/>
            <w:vAlign w:val="center"/>
          </w:tcPr>
          <w:p w14:paraId="768B4A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关键工序</w:t>
            </w:r>
            <w:r>
              <w:rPr>
                <w:rFonts w:hint="eastAsia" w:ascii="宋体" w:hAnsi="宋体" w:cs="宋体"/>
                <w:color w:val="auto"/>
                <w:sz w:val="24"/>
                <w:highlight w:val="none"/>
                <w:lang w:val="en-US" w:eastAsia="zh-CN"/>
              </w:rPr>
              <w:t>（0-2）</w:t>
            </w:r>
            <w:r>
              <w:rPr>
                <w:rFonts w:hint="eastAsia" w:ascii="宋体" w:hAnsi="宋体" w:eastAsia="宋体" w:cs="宋体"/>
                <w:color w:val="auto"/>
                <w:sz w:val="24"/>
                <w:highlight w:val="none"/>
                <w:lang w:val="en-US" w:eastAsia="zh-CN"/>
              </w:rPr>
              <w:t>、复杂环节</w:t>
            </w:r>
            <w:r>
              <w:rPr>
                <w:rFonts w:hint="eastAsia" w:ascii="宋体" w:hAnsi="宋体" w:cs="宋体"/>
                <w:color w:val="auto"/>
                <w:sz w:val="24"/>
                <w:highlight w:val="none"/>
                <w:lang w:val="en-US" w:eastAsia="zh-CN"/>
              </w:rPr>
              <w:t>（0-2）</w:t>
            </w:r>
            <w:r>
              <w:rPr>
                <w:rFonts w:hint="eastAsia" w:ascii="宋体" w:hAnsi="宋体" w:eastAsia="宋体" w:cs="宋体"/>
                <w:color w:val="auto"/>
                <w:sz w:val="24"/>
                <w:highlight w:val="none"/>
                <w:lang w:val="en-US" w:eastAsia="zh-CN"/>
              </w:rPr>
              <w:t>的相应技术措施内容，根据其是否科学合理，针对性强进行打分。</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61EC4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r>
      <w:tr w14:paraId="308E8D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6C3896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2</w:t>
            </w:r>
          </w:p>
        </w:tc>
        <w:tc>
          <w:tcPr>
            <w:tcW w:w="525" w:type="dxa"/>
            <w:vMerge w:val="continue"/>
            <w:tcBorders>
              <w:left w:val="single" w:color="auto" w:sz="4" w:space="0"/>
              <w:right w:val="single" w:color="auto" w:sz="4" w:space="0"/>
            </w:tcBorders>
            <w:noWrap w:val="0"/>
            <w:vAlign w:val="center"/>
          </w:tcPr>
          <w:p w14:paraId="2C40F1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E964A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施工重点难点分析</w:t>
            </w:r>
          </w:p>
        </w:tc>
        <w:tc>
          <w:tcPr>
            <w:tcW w:w="6915" w:type="dxa"/>
            <w:tcBorders>
              <w:top w:val="single" w:color="auto" w:sz="4" w:space="0"/>
              <w:left w:val="single" w:color="auto" w:sz="4" w:space="0"/>
              <w:bottom w:val="single" w:color="auto" w:sz="4" w:space="0"/>
              <w:right w:val="single" w:color="auto" w:sz="4" w:space="0"/>
            </w:tcBorders>
            <w:noWrap w:val="0"/>
            <w:vAlign w:val="center"/>
          </w:tcPr>
          <w:p w14:paraId="34915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针对本项目施工重点、难点分析</w:t>
            </w:r>
            <w:r>
              <w:rPr>
                <w:rFonts w:hint="eastAsia" w:ascii="宋体" w:hAnsi="宋体" w:cs="宋体"/>
                <w:color w:val="auto"/>
                <w:sz w:val="24"/>
                <w:highlight w:val="none"/>
                <w:lang w:val="en-US" w:eastAsia="zh-CN"/>
              </w:rPr>
              <w:t>（0-2）</w:t>
            </w:r>
            <w:r>
              <w:rPr>
                <w:rFonts w:hint="eastAsia" w:ascii="宋体" w:hAnsi="宋体" w:eastAsia="宋体" w:cs="宋体"/>
                <w:color w:val="auto"/>
                <w:sz w:val="24"/>
                <w:highlight w:val="none"/>
                <w:lang w:val="en-US" w:eastAsia="zh-CN"/>
              </w:rPr>
              <w:t>，以及提出的重点、难点的相应解决方案</w:t>
            </w:r>
            <w:r>
              <w:rPr>
                <w:rFonts w:hint="eastAsia" w:ascii="宋体" w:hAnsi="宋体" w:cs="宋体"/>
                <w:color w:val="auto"/>
                <w:sz w:val="24"/>
                <w:highlight w:val="none"/>
                <w:lang w:val="en-US" w:eastAsia="zh-CN"/>
              </w:rPr>
              <w:t>（0-2）</w:t>
            </w:r>
            <w:r>
              <w:rPr>
                <w:rFonts w:hint="eastAsia" w:ascii="宋体" w:hAnsi="宋体" w:eastAsia="宋体" w:cs="宋体"/>
                <w:color w:val="auto"/>
                <w:sz w:val="24"/>
                <w:highlight w:val="none"/>
                <w:lang w:val="en-US" w:eastAsia="zh-CN"/>
              </w:rPr>
              <w:t>，根据其分析的全面性，解决方案的针对性，进行打分。</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3B72E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r>
      <w:tr w14:paraId="1F4E9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8"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6ED243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3</w:t>
            </w:r>
          </w:p>
        </w:tc>
        <w:tc>
          <w:tcPr>
            <w:tcW w:w="525" w:type="dxa"/>
            <w:vMerge w:val="continue"/>
            <w:tcBorders>
              <w:left w:val="single" w:color="auto" w:sz="4" w:space="0"/>
              <w:right w:val="single" w:color="auto" w:sz="4" w:space="0"/>
            </w:tcBorders>
            <w:noWrap w:val="0"/>
            <w:vAlign w:val="center"/>
          </w:tcPr>
          <w:p w14:paraId="5D2232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9D7E4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成品保护的保证措施</w:t>
            </w:r>
          </w:p>
        </w:tc>
        <w:tc>
          <w:tcPr>
            <w:tcW w:w="6915" w:type="dxa"/>
            <w:tcBorders>
              <w:top w:val="single" w:color="auto" w:sz="4" w:space="0"/>
              <w:left w:val="single" w:color="auto" w:sz="4" w:space="0"/>
              <w:bottom w:val="single" w:color="auto" w:sz="4" w:space="0"/>
              <w:right w:val="single" w:color="auto" w:sz="4" w:space="0"/>
            </w:tcBorders>
            <w:noWrap w:val="0"/>
            <w:vAlign w:val="center"/>
          </w:tcPr>
          <w:p w14:paraId="5A5AA7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磋商响应方对成品保护的保证措施，是否合理、科学，是否具有可操作性，进行打分。</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C0EC5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r>
      <w:tr w14:paraId="47671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5"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39FCA6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4</w:t>
            </w:r>
          </w:p>
        </w:tc>
        <w:tc>
          <w:tcPr>
            <w:tcW w:w="525" w:type="dxa"/>
            <w:vMerge w:val="continue"/>
            <w:tcBorders>
              <w:left w:val="single" w:color="auto" w:sz="4" w:space="0"/>
              <w:bottom w:val="single" w:color="auto" w:sz="4" w:space="0"/>
              <w:right w:val="single" w:color="auto" w:sz="4" w:space="0"/>
            </w:tcBorders>
            <w:noWrap w:val="0"/>
            <w:vAlign w:val="center"/>
          </w:tcPr>
          <w:p w14:paraId="474963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45A44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管理协调</w:t>
            </w:r>
          </w:p>
        </w:tc>
        <w:tc>
          <w:tcPr>
            <w:tcW w:w="6915" w:type="dxa"/>
            <w:tcBorders>
              <w:top w:val="single" w:color="auto" w:sz="4" w:space="0"/>
              <w:left w:val="single" w:color="auto" w:sz="4" w:space="0"/>
              <w:bottom w:val="single" w:color="auto" w:sz="4" w:space="0"/>
              <w:right w:val="single" w:color="auto" w:sz="4" w:space="0"/>
            </w:tcBorders>
            <w:noWrap w:val="0"/>
            <w:vAlign w:val="center"/>
          </w:tcPr>
          <w:p w14:paraId="1F0BBF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与其他部门或人员的管理和协调具体措施进行打分。</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FDC38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r>
      <w:tr w14:paraId="79EAC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29ED93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w:t>
            </w:r>
          </w:p>
        </w:tc>
        <w:tc>
          <w:tcPr>
            <w:tcW w:w="8880" w:type="dxa"/>
            <w:gridSpan w:val="3"/>
            <w:tcBorders>
              <w:left w:val="single" w:color="auto" w:sz="4" w:space="0"/>
              <w:right w:val="single" w:color="auto" w:sz="4" w:space="0"/>
            </w:tcBorders>
            <w:noWrap w:val="0"/>
            <w:vAlign w:val="center"/>
          </w:tcPr>
          <w:p w14:paraId="7F298E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商务、资信及其他分</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2A23E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10</w:t>
            </w:r>
            <w:r>
              <w:rPr>
                <w:rFonts w:hint="eastAsia" w:ascii="宋体" w:hAnsi="宋体" w:eastAsia="宋体" w:cs="宋体"/>
                <w:b/>
                <w:bCs/>
                <w:color w:val="auto"/>
                <w:sz w:val="24"/>
                <w:highlight w:val="none"/>
              </w:rPr>
              <w:t>分</w:t>
            </w:r>
          </w:p>
        </w:tc>
      </w:tr>
      <w:tr w14:paraId="69A7B2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33" w:hRule="atLeast"/>
          <w:jc w:val="center"/>
        </w:trPr>
        <w:tc>
          <w:tcPr>
            <w:tcW w:w="705" w:type="dxa"/>
            <w:tcBorders>
              <w:top w:val="single" w:color="auto" w:sz="4" w:space="0"/>
              <w:left w:val="single" w:color="auto" w:sz="4" w:space="0"/>
              <w:right w:val="single" w:color="auto" w:sz="4" w:space="0"/>
            </w:tcBorders>
            <w:noWrap w:val="0"/>
            <w:vAlign w:val="center"/>
          </w:tcPr>
          <w:p w14:paraId="1E0C44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5</w:t>
            </w:r>
          </w:p>
        </w:tc>
        <w:tc>
          <w:tcPr>
            <w:tcW w:w="525" w:type="dxa"/>
            <w:vMerge w:val="restart"/>
            <w:tcBorders>
              <w:top w:val="single" w:color="auto" w:sz="4" w:space="0"/>
              <w:left w:val="single" w:color="auto" w:sz="4" w:space="0"/>
              <w:right w:val="single" w:color="auto" w:sz="4" w:space="0"/>
            </w:tcBorders>
            <w:noWrap w:val="0"/>
            <w:vAlign w:val="center"/>
          </w:tcPr>
          <w:p w14:paraId="41FCC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履约能力及售后服务能力</w:t>
            </w:r>
          </w:p>
        </w:tc>
        <w:tc>
          <w:tcPr>
            <w:tcW w:w="1440" w:type="dxa"/>
            <w:tcBorders>
              <w:top w:val="single" w:color="auto" w:sz="4" w:space="0"/>
              <w:left w:val="single" w:color="auto" w:sz="4" w:space="0"/>
              <w:right w:val="single" w:color="auto" w:sz="4" w:space="0"/>
            </w:tcBorders>
            <w:noWrap w:val="0"/>
            <w:vAlign w:val="center"/>
          </w:tcPr>
          <w:p w14:paraId="7E385A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企业</w:t>
            </w:r>
            <w:r>
              <w:rPr>
                <w:rFonts w:hint="eastAsia" w:ascii="宋体" w:hAnsi="宋体" w:eastAsia="宋体" w:cs="宋体"/>
                <w:color w:val="auto"/>
                <w:sz w:val="24"/>
                <w:highlight w:val="none"/>
                <w:lang w:val="en-US" w:eastAsia="zh-CN"/>
              </w:rPr>
              <w:t>证书</w:t>
            </w:r>
          </w:p>
        </w:tc>
        <w:tc>
          <w:tcPr>
            <w:tcW w:w="6915" w:type="dxa"/>
            <w:tcBorders>
              <w:top w:val="single" w:color="auto" w:sz="4" w:space="0"/>
              <w:left w:val="single" w:color="auto" w:sz="4" w:space="0"/>
              <w:right w:val="single" w:color="auto" w:sz="4" w:space="0"/>
            </w:tcBorders>
            <w:noWrap w:val="0"/>
            <w:vAlign w:val="center"/>
          </w:tcPr>
          <w:p w14:paraId="5F7B50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投标人具有</w:t>
            </w:r>
            <w:r>
              <w:rPr>
                <w:rFonts w:hint="eastAsia" w:ascii="宋体" w:hAnsi="宋体" w:cs="宋体"/>
                <w:color w:val="auto"/>
                <w:sz w:val="24"/>
                <w:highlight w:val="none"/>
                <w:lang w:val="en-US" w:eastAsia="zh-CN"/>
              </w:rPr>
              <w:t>有效的</w:t>
            </w:r>
            <w:r>
              <w:rPr>
                <w:rFonts w:hint="eastAsia" w:ascii="宋体" w:hAnsi="宋体" w:eastAsia="宋体" w:cs="宋体"/>
                <w:color w:val="auto"/>
                <w:sz w:val="24"/>
                <w:highlight w:val="none"/>
                <w:lang w:val="en-US" w:eastAsia="zh-CN"/>
              </w:rPr>
              <w:t>质量管理体系认证证书、环境管理体系认证证书、职业健康安全管理认证证书</w:t>
            </w:r>
            <w:r>
              <w:rPr>
                <w:rFonts w:hint="eastAsia" w:ascii="宋体" w:hAnsi="宋体" w:cs="宋体"/>
                <w:color w:val="auto"/>
                <w:sz w:val="24"/>
                <w:highlight w:val="none"/>
                <w:lang w:val="en-US" w:eastAsia="zh-CN"/>
              </w:rPr>
              <w:t>扫描件</w:t>
            </w:r>
            <w:r>
              <w:rPr>
                <w:rFonts w:hint="eastAsia" w:ascii="宋体" w:hAnsi="宋体" w:eastAsia="宋体" w:cs="宋体"/>
                <w:color w:val="auto"/>
                <w:sz w:val="24"/>
                <w:highlight w:val="none"/>
                <w:lang w:val="en-US" w:eastAsia="zh-CN"/>
              </w:rPr>
              <w:t>，每个证书得1分，本项最高得3分。</w:t>
            </w:r>
          </w:p>
          <w:p w14:paraId="36CAF5F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注：须提供有效期内的认证证书和认证认可信息公共服务平台http://cx.cnca.cn/的查询网页截图</w:t>
            </w:r>
            <w:r>
              <w:rPr>
                <w:rFonts w:hint="eastAsia" w:ascii="宋体" w:hAnsi="宋体" w:cs="宋体"/>
                <w:color w:val="auto"/>
                <w:sz w:val="24"/>
                <w:highlight w:val="none"/>
                <w:lang w:val="en-US" w:eastAsia="zh-CN"/>
              </w:rPr>
              <w:t>扫描件</w:t>
            </w:r>
            <w:r>
              <w:rPr>
                <w:rFonts w:hint="eastAsia" w:ascii="宋体" w:hAnsi="宋体" w:eastAsia="宋体" w:cs="宋体"/>
                <w:color w:val="auto"/>
                <w:sz w:val="24"/>
                <w:highlight w:val="none"/>
                <w:lang w:val="en-US" w:eastAsia="zh-CN"/>
              </w:rPr>
              <w:t>。</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A5531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r>
      <w:tr w14:paraId="74AA7C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6"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2D192E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6</w:t>
            </w:r>
          </w:p>
        </w:tc>
        <w:tc>
          <w:tcPr>
            <w:tcW w:w="525" w:type="dxa"/>
            <w:vMerge w:val="continue"/>
            <w:tcBorders>
              <w:left w:val="single" w:color="auto" w:sz="4" w:space="0"/>
              <w:right w:val="single" w:color="auto" w:sz="4" w:space="0"/>
            </w:tcBorders>
            <w:noWrap w:val="0"/>
            <w:vAlign w:val="center"/>
          </w:tcPr>
          <w:p w14:paraId="0B2C12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74100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同类项目</w:t>
            </w:r>
          </w:p>
          <w:p w14:paraId="38CC86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业绩</w:t>
            </w:r>
          </w:p>
        </w:tc>
        <w:tc>
          <w:tcPr>
            <w:tcW w:w="6915" w:type="dxa"/>
            <w:tcBorders>
              <w:top w:val="single" w:color="auto" w:sz="4" w:space="0"/>
              <w:left w:val="single" w:color="auto" w:sz="4" w:space="0"/>
              <w:bottom w:val="single" w:color="auto" w:sz="4" w:space="0"/>
              <w:right w:val="single" w:color="auto" w:sz="4" w:space="0"/>
            </w:tcBorders>
            <w:noWrap w:val="0"/>
            <w:vAlign w:val="center"/>
          </w:tcPr>
          <w:p w14:paraId="280EBE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自202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年1月以来有同类项目业绩的得1分。</w:t>
            </w:r>
          </w:p>
          <w:p w14:paraId="7D1E77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注：须提供中标通知书</w:t>
            </w:r>
            <w:r>
              <w:rPr>
                <w:rFonts w:hint="eastAsia" w:ascii="宋体" w:hAnsi="宋体" w:cs="宋体"/>
                <w:color w:val="auto"/>
                <w:sz w:val="24"/>
                <w:highlight w:val="none"/>
                <w:lang w:val="en-US" w:eastAsia="zh-CN"/>
              </w:rPr>
              <w:t>、竣工报告、项目发票</w:t>
            </w:r>
            <w:r>
              <w:rPr>
                <w:rFonts w:hint="eastAsia" w:ascii="宋体" w:hAnsi="宋体" w:eastAsia="宋体" w:cs="宋体"/>
                <w:color w:val="auto"/>
                <w:sz w:val="24"/>
                <w:highlight w:val="none"/>
                <w:lang w:val="en-US" w:eastAsia="zh-CN"/>
              </w:rPr>
              <w:t>。</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E68EB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r>
      <w:tr w14:paraId="5F631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2"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20120E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7</w:t>
            </w:r>
          </w:p>
        </w:tc>
        <w:tc>
          <w:tcPr>
            <w:tcW w:w="525" w:type="dxa"/>
            <w:vMerge w:val="continue"/>
            <w:tcBorders>
              <w:left w:val="single" w:color="auto" w:sz="4" w:space="0"/>
              <w:right w:val="single" w:color="auto" w:sz="4" w:space="0"/>
            </w:tcBorders>
            <w:noWrap w:val="0"/>
            <w:vAlign w:val="center"/>
          </w:tcPr>
          <w:p w14:paraId="4433CC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ACB90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售后保障</w:t>
            </w:r>
          </w:p>
        </w:tc>
        <w:tc>
          <w:tcPr>
            <w:tcW w:w="6915" w:type="dxa"/>
            <w:tcBorders>
              <w:top w:val="single" w:color="auto" w:sz="4" w:space="0"/>
              <w:left w:val="single" w:color="auto" w:sz="4" w:space="0"/>
              <w:bottom w:val="single" w:color="auto" w:sz="4" w:space="0"/>
              <w:right w:val="single" w:color="auto" w:sz="4" w:space="0"/>
            </w:tcBorders>
            <w:noWrap w:val="0"/>
            <w:vAlign w:val="center"/>
          </w:tcPr>
          <w:p w14:paraId="1062E5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根据磋商响应方提供的售后服务方案、售后服务承诺、响应时间及时性进行打分。</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E8D8B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r>
      <w:tr w14:paraId="2814EE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5"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70FE26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8</w:t>
            </w:r>
          </w:p>
        </w:tc>
        <w:tc>
          <w:tcPr>
            <w:tcW w:w="525" w:type="dxa"/>
            <w:vMerge w:val="continue"/>
            <w:tcBorders>
              <w:left w:val="single" w:color="auto" w:sz="4" w:space="0"/>
              <w:bottom w:val="single" w:color="auto" w:sz="4" w:space="0"/>
              <w:right w:val="single" w:color="auto" w:sz="4" w:space="0"/>
            </w:tcBorders>
            <w:noWrap w:val="0"/>
            <w:vAlign w:val="center"/>
          </w:tcPr>
          <w:p w14:paraId="3D998A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8B067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合理化</w:t>
            </w:r>
          </w:p>
          <w:p w14:paraId="1F246A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建议</w:t>
            </w:r>
          </w:p>
        </w:tc>
        <w:tc>
          <w:tcPr>
            <w:tcW w:w="6915" w:type="dxa"/>
            <w:tcBorders>
              <w:top w:val="single" w:color="auto" w:sz="4" w:space="0"/>
              <w:left w:val="single" w:color="auto" w:sz="4" w:space="0"/>
              <w:bottom w:val="single" w:color="auto" w:sz="4" w:space="0"/>
              <w:right w:val="single" w:color="auto" w:sz="4" w:space="0"/>
            </w:tcBorders>
            <w:noWrap w:val="0"/>
            <w:vAlign w:val="center"/>
          </w:tcPr>
          <w:p w14:paraId="46171C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根据磋商响应方提供的针对本项目合理化建议，是否具有可操作性、针对性，进行打分。</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CD2DA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r>
    </w:tbl>
    <w:p w14:paraId="5A60D8AF">
      <w:pPr>
        <w:pStyle w:val="37"/>
        <w:ind w:left="0" w:leftChars="0" w:firstLine="0" w:firstLineChars="0"/>
        <w:rPr>
          <w:rFonts w:hint="eastAsia"/>
          <w:color w:val="auto"/>
          <w:highlight w:val="none"/>
        </w:rPr>
      </w:pPr>
    </w:p>
    <w:p w14:paraId="7654F7A7">
      <w:pPr>
        <w:rPr>
          <w:rFonts w:hint="eastAsia" w:ascii="宋体" w:hAnsi="宋体"/>
          <w:color w:val="auto"/>
          <w:sz w:val="24"/>
          <w:highlight w:val="none"/>
        </w:rPr>
      </w:pPr>
      <w:r>
        <w:rPr>
          <w:rFonts w:hint="eastAsia" w:ascii="宋体" w:hAnsi="宋体"/>
          <w:color w:val="auto"/>
          <w:sz w:val="24"/>
          <w:highlight w:val="none"/>
        </w:rPr>
        <w:br w:type="page"/>
      </w:r>
    </w:p>
    <w:p w14:paraId="65C1A430">
      <w:pPr>
        <w:spacing w:beforeLines="50"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1.1开启参加磋商的供应商的第一次报价。</w:t>
      </w:r>
    </w:p>
    <w:p w14:paraId="6A76164F">
      <w:pPr>
        <w:spacing w:beforeLines="50"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1.2磋商小组会对上述供应商的报价文件进行评审。</w:t>
      </w:r>
    </w:p>
    <w:p w14:paraId="25A8D2BF">
      <w:pPr>
        <w:spacing w:beforeLines="50" w:afterLines="50" w:line="360" w:lineRule="auto"/>
        <w:ind w:firstLine="480" w:firstLineChars="200"/>
        <w:rPr>
          <w:rFonts w:ascii="宋体" w:hAnsi="宋体"/>
          <w:strike/>
          <w:color w:val="auto"/>
          <w:sz w:val="24"/>
          <w:highlight w:val="none"/>
        </w:rPr>
      </w:pPr>
      <w:r>
        <w:rPr>
          <w:rFonts w:hint="eastAsia" w:ascii="宋体" w:hAnsi="宋体"/>
          <w:color w:val="auto"/>
          <w:sz w:val="24"/>
          <w:highlight w:val="none"/>
        </w:rPr>
        <w:t>1.3第一次报价评审有效的供应商在规定时间在线进行最终报价（如果出现异常，无法通过在线提交的，供应商应及时联系采购代理机构，通过指定的电子邮箱提供（最终报价表格式见附件，指定邮箱：</w:t>
      </w:r>
      <w:r>
        <w:rPr>
          <w:rFonts w:hint="eastAsia" w:ascii="宋体" w:hAnsi="宋体"/>
          <w:sz w:val="24"/>
          <w:szCs w:val="24"/>
          <w:lang w:eastAsia="zh-CN"/>
        </w:rPr>
        <w:t>908767311</w:t>
      </w:r>
      <w:r>
        <w:rPr>
          <w:rFonts w:hint="eastAsia" w:ascii="宋体" w:hAnsi="宋体"/>
          <w:color w:val="auto"/>
          <w:sz w:val="24"/>
          <w:highlight w:val="none"/>
        </w:rPr>
        <w:t>@qq.com）。</w:t>
      </w:r>
    </w:p>
    <w:p w14:paraId="2010754D">
      <w:pPr>
        <w:spacing w:beforeLines="50"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1.4磋商小组对供应商的最终报价进行评审，磋商小组认为供应商的报价明显低于其他通过符合性审查供应商的报价，有可能影响服务质量或者不能诚信履约的，要求其在评审系统合理的时间内提供书面说明，必要时提交相关证明材料；供应商不能证明其报价合理性的，磋商小组应当将其作为无效磋商响应处理。</w:t>
      </w:r>
    </w:p>
    <w:p w14:paraId="17822A77">
      <w:pPr>
        <w:spacing w:beforeLines="50"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1.5磋商小组对最终报价审核有效的供应商，采用综合评分法进行综合评分（详见评分细则）。</w:t>
      </w:r>
    </w:p>
    <w:p w14:paraId="16EB1B66">
      <w:pPr>
        <w:spacing w:beforeLines="50"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1.6磋商小组根据评审相关情况作出评审报告。</w:t>
      </w:r>
    </w:p>
    <w:p w14:paraId="724C19D5">
      <w:pPr>
        <w:spacing w:beforeLines="50"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1.7磋商结束后，在线公布最终的评审结果和成交供应商。</w:t>
      </w:r>
    </w:p>
    <w:p w14:paraId="7AE1E64A">
      <w:pPr>
        <w:spacing w:beforeLines="50" w:afterLines="50"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特别说明：“政采云”如对电子化磋商程序有调整的，按调整后的程序操作。</w:t>
      </w:r>
    </w:p>
    <w:p w14:paraId="30761A03">
      <w:pPr>
        <w:pStyle w:val="2"/>
        <w:keepNext w:val="0"/>
        <w:keepLines w:val="0"/>
        <w:pageBreakBefore/>
        <w:numPr>
          <w:ilvl w:val="0"/>
          <w:numId w:val="10"/>
        </w:numPr>
        <w:spacing w:line="240" w:lineRule="auto"/>
        <w:jc w:val="center"/>
        <w:rPr>
          <w:rFonts w:ascii="宋体" w:hAnsi="宋体" w:cs="宋体"/>
          <w:bCs w:val="0"/>
          <w:color w:val="auto"/>
          <w:sz w:val="32"/>
          <w:szCs w:val="32"/>
          <w:highlight w:val="none"/>
        </w:rPr>
      </w:pPr>
      <w:bookmarkStart w:id="48" w:name="_Toc20910"/>
      <w:bookmarkStart w:id="49" w:name="_Toc13316"/>
      <w:r>
        <w:rPr>
          <w:rFonts w:hint="eastAsia" w:ascii="宋体" w:hAnsi="宋体" w:cs="宋体"/>
          <w:bCs w:val="0"/>
          <w:color w:val="auto"/>
          <w:sz w:val="32"/>
          <w:szCs w:val="32"/>
          <w:highlight w:val="none"/>
        </w:rPr>
        <w:t>合同主要条款</w:t>
      </w:r>
      <w:bookmarkEnd w:id="45"/>
      <w:bookmarkEnd w:id="48"/>
      <w:bookmarkEnd w:id="49"/>
    </w:p>
    <w:p w14:paraId="049CA637">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宋体" w:hAnsi="宋体" w:eastAsia="宋体"/>
          <w:bCs w:val="0"/>
          <w:color w:val="auto"/>
          <w:sz w:val="24"/>
          <w:szCs w:val="24"/>
          <w:highlight w:val="none"/>
        </w:rPr>
      </w:pPr>
      <w:bookmarkStart w:id="50" w:name="_Toc26017"/>
      <w:bookmarkStart w:id="51" w:name="_Toc25562"/>
      <w:bookmarkStart w:id="52" w:name="_Toc19491"/>
      <w:bookmarkStart w:id="53" w:name="_Toc14942605"/>
      <w:bookmarkStart w:id="54" w:name="_Toc22775"/>
      <w:r>
        <w:rPr>
          <w:rFonts w:hint="eastAsia" w:ascii="宋体" w:hAnsi="宋体" w:eastAsia="宋体"/>
          <w:bCs w:val="0"/>
          <w:color w:val="auto"/>
          <w:sz w:val="24"/>
          <w:szCs w:val="24"/>
          <w:highlight w:val="none"/>
        </w:rPr>
        <w:t>东阳市政府采购合同（样本）</w:t>
      </w:r>
      <w:bookmarkEnd w:id="50"/>
      <w:bookmarkEnd w:id="51"/>
      <w:bookmarkEnd w:id="52"/>
      <w:bookmarkEnd w:id="53"/>
      <w:bookmarkEnd w:id="54"/>
    </w:p>
    <w:p w14:paraId="5A113DFD">
      <w:pPr>
        <w:keepNext w:val="0"/>
        <w:keepLines w:val="0"/>
        <w:pageBreakBefore w:val="0"/>
        <w:widowControl w:val="0"/>
        <w:kinsoku/>
        <w:wordWrap/>
        <w:overflowPunct/>
        <w:topLinePunct w:val="0"/>
        <w:autoSpaceDE/>
        <w:autoSpaceDN/>
        <w:bidi w:val="0"/>
        <w:adjustRightInd/>
        <w:snapToGrid w:val="0"/>
        <w:spacing w:before="120" w:after="120" w:line="440" w:lineRule="exact"/>
        <w:textAlignment w:val="auto"/>
        <w:rPr>
          <w:rFonts w:ascii="宋体" w:hAnsi="宋体"/>
          <w:color w:val="auto"/>
          <w:sz w:val="24"/>
          <w:highlight w:val="none"/>
        </w:rPr>
      </w:pPr>
      <w:r>
        <w:rPr>
          <w:rFonts w:ascii="宋体" w:hAnsi="宋体"/>
          <w:color w:val="auto"/>
          <w:sz w:val="24"/>
          <w:highlight w:val="none"/>
        </w:rPr>
        <w:t>项目名称：</w:t>
      </w:r>
      <w:r>
        <w:rPr>
          <w:rFonts w:hint="eastAsia" w:ascii="宋体" w:hAnsi="宋体"/>
          <w:color w:val="auto"/>
          <w:sz w:val="24"/>
          <w:highlight w:val="none"/>
        </w:rPr>
        <w:t xml:space="preserve">   </w:t>
      </w:r>
    </w:p>
    <w:p w14:paraId="7A2CFDFE">
      <w:pPr>
        <w:keepNext w:val="0"/>
        <w:keepLines w:val="0"/>
        <w:pageBreakBefore w:val="0"/>
        <w:widowControl w:val="0"/>
        <w:kinsoku/>
        <w:wordWrap/>
        <w:overflowPunct/>
        <w:topLinePunct w:val="0"/>
        <w:autoSpaceDE/>
        <w:autoSpaceDN/>
        <w:bidi w:val="0"/>
        <w:adjustRightInd/>
        <w:snapToGrid w:val="0"/>
        <w:spacing w:before="120" w:after="120" w:line="440" w:lineRule="exact"/>
        <w:textAlignment w:val="auto"/>
        <w:rPr>
          <w:rFonts w:ascii="宋体" w:hAnsi="宋体"/>
          <w:color w:val="auto"/>
          <w:sz w:val="24"/>
          <w:highlight w:val="none"/>
        </w:rPr>
      </w:pPr>
      <w:r>
        <w:rPr>
          <w:rFonts w:ascii="宋体" w:hAnsi="宋体"/>
          <w:color w:val="auto"/>
          <w:sz w:val="24"/>
          <w:highlight w:val="none"/>
        </w:rPr>
        <w:t>项目编号：</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合同号：</w:t>
      </w:r>
    </w:p>
    <w:p w14:paraId="7707F678">
      <w:pPr>
        <w:keepNext w:val="0"/>
        <w:keepLines w:val="0"/>
        <w:pageBreakBefore w:val="0"/>
        <w:widowControl w:val="0"/>
        <w:kinsoku/>
        <w:wordWrap/>
        <w:overflowPunct/>
        <w:topLinePunct w:val="0"/>
        <w:autoSpaceDE/>
        <w:autoSpaceDN/>
        <w:bidi w:val="0"/>
        <w:adjustRightInd/>
        <w:snapToGrid w:val="0"/>
        <w:spacing w:before="120" w:after="120" w:line="440" w:lineRule="exact"/>
        <w:textAlignment w:val="auto"/>
        <w:rPr>
          <w:rFonts w:ascii="宋体" w:hAnsi="宋体"/>
          <w:color w:val="auto"/>
          <w:sz w:val="24"/>
          <w:highlight w:val="none"/>
        </w:rPr>
      </w:pPr>
      <w:r>
        <w:rPr>
          <w:rFonts w:ascii="宋体" w:hAnsi="宋体"/>
          <w:color w:val="auto"/>
          <w:sz w:val="24"/>
          <w:highlight w:val="none"/>
        </w:rPr>
        <w:t>甲方</w:t>
      </w:r>
      <w:r>
        <w:rPr>
          <w:rFonts w:hint="eastAsia" w:ascii="宋体" w:hAnsi="宋体"/>
          <w:color w:val="auto"/>
          <w:sz w:val="24"/>
          <w:highlight w:val="none"/>
        </w:rPr>
        <w:t>：</w:t>
      </w:r>
    </w:p>
    <w:p w14:paraId="509F21CA">
      <w:pPr>
        <w:keepNext w:val="0"/>
        <w:keepLines w:val="0"/>
        <w:pageBreakBefore w:val="0"/>
        <w:widowControl w:val="0"/>
        <w:kinsoku/>
        <w:wordWrap/>
        <w:overflowPunct/>
        <w:topLinePunct w:val="0"/>
        <w:autoSpaceDE/>
        <w:autoSpaceDN/>
        <w:bidi w:val="0"/>
        <w:adjustRightInd/>
        <w:snapToGrid w:val="0"/>
        <w:spacing w:before="120" w:after="120" w:line="440" w:lineRule="exact"/>
        <w:textAlignment w:val="auto"/>
        <w:rPr>
          <w:rFonts w:hint="default" w:ascii="宋体" w:hAnsi="宋体" w:eastAsia="宋体"/>
          <w:color w:val="auto"/>
          <w:sz w:val="24"/>
          <w:highlight w:val="none"/>
          <w:lang w:val="en-US" w:eastAsia="zh-CN"/>
        </w:rPr>
      </w:pPr>
      <w:r>
        <w:rPr>
          <w:rFonts w:ascii="宋体" w:hAnsi="宋体"/>
          <w:color w:val="auto"/>
          <w:sz w:val="24"/>
          <w:highlight w:val="none"/>
        </w:rPr>
        <w:t>乙方</w:t>
      </w:r>
      <w:r>
        <w:rPr>
          <w:rFonts w:hint="eastAsia" w:ascii="宋体" w:hAnsi="宋体"/>
          <w:color w:val="auto"/>
          <w:sz w:val="24"/>
          <w:highlight w:val="none"/>
        </w:rPr>
        <w:t>：</w:t>
      </w:r>
    </w:p>
    <w:p w14:paraId="265346A9">
      <w:pPr>
        <w:keepNext w:val="0"/>
        <w:keepLines w:val="0"/>
        <w:pageBreakBefore w:val="0"/>
        <w:widowControl w:val="0"/>
        <w:kinsoku/>
        <w:wordWrap/>
        <w:overflowPunct/>
        <w:topLinePunct w:val="0"/>
        <w:autoSpaceDE/>
        <w:autoSpaceDN/>
        <w:bidi w:val="0"/>
        <w:adjustRightInd/>
        <w:snapToGrid w:val="0"/>
        <w:spacing w:before="120" w:after="120" w:line="440" w:lineRule="exact"/>
        <w:ind w:firstLine="495"/>
        <w:textAlignment w:val="auto"/>
        <w:rPr>
          <w:rFonts w:ascii="宋体" w:hAnsi="宋体"/>
          <w:color w:val="auto"/>
          <w:sz w:val="24"/>
          <w:highlight w:val="none"/>
          <w:u w:val="single"/>
        </w:rPr>
      </w:pPr>
      <w:r>
        <w:rPr>
          <w:rFonts w:hint="eastAsia" w:ascii="宋体" w:hAnsi="宋体"/>
          <w:color w:val="auto"/>
          <w:sz w:val="24"/>
          <w:highlight w:val="none"/>
        </w:rPr>
        <w:t>甲、乙双方根据</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日</w:t>
      </w:r>
      <w:r>
        <w:rPr>
          <w:rFonts w:hint="eastAsia" w:ascii="宋体" w:hAnsi="宋体"/>
          <w:color w:val="auto"/>
          <w:sz w:val="24"/>
          <w:highlight w:val="none"/>
          <w:lang w:eastAsia="zh-CN"/>
        </w:rPr>
        <w:t>大地工程咨询有限公司</w:t>
      </w:r>
      <w:r>
        <w:rPr>
          <w:rFonts w:hint="eastAsia" w:ascii="宋体" w:hAnsi="宋体"/>
          <w:color w:val="auto"/>
          <w:sz w:val="24"/>
          <w:highlight w:val="none"/>
        </w:rPr>
        <w:t>关于</w:t>
      </w:r>
      <w:r>
        <w:rPr>
          <w:rFonts w:hint="eastAsia" w:ascii="宋体" w:hAnsi="宋体"/>
          <w:color w:val="auto"/>
          <w:sz w:val="24"/>
          <w:highlight w:val="none"/>
          <w:lang w:eastAsia="zh-CN"/>
        </w:rPr>
        <w:t>东阳市肛肠外科医院4000kVA双电源配电工程采购项目</w:t>
      </w:r>
      <w:r>
        <w:rPr>
          <w:rFonts w:hint="eastAsia" w:ascii="宋体" w:hAnsi="宋体"/>
          <w:color w:val="auto"/>
          <w:sz w:val="24"/>
          <w:highlight w:val="none"/>
          <w:lang w:val="en-US" w:eastAsia="zh-CN"/>
        </w:rPr>
        <w:t>竞争性磋商</w:t>
      </w:r>
      <w:r>
        <w:rPr>
          <w:rFonts w:hint="eastAsia" w:ascii="宋体" w:hAnsi="宋体"/>
          <w:color w:val="auto"/>
          <w:sz w:val="24"/>
          <w:highlight w:val="none"/>
        </w:rPr>
        <w:t>的结果，签署本合同。</w:t>
      </w:r>
    </w:p>
    <w:p w14:paraId="5681C4E9">
      <w:pPr>
        <w:keepNext w:val="0"/>
        <w:keepLines w:val="0"/>
        <w:pageBreakBefore w:val="0"/>
        <w:widowControl w:val="0"/>
        <w:kinsoku/>
        <w:wordWrap/>
        <w:overflowPunct/>
        <w:topLinePunct w:val="0"/>
        <w:autoSpaceDE/>
        <w:autoSpaceDN/>
        <w:bidi w:val="0"/>
        <w:adjustRightInd/>
        <w:snapToGrid w:val="0"/>
        <w:spacing w:before="120" w:after="120" w:line="440" w:lineRule="exact"/>
        <w:textAlignment w:val="auto"/>
        <w:rPr>
          <w:rFonts w:hint="default" w:ascii="宋体" w:hAnsi="宋体" w:eastAsia="宋体"/>
          <w:b/>
          <w:color w:val="auto"/>
          <w:sz w:val="24"/>
          <w:highlight w:val="none"/>
          <w:lang w:val="en-US" w:eastAsia="zh-CN"/>
        </w:rPr>
      </w:pPr>
      <w:r>
        <w:rPr>
          <w:rFonts w:ascii="宋体" w:hAnsi="宋体"/>
          <w:b/>
          <w:color w:val="auto"/>
          <w:sz w:val="24"/>
          <w:highlight w:val="none"/>
        </w:rPr>
        <w:t>一、服务内容</w:t>
      </w:r>
      <w:r>
        <w:rPr>
          <w:rFonts w:hint="eastAsia" w:ascii="宋体" w:hAnsi="宋体"/>
          <w:b/>
          <w:color w:val="auto"/>
          <w:sz w:val="24"/>
          <w:highlight w:val="none"/>
        </w:rPr>
        <w:t>：</w:t>
      </w:r>
      <w:r>
        <w:rPr>
          <w:rFonts w:hint="eastAsia" w:ascii="宋体" w:hAnsi="宋体"/>
          <w:b/>
          <w:color w:val="auto"/>
          <w:sz w:val="24"/>
          <w:highlight w:val="none"/>
          <w:lang w:val="en-US" w:eastAsia="zh-CN"/>
        </w:rPr>
        <w:t>详见竞争性磋商文件、图纸、预算书</w:t>
      </w:r>
    </w:p>
    <w:p w14:paraId="619CB18E">
      <w:pPr>
        <w:keepNext w:val="0"/>
        <w:keepLines w:val="0"/>
        <w:pageBreakBefore w:val="0"/>
        <w:widowControl w:val="0"/>
        <w:kinsoku/>
        <w:wordWrap/>
        <w:overflowPunct/>
        <w:topLinePunct w:val="0"/>
        <w:autoSpaceDE/>
        <w:autoSpaceDN/>
        <w:bidi w:val="0"/>
        <w:adjustRightInd/>
        <w:snapToGrid w:val="0"/>
        <w:spacing w:before="120" w:after="120" w:line="440" w:lineRule="exact"/>
        <w:textAlignment w:val="auto"/>
        <w:rPr>
          <w:rFonts w:ascii="宋体" w:hAnsi="宋体"/>
          <w:b/>
          <w:color w:val="auto"/>
          <w:sz w:val="24"/>
          <w:highlight w:val="none"/>
        </w:rPr>
      </w:pPr>
      <w:r>
        <w:rPr>
          <w:rFonts w:ascii="宋体" w:hAnsi="宋体"/>
          <w:b/>
          <w:color w:val="auto"/>
          <w:sz w:val="24"/>
          <w:highlight w:val="none"/>
        </w:rPr>
        <w:t>二、合同金额</w:t>
      </w:r>
    </w:p>
    <w:p w14:paraId="1F13AD02">
      <w:pPr>
        <w:keepNext w:val="0"/>
        <w:keepLines w:val="0"/>
        <w:pageBreakBefore w:val="0"/>
        <w:widowControl w:val="0"/>
        <w:kinsoku/>
        <w:wordWrap/>
        <w:overflowPunct/>
        <w:topLinePunct w:val="0"/>
        <w:autoSpaceDE/>
        <w:autoSpaceDN/>
        <w:bidi w:val="0"/>
        <w:adjustRightInd/>
        <w:snapToGrid w:val="0"/>
        <w:spacing w:before="120" w:after="120" w:line="440" w:lineRule="exact"/>
        <w:ind w:firstLine="495"/>
        <w:textAlignment w:val="auto"/>
        <w:rPr>
          <w:rFonts w:hint="eastAsia" w:ascii="宋体" w:hAnsi="宋体"/>
          <w:color w:val="auto"/>
          <w:sz w:val="24"/>
          <w:highlight w:val="none"/>
        </w:rPr>
      </w:pPr>
      <w:r>
        <w:rPr>
          <w:rFonts w:hint="eastAsia" w:ascii="宋体" w:hAnsi="宋体"/>
          <w:color w:val="auto"/>
          <w:sz w:val="24"/>
          <w:highlight w:val="none"/>
        </w:rPr>
        <w:t>本</w:t>
      </w:r>
      <w:r>
        <w:rPr>
          <w:rFonts w:hint="eastAsia" w:ascii="宋体" w:hAnsi="宋体"/>
          <w:color w:val="auto"/>
          <w:sz w:val="24"/>
          <w:highlight w:val="none"/>
          <w:lang w:val="en-US" w:eastAsia="zh-CN"/>
        </w:rPr>
        <w:t>项目预算</w:t>
      </w:r>
      <w:r>
        <w:rPr>
          <w:rFonts w:hint="eastAsia" w:ascii="宋体" w:hAnsi="宋体"/>
          <w:color w:val="auto"/>
          <w:sz w:val="24"/>
          <w:highlight w:val="none"/>
        </w:rPr>
        <w:t>金额为（人民币大写）：</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让利下浮率：</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14:paraId="781AF080">
      <w:pPr>
        <w:autoSpaceDE w:val="0"/>
        <w:spacing w:line="440" w:lineRule="atLeast"/>
        <w:ind w:firstLine="480" w:firstLineChars="200"/>
        <w:rPr>
          <w:rFonts w:hint="eastAsia" w:ascii="宋体" w:hAnsi="宋体" w:eastAsia="宋体" w:cs="Arial"/>
          <w:bCs/>
          <w:color w:val="auto"/>
          <w:sz w:val="24"/>
          <w:highlight w:val="none"/>
        </w:rPr>
      </w:pPr>
      <w:r>
        <w:rPr>
          <w:rFonts w:hint="eastAsia" w:ascii="宋体" w:hAnsi="宋体" w:cs="Arial"/>
          <w:bCs/>
          <w:color w:val="auto"/>
          <w:sz w:val="24"/>
          <w:highlight w:val="none"/>
        </w:rPr>
        <w:t>本合同为</w:t>
      </w:r>
      <w:r>
        <w:rPr>
          <w:rFonts w:hint="eastAsia" w:ascii="宋体" w:hAnsi="宋体" w:eastAsia="宋体" w:cs="Arial"/>
          <w:bCs/>
          <w:color w:val="auto"/>
          <w:sz w:val="24"/>
          <w:highlight w:val="none"/>
        </w:rPr>
        <w:t>固定总价合同，其合同总价已包含采购人确认的施工图、磋商响应方报价所列内容及所涉及的各项风险费用，竣工结算时在完成本合同工程范围内不作调整</w:t>
      </w:r>
      <w:r>
        <w:rPr>
          <w:rFonts w:hint="eastAsia" w:ascii="宋体" w:hAnsi="宋体" w:cs="Arial"/>
          <w:bCs/>
          <w:color w:val="auto"/>
          <w:sz w:val="24"/>
          <w:highlight w:val="none"/>
          <w:lang w:val="en-US" w:eastAsia="zh-CN"/>
        </w:rPr>
        <w:t>,经甲方同意若工程量有增减则按实结算</w:t>
      </w:r>
      <w:r>
        <w:rPr>
          <w:rFonts w:hint="eastAsia" w:ascii="宋体" w:hAnsi="宋体" w:eastAsia="宋体" w:cs="Arial"/>
          <w:bCs/>
          <w:color w:val="auto"/>
          <w:sz w:val="24"/>
          <w:highlight w:val="none"/>
        </w:rPr>
        <w:t>。</w:t>
      </w:r>
    </w:p>
    <w:p w14:paraId="57C090A8">
      <w:pPr>
        <w:keepNext w:val="0"/>
        <w:keepLines w:val="0"/>
        <w:pageBreakBefore w:val="0"/>
        <w:widowControl w:val="0"/>
        <w:kinsoku/>
        <w:wordWrap/>
        <w:overflowPunct/>
        <w:topLinePunct w:val="0"/>
        <w:autoSpaceDE/>
        <w:autoSpaceDN/>
        <w:bidi w:val="0"/>
        <w:adjustRightInd/>
        <w:snapToGrid w:val="0"/>
        <w:spacing w:before="120" w:after="120" w:line="440" w:lineRule="exact"/>
        <w:ind w:left="408" w:hanging="408"/>
        <w:textAlignment w:val="auto"/>
        <w:rPr>
          <w:rFonts w:hint="eastAsia" w:ascii="宋体" w:hAnsi="宋体" w:eastAsia="宋体"/>
          <w:b/>
          <w:strike w:val="0"/>
          <w:dstrike w:val="0"/>
          <w:color w:val="auto"/>
          <w:sz w:val="24"/>
          <w:highlight w:val="none"/>
          <w:lang w:val="en-US" w:eastAsia="zh-CN"/>
        </w:rPr>
      </w:pPr>
      <w:r>
        <w:rPr>
          <w:rFonts w:hint="eastAsia" w:ascii="宋体" w:hAnsi="宋体"/>
          <w:b/>
          <w:color w:val="auto"/>
          <w:sz w:val="24"/>
          <w:highlight w:val="none"/>
          <w:lang w:val="en-US" w:eastAsia="zh-CN"/>
        </w:rPr>
        <w:t>三</w:t>
      </w:r>
      <w:r>
        <w:rPr>
          <w:rFonts w:ascii="宋体" w:hAnsi="宋体"/>
          <w:b/>
          <w:color w:val="auto"/>
          <w:sz w:val="24"/>
          <w:highlight w:val="none"/>
        </w:rPr>
        <w:t>、</w:t>
      </w:r>
      <w:r>
        <w:rPr>
          <w:rFonts w:hint="eastAsia" w:ascii="宋体" w:hAnsi="宋体"/>
          <w:b/>
          <w:strike w:val="0"/>
          <w:dstrike w:val="0"/>
          <w:color w:val="auto"/>
          <w:sz w:val="24"/>
          <w:highlight w:val="none"/>
          <w:lang w:val="en-US" w:eastAsia="zh-CN"/>
        </w:rPr>
        <w:t>人员、</w:t>
      </w:r>
      <w:r>
        <w:rPr>
          <w:rFonts w:hint="eastAsia" w:ascii="宋体" w:hAnsi="宋体"/>
          <w:b/>
          <w:strike w:val="0"/>
          <w:dstrike w:val="0"/>
          <w:color w:val="auto"/>
          <w:sz w:val="24"/>
          <w:highlight w:val="none"/>
        </w:rPr>
        <w:t>项目质量</w:t>
      </w:r>
      <w:r>
        <w:rPr>
          <w:rFonts w:hint="eastAsia" w:ascii="宋体" w:hAnsi="宋体"/>
          <w:b/>
          <w:strike w:val="0"/>
          <w:dstrike w:val="0"/>
          <w:color w:val="auto"/>
          <w:sz w:val="24"/>
          <w:highlight w:val="none"/>
          <w:lang w:val="en-US" w:eastAsia="zh-CN"/>
        </w:rPr>
        <w:t>及</w:t>
      </w:r>
      <w:r>
        <w:rPr>
          <w:rFonts w:hint="eastAsia" w:ascii="宋体" w:hAnsi="宋体"/>
          <w:b/>
          <w:strike w:val="0"/>
          <w:dstrike w:val="0"/>
          <w:color w:val="auto"/>
          <w:sz w:val="24"/>
          <w:highlight w:val="none"/>
        </w:rPr>
        <w:t>施工安全</w:t>
      </w:r>
      <w:r>
        <w:rPr>
          <w:rFonts w:hint="eastAsia" w:ascii="宋体" w:hAnsi="宋体"/>
          <w:b/>
          <w:strike w:val="0"/>
          <w:dstrike w:val="0"/>
          <w:color w:val="auto"/>
          <w:sz w:val="24"/>
          <w:highlight w:val="none"/>
          <w:lang w:val="en-US" w:eastAsia="zh-CN"/>
        </w:rPr>
        <w:t>要求</w:t>
      </w:r>
    </w:p>
    <w:p w14:paraId="1DB0A5DE">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1、项目组成员</w:t>
      </w:r>
      <w:r>
        <w:rPr>
          <w:rFonts w:hint="eastAsia" w:ascii="宋体" w:hAnsi="宋体" w:cs="宋体"/>
          <w:color w:val="auto"/>
          <w:sz w:val="24"/>
          <w:highlight w:val="none"/>
          <w:lang w:eastAsia="zh-CN"/>
        </w:rPr>
        <w:t>每月</w:t>
      </w:r>
      <w:r>
        <w:rPr>
          <w:rFonts w:hint="eastAsia" w:ascii="宋体" w:hAnsi="宋体" w:cs="宋体"/>
          <w:color w:val="auto"/>
          <w:sz w:val="24"/>
          <w:highlight w:val="none"/>
        </w:rPr>
        <w:t>须到岗</w:t>
      </w:r>
      <w:r>
        <w:rPr>
          <w:rFonts w:hint="eastAsia" w:ascii="宋体" w:hAnsi="宋体" w:cs="宋体"/>
          <w:color w:val="auto"/>
          <w:sz w:val="24"/>
          <w:highlight w:val="none"/>
          <w:lang w:val="en-US" w:eastAsia="zh-CN"/>
        </w:rPr>
        <w:t>22日历天</w:t>
      </w:r>
      <w:r>
        <w:rPr>
          <w:rFonts w:hint="eastAsia" w:ascii="宋体" w:hAnsi="宋体" w:cs="宋体"/>
          <w:color w:val="auto"/>
          <w:sz w:val="24"/>
          <w:highlight w:val="none"/>
        </w:rPr>
        <w:t>，实行人脸考勤，施工项目负责人每缺勤一天罚款5000元/天，管理人员每缺勤一天罚款1000元/天。到岗率低于50%或连续无故不到岗时，</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有权终止合同，并追究因此给</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造成的损失。在施工期间，</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认为</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所选派的施工项目负责人、管理人员的现场管理能力、水平不能满足工程建设需要时，有权要求</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选换施工项目负责人、管理人员。</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擅自更换施工项目负责人、管理人员的，分别罚款人民币20000元/人次、10000元/人次。</w:t>
      </w:r>
    </w:p>
    <w:p w14:paraId="73AD6249">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、施工质保期：2年，设备质保期为1年，自验收合格之日起计算。</w:t>
      </w:r>
    </w:p>
    <w:p w14:paraId="5ED53CF0">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、本项目所用材料应必须有合格证，工程质量以国家相关标准规范验收合格为准。   </w:t>
      </w:r>
    </w:p>
    <w:p w14:paraId="2114C146">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、项目施工材料应按相关规定进行检验，合格后方可使用。</w:t>
      </w:r>
    </w:p>
    <w:p w14:paraId="78680A13">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、应按国家、行业现行规范进行施工。</w:t>
      </w:r>
    </w:p>
    <w:p w14:paraId="58BECC49">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、施工过程应做好相关资料记录。</w:t>
      </w:r>
    </w:p>
    <w:p w14:paraId="566BC2E2">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、必须按相关规定接受</w:t>
      </w:r>
      <w:r>
        <w:rPr>
          <w:rFonts w:hint="eastAsia" w:ascii="宋体" w:hAnsi="宋体" w:cs="宋体"/>
          <w:color w:val="auto"/>
          <w:sz w:val="24"/>
          <w:highlight w:val="none"/>
          <w:lang w:eastAsia="zh-CN"/>
        </w:rPr>
        <w:t>甲方</w:t>
      </w:r>
      <w:r>
        <w:rPr>
          <w:rFonts w:hint="eastAsia" w:ascii="宋体" w:hAnsi="宋体" w:cs="宋体"/>
          <w:color w:val="auto"/>
          <w:sz w:val="24"/>
          <w:highlight w:val="none"/>
        </w:rPr>
        <w:t>委托单位的监督和检查，并提供相关资料。</w:t>
      </w:r>
    </w:p>
    <w:p w14:paraId="4435437C">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eastAsia="zh-CN"/>
        </w:rPr>
        <w:t>乙方</w:t>
      </w:r>
      <w:r>
        <w:rPr>
          <w:rFonts w:hint="eastAsia" w:ascii="宋体" w:hAnsi="宋体" w:cs="宋体"/>
          <w:color w:val="auto"/>
          <w:sz w:val="24"/>
          <w:highlight w:val="none"/>
        </w:rPr>
        <w:t>在施工期间发生安全事故、人身安全和交通安全等大小事故，一切责任和经济补偿均由</w:t>
      </w:r>
      <w:r>
        <w:rPr>
          <w:rFonts w:hint="eastAsia" w:ascii="宋体" w:hAnsi="宋体" w:cs="宋体"/>
          <w:color w:val="auto"/>
          <w:sz w:val="24"/>
          <w:highlight w:val="none"/>
          <w:lang w:eastAsia="zh-CN"/>
        </w:rPr>
        <w:t>乙方</w:t>
      </w:r>
      <w:r>
        <w:rPr>
          <w:rFonts w:hint="eastAsia" w:ascii="宋体" w:hAnsi="宋体" w:cs="宋体"/>
          <w:color w:val="auto"/>
          <w:sz w:val="24"/>
          <w:highlight w:val="none"/>
        </w:rPr>
        <w:t>负责,</w:t>
      </w:r>
      <w:r>
        <w:rPr>
          <w:rFonts w:hint="eastAsia" w:ascii="宋体" w:hAnsi="宋体" w:cs="宋体"/>
          <w:color w:val="auto"/>
          <w:sz w:val="24"/>
          <w:highlight w:val="none"/>
          <w:lang w:eastAsia="zh-CN"/>
        </w:rPr>
        <w:t>甲方</w:t>
      </w:r>
      <w:r>
        <w:rPr>
          <w:rFonts w:hint="eastAsia" w:ascii="宋体" w:hAnsi="宋体" w:cs="宋体"/>
          <w:color w:val="auto"/>
          <w:sz w:val="24"/>
          <w:highlight w:val="none"/>
        </w:rPr>
        <w:t>不承担任何责任。</w:t>
      </w:r>
    </w:p>
    <w:p w14:paraId="179716D1">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w:t>
      </w:r>
      <w:r>
        <w:rPr>
          <w:rFonts w:hint="eastAsia" w:ascii="宋体" w:hAnsi="宋体" w:cs="宋体"/>
          <w:color w:val="auto"/>
          <w:sz w:val="24"/>
          <w:highlight w:val="none"/>
          <w:lang w:eastAsia="zh-CN"/>
        </w:rPr>
        <w:t>乙方</w:t>
      </w:r>
      <w:r>
        <w:rPr>
          <w:rFonts w:hint="eastAsia" w:ascii="宋体" w:hAnsi="宋体" w:cs="宋体"/>
          <w:color w:val="auto"/>
          <w:sz w:val="24"/>
          <w:highlight w:val="none"/>
        </w:rPr>
        <w:t>不服从</w:t>
      </w:r>
      <w:r>
        <w:rPr>
          <w:rFonts w:hint="eastAsia" w:ascii="宋体" w:hAnsi="宋体" w:cs="宋体"/>
          <w:color w:val="auto"/>
          <w:sz w:val="24"/>
          <w:highlight w:val="none"/>
          <w:lang w:eastAsia="zh-CN"/>
        </w:rPr>
        <w:t>甲方</w:t>
      </w:r>
      <w:r>
        <w:rPr>
          <w:rFonts w:hint="eastAsia" w:ascii="宋体" w:hAnsi="宋体" w:cs="宋体"/>
          <w:color w:val="auto"/>
          <w:sz w:val="24"/>
          <w:highlight w:val="none"/>
        </w:rPr>
        <w:t>施工管理、施工管理不规范、安全质量达不到要求、不能在规定工期内完成等情形；</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有权暂停或取消其施工资格。</w:t>
      </w:r>
    </w:p>
    <w:p w14:paraId="35920E43">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乙方</w:t>
      </w:r>
      <w:r>
        <w:rPr>
          <w:rFonts w:hint="eastAsia" w:ascii="宋体" w:hAnsi="宋体" w:cs="宋体"/>
          <w:color w:val="auto"/>
          <w:kern w:val="0"/>
          <w:sz w:val="24"/>
          <w:highlight w:val="none"/>
        </w:rPr>
        <w:t>应做好现场施工噪音、环境卫生、材料堆放、安全警示等工作，并负责施工期间与环保、交通城管等部门的沟通协调工作，做好现场秩序的维护，如因</w:t>
      </w:r>
      <w:r>
        <w:rPr>
          <w:rFonts w:hint="eastAsia" w:ascii="宋体" w:hAnsi="宋体" w:cs="宋体"/>
          <w:color w:val="auto"/>
          <w:kern w:val="0"/>
          <w:sz w:val="24"/>
          <w:highlight w:val="none"/>
          <w:lang w:eastAsia="zh-CN"/>
        </w:rPr>
        <w:t>乙方</w:t>
      </w:r>
      <w:r>
        <w:rPr>
          <w:rFonts w:hint="eastAsia" w:ascii="宋体" w:hAnsi="宋体" w:cs="宋体"/>
          <w:color w:val="auto"/>
          <w:kern w:val="0"/>
          <w:sz w:val="24"/>
          <w:highlight w:val="none"/>
        </w:rPr>
        <w:t>原因受到处罚、赔款、纠纷或因此而引起</w:t>
      </w:r>
      <w:r>
        <w:rPr>
          <w:rFonts w:hint="eastAsia" w:ascii="宋体" w:hAnsi="宋体" w:cs="宋体"/>
          <w:color w:val="auto"/>
          <w:kern w:val="0"/>
          <w:sz w:val="24"/>
          <w:highlight w:val="none"/>
          <w:lang w:eastAsia="zh-CN"/>
        </w:rPr>
        <w:t>甲方</w:t>
      </w:r>
      <w:r>
        <w:rPr>
          <w:rFonts w:hint="eastAsia" w:ascii="宋体" w:hAnsi="宋体" w:cs="宋体"/>
          <w:color w:val="auto"/>
          <w:kern w:val="0"/>
          <w:sz w:val="24"/>
          <w:highlight w:val="none"/>
        </w:rPr>
        <w:t>经济损失的，均由</w:t>
      </w:r>
      <w:r>
        <w:rPr>
          <w:rFonts w:hint="eastAsia" w:ascii="宋体" w:hAnsi="宋体" w:cs="宋体"/>
          <w:color w:val="auto"/>
          <w:kern w:val="0"/>
          <w:sz w:val="24"/>
          <w:highlight w:val="none"/>
          <w:lang w:eastAsia="zh-CN"/>
        </w:rPr>
        <w:t>乙方</w:t>
      </w:r>
      <w:r>
        <w:rPr>
          <w:rFonts w:hint="eastAsia" w:ascii="宋体" w:hAnsi="宋体" w:cs="宋体"/>
          <w:color w:val="auto"/>
          <w:kern w:val="0"/>
          <w:sz w:val="24"/>
          <w:highlight w:val="none"/>
        </w:rPr>
        <w:t>承担责任。</w:t>
      </w:r>
    </w:p>
    <w:p w14:paraId="6CF7C50A">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、工程质量以国家相关标准规范验收合格为准，如达不到约定的质量标准，</w:t>
      </w:r>
      <w:r>
        <w:rPr>
          <w:rFonts w:hint="eastAsia" w:ascii="宋体" w:hAnsi="宋体" w:cs="宋体"/>
          <w:color w:val="auto"/>
          <w:kern w:val="0"/>
          <w:sz w:val="24"/>
          <w:highlight w:val="none"/>
          <w:lang w:eastAsia="zh-CN"/>
        </w:rPr>
        <w:t>甲方</w:t>
      </w:r>
      <w:r>
        <w:rPr>
          <w:rFonts w:hint="eastAsia" w:ascii="宋体" w:hAnsi="宋体" w:cs="宋体"/>
          <w:color w:val="auto"/>
          <w:kern w:val="0"/>
          <w:sz w:val="24"/>
          <w:highlight w:val="none"/>
        </w:rPr>
        <w:t>可要求</w:t>
      </w:r>
      <w:r>
        <w:rPr>
          <w:rFonts w:hint="eastAsia" w:ascii="宋体" w:hAnsi="宋体" w:cs="宋体"/>
          <w:color w:val="auto"/>
          <w:kern w:val="0"/>
          <w:sz w:val="24"/>
          <w:highlight w:val="none"/>
          <w:lang w:eastAsia="zh-CN"/>
        </w:rPr>
        <w:t>乙方</w:t>
      </w:r>
      <w:r>
        <w:rPr>
          <w:rFonts w:hint="eastAsia" w:ascii="宋体" w:hAnsi="宋体" w:cs="宋体"/>
          <w:color w:val="auto"/>
          <w:kern w:val="0"/>
          <w:sz w:val="24"/>
          <w:highlight w:val="none"/>
        </w:rPr>
        <w:t>返工，直至达到约定的质量标准，并由</w:t>
      </w:r>
      <w:r>
        <w:rPr>
          <w:rFonts w:hint="eastAsia" w:ascii="宋体" w:hAnsi="宋体" w:cs="宋体"/>
          <w:color w:val="auto"/>
          <w:kern w:val="0"/>
          <w:sz w:val="24"/>
          <w:highlight w:val="none"/>
          <w:lang w:eastAsia="zh-CN"/>
        </w:rPr>
        <w:t>乙方</w:t>
      </w:r>
      <w:r>
        <w:rPr>
          <w:rFonts w:hint="eastAsia" w:ascii="宋体" w:hAnsi="宋体" w:cs="宋体"/>
          <w:color w:val="auto"/>
          <w:kern w:val="0"/>
          <w:sz w:val="24"/>
          <w:highlight w:val="none"/>
        </w:rPr>
        <w:t>承担返工的一切费用。</w:t>
      </w:r>
    </w:p>
    <w:p w14:paraId="258B1473">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12、项目实施过程中，若乙方有任何违规违法行为，由乙方负责整改到位且消除影响，甲方不负任何责任。</w:t>
      </w:r>
    </w:p>
    <w:p w14:paraId="35BA3653">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13、乙方在施工过程中，如果发生随意更改设计不按图施工，存在偷工减料和在设计的施工范围外损坏林地、耕地等违法违规行为，甲方概不负责，一切责任全部由乙方承担。</w:t>
      </w:r>
    </w:p>
    <w:p w14:paraId="61EC947A">
      <w:pPr>
        <w:keepNext w:val="0"/>
        <w:keepLines w:val="0"/>
        <w:pageBreakBefore w:val="0"/>
        <w:widowControl w:val="0"/>
        <w:kinsoku/>
        <w:wordWrap/>
        <w:overflowPunct/>
        <w:topLinePunct w:val="0"/>
        <w:autoSpaceDE/>
        <w:autoSpaceDN/>
        <w:bidi w:val="0"/>
        <w:adjustRightInd/>
        <w:snapToGrid w:val="0"/>
        <w:spacing w:before="120" w:after="120" w:line="440" w:lineRule="exact"/>
        <w:textAlignment w:val="auto"/>
        <w:rPr>
          <w:rFonts w:ascii="宋体" w:hAnsi="宋体"/>
          <w:b/>
          <w:color w:val="auto"/>
          <w:sz w:val="24"/>
          <w:highlight w:val="none"/>
        </w:rPr>
      </w:pPr>
      <w:r>
        <w:rPr>
          <w:rFonts w:hint="eastAsia" w:ascii="宋体" w:hAnsi="宋体"/>
          <w:b/>
          <w:color w:val="auto"/>
          <w:sz w:val="24"/>
          <w:highlight w:val="none"/>
          <w:lang w:val="en-US" w:eastAsia="zh-CN"/>
        </w:rPr>
        <w:t>四</w:t>
      </w:r>
      <w:r>
        <w:rPr>
          <w:rFonts w:ascii="宋体" w:hAnsi="宋体"/>
          <w:b/>
          <w:color w:val="auto"/>
          <w:sz w:val="24"/>
          <w:highlight w:val="none"/>
        </w:rPr>
        <w:t>、技术资料</w:t>
      </w:r>
    </w:p>
    <w:p w14:paraId="0B45E5CC">
      <w:pPr>
        <w:keepNext w:val="0"/>
        <w:keepLines w:val="0"/>
        <w:pageBreakBefore w:val="0"/>
        <w:widowControl w:val="0"/>
        <w:kinsoku/>
        <w:wordWrap/>
        <w:overflowPunct/>
        <w:topLinePunct w:val="0"/>
        <w:autoSpaceDE/>
        <w:autoSpaceDN/>
        <w:bidi w:val="0"/>
        <w:adjustRightInd/>
        <w:snapToGrid w:val="0"/>
        <w:spacing w:before="120" w:after="120"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1、</w:t>
      </w:r>
      <w:r>
        <w:rPr>
          <w:rFonts w:ascii="宋体" w:hAnsi="宋体"/>
          <w:color w:val="auto"/>
          <w:sz w:val="24"/>
          <w:highlight w:val="none"/>
        </w:rPr>
        <w:t>乙方应按招标文件规定的时间向甲方提供有关技术资料。</w:t>
      </w:r>
    </w:p>
    <w:p w14:paraId="3A63D9ED">
      <w:pPr>
        <w:keepNext w:val="0"/>
        <w:keepLines w:val="0"/>
        <w:pageBreakBefore w:val="0"/>
        <w:widowControl w:val="0"/>
        <w:kinsoku/>
        <w:wordWrap/>
        <w:overflowPunct/>
        <w:topLinePunct w:val="0"/>
        <w:autoSpaceDE/>
        <w:autoSpaceDN/>
        <w:bidi w:val="0"/>
        <w:adjustRightInd/>
        <w:snapToGrid w:val="0"/>
        <w:spacing w:before="120" w:after="120"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2、</w:t>
      </w:r>
      <w:r>
        <w:rPr>
          <w:rFonts w:ascii="宋体" w:hAnsi="宋体"/>
          <w:color w:val="auto"/>
          <w:sz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FBDA2C8">
      <w:pPr>
        <w:keepNext w:val="0"/>
        <w:keepLines w:val="0"/>
        <w:pageBreakBefore w:val="0"/>
        <w:widowControl w:val="0"/>
        <w:kinsoku/>
        <w:wordWrap/>
        <w:overflowPunct/>
        <w:topLinePunct w:val="0"/>
        <w:autoSpaceDE/>
        <w:autoSpaceDN/>
        <w:bidi w:val="0"/>
        <w:adjustRightInd/>
        <w:snapToGrid w:val="0"/>
        <w:spacing w:before="120" w:after="120" w:line="440" w:lineRule="exact"/>
        <w:ind w:left="410" w:hanging="410"/>
        <w:textAlignment w:val="auto"/>
        <w:rPr>
          <w:rFonts w:ascii="宋体" w:hAnsi="宋体"/>
          <w:b/>
          <w:color w:val="auto"/>
          <w:sz w:val="24"/>
          <w:highlight w:val="none"/>
        </w:rPr>
      </w:pPr>
      <w:r>
        <w:rPr>
          <w:rFonts w:hint="eastAsia" w:ascii="宋体" w:hAnsi="宋体"/>
          <w:b/>
          <w:color w:val="auto"/>
          <w:sz w:val="24"/>
          <w:highlight w:val="none"/>
          <w:lang w:val="en-US" w:eastAsia="zh-CN"/>
        </w:rPr>
        <w:t>五</w:t>
      </w:r>
      <w:r>
        <w:rPr>
          <w:rFonts w:ascii="宋体" w:hAnsi="宋体"/>
          <w:b/>
          <w:color w:val="auto"/>
          <w:sz w:val="24"/>
          <w:highlight w:val="none"/>
        </w:rPr>
        <w:t>、知识产权</w:t>
      </w:r>
    </w:p>
    <w:p w14:paraId="26E90168">
      <w:pPr>
        <w:keepNext w:val="0"/>
        <w:keepLines w:val="0"/>
        <w:pageBreakBefore w:val="0"/>
        <w:widowControl w:val="0"/>
        <w:kinsoku/>
        <w:wordWrap/>
        <w:overflowPunct/>
        <w:topLinePunct w:val="0"/>
        <w:autoSpaceDE/>
        <w:autoSpaceDN/>
        <w:bidi w:val="0"/>
        <w:adjustRightInd/>
        <w:snapToGrid w:val="0"/>
        <w:spacing w:before="120" w:after="120" w:line="440" w:lineRule="exact"/>
        <w:ind w:left="426" w:leftChars="203" w:firstLine="12" w:firstLineChars="5"/>
        <w:textAlignment w:val="auto"/>
        <w:rPr>
          <w:rFonts w:ascii="宋体" w:hAnsi="宋体"/>
          <w:color w:val="auto"/>
          <w:sz w:val="24"/>
          <w:highlight w:val="none"/>
        </w:rPr>
      </w:pPr>
      <w:r>
        <w:rPr>
          <w:rFonts w:ascii="宋体" w:hAnsi="宋体"/>
          <w:color w:val="auto"/>
          <w:sz w:val="24"/>
          <w:highlight w:val="none"/>
        </w:rPr>
        <w:t>乙方应保证提供服务过程中不会侵犯任何第三方的知识产权。</w:t>
      </w:r>
    </w:p>
    <w:p w14:paraId="06C638C2">
      <w:pPr>
        <w:keepNext w:val="0"/>
        <w:keepLines w:val="0"/>
        <w:pageBreakBefore w:val="0"/>
        <w:widowControl w:val="0"/>
        <w:kinsoku/>
        <w:wordWrap/>
        <w:overflowPunct/>
        <w:topLinePunct w:val="0"/>
        <w:autoSpaceDE/>
        <w:autoSpaceDN/>
        <w:bidi w:val="0"/>
        <w:adjustRightInd/>
        <w:snapToGrid w:val="0"/>
        <w:spacing w:before="120" w:after="120" w:line="440" w:lineRule="exact"/>
        <w:ind w:left="426" w:leftChars="203" w:firstLine="12" w:firstLineChars="5"/>
        <w:textAlignment w:val="auto"/>
        <w:rPr>
          <w:rFonts w:ascii="宋体" w:hAnsi="宋体"/>
          <w:color w:val="auto"/>
          <w:sz w:val="24"/>
          <w:highlight w:val="none"/>
        </w:rPr>
      </w:pPr>
      <w:r>
        <w:rPr>
          <w:rFonts w:hint="eastAsia" w:ascii="宋体" w:hAnsi="宋体"/>
          <w:color w:val="auto"/>
          <w:sz w:val="24"/>
          <w:highlight w:val="none"/>
        </w:rPr>
        <w:t>若乙方提供的服务或资料侵犯他人知识产权的，则乙方承担相应赔偿责任。</w:t>
      </w:r>
    </w:p>
    <w:p w14:paraId="1C4A7C19">
      <w:pPr>
        <w:keepNext w:val="0"/>
        <w:keepLines w:val="0"/>
        <w:pageBreakBefore w:val="0"/>
        <w:widowControl w:val="0"/>
        <w:kinsoku/>
        <w:wordWrap/>
        <w:overflowPunct/>
        <w:topLinePunct w:val="0"/>
        <w:autoSpaceDE/>
        <w:autoSpaceDN/>
        <w:bidi w:val="0"/>
        <w:adjustRightInd/>
        <w:snapToGrid w:val="0"/>
        <w:spacing w:before="120" w:after="120" w:line="440" w:lineRule="exact"/>
        <w:textAlignment w:val="auto"/>
        <w:rPr>
          <w:rFonts w:ascii="宋体" w:hAnsi="宋体"/>
          <w:b/>
          <w:color w:val="auto"/>
          <w:sz w:val="24"/>
          <w:highlight w:val="none"/>
        </w:rPr>
      </w:pPr>
      <w:r>
        <w:rPr>
          <w:rFonts w:hint="eastAsia" w:ascii="宋体" w:hAnsi="宋体"/>
          <w:b/>
          <w:color w:val="auto"/>
          <w:sz w:val="24"/>
          <w:highlight w:val="none"/>
        </w:rPr>
        <w:t>六、转包</w:t>
      </w:r>
    </w:p>
    <w:p w14:paraId="35C2E28E">
      <w:pPr>
        <w:keepNext w:val="0"/>
        <w:keepLines w:val="0"/>
        <w:pageBreakBefore w:val="0"/>
        <w:widowControl w:val="0"/>
        <w:kinsoku/>
        <w:wordWrap/>
        <w:overflowPunct/>
        <w:topLinePunct w:val="0"/>
        <w:autoSpaceDE/>
        <w:autoSpaceDN/>
        <w:bidi w:val="0"/>
        <w:adjustRightInd/>
        <w:snapToGrid w:val="0"/>
        <w:spacing w:before="120" w:after="120"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本合同范围的服务，应由乙方直接供应，不得转让他人供应；</w:t>
      </w:r>
    </w:p>
    <w:p w14:paraId="35666091">
      <w:pPr>
        <w:keepNext w:val="0"/>
        <w:keepLines w:val="0"/>
        <w:pageBreakBefore w:val="0"/>
        <w:widowControl w:val="0"/>
        <w:kinsoku/>
        <w:wordWrap/>
        <w:overflowPunct/>
        <w:topLinePunct w:val="0"/>
        <w:autoSpaceDE/>
        <w:autoSpaceDN/>
        <w:bidi w:val="0"/>
        <w:adjustRightInd/>
        <w:snapToGrid w:val="0"/>
        <w:spacing w:before="120" w:after="120" w:line="440" w:lineRule="exact"/>
        <w:ind w:left="426" w:leftChars="203" w:firstLine="12" w:firstLineChars="5"/>
        <w:textAlignment w:val="auto"/>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如发现转包行为，甲方有权解除合同，并追究乙方的违约责任。</w:t>
      </w:r>
    </w:p>
    <w:p w14:paraId="50D50A6E">
      <w:pPr>
        <w:keepNext w:val="0"/>
        <w:keepLines w:val="0"/>
        <w:pageBreakBefore w:val="0"/>
        <w:widowControl w:val="0"/>
        <w:kinsoku/>
        <w:wordWrap/>
        <w:overflowPunct/>
        <w:topLinePunct w:val="0"/>
        <w:autoSpaceDE/>
        <w:autoSpaceDN/>
        <w:bidi w:val="0"/>
        <w:adjustRightInd/>
        <w:snapToGrid w:val="0"/>
        <w:spacing w:before="120" w:after="120" w:line="440" w:lineRule="exact"/>
        <w:textAlignment w:val="auto"/>
        <w:rPr>
          <w:rFonts w:ascii="宋体" w:hAnsi="宋体"/>
          <w:b/>
          <w:color w:val="auto"/>
          <w:sz w:val="24"/>
          <w:highlight w:val="none"/>
        </w:rPr>
      </w:pPr>
      <w:r>
        <w:rPr>
          <w:rFonts w:hint="eastAsia" w:ascii="宋体" w:hAnsi="宋体"/>
          <w:b/>
          <w:color w:val="auto"/>
          <w:sz w:val="24"/>
          <w:highlight w:val="none"/>
        </w:rPr>
        <w:t>七</w:t>
      </w:r>
      <w:r>
        <w:rPr>
          <w:rFonts w:ascii="宋体" w:hAnsi="宋体"/>
          <w:b/>
          <w:color w:val="auto"/>
          <w:sz w:val="24"/>
          <w:highlight w:val="none"/>
        </w:rPr>
        <w:t>、合同履行时间、履行地点</w:t>
      </w:r>
    </w:p>
    <w:p w14:paraId="3526D8B0">
      <w:pPr>
        <w:keepNext w:val="0"/>
        <w:keepLines w:val="0"/>
        <w:pageBreakBefore w:val="0"/>
        <w:widowControl w:val="0"/>
        <w:kinsoku/>
        <w:wordWrap/>
        <w:overflowPunct/>
        <w:topLinePunct w:val="0"/>
        <w:autoSpaceDE/>
        <w:autoSpaceDN/>
        <w:bidi w:val="0"/>
        <w:adjustRightInd/>
        <w:snapToGrid w:val="0"/>
        <w:spacing w:before="120" w:after="120" w:line="440" w:lineRule="exact"/>
        <w:ind w:firstLine="480" w:firstLineChars="200"/>
        <w:textAlignment w:val="auto"/>
        <w:rPr>
          <w:rFonts w:ascii="宋体" w:hAnsi="宋体"/>
          <w:bCs/>
          <w:color w:val="auto"/>
          <w:sz w:val="24"/>
          <w:highlight w:val="none"/>
        </w:rPr>
      </w:pPr>
      <w:r>
        <w:rPr>
          <w:rFonts w:hint="eastAsia" w:ascii="宋体" w:hAnsi="宋体"/>
          <w:color w:val="auto"/>
          <w:sz w:val="24"/>
          <w:highlight w:val="none"/>
          <w:lang w:val="en-US" w:eastAsia="zh-CN"/>
        </w:rPr>
        <w:t>1、</w:t>
      </w:r>
      <w:r>
        <w:rPr>
          <w:rFonts w:ascii="宋体" w:hAnsi="宋体"/>
          <w:color w:val="auto"/>
          <w:sz w:val="24"/>
          <w:highlight w:val="none"/>
        </w:rPr>
        <w:t>履行时间</w:t>
      </w:r>
      <w:r>
        <w:rPr>
          <w:rFonts w:ascii="宋体" w:hAnsi="宋体"/>
          <w:bCs/>
          <w:color w:val="auto"/>
          <w:sz w:val="24"/>
          <w:highlight w:val="none"/>
        </w:rPr>
        <w:t>：</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lang w:val="en-US" w:eastAsia="zh-CN"/>
        </w:rPr>
        <w:t>日历</w:t>
      </w:r>
      <w:r>
        <w:rPr>
          <w:rFonts w:hint="eastAsia" w:ascii="宋体" w:hAnsi="宋体"/>
          <w:bCs/>
          <w:color w:val="auto"/>
          <w:sz w:val="24"/>
          <w:highlight w:val="none"/>
        </w:rPr>
        <w:t>天。</w:t>
      </w:r>
      <w:r>
        <w:rPr>
          <w:rFonts w:hint="eastAsia" w:ascii="宋体" w:hAnsi="宋体"/>
          <w:bCs/>
          <w:color w:val="auto"/>
          <w:sz w:val="24"/>
          <w:highlight w:val="none"/>
          <w:lang w:val="en-US" w:eastAsia="zh-CN"/>
        </w:rPr>
        <w:t>乙方</w:t>
      </w:r>
      <w:r>
        <w:rPr>
          <w:rFonts w:hint="eastAsia" w:ascii="宋体" w:hAnsi="宋体"/>
          <w:bCs/>
          <w:color w:val="auto"/>
          <w:sz w:val="24"/>
          <w:highlight w:val="none"/>
        </w:rPr>
        <w:t>不得以任何理由提出工程延期要求，如工期延误的，按1000元/天扣除工程款，且承担</w:t>
      </w:r>
      <w:r>
        <w:rPr>
          <w:rFonts w:hint="eastAsia" w:ascii="宋体" w:hAnsi="宋体"/>
          <w:bCs/>
          <w:color w:val="auto"/>
          <w:sz w:val="24"/>
          <w:highlight w:val="none"/>
          <w:lang w:val="en-US" w:eastAsia="zh-CN"/>
        </w:rPr>
        <w:t>甲方</w:t>
      </w:r>
      <w:r>
        <w:rPr>
          <w:rFonts w:hint="eastAsia" w:ascii="宋体" w:hAnsi="宋体"/>
          <w:bCs/>
          <w:color w:val="auto"/>
          <w:sz w:val="24"/>
          <w:highlight w:val="none"/>
        </w:rPr>
        <w:t>全部损失。</w:t>
      </w:r>
    </w:p>
    <w:p w14:paraId="3179831E">
      <w:pPr>
        <w:keepNext w:val="0"/>
        <w:keepLines w:val="0"/>
        <w:pageBreakBefore w:val="0"/>
        <w:widowControl w:val="0"/>
        <w:kinsoku/>
        <w:wordWrap/>
        <w:overflowPunct/>
        <w:topLinePunct w:val="0"/>
        <w:autoSpaceDE/>
        <w:autoSpaceDN/>
        <w:bidi w:val="0"/>
        <w:adjustRightInd/>
        <w:snapToGrid w:val="0"/>
        <w:spacing w:before="120" w:after="120"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2、</w:t>
      </w:r>
      <w:r>
        <w:rPr>
          <w:rFonts w:ascii="宋体" w:hAnsi="宋体"/>
          <w:color w:val="auto"/>
          <w:sz w:val="24"/>
          <w:highlight w:val="none"/>
        </w:rPr>
        <w:t>履行地点</w:t>
      </w:r>
      <w:r>
        <w:rPr>
          <w:rFonts w:ascii="宋体" w:hAnsi="宋体"/>
          <w:bCs/>
          <w:color w:val="auto"/>
          <w:sz w:val="24"/>
          <w:highlight w:val="none"/>
        </w:rPr>
        <w:t>：</w:t>
      </w:r>
    </w:p>
    <w:p w14:paraId="1D30FE72">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b/>
          <w:color w:val="auto"/>
          <w:sz w:val="24"/>
          <w:highlight w:val="none"/>
        </w:rPr>
      </w:pPr>
      <w:r>
        <w:rPr>
          <w:rFonts w:hint="eastAsia" w:ascii="宋体" w:hAnsi="宋体"/>
          <w:b/>
          <w:color w:val="auto"/>
          <w:sz w:val="24"/>
          <w:highlight w:val="none"/>
        </w:rPr>
        <w:t>八</w:t>
      </w:r>
      <w:r>
        <w:rPr>
          <w:rFonts w:ascii="宋体" w:hAnsi="宋体"/>
          <w:b/>
          <w:color w:val="auto"/>
          <w:sz w:val="24"/>
          <w:highlight w:val="none"/>
        </w:rPr>
        <w:t>、付款方式</w:t>
      </w:r>
      <w:r>
        <w:rPr>
          <w:rFonts w:hint="eastAsia" w:ascii="宋体" w:hAnsi="宋体"/>
          <w:b/>
          <w:color w:val="auto"/>
          <w:sz w:val="24"/>
          <w:highlight w:val="none"/>
        </w:rPr>
        <w:t>：</w:t>
      </w:r>
    </w:p>
    <w:p w14:paraId="739DF5E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（1）合同生效以及具备实施条件后7个工作日内支付合同价款的40%作为预付款（中标人</w:t>
      </w:r>
      <w:r>
        <w:rPr>
          <w:rFonts w:hint="eastAsia" w:ascii="宋体" w:hAnsi="宋体"/>
          <w:color w:val="auto"/>
          <w:sz w:val="24"/>
          <w:highlight w:val="none"/>
          <w:lang w:val="en-US" w:eastAsia="zh-CN"/>
        </w:rPr>
        <w:t>须</w:t>
      </w:r>
      <w:r>
        <w:rPr>
          <w:rFonts w:hint="eastAsia" w:ascii="宋体" w:hAnsi="宋体"/>
          <w:color w:val="auto"/>
          <w:sz w:val="24"/>
          <w:highlight w:val="none"/>
        </w:rPr>
        <w:t>提交预付款保函）；</w:t>
      </w:r>
    </w:p>
    <w:p w14:paraId="10708D8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）全部工程完工后支付至合同价款的</w:t>
      </w:r>
      <w:r>
        <w:rPr>
          <w:rFonts w:hint="eastAsia" w:ascii="宋体" w:hAnsi="宋体"/>
          <w:color w:val="auto"/>
          <w:sz w:val="24"/>
          <w:highlight w:val="none"/>
          <w:lang w:val="en-US" w:eastAsia="zh-CN"/>
        </w:rPr>
        <w:t>70</w:t>
      </w:r>
      <w:r>
        <w:rPr>
          <w:rFonts w:hint="eastAsia" w:ascii="宋体" w:hAnsi="宋体"/>
          <w:color w:val="auto"/>
          <w:sz w:val="24"/>
          <w:highlight w:val="none"/>
        </w:rPr>
        <w:t>%；</w:t>
      </w:r>
    </w:p>
    <w:p w14:paraId="454921E0">
      <w:pPr>
        <w:spacing w:line="360" w:lineRule="auto"/>
        <w:ind w:firstLine="480" w:firstLineChars="200"/>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）工程竣工验收合格</w:t>
      </w:r>
      <w:r>
        <w:rPr>
          <w:rFonts w:hint="eastAsia" w:ascii="宋体" w:hAnsi="宋体"/>
          <w:color w:val="auto"/>
          <w:sz w:val="24"/>
          <w:highlight w:val="none"/>
          <w:lang w:val="en-US" w:eastAsia="zh-CN"/>
        </w:rPr>
        <w:t>后</w:t>
      </w:r>
      <w:r>
        <w:rPr>
          <w:rFonts w:hint="eastAsia" w:ascii="宋体" w:hAnsi="宋体"/>
          <w:color w:val="auto"/>
          <w:sz w:val="24"/>
          <w:highlight w:val="none"/>
        </w:rPr>
        <w:t>凭竣工验收报告支付至</w:t>
      </w:r>
      <w:r>
        <w:rPr>
          <w:rFonts w:hint="eastAsia" w:ascii="宋体" w:hAnsi="宋体"/>
          <w:color w:val="auto"/>
          <w:sz w:val="24"/>
          <w:highlight w:val="none"/>
          <w:lang w:val="en-US" w:eastAsia="zh-CN"/>
        </w:rPr>
        <w:t>实际价款的100%</w:t>
      </w:r>
      <w:r>
        <w:rPr>
          <w:rFonts w:hint="eastAsia" w:ascii="宋体" w:hAnsi="宋体"/>
          <w:color w:val="auto"/>
          <w:sz w:val="24"/>
          <w:highlight w:val="none"/>
        </w:rPr>
        <w:t>。</w:t>
      </w:r>
    </w:p>
    <w:p w14:paraId="75A70B6B">
      <w:pPr>
        <w:keepNext w:val="0"/>
        <w:keepLines w:val="0"/>
        <w:pageBreakBefore w:val="0"/>
        <w:widowControl w:val="0"/>
        <w:kinsoku/>
        <w:wordWrap/>
        <w:overflowPunct/>
        <w:topLinePunct w:val="0"/>
        <w:autoSpaceDE/>
        <w:autoSpaceDN/>
        <w:bidi w:val="0"/>
        <w:adjustRightInd/>
        <w:snapToGrid w:val="0"/>
        <w:spacing w:before="120" w:after="120" w:line="440" w:lineRule="exact"/>
        <w:textAlignment w:val="auto"/>
        <w:rPr>
          <w:rFonts w:ascii="宋体" w:hAnsi="宋体"/>
          <w:b/>
          <w:color w:val="auto"/>
          <w:sz w:val="24"/>
          <w:highlight w:val="none"/>
        </w:rPr>
      </w:pPr>
      <w:r>
        <w:rPr>
          <w:rFonts w:hint="eastAsia" w:ascii="宋体" w:hAnsi="宋体"/>
          <w:b/>
          <w:color w:val="auto"/>
          <w:sz w:val="24"/>
          <w:highlight w:val="none"/>
        </w:rPr>
        <w:t>九、税费</w:t>
      </w:r>
    </w:p>
    <w:p w14:paraId="314ABAD0">
      <w:pPr>
        <w:keepNext w:val="0"/>
        <w:keepLines w:val="0"/>
        <w:pageBreakBefore w:val="0"/>
        <w:widowControl w:val="0"/>
        <w:kinsoku/>
        <w:wordWrap/>
        <w:overflowPunct/>
        <w:topLinePunct w:val="0"/>
        <w:autoSpaceDE/>
        <w:autoSpaceDN/>
        <w:bidi w:val="0"/>
        <w:adjustRightInd/>
        <w:snapToGrid w:val="0"/>
        <w:spacing w:before="120" w:after="120" w:line="4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本合同执行中相关的一切税费均由</w:t>
      </w:r>
      <w:r>
        <w:rPr>
          <w:rFonts w:hAnsi="宋体"/>
          <w:color w:val="auto"/>
          <w:sz w:val="24"/>
          <w:highlight w:val="none"/>
        </w:rPr>
        <w:t>乙</w:t>
      </w:r>
      <w:r>
        <w:rPr>
          <w:rFonts w:hint="eastAsia" w:ascii="宋体" w:hAnsi="宋体"/>
          <w:color w:val="auto"/>
          <w:sz w:val="24"/>
          <w:highlight w:val="none"/>
        </w:rPr>
        <w:t>方负担。</w:t>
      </w:r>
    </w:p>
    <w:p w14:paraId="1B02FBF5">
      <w:pPr>
        <w:keepNext w:val="0"/>
        <w:keepLines w:val="0"/>
        <w:pageBreakBefore w:val="0"/>
        <w:widowControl w:val="0"/>
        <w:kinsoku/>
        <w:wordWrap/>
        <w:overflowPunct/>
        <w:topLinePunct w:val="0"/>
        <w:autoSpaceDE/>
        <w:autoSpaceDN/>
        <w:bidi w:val="0"/>
        <w:adjustRightInd/>
        <w:snapToGrid w:val="0"/>
        <w:spacing w:before="120" w:after="120" w:line="440" w:lineRule="exact"/>
        <w:textAlignment w:val="auto"/>
        <w:rPr>
          <w:color w:val="auto"/>
          <w:sz w:val="24"/>
          <w:highlight w:val="none"/>
        </w:rPr>
      </w:pPr>
      <w:r>
        <w:rPr>
          <w:rFonts w:hint="eastAsia"/>
          <w:b/>
          <w:bCs/>
          <w:color w:val="auto"/>
          <w:sz w:val="24"/>
          <w:szCs w:val="24"/>
          <w:highlight w:val="none"/>
        </w:rPr>
        <w:t>十、履约</w:t>
      </w:r>
      <w:r>
        <w:rPr>
          <w:b/>
          <w:bCs/>
          <w:color w:val="auto"/>
          <w:sz w:val="24"/>
          <w:szCs w:val="24"/>
          <w:highlight w:val="none"/>
        </w:rPr>
        <w:t>保证金</w:t>
      </w:r>
      <w:r>
        <w:rPr>
          <w:rFonts w:hint="eastAsia"/>
          <w:b/>
          <w:bCs/>
          <w:color w:val="auto"/>
          <w:sz w:val="24"/>
          <w:szCs w:val="24"/>
          <w:highlight w:val="none"/>
          <w:lang w:eastAsia="zh-CN"/>
        </w:rPr>
        <w:t>：</w:t>
      </w:r>
      <w:r>
        <w:rPr>
          <w:rFonts w:hint="eastAsia" w:ascii="宋体" w:hAnsi="宋体" w:cs="宋体"/>
          <w:color w:val="auto"/>
          <w:sz w:val="24"/>
          <w:highlight w:val="none"/>
        </w:rPr>
        <w:t>中标价</w:t>
      </w:r>
      <w:r>
        <w:rPr>
          <w:rFonts w:hint="eastAsia" w:ascii="宋体" w:hAnsi="宋体" w:cs="宋体"/>
          <w:color w:val="auto"/>
          <w:sz w:val="24"/>
          <w:highlight w:val="none"/>
          <w:lang w:val="en-US" w:eastAsia="zh-CN"/>
        </w:rPr>
        <w:t>的1%</w:t>
      </w:r>
      <w:r>
        <w:rPr>
          <w:rFonts w:hint="eastAsia" w:ascii="宋体" w:hAnsi="宋体" w:cs="宋体"/>
          <w:color w:val="auto"/>
          <w:sz w:val="24"/>
          <w:highlight w:val="none"/>
        </w:rPr>
        <w:t>。</w:t>
      </w:r>
    </w:p>
    <w:p w14:paraId="53B29097">
      <w:pPr>
        <w:keepNext w:val="0"/>
        <w:keepLines w:val="0"/>
        <w:pageBreakBefore w:val="0"/>
        <w:widowControl w:val="0"/>
        <w:kinsoku/>
        <w:wordWrap/>
        <w:overflowPunct/>
        <w:topLinePunct w:val="0"/>
        <w:autoSpaceDE/>
        <w:autoSpaceDN/>
        <w:bidi w:val="0"/>
        <w:adjustRightInd/>
        <w:snapToGrid w:val="0"/>
        <w:spacing w:before="120" w:after="120" w:line="440" w:lineRule="exact"/>
        <w:ind w:left="410" w:hanging="410"/>
        <w:textAlignment w:val="auto"/>
        <w:rPr>
          <w:rFonts w:ascii="宋体" w:hAnsi="宋体"/>
          <w:color w:val="auto"/>
          <w:sz w:val="24"/>
          <w:highlight w:val="none"/>
        </w:rPr>
      </w:pPr>
      <w:r>
        <w:rPr>
          <w:rFonts w:ascii="宋体" w:hAnsi="宋体"/>
          <w:b/>
          <w:color w:val="auto"/>
          <w:sz w:val="24"/>
          <w:highlight w:val="none"/>
        </w:rPr>
        <w:t>十</w:t>
      </w:r>
      <w:r>
        <w:rPr>
          <w:rFonts w:hint="eastAsia" w:ascii="宋体" w:hAnsi="宋体"/>
          <w:b/>
          <w:color w:val="auto"/>
          <w:sz w:val="24"/>
          <w:highlight w:val="none"/>
        </w:rPr>
        <w:t>一</w:t>
      </w:r>
      <w:r>
        <w:rPr>
          <w:rFonts w:ascii="宋体" w:hAnsi="宋体"/>
          <w:b/>
          <w:color w:val="auto"/>
          <w:sz w:val="24"/>
          <w:highlight w:val="none"/>
        </w:rPr>
        <w:t>、质量保证及后续服务</w:t>
      </w:r>
    </w:p>
    <w:p w14:paraId="4E401132">
      <w:pPr>
        <w:keepNext w:val="0"/>
        <w:keepLines w:val="0"/>
        <w:pageBreakBefore w:val="0"/>
        <w:widowControl w:val="0"/>
        <w:kinsoku/>
        <w:wordWrap/>
        <w:overflowPunct/>
        <w:topLinePunct w:val="0"/>
        <w:autoSpaceDE/>
        <w:autoSpaceDN/>
        <w:bidi w:val="0"/>
        <w:adjustRightInd/>
        <w:snapToGrid w:val="0"/>
        <w:spacing w:before="120" w:after="120" w:line="440" w:lineRule="exact"/>
        <w:ind w:left="426" w:leftChars="203" w:firstLine="12" w:firstLineChars="5"/>
        <w:textAlignment w:val="auto"/>
        <w:rPr>
          <w:rFonts w:ascii="宋体" w:hAnsi="宋体"/>
          <w:color w:val="auto"/>
          <w:sz w:val="24"/>
          <w:highlight w:val="none"/>
        </w:rPr>
      </w:pPr>
      <w:r>
        <w:rPr>
          <w:rFonts w:hint="eastAsia" w:ascii="宋体" w:hAnsi="宋体"/>
          <w:color w:val="auto"/>
          <w:sz w:val="24"/>
          <w:highlight w:val="none"/>
          <w:lang w:val="en-US" w:eastAsia="zh-CN"/>
        </w:rPr>
        <w:t>1、</w:t>
      </w:r>
      <w:r>
        <w:rPr>
          <w:rFonts w:ascii="宋体" w:hAnsi="宋体"/>
          <w:color w:val="auto"/>
          <w:sz w:val="24"/>
          <w:highlight w:val="none"/>
        </w:rPr>
        <w:t>乙方应按招标文件规定向甲方提供服务。</w:t>
      </w:r>
    </w:p>
    <w:p w14:paraId="068D8285">
      <w:pPr>
        <w:keepNext w:val="0"/>
        <w:keepLines w:val="0"/>
        <w:pageBreakBefore w:val="0"/>
        <w:widowControl w:val="0"/>
        <w:kinsoku/>
        <w:wordWrap/>
        <w:overflowPunct/>
        <w:topLinePunct w:val="0"/>
        <w:autoSpaceDE/>
        <w:autoSpaceDN/>
        <w:bidi w:val="0"/>
        <w:adjustRightInd/>
        <w:snapToGrid w:val="0"/>
        <w:spacing w:before="120" w:after="120"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2、</w:t>
      </w:r>
      <w:r>
        <w:rPr>
          <w:rFonts w:ascii="宋体" w:hAnsi="宋体"/>
          <w:color w:val="auto"/>
          <w:sz w:val="24"/>
          <w:highlight w:val="none"/>
        </w:rPr>
        <w:t>乙方提供的服务成果在服务质量保证期内发生故障，乙方应负责免费提供后续服务。对达不到要求者，根据实际情况，经双方协商，可按以下办法处理：</w:t>
      </w:r>
    </w:p>
    <w:p w14:paraId="247511D7">
      <w:pPr>
        <w:keepNext w:val="0"/>
        <w:keepLines w:val="0"/>
        <w:pageBreakBefore w:val="0"/>
        <w:widowControl w:val="0"/>
        <w:kinsoku/>
        <w:wordWrap/>
        <w:overflowPunct/>
        <w:topLinePunct w:val="0"/>
        <w:autoSpaceDE/>
        <w:autoSpaceDN/>
        <w:bidi w:val="0"/>
        <w:adjustRightInd/>
        <w:snapToGrid w:val="0"/>
        <w:spacing w:before="120" w:after="120" w:line="440" w:lineRule="exact"/>
        <w:ind w:firstLine="420"/>
        <w:textAlignment w:val="auto"/>
        <w:rPr>
          <w:rFonts w:ascii="宋体" w:hAnsi="宋体"/>
          <w:color w:val="auto"/>
          <w:sz w:val="24"/>
          <w:highlight w:val="none"/>
        </w:rPr>
      </w:pPr>
      <w:r>
        <w:rPr>
          <w:rFonts w:ascii="宋体" w:hAnsi="宋体"/>
          <w:color w:val="auto"/>
          <w:sz w:val="24"/>
          <w:highlight w:val="none"/>
        </w:rPr>
        <w:t>⑴重做：由乙方承担所发生的全部费用。</w:t>
      </w:r>
    </w:p>
    <w:p w14:paraId="6F57277E">
      <w:pPr>
        <w:keepNext w:val="0"/>
        <w:keepLines w:val="0"/>
        <w:pageBreakBefore w:val="0"/>
        <w:widowControl w:val="0"/>
        <w:kinsoku/>
        <w:wordWrap/>
        <w:overflowPunct/>
        <w:topLinePunct w:val="0"/>
        <w:autoSpaceDE/>
        <w:autoSpaceDN/>
        <w:bidi w:val="0"/>
        <w:adjustRightInd/>
        <w:snapToGrid w:val="0"/>
        <w:spacing w:before="120" w:after="120" w:line="440" w:lineRule="exact"/>
        <w:ind w:firstLine="420"/>
        <w:textAlignment w:val="auto"/>
        <w:rPr>
          <w:rFonts w:ascii="宋体" w:hAnsi="宋体"/>
          <w:color w:val="auto"/>
          <w:sz w:val="24"/>
          <w:highlight w:val="none"/>
        </w:rPr>
      </w:pPr>
      <w:r>
        <w:rPr>
          <w:rFonts w:ascii="宋体" w:hAnsi="宋体"/>
          <w:color w:val="auto"/>
          <w:sz w:val="24"/>
          <w:highlight w:val="none"/>
        </w:rPr>
        <w:t>⑵贬值处理：由甲乙双方合议定价。</w:t>
      </w:r>
    </w:p>
    <w:p w14:paraId="7AE762D7">
      <w:pPr>
        <w:keepNext w:val="0"/>
        <w:keepLines w:val="0"/>
        <w:pageBreakBefore w:val="0"/>
        <w:widowControl w:val="0"/>
        <w:kinsoku/>
        <w:wordWrap/>
        <w:overflowPunct/>
        <w:topLinePunct w:val="0"/>
        <w:autoSpaceDE/>
        <w:autoSpaceDN/>
        <w:bidi w:val="0"/>
        <w:adjustRightInd/>
        <w:snapToGrid w:val="0"/>
        <w:spacing w:before="120" w:after="120" w:line="440" w:lineRule="exact"/>
        <w:ind w:left="420" w:leftChars="200"/>
        <w:textAlignment w:val="auto"/>
        <w:rPr>
          <w:rFonts w:ascii="宋体" w:hAnsi="宋体"/>
          <w:color w:val="auto"/>
          <w:sz w:val="24"/>
          <w:highlight w:val="none"/>
        </w:rPr>
      </w:pPr>
      <w:r>
        <w:rPr>
          <w:rFonts w:ascii="宋体" w:hAnsi="宋体"/>
          <w:color w:val="auto"/>
          <w:sz w:val="24"/>
          <w:highlight w:val="none"/>
        </w:rPr>
        <w:t>⑶解除合同。</w:t>
      </w:r>
    </w:p>
    <w:p w14:paraId="08F3A59F">
      <w:pPr>
        <w:keepNext w:val="0"/>
        <w:keepLines w:val="0"/>
        <w:pageBreakBefore w:val="0"/>
        <w:widowControl w:val="0"/>
        <w:kinsoku/>
        <w:wordWrap/>
        <w:overflowPunct/>
        <w:topLinePunct w:val="0"/>
        <w:autoSpaceDE/>
        <w:autoSpaceDN/>
        <w:bidi w:val="0"/>
        <w:adjustRightInd/>
        <w:snapToGrid w:val="0"/>
        <w:spacing w:before="120" w:after="120"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3、</w:t>
      </w:r>
      <w:r>
        <w:rPr>
          <w:rFonts w:ascii="宋体" w:hAnsi="宋体"/>
          <w:color w:val="auto"/>
          <w:sz w:val="24"/>
          <w:highlight w:val="none"/>
        </w:rPr>
        <w:t>如在使用过程中发生问题，乙方在接到甲方通知后</w:t>
      </w:r>
      <w:r>
        <w:rPr>
          <w:rFonts w:hint="eastAsia" w:ascii="宋体" w:hAnsi="宋体"/>
          <w:color w:val="auto"/>
          <w:sz w:val="24"/>
          <w:highlight w:val="none"/>
          <w:u w:val="single"/>
        </w:rPr>
        <w:t>48</w:t>
      </w:r>
      <w:r>
        <w:rPr>
          <w:rFonts w:ascii="宋体" w:hAnsi="宋体"/>
          <w:color w:val="auto"/>
          <w:sz w:val="24"/>
          <w:highlight w:val="none"/>
        </w:rPr>
        <w:t>小时内到达甲方现场。</w:t>
      </w:r>
    </w:p>
    <w:p w14:paraId="29B07650">
      <w:pPr>
        <w:keepNext w:val="0"/>
        <w:keepLines w:val="0"/>
        <w:pageBreakBefore w:val="0"/>
        <w:widowControl w:val="0"/>
        <w:kinsoku/>
        <w:wordWrap/>
        <w:overflowPunct/>
        <w:topLinePunct w:val="0"/>
        <w:autoSpaceDE/>
        <w:autoSpaceDN/>
        <w:bidi w:val="0"/>
        <w:adjustRightInd/>
        <w:snapToGrid w:val="0"/>
        <w:spacing w:before="120" w:after="120"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4、</w:t>
      </w:r>
      <w:r>
        <w:rPr>
          <w:rFonts w:ascii="宋体" w:hAnsi="宋体"/>
          <w:color w:val="auto"/>
          <w:sz w:val="24"/>
          <w:highlight w:val="none"/>
        </w:rPr>
        <w:t>在服务质量保证期内，乙方应对出现的质量及安全问题负责处理解决并承担一切费用。</w:t>
      </w:r>
    </w:p>
    <w:p w14:paraId="4ECB82F7">
      <w:pPr>
        <w:keepNext w:val="0"/>
        <w:keepLines w:val="0"/>
        <w:pageBreakBefore w:val="0"/>
        <w:widowControl w:val="0"/>
        <w:kinsoku/>
        <w:wordWrap/>
        <w:overflowPunct/>
        <w:topLinePunct w:val="0"/>
        <w:autoSpaceDE/>
        <w:autoSpaceDN/>
        <w:bidi w:val="0"/>
        <w:adjustRightInd/>
        <w:snapToGrid w:val="0"/>
        <w:spacing w:before="120" w:after="120" w:line="440" w:lineRule="exact"/>
        <w:textAlignment w:val="auto"/>
        <w:rPr>
          <w:rFonts w:ascii="宋体" w:hAnsi="宋体"/>
          <w:b/>
          <w:color w:val="auto"/>
          <w:sz w:val="24"/>
          <w:highlight w:val="none"/>
        </w:rPr>
      </w:pPr>
      <w:r>
        <w:rPr>
          <w:rFonts w:ascii="宋体" w:hAnsi="宋体"/>
          <w:b/>
          <w:color w:val="auto"/>
          <w:sz w:val="24"/>
          <w:highlight w:val="none"/>
        </w:rPr>
        <w:t>十</w:t>
      </w:r>
      <w:r>
        <w:rPr>
          <w:rFonts w:hint="eastAsia" w:ascii="宋体" w:hAnsi="宋体"/>
          <w:b/>
          <w:color w:val="auto"/>
          <w:sz w:val="24"/>
          <w:highlight w:val="none"/>
        </w:rPr>
        <w:t>二</w:t>
      </w:r>
      <w:r>
        <w:rPr>
          <w:rFonts w:ascii="宋体" w:hAnsi="宋体"/>
          <w:b/>
          <w:color w:val="auto"/>
          <w:sz w:val="24"/>
          <w:highlight w:val="none"/>
        </w:rPr>
        <w:t>、违约责任</w:t>
      </w:r>
    </w:p>
    <w:p w14:paraId="340791D5">
      <w:pPr>
        <w:keepNext w:val="0"/>
        <w:keepLines w:val="0"/>
        <w:pageBreakBefore w:val="0"/>
        <w:widowControl w:val="0"/>
        <w:kinsoku/>
        <w:wordWrap/>
        <w:overflowPunct/>
        <w:topLinePunct w:val="0"/>
        <w:autoSpaceDE/>
        <w:autoSpaceDN/>
        <w:bidi w:val="0"/>
        <w:adjustRightInd/>
        <w:snapToGrid w:val="0"/>
        <w:spacing w:before="120" w:after="120" w:line="440" w:lineRule="exact"/>
        <w:ind w:left="426" w:leftChars="203" w:firstLine="12" w:firstLineChars="5"/>
        <w:textAlignment w:val="auto"/>
        <w:rPr>
          <w:rFonts w:ascii="宋体" w:hAnsi="宋体"/>
          <w:color w:val="auto"/>
          <w:sz w:val="24"/>
          <w:highlight w:val="none"/>
        </w:rPr>
      </w:pPr>
      <w:r>
        <w:rPr>
          <w:rFonts w:hint="eastAsia" w:ascii="宋体" w:hAnsi="宋体"/>
          <w:color w:val="auto"/>
          <w:sz w:val="24"/>
          <w:highlight w:val="none"/>
          <w:lang w:val="en-US" w:eastAsia="zh-CN"/>
        </w:rPr>
        <w:t>1、</w:t>
      </w:r>
      <w:r>
        <w:rPr>
          <w:rFonts w:ascii="宋体" w:hAnsi="宋体"/>
          <w:color w:val="auto"/>
          <w:sz w:val="24"/>
          <w:highlight w:val="none"/>
        </w:rPr>
        <w:t>甲方无正当理由拒收接受服务的，甲方向乙方偿付合同款项百分之五作为违约金。</w:t>
      </w:r>
    </w:p>
    <w:p w14:paraId="2793AFF8">
      <w:pPr>
        <w:keepNext w:val="0"/>
        <w:keepLines w:val="0"/>
        <w:pageBreakBefore w:val="0"/>
        <w:widowControl w:val="0"/>
        <w:kinsoku/>
        <w:wordWrap/>
        <w:overflowPunct/>
        <w:topLinePunct w:val="0"/>
        <w:autoSpaceDE/>
        <w:autoSpaceDN/>
        <w:bidi w:val="0"/>
        <w:adjustRightInd/>
        <w:snapToGrid w:val="0"/>
        <w:spacing w:before="120" w:after="120"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2、</w:t>
      </w:r>
      <w:r>
        <w:rPr>
          <w:rFonts w:ascii="宋体" w:hAnsi="宋体"/>
          <w:color w:val="auto"/>
          <w:sz w:val="24"/>
          <w:highlight w:val="none"/>
        </w:rPr>
        <w:t>甲方无故逾期验收和办理款项支付手续的,甲方应按逾期付款总额每日万分之五向乙方支付违约金。</w:t>
      </w:r>
    </w:p>
    <w:p w14:paraId="0FC1F5D0">
      <w:pPr>
        <w:keepNext w:val="0"/>
        <w:keepLines w:val="0"/>
        <w:pageBreakBefore w:val="0"/>
        <w:widowControl w:val="0"/>
        <w:kinsoku/>
        <w:wordWrap/>
        <w:overflowPunct/>
        <w:topLinePunct w:val="0"/>
        <w:autoSpaceDE/>
        <w:autoSpaceDN/>
        <w:bidi w:val="0"/>
        <w:adjustRightInd/>
        <w:snapToGrid w:val="0"/>
        <w:spacing w:before="120" w:after="120"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3、</w:t>
      </w:r>
      <w:r>
        <w:rPr>
          <w:rFonts w:ascii="宋体" w:hAnsi="宋体"/>
          <w:color w:val="auto"/>
          <w:sz w:val="24"/>
          <w:highlight w:val="none"/>
        </w:rPr>
        <w:t>乙方</w:t>
      </w:r>
      <w:r>
        <w:rPr>
          <w:rFonts w:hint="eastAsia" w:ascii="宋体" w:hAnsi="宋体"/>
          <w:color w:val="auto"/>
          <w:sz w:val="24"/>
          <w:highlight w:val="none"/>
        </w:rPr>
        <w:t>未能如</w:t>
      </w:r>
      <w:r>
        <w:rPr>
          <w:rFonts w:ascii="宋体" w:hAnsi="宋体"/>
          <w:color w:val="auto"/>
          <w:sz w:val="24"/>
          <w:highlight w:val="none"/>
        </w:rPr>
        <w:t>期提供服务的，每日向甲方支付</w:t>
      </w:r>
      <w:r>
        <w:rPr>
          <w:rFonts w:hint="eastAsia" w:ascii="宋体" w:hAnsi="宋体"/>
          <w:color w:val="auto"/>
          <w:sz w:val="24"/>
          <w:highlight w:val="none"/>
        </w:rPr>
        <w:t>合同款项的</w:t>
      </w:r>
      <w:r>
        <w:rPr>
          <w:rFonts w:ascii="宋体" w:hAnsi="宋体"/>
          <w:color w:val="auto"/>
          <w:sz w:val="24"/>
          <w:highlight w:val="none"/>
        </w:rPr>
        <w:t>千分之六</w:t>
      </w:r>
      <w:r>
        <w:rPr>
          <w:rFonts w:hint="eastAsia" w:ascii="宋体" w:hAnsi="宋体"/>
          <w:color w:val="auto"/>
          <w:sz w:val="24"/>
          <w:highlight w:val="none"/>
        </w:rPr>
        <w:t>作为</w:t>
      </w:r>
      <w:r>
        <w:rPr>
          <w:rFonts w:ascii="宋体" w:hAnsi="宋体"/>
          <w:color w:val="auto"/>
          <w:sz w:val="24"/>
          <w:highlight w:val="none"/>
        </w:rPr>
        <w:t>违约金。乙方超过约定日期10个工作日</w:t>
      </w:r>
      <w:r>
        <w:rPr>
          <w:rFonts w:hint="eastAsia" w:ascii="宋体" w:hAnsi="宋体"/>
          <w:color w:val="auto"/>
          <w:sz w:val="24"/>
          <w:highlight w:val="none"/>
        </w:rPr>
        <w:t>仍</w:t>
      </w:r>
      <w:r>
        <w:rPr>
          <w:rFonts w:ascii="宋体" w:hAnsi="宋体"/>
          <w:color w:val="auto"/>
          <w:sz w:val="24"/>
          <w:highlight w:val="none"/>
        </w:rPr>
        <w:t>不能</w:t>
      </w:r>
      <w:r>
        <w:rPr>
          <w:rFonts w:hint="eastAsia" w:ascii="宋体" w:hAnsi="宋体"/>
          <w:color w:val="auto"/>
          <w:sz w:val="24"/>
          <w:highlight w:val="none"/>
        </w:rPr>
        <w:t>提供服务</w:t>
      </w:r>
      <w:r>
        <w:rPr>
          <w:rFonts w:ascii="宋体" w:hAnsi="宋体"/>
          <w:color w:val="auto"/>
          <w:sz w:val="24"/>
          <w:highlight w:val="none"/>
        </w:rPr>
        <w:t>的，甲方可解除本合同。乙方因</w:t>
      </w:r>
      <w:r>
        <w:rPr>
          <w:rFonts w:hint="eastAsia" w:ascii="宋体" w:hAnsi="宋体"/>
          <w:color w:val="auto"/>
          <w:sz w:val="24"/>
          <w:highlight w:val="none"/>
        </w:rPr>
        <w:t>未能如</w:t>
      </w:r>
      <w:r>
        <w:rPr>
          <w:rFonts w:ascii="宋体" w:hAnsi="宋体"/>
          <w:color w:val="auto"/>
          <w:sz w:val="24"/>
          <w:highlight w:val="none"/>
        </w:rPr>
        <w:t xml:space="preserve">期提供服务或因其他违约行为导致甲方解除合同的，乙方应向甲方支付合同总值5%的违约金，如造成甲方损失超过违约金的，超出部分由乙方继续承担赔偿责任。 </w:t>
      </w:r>
    </w:p>
    <w:p w14:paraId="11839EE4">
      <w:pPr>
        <w:keepNext w:val="0"/>
        <w:keepLines w:val="0"/>
        <w:pageBreakBefore w:val="0"/>
        <w:widowControl w:val="0"/>
        <w:kinsoku/>
        <w:wordWrap/>
        <w:overflowPunct/>
        <w:topLinePunct w:val="0"/>
        <w:autoSpaceDE/>
        <w:autoSpaceDN/>
        <w:bidi w:val="0"/>
        <w:adjustRightInd/>
        <w:snapToGrid w:val="0"/>
        <w:spacing w:before="120" w:after="120" w:line="440" w:lineRule="exact"/>
        <w:textAlignment w:val="auto"/>
        <w:rPr>
          <w:rFonts w:ascii="宋体" w:hAnsi="宋体"/>
          <w:b/>
          <w:color w:val="auto"/>
          <w:sz w:val="24"/>
          <w:highlight w:val="none"/>
        </w:rPr>
      </w:pPr>
      <w:r>
        <w:rPr>
          <w:rFonts w:ascii="宋体" w:hAnsi="宋体"/>
          <w:b/>
          <w:color w:val="auto"/>
          <w:sz w:val="24"/>
          <w:highlight w:val="none"/>
        </w:rPr>
        <w:t>十</w:t>
      </w:r>
      <w:r>
        <w:rPr>
          <w:rFonts w:hint="eastAsia" w:ascii="宋体" w:hAnsi="宋体"/>
          <w:b/>
          <w:color w:val="auto"/>
          <w:sz w:val="24"/>
          <w:highlight w:val="none"/>
        </w:rPr>
        <w:t>三</w:t>
      </w:r>
      <w:r>
        <w:rPr>
          <w:rFonts w:ascii="宋体" w:hAnsi="宋体"/>
          <w:b/>
          <w:color w:val="auto"/>
          <w:sz w:val="24"/>
          <w:highlight w:val="none"/>
        </w:rPr>
        <w:t>、不可抗力事件处理</w:t>
      </w:r>
    </w:p>
    <w:p w14:paraId="14571C66">
      <w:pPr>
        <w:keepNext w:val="0"/>
        <w:keepLines w:val="0"/>
        <w:pageBreakBefore w:val="0"/>
        <w:widowControl w:val="0"/>
        <w:kinsoku/>
        <w:wordWrap/>
        <w:overflowPunct/>
        <w:topLinePunct w:val="0"/>
        <w:autoSpaceDE/>
        <w:autoSpaceDN/>
        <w:bidi w:val="0"/>
        <w:adjustRightInd/>
        <w:snapToGrid w:val="0"/>
        <w:spacing w:before="120" w:after="120"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1、</w:t>
      </w:r>
      <w:r>
        <w:rPr>
          <w:rFonts w:ascii="宋体" w:hAnsi="宋体"/>
          <w:color w:val="auto"/>
          <w:sz w:val="24"/>
          <w:highlight w:val="none"/>
        </w:rPr>
        <w:t>在合同有效期内，任何一方因不可抗力事件导致不能履行合同，则合同履行期可延长，其延长期与不可抗力影响期相同。</w:t>
      </w:r>
    </w:p>
    <w:p w14:paraId="0672CCB9">
      <w:pPr>
        <w:keepNext w:val="0"/>
        <w:keepLines w:val="0"/>
        <w:pageBreakBefore w:val="0"/>
        <w:widowControl w:val="0"/>
        <w:kinsoku/>
        <w:wordWrap/>
        <w:overflowPunct/>
        <w:topLinePunct w:val="0"/>
        <w:autoSpaceDE/>
        <w:autoSpaceDN/>
        <w:bidi w:val="0"/>
        <w:adjustRightInd/>
        <w:snapToGrid w:val="0"/>
        <w:spacing w:before="120" w:after="120"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2、</w:t>
      </w:r>
      <w:r>
        <w:rPr>
          <w:rFonts w:ascii="宋体" w:hAnsi="宋体"/>
          <w:color w:val="auto"/>
          <w:sz w:val="24"/>
          <w:highlight w:val="none"/>
        </w:rPr>
        <w:t>不可抗力事件发生后，应立即通知对方，并寄送有关权威机构出具的证明。</w:t>
      </w:r>
    </w:p>
    <w:p w14:paraId="2EA92877">
      <w:pPr>
        <w:keepNext w:val="0"/>
        <w:keepLines w:val="0"/>
        <w:pageBreakBefore w:val="0"/>
        <w:widowControl w:val="0"/>
        <w:kinsoku/>
        <w:wordWrap/>
        <w:overflowPunct/>
        <w:topLinePunct w:val="0"/>
        <w:autoSpaceDE/>
        <w:autoSpaceDN/>
        <w:bidi w:val="0"/>
        <w:adjustRightInd/>
        <w:snapToGrid w:val="0"/>
        <w:spacing w:before="120" w:after="120"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3、</w:t>
      </w:r>
      <w:r>
        <w:rPr>
          <w:rFonts w:ascii="宋体" w:hAnsi="宋体"/>
          <w:color w:val="auto"/>
          <w:sz w:val="24"/>
          <w:highlight w:val="none"/>
        </w:rPr>
        <w:t>不可抗力事件延续120天以上，双方应通过友好协商，确定是否继续履行合同。</w:t>
      </w:r>
    </w:p>
    <w:p w14:paraId="7757E74A">
      <w:pPr>
        <w:keepNext w:val="0"/>
        <w:keepLines w:val="0"/>
        <w:pageBreakBefore w:val="0"/>
        <w:widowControl w:val="0"/>
        <w:kinsoku/>
        <w:wordWrap/>
        <w:overflowPunct/>
        <w:topLinePunct w:val="0"/>
        <w:autoSpaceDE/>
        <w:autoSpaceDN/>
        <w:bidi w:val="0"/>
        <w:adjustRightInd/>
        <w:snapToGrid w:val="0"/>
        <w:spacing w:before="120" w:after="120" w:line="440" w:lineRule="exact"/>
        <w:textAlignment w:val="auto"/>
        <w:rPr>
          <w:rFonts w:ascii="宋体" w:hAnsi="宋体"/>
          <w:b/>
          <w:color w:val="auto"/>
          <w:sz w:val="24"/>
          <w:highlight w:val="none"/>
        </w:rPr>
      </w:pPr>
      <w:r>
        <w:rPr>
          <w:rFonts w:ascii="宋体" w:hAnsi="宋体"/>
          <w:b/>
          <w:color w:val="auto"/>
          <w:sz w:val="24"/>
          <w:highlight w:val="none"/>
        </w:rPr>
        <w:t>十</w:t>
      </w:r>
      <w:r>
        <w:rPr>
          <w:rFonts w:hint="eastAsia" w:ascii="宋体" w:hAnsi="宋体"/>
          <w:b/>
          <w:color w:val="auto"/>
          <w:sz w:val="24"/>
          <w:highlight w:val="none"/>
        </w:rPr>
        <w:t>四</w:t>
      </w:r>
      <w:r>
        <w:rPr>
          <w:rFonts w:ascii="宋体" w:hAnsi="宋体"/>
          <w:b/>
          <w:color w:val="auto"/>
          <w:sz w:val="24"/>
          <w:highlight w:val="none"/>
        </w:rPr>
        <w:t>、诉讼</w:t>
      </w:r>
    </w:p>
    <w:p w14:paraId="75CAF721">
      <w:pPr>
        <w:keepNext w:val="0"/>
        <w:keepLines w:val="0"/>
        <w:pageBreakBefore w:val="0"/>
        <w:widowControl w:val="0"/>
        <w:kinsoku/>
        <w:wordWrap/>
        <w:overflowPunct/>
        <w:topLinePunct w:val="0"/>
        <w:autoSpaceDE/>
        <w:autoSpaceDN/>
        <w:bidi w:val="0"/>
        <w:adjustRightInd/>
        <w:snapToGrid w:val="0"/>
        <w:spacing w:before="120" w:after="120" w:line="440" w:lineRule="exact"/>
        <w:ind w:firstLine="480" w:firstLineChars="200"/>
        <w:jc w:val="left"/>
        <w:textAlignment w:val="auto"/>
        <w:rPr>
          <w:rFonts w:ascii="宋体" w:hAnsi="宋体"/>
          <w:color w:val="auto"/>
          <w:sz w:val="24"/>
          <w:highlight w:val="none"/>
        </w:rPr>
      </w:pPr>
      <w:r>
        <w:rPr>
          <w:rFonts w:ascii="宋体" w:hAnsi="宋体"/>
          <w:color w:val="auto"/>
          <w:sz w:val="24"/>
          <w:highlight w:val="none"/>
        </w:rPr>
        <w:t>双方在执行合同中所发生的一切争议，应通过协商解决。如协商不成，可向</w:t>
      </w:r>
      <w:r>
        <w:rPr>
          <w:rFonts w:hint="eastAsia" w:ascii="宋体" w:hAnsi="宋体"/>
          <w:color w:val="auto"/>
          <w:sz w:val="24"/>
          <w:highlight w:val="none"/>
        </w:rPr>
        <w:t>甲方所在</w:t>
      </w:r>
      <w:r>
        <w:rPr>
          <w:rFonts w:ascii="宋体" w:hAnsi="宋体"/>
          <w:color w:val="auto"/>
          <w:sz w:val="24"/>
          <w:highlight w:val="none"/>
        </w:rPr>
        <w:t>地法院起诉。</w:t>
      </w:r>
    </w:p>
    <w:p w14:paraId="28B8D029">
      <w:pPr>
        <w:keepNext w:val="0"/>
        <w:keepLines w:val="0"/>
        <w:pageBreakBefore w:val="0"/>
        <w:widowControl w:val="0"/>
        <w:kinsoku/>
        <w:wordWrap/>
        <w:overflowPunct/>
        <w:topLinePunct w:val="0"/>
        <w:autoSpaceDE/>
        <w:autoSpaceDN/>
        <w:bidi w:val="0"/>
        <w:adjustRightInd/>
        <w:snapToGrid w:val="0"/>
        <w:spacing w:before="120" w:after="120" w:line="440" w:lineRule="exact"/>
        <w:textAlignment w:val="auto"/>
        <w:rPr>
          <w:rFonts w:ascii="宋体" w:hAnsi="宋体"/>
          <w:b/>
          <w:color w:val="auto"/>
          <w:sz w:val="24"/>
          <w:highlight w:val="none"/>
        </w:rPr>
      </w:pPr>
      <w:r>
        <w:rPr>
          <w:rFonts w:ascii="宋体" w:hAnsi="宋体"/>
          <w:b/>
          <w:color w:val="auto"/>
          <w:sz w:val="24"/>
          <w:highlight w:val="none"/>
        </w:rPr>
        <w:t>十</w:t>
      </w:r>
      <w:r>
        <w:rPr>
          <w:rFonts w:hint="eastAsia" w:ascii="宋体" w:hAnsi="宋体"/>
          <w:b/>
          <w:color w:val="auto"/>
          <w:sz w:val="24"/>
          <w:highlight w:val="none"/>
        </w:rPr>
        <w:t>五</w:t>
      </w:r>
      <w:r>
        <w:rPr>
          <w:rFonts w:ascii="宋体" w:hAnsi="宋体"/>
          <w:b/>
          <w:color w:val="auto"/>
          <w:sz w:val="24"/>
          <w:highlight w:val="none"/>
        </w:rPr>
        <w:t>、合同生效及其它</w:t>
      </w:r>
    </w:p>
    <w:p w14:paraId="02B32E24">
      <w:pPr>
        <w:keepNext w:val="0"/>
        <w:keepLines w:val="0"/>
        <w:pageBreakBefore w:val="0"/>
        <w:widowControl w:val="0"/>
        <w:kinsoku/>
        <w:wordWrap/>
        <w:overflowPunct/>
        <w:topLinePunct w:val="0"/>
        <w:autoSpaceDE/>
        <w:autoSpaceDN/>
        <w:bidi w:val="0"/>
        <w:adjustRightInd/>
        <w:snapToGrid w:val="0"/>
        <w:spacing w:before="120" w:after="120"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1、</w:t>
      </w:r>
      <w:r>
        <w:rPr>
          <w:rFonts w:ascii="宋体" w:hAnsi="宋体"/>
          <w:color w:val="auto"/>
          <w:sz w:val="24"/>
          <w:highlight w:val="none"/>
        </w:rPr>
        <w:t>合同经</w:t>
      </w:r>
      <w:r>
        <w:rPr>
          <w:rFonts w:hint="eastAsia" w:ascii="宋体" w:hAnsi="宋体"/>
          <w:color w:val="auto"/>
          <w:sz w:val="24"/>
          <w:highlight w:val="none"/>
        </w:rPr>
        <w:t>三</w:t>
      </w:r>
      <w:r>
        <w:rPr>
          <w:rFonts w:ascii="宋体" w:hAnsi="宋体"/>
          <w:color w:val="auto"/>
          <w:sz w:val="24"/>
          <w:highlight w:val="none"/>
        </w:rPr>
        <w:t>方法定代表人或授权代表签字并加盖单位公章后</w:t>
      </w:r>
      <w:r>
        <w:rPr>
          <w:rFonts w:hint="eastAsia" w:ascii="宋体" w:hAnsi="宋体"/>
          <w:color w:val="auto"/>
          <w:sz w:val="24"/>
          <w:highlight w:val="none"/>
        </w:rPr>
        <w:t>，报东阳市财政局采监科备案后</w:t>
      </w:r>
      <w:r>
        <w:rPr>
          <w:rFonts w:ascii="宋体" w:hAnsi="宋体"/>
          <w:color w:val="auto"/>
          <w:sz w:val="24"/>
          <w:highlight w:val="none"/>
        </w:rPr>
        <w:t>生效。</w:t>
      </w:r>
    </w:p>
    <w:p w14:paraId="20C78F0A">
      <w:pPr>
        <w:keepNext w:val="0"/>
        <w:keepLines w:val="0"/>
        <w:pageBreakBefore w:val="0"/>
        <w:widowControl w:val="0"/>
        <w:kinsoku/>
        <w:wordWrap/>
        <w:overflowPunct/>
        <w:topLinePunct w:val="0"/>
        <w:autoSpaceDE/>
        <w:autoSpaceDN/>
        <w:bidi w:val="0"/>
        <w:adjustRightInd/>
        <w:snapToGrid w:val="0"/>
        <w:spacing w:before="120" w:after="120"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2、</w:t>
      </w:r>
      <w:r>
        <w:rPr>
          <w:rFonts w:ascii="宋体" w:hAnsi="宋体"/>
          <w:color w:val="auto"/>
          <w:sz w:val="24"/>
          <w:highlight w:val="none"/>
        </w:rPr>
        <w:t>合同执行中涉及采购资金和采购内容修改或补充的，须经财政部门审批，并签书面补充协议报政府采购监督管理部门备案，方可作为主合同不可分割的一部分。</w:t>
      </w:r>
    </w:p>
    <w:p w14:paraId="789CDB91">
      <w:pPr>
        <w:keepNext w:val="0"/>
        <w:keepLines w:val="0"/>
        <w:pageBreakBefore w:val="0"/>
        <w:widowControl w:val="0"/>
        <w:kinsoku/>
        <w:wordWrap/>
        <w:overflowPunct/>
        <w:topLinePunct w:val="0"/>
        <w:autoSpaceDE/>
        <w:autoSpaceDN/>
        <w:bidi w:val="0"/>
        <w:adjustRightInd/>
        <w:snapToGrid w:val="0"/>
        <w:spacing w:before="120" w:after="120"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3、</w:t>
      </w:r>
      <w:r>
        <w:rPr>
          <w:rFonts w:ascii="宋体" w:hAnsi="宋体"/>
          <w:color w:val="auto"/>
          <w:sz w:val="24"/>
          <w:highlight w:val="none"/>
        </w:rPr>
        <w:t>本合同未尽事宜，遵照</w:t>
      </w:r>
      <w:r>
        <w:rPr>
          <w:rFonts w:hint="eastAsia" w:ascii="宋体" w:hAnsi="宋体"/>
          <w:color w:val="auto"/>
          <w:sz w:val="24"/>
          <w:highlight w:val="none"/>
        </w:rPr>
        <w:t>《中华人民共和国民法典》</w:t>
      </w:r>
      <w:r>
        <w:rPr>
          <w:rFonts w:ascii="宋体" w:hAnsi="宋体"/>
          <w:color w:val="auto"/>
          <w:sz w:val="24"/>
          <w:highlight w:val="none"/>
        </w:rPr>
        <w:t>有关条文执行。</w:t>
      </w:r>
    </w:p>
    <w:p w14:paraId="41DA4B8B">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本合同一式六份，东阳市财政局采监科、招标代理机构各执一份，甲、乙双方各执二份，其都具有同等法律效力。</w:t>
      </w:r>
    </w:p>
    <w:p w14:paraId="76214267">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color w:val="auto"/>
          <w:highlight w:val="none"/>
        </w:rPr>
      </w:pPr>
      <w:r>
        <w:rPr>
          <w:rFonts w:hint="eastAsia" w:ascii="宋体" w:hAnsi="宋体"/>
          <w:b/>
          <w:color w:val="auto"/>
          <w:sz w:val="24"/>
          <w:highlight w:val="none"/>
          <w:lang w:val="en-US" w:eastAsia="zh-CN"/>
        </w:rPr>
        <w:t>5、</w:t>
      </w:r>
      <w:r>
        <w:rPr>
          <w:rFonts w:hint="eastAsia" w:ascii="宋体" w:hAnsi="宋体"/>
          <w:b/>
          <w:color w:val="auto"/>
          <w:sz w:val="24"/>
          <w:highlight w:val="none"/>
        </w:rPr>
        <w:t>后附政府采购廉洁承诺书。</w:t>
      </w:r>
    </w:p>
    <w:p w14:paraId="21E12C61">
      <w:pPr>
        <w:keepNext w:val="0"/>
        <w:keepLines w:val="0"/>
        <w:pageBreakBefore w:val="0"/>
        <w:widowControl w:val="0"/>
        <w:kinsoku/>
        <w:wordWrap/>
        <w:overflowPunct/>
        <w:topLinePunct w:val="0"/>
        <w:autoSpaceDE/>
        <w:autoSpaceDN/>
        <w:bidi w:val="0"/>
        <w:adjustRightInd/>
        <w:spacing w:before="120" w:after="120" w:line="400" w:lineRule="exact"/>
        <w:textAlignment w:val="auto"/>
        <w:rPr>
          <w:rFonts w:ascii="宋体" w:hAnsi="宋体"/>
          <w:color w:val="auto"/>
          <w:sz w:val="24"/>
          <w:highlight w:val="none"/>
        </w:rPr>
      </w:pPr>
      <w:r>
        <w:rPr>
          <w:rFonts w:hint="eastAsia" w:ascii="宋体" w:hAnsi="宋体"/>
          <w:b/>
          <w:bCs/>
          <w:color w:val="auto"/>
          <w:sz w:val="24"/>
          <w:highlight w:val="none"/>
        </w:rPr>
        <w:t>甲方（盖公章）：                       乙方（盖公章）：</w:t>
      </w:r>
    </w:p>
    <w:p w14:paraId="67B05CA3">
      <w:pPr>
        <w:keepNext w:val="0"/>
        <w:keepLines w:val="0"/>
        <w:pageBreakBefore w:val="0"/>
        <w:widowControl w:val="0"/>
        <w:kinsoku/>
        <w:wordWrap/>
        <w:overflowPunct/>
        <w:topLinePunct w:val="0"/>
        <w:autoSpaceDE/>
        <w:autoSpaceDN/>
        <w:bidi w:val="0"/>
        <w:adjustRightInd/>
        <w:snapToGrid w:val="0"/>
        <w:spacing w:before="120" w:after="120" w:line="400" w:lineRule="exact"/>
        <w:ind w:leftChars="-1" w:hanging="2"/>
        <w:textAlignment w:val="auto"/>
        <w:rPr>
          <w:rFonts w:ascii="宋体" w:hAnsi="宋体"/>
          <w:color w:val="auto"/>
          <w:sz w:val="24"/>
          <w:highlight w:val="none"/>
        </w:rPr>
      </w:pPr>
      <w:r>
        <w:rPr>
          <w:rFonts w:hint="eastAsia" w:ascii="宋体" w:hAnsi="宋体"/>
          <w:color w:val="auto"/>
          <w:sz w:val="24"/>
          <w:highlight w:val="none"/>
        </w:rPr>
        <w:t>法定代表人或受委托人                 法定代表人或受委托人</w:t>
      </w:r>
    </w:p>
    <w:p w14:paraId="5018EC3C">
      <w:pPr>
        <w:keepNext w:val="0"/>
        <w:keepLines w:val="0"/>
        <w:pageBreakBefore w:val="0"/>
        <w:widowControl w:val="0"/>
        <w:kinsoku/>
        <w:wordWrap/>
        <w:overflowPunct/>
        <w:topLinePunct w:val="0"/>
        <w:autoSpaceDE/>
        <w:autoSpaceDN/>
        <w:bidi w:val="0"/>
        <w:adjustRightInd/>
        <w:snapToGrid w:val="0"/>
        <w:spacing w:before="120" w:after="120" w:line="400" w:lineRule="exact"/>
        <w:ind w:left="1" w:leftChars="-28" w:hanging="60"/>
        <w:textAlignment w:val="auto"/>
        <w:rPr>
          <w:rFonts w:ascii="宋体" w:hAnsi="宋体"/>
          <w:color w:val="auto"/>
          <w:sz w:val="24"/>
          <w:highlight w:val="none"/>
        </w:rPr>
      </w:pPr>
      <w:r>
        <w:rPr>
          <w:rFonts w:hint="eastAsia" w:ascii="宋体" w:hAnsi="宋体"/>
          <w:color w:val="auto"/>
          <w:sz w:val="24"/>
          <w:highlight w:val="none"/>
        </w:rPr>
        <w:t>（签字）                             （签字）</w:t>
      </w:r>
    </w:p>
    <w:p w14:paraId="41916364">
      <w:pPr>
        <w:keepNext w:val="0"/>
        <w:keepLines w:val="0"/>
        <w:pageBreakBefore w:val="0"/>
        <w:widowControl w:val="0"/>
        <w:kinsoku/>
        <w:wordWrap/>
        <w:overflowPunct/>
        <w:topLinePunct w:val="0"/>
        <w:autoSpaceDE/>
        <w:autoSpaceDN/>
        <w:bidi w:val="0"/>
        <w:adjustRightInd/>
        <w:snapToGrid w:val="0"/>
        <w:spacing w:before="120" w:after="120" w:line="400" w:lineRule="exact"/>
        <w:ind w:leftChars="-1" w:hanging="2"/>
        <w:textAlignment w:val="auto"/>
        <w:rPr>
          <w:rFonts w:ascii="宋体" w:hAnsi="宋体"/>
          <w:color w:val="auto"/>
          <w:sz w:val="24"/>
          <w:highlight w:val="none"/>
        </w:rPr>
      </w:pPr>
      <w:r>
        <w:rPr>
          <w:rFonts w:hint="eastAsia" w:ascii="宋体" w:hAnsi="宋体"/>
          <w:color w:val="auto"/>
          <w:sz w:val="24"/>
          <w:highlight w:val="none"/>
        </w:rPr>
        <w:t>地址：                               地址：</w:t>
      </w:r>
    </w:p>
    <w:p w14:paraId="5D8314DD">
      <w:pPr>
        <w:keepNext w:val="0"/>
        <w:keepLines w:val="0"/>
        <w:pageBreakBefore w:val="0"/>
        <w:widowControl w:val="0"/>
        <w:kinsoku/>
        <w:wordWrap/>
        <w:overflowPunct/>
        <w:topLinePunct w:val="0"/>
        <w:autoSpaceDE/>
        <w:autoSpaceDN/>
        <w:bidi w:val="0"/>
        <w:adjustRightInd/>
        <w:snapToGrid w:val="0"/>
        <w:spacing w:before="120" w:after="120" w:line="400" w:lineRule="exact"/>
        <w:ind w:leftChars="-1" w:hanging="2"/>
        <w:textAlignment w:val="auto"/>
        <w:rPr>
          <w:rFonts w:ascii="宋体" w:hAnsi="宋体"/>
          <w:color w:val="auto"/>
          <w:sz w:val="24"/>
          <w:highlight w:val="none"/>
        </w:rPr>
      </w:pPr>
      <w:r>
        <w:rPr>
          <w:rFonts w:hint="eastAsia" w:ascii="宋体" w:hAnsi="宋体"/>
          <w:color w:val="auto"/>
          <w:sz w:val="24"/>
          <w:highlight w:val="none"/>
        </w:rPr>
        <w:t>电话：                               电话：</w:t>
      </w:r>
    </w:p>
    <w:p w14:paraId="39DEB802">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olor w:val="auto"/>
          <w:sz w:val="24"/>
          <w:highlight w:val="none"/>
        </w:rPr>
      </w:pPr>
      <w:r>
        <w:rPr>
          <w:rFonts w:hint="eastAsia" w:ascii="宋体" w:hAnsi="宋体"/>
          <w:color w:val="auto"/>
          <w:sz w:val="24"/>
          <w:highlight w:val="none"/>
        </w:rPr>
        <w:t>开户银行：                           开户银行：</w:t>
      </w:r>
    </w:p>
    <w:p w14:paraId="0DEADB0A">
      <w:pPr>
        <w:keepNext w:val="0"/>
        <w:keepLines w:val="0"/>
        <w:pageBreakBefore w:val="0"/>
        <w:widowControl w:val="0"/>
        <w:kinsoku/>
        <w:wordWrap/>
        <w:overflowPunct/>
        <w:topLinePunct w:val="0"/>
        <w:autoSpaceDE/>
        <w:autoSpaceDN/>
        <w:bidi w:val="0"/>
        <w:adjustRightInd/>
        <w:snapToGrid w:val="0"/>
        <w:spacing w:before="120" w:after="120" w:line="400" w:lineRule="exact"/>
        <w:ind w:leftChars="-1" w:hanging="2"/>
        <w:textAlignment w:val="auto"/>
        <w:rPr>
          <w:rFonts w:hint="eastAsia" w:ascii="宋体" w:hAnsi="宋体"/>
          <w:color w:val="auto"/>
          <w:sz w:val="24"/>
          <w:highlight w:val="none"/>
        </w:rPr>
      </w:pPr>
      <w:r>
        <w:rPr>
          <w:rFonts w:hint="eastAsia" w:ascii="宋体" w:hAnsi="宋体"/>
          <w:color w:val="auto"/>
          <w:sz w:val="24"/>
          <w:highlight w:val="none"/>
          <w:lang w:val="en-US" w:eastAsia="zh-CN"/>
        </w:rPr>
        <w:t>账号</w:t>
      </w:r>
      <w:r>
        <w:rPr>
          <w:rFonts w:hint="eastAsia" w:ascii="宋体" w:hAnsi="宋体"/>
          <w:color w:val="auto"/>
          <w:sz w:val="24"/>
          <w:highlight w:val="none"/>
        </w:rPr>
        <w:t xml:space="preserve">：                               </w:t>
      </w:r>
      <w:r>
        <w:rPr>
          <w:rFonts w:hint="eastAsia" w:ascii="宋体" w:hAnsi="宋体"/>
          <w:color w:val="auto"/>
          <w:sz w:val="24"/>
          <w:highlight w:val="none"/>
          <w:lang w:val="en-US" w:eastAsia="zh-CN"/>
        </w:rPr>
        <w:t>账号</w:t>
      </w:r>
      <w:r>
        <w:rPr>
          <w:rFonts w:hint="eastAsia" w:ascii="宋体" w:hAnsi="宋体"/>
          <w:color w:val="auto"/>
          <w:sz w:val="24"/>
          <w:highlight w:val="none"/>
        </w:rPr>
        <w:t>：</w:t>
      </w:r>
    </w:p>
    <w:p w14:paraId="50D8A0AE">
      <w:pPr>
        <w:keepNext w:val="0"/>
        <w:keepLines w:val="0"/>
        <w:pageBreakBefore w:val="0"/>
        <w:widowControl w:val="0"/>
        <w:kinsoku/>
        <w:wordWrap/>
        <w:overflowPunct/>
        <w:topLinePunct w:val="0"/>
        <w:autoSpaceDE/>
        <w:autoSpaceDN/>
        <w:bidi w:val="0"/>
        <w:adjustRightInd/>
        <w:snapToGrid w:val="0"/>
        <w:spacing w:before="156" w:after="156" w:line="400" w:lineRule="exact"/>
        <w:textAlignment w:val="auto"/>
        <w:rPr>
          <w:rFonts w:ascii="宋体" w:hAnsi="宋体"/>
          <w:color w:val="auto"/>
          <w:sz w:val="24"/>
          <w:highlight w:val="none"/>
        </w:rPr>
      </w:pPr>
      <w:r>
        <w:rPr>
          <w:rFonts w:hint="eastAsia" w:ascii="宋体" w:hAnsi="宋体"/>
          <w:color w:val="auto"/>
          <w:sz w:val="24"/>
          <w:highlight w:val="none"/>
        </w:rPr>
        <w:t>鉴证方:</w:t>
      </w:r>
    </w:p>
    <w:p w14:paraId="387572C3">
      <w:pPr>
        <w:keepNext w:val="0"/>
        <w:keepLines w:val="0"/>
        <w:pageBreakBefore w:val="0"/>
        <w:widowControl w:val="0"/>
        <w:kinsoku/>
        <w:wordWrap/>
        <w:overflowPunct/>
        <w:topLinePunct w:val="0"/>
        <w:autoSpaceDE/>
        <w:autoSpaceDN/>
        <w:bidi w:val="0"/>
        <w:adjustRightInd/>
        <w:snapToGrid w:val="0"/>
        <w:spacing w:before="156" w:after="156" w:line="400" w:lineRule="exact"/>
        <w:textAlignment w:val="auto"/>
        <w:rPr>
          <w:rFonts w:ascii="宋体" w:hAnsi="宋体"/>
          <w:color w:val="auto"/>
          <w:sz w:val="24"/>
          <w:highlight w:val="none"/>
        </w:rPr>
      </w:pPr>
      <w:r>
        <w:rPr>
          <w:rFonts w:hint="eastAsia" w:ascii="宋体" w:hAnsi="宋体"/>
          <w:color w:val="auto"/>
          <w:sz w:val="24"/>
          <w:highlight w:val="none"/>
        </w:rPr>
        <w:t>法定代表人或主要负责人:</w:t>
      </w:r>
    </w:p>
    <w:p w14:paraId="01ED44D6">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b/>
          <w:color w:val="auto"/>
          <w:sz w:val="24"/>
          <w:highlight w:val="none"/>
        </w:rPr>
      </w:pPr>
      <w:r>
        <w:rPr>
          <w:rFonts w:hint="eastAsia" w:ascii="宋体" w:hAnsi="宋体"/>
          <w:color w:val="auto"/>
          <w:sz w:val="24"/>
          <w:highlight w:val="none"/>
        </w:rPr>
        <w:t>签约地点：</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签约时间：</w:t>
      </w:r>
    </w:p>
    <w:p w14:paraId="37630DF8">
      <w:pPr>
        <w:spacing w:line="420" w:lineRule="exact"/>
        <w:jc w:val="both"/>
        <w:rPr>
          <w:rFonts w:ascii="宋体" w:hAnsi="宋体"/>
          <w:color w:val="auto"/>
          <w:sz w:val="24"/>
          <w:highlight w:val="none"/>
        </w:rPr>
      </w:pPr>
      <w:r>
        <w:rPr>
          <w:rFonts w:hint="eastAsia" w:ascii="宋体" w:hAnsi="宋体" w:cs="宋体"/>
          <w:b/>
          <w:color w:val="auto"/>
          <w:sz w:val="24"/>
          <w:highlight w:val="none"/>
        </w:rPr>
        <w:t>注：签订合同时，可以使用项目相关国家标准合同文本。</w:t>
      </w:r>
    </w:p>
    <w:p w14:paraId="55C8BFF3">
      <w:pPr>
        <w:pageBreakBefore/>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政府采购廉洁承诺书</w:t>
      </w:r>
    </w:p>
    <w:p w14:paraId="560342E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（中标人须将此表附在合同后）</w:t>
      </w:r>
    </w:p>
    <w:p w14:paraId="3202953A">
      <w:pPr>
        <w:spacing w:line="360" w:lineRule="auto"/>
        <w:jc w:val="center"/>
        <w:rPr>
          <w:rFonts w:ascii="宋体" w:hAnsi="宋体" w:cs="宋体"/>
          <w:b/>
          <w:color w:val="auto"/>
          <w:sz w:val="24"/>
          <w:highlight w:val="none"/>
        </w:rPr>
      </w:pPr>
    </w:p>
    <w:p w14:paraId="4D25E4AB">
      <w:pPr>
        <w:spacing w:line="360" w:lineRule="auto"/>
        <w:rPr>
          <w:rFonts w:ascii="宋体" w:hAnsi="宋体" w:cs="宋体"/>
          <w:color w:val="auto"/>
          <w:sz w:val="24"/>
          <w:highlight w:val="none"/>
        </w:rPr>
      </w:pPr>
      <w:r>
        <w:rPr>
          <w:rFonts w:hint="eastAsia" w:ascii="宋体" w:hAnsi="宋体" w:cs="宋体"/>
          <w:color w:val="auto"/>
          <w:sz w:val="24"/>
          <w:highlight w:val="none"/>
        </w:rPr>
        <w:t>项目名称：                                     项目编号：</w:t>
      </w:r>
    </w:p>
    <w:p w14:paraId="3B36E6F9">
      <w:pPr>
        <w:spacing w:line="360" w:lineRule="auto"/>
        <w:rPr>
          <w:rFonts w:ascii="宋体" w:hAnsi="宋体" w:cs="宋体"/>
          <w:color w:val="auto"/>
          <w:sz w:val="24"/>
          <w:highlight w:val="none"/>
        </w:rPr>
      </w:pPr>
      <w:r>
        <w:rPr>
          <w:rFonts w:hint="eastAsia" w:ascii="宋体" w:hAnsi="宋体" w:cs="宋体"/>
          <w:color w:val="auto"/>
          <w:sz w:val="24"/>
          <w:highlight w:val="none"/>
        </w:rPr>
        <w:t>中标人：</w:t>
      </w:r>
    </w:p>
    <w:p w14:paraId="174876A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为加强政府采购活动中的廉政建设，防止发生商业贿赂等违法违纪行为，保护国家、集体和当事人的合法权益，根据《中华人民共和国政府采购法》和党风廉政建设及反腐败工作有关规定，我方自愿签订本承诺书，并严格执行。</w:t>
      </w:r>
    </w:p>
    <w:p w14:paraId="16215F2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第一条参与政府采购活动时，除具备采购文件规定的资格、资质要求外，我方还将严格遵守有关法律、法规、政策以及国家、地方关于廉政建设的各项规定。</w:t>
      </w:r>
    </w:p>
    <w:p w14:paraId="4D991AB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第二条遵循公开、公平、公正、诚实信用原则，不发生损害上述原则及各方当事人合法权益得不正当竞争行为。</w:t>
      </w:r>
    </w:p>
    <w:p w14:paraId="0FAE089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第三条与政府采购各方当事人保持正常的业务交往，不向采购人、采购代理机构、监督机构、评审专家、工作人员及其他参与采购活动的人员提供不正当利益。主要有：</w:t>
      </w:r>
    </w:p>
    <w:p w14:paraId="49B294E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（一）向上述人员赠送礼金、有价证券、贵重物品及回扣、好处费、感谢费等。</w:t>
      </w:r>
    </w:p>
    <w:p w14:paraId="3563D87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（二）为上述人员或单位报销应由对方支付的费用。</w:t>
      </w:r>
    </w:p>
    <w:p w14:paraId="6CBAE88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（三）暗示为上述人员装修住房、婚丧嫁娶、配偶子女的工作安排以及出国（境）、旅游等提供方便。</w:t>
      </w:r>
    </w:p>
    <w:p w14:paraId="18F4A48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（四）为上述人员或单位提供可能影响采购活动开展的宴请、健身、娱乐等活动。</w:t>
      </w:r>
    </w:p>
    <w:p w14:paraId="7957A87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第四条严格执行采购合同，自觉按合同办事；在合同执行过程中，不发生本承诺书第三条中所列不良行为。    </w:t>
      </w:r>
    </w:p>
    <w:p w14:paraId="48FC73A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第五条 发现采购活动各方当事人有违规、违纪、违法行为的，及时提醒对方，情节严重的，主动向其主管部门或纪检监察、司法等机关举报。</w:t>
      </w:r>
    </w:p>
    <w:p w14:paraId="606E6C3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第六条 自觉接受政府采购管理部门的监管。在采购活动中出现违反本承诺书规定行为的，自觉接受政府采购管理部门的处罚，因违法违规行为给其他当事人造成经济损失的，按规定予以赔偿。</w:t>
      </w:r>
    </w:p>
    <w:p w14:paraId="50A2BD8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第七条 本承诺书自签署之日起生效。</w:t>
      </w:r>
    </w:p>
    <w:p w14:paraId="484677B4">
      <w:pPr>
        <w:spacing w:line="360" w:lineRule="auto"/>
        <w:ind w:left="840" w:hanging="840" w:hangingChars="350"/>
        <w:jc w:val="center"/>
        <w:rPr>
          <w:rFonts w:ascii="宋体" w:hAnsi="宋体" w:cs="宋体"/>
          <w:color w:val="auto"/>
          <w:sz w:val="24"/>
          <w:highlight w:val="none"/>
        </w:rPr>
      </w:pPr>
    </w:p>
    <w:p w14:paraId="3224E34A">
      <w:pPr>
        <w:spacing w:line="360" w:lineRule="auto"/>
        <w:ind w:left="840" w:hanging="840" w:hangingChars="350"/>
        <w:jc w:val="center"/>
        <w:rPr>
          <w:rFonts w:ascii="宋体" w:hAnsi="宋体" w:cs="宋体"/>
          <w:color w:val="auto"/>
          <w:sz w:val="24"/>
          <w:highlight w:val="none"/>
        </w:rPr>
      </w:pPr>
      <w:r>
        <w:rPr>
          <w:rFonts w:hint="eastAsia" w:ascii="宋体" w:hAnsi="宋体" w:cs="宋体"/>
          <w:color w:val="auto"/>
          <w:sz w:val="24"/>
          <w:highlight w:val="none"/>
        </w:rPr>
        <w:t xml:space="preserve"> 供应商（盖章）：</w:t>
      </w:r>
    </w:p>
    <w:p w14:paraId="6D6EE3DC">
      <w:pPr>
        <w:spacing w:line="360" w:lineRule="auto"/>
        <w:ind w:left="840" w:hanging="840" w:hangingChars="350"/>
        <w:rPr>
          <w:rFonts w:ascii="宋体" w:hAnsi="宋体" w:cs="宋体"/>
          <w:color w:val="auto"/>
          <w:sz w:val="24"/>
          <w:highlight w:val="none"/>
        </w:rPr>
      </w:pPr>
      <w:r>
        <w:rPr>
          <w:rFonts w:hint="eastAsia" w:ascii="宋体" w:hAnsi="宋体" w:cs="宋体"/>
          <w:color w:val="auto"/>
          <w:sz w:val="24"/>
          <w:highlight w:val="none"/>
        </w:rPr>
        <w:t xml:space="preserve">                               法定代表人：</w:t>
      </w:r>
    </w:p>
    <w:p w14:paraId="5A6AB83D">
      <w:pPr>
        <w:spacing w:line="360" w:lineRule="auto"/>
        <w:ind w:left="840" w:hanging="840" w:hangingChars="350"/>
        <w:rPr>
          <w:rFonts w:ascii="宋体" w:hAnsi="宋体" w:cs="宋体"/>
          <w:color w:val="auto"/>
          <w:sz w:val="24"/>
          <w:highlight w:val="none"/>
        </w:rPr>
      </w:pPr>
      <w:r>
        <w:rPr>
          <w:rFonts w:hint="eastAsia" w:ascii="宋体" w:hAnsi="宋体" w:cs="宋体"/>
          <w:color w:val="auto"/>
          <w:sz w:val="24"/>
          <w:highlight w:val="none"/>
        </w:rPr>
        <w:t xml:space="preserve">                                                    年    月   日</w:t>
      </w:r>
    </w:p>
    <w:p w14:paraId="21C3DBB6">
      <w:pPr>
        <w:spacing w:line="360" w:lineRule="auto"/>
        <w:ind w:left="840" w:hanging="840" w:hangingChars="350"/>
        <w:rPr>
          <w:rFonts w:ascii="宋体" w:hAnsi="宋体" w:cs="宋体"/>
          <w:color w:val="auto"/>
          <w:sz w:val="24"/>
          <w:highlight w:val="none"/>
        </w:rPr>
      </w:pPr>
    </w:p>
    <w:p w14:paraId="185A215C">
      <w:pPr>
        <w:pStyle w:val="2"/>
        <w:jc w:val="center"/>
        <w:rPr>
          <w:rFonts w:ascii="宋体" w:hAnsi="宋体" w:cs="宋体"/>
          <w:color w:val="auto"/>
          <w:sz w:val="24"/>
          <w:szCs w:val="24"/>
          <w:highlight w:val="none"/>
        </w:rPr>
      </w:pPr>
      <w:bookmarkStart w:id="55" w:name="_Toc31521"/>
      <w:bookmarkStart w:id="56" w:name="_Toc22114"/>
      <w:r>
        <w:rPr>
          <w:rFonts w:hint="eastAsia" w:ascii="宋体" w:hAnsi="宋体" w:cs="宋体"/>
          <w:color w:val="auto"/>
          <w:sz w:val="24"/>
          <w:szCs w:val="24"/>
          <w:highlight w:val="none"/>
        </w:rPr>
        <w:t>第六章　磋商响应文件组成内容及格式</w:t>
      </w:r>
      <w:bookmarkEnd w:id="55"/>
      <w:bookmarkEnd w:id="56"/>
    </w:p>
    <w:bookmarkEnd w:id="46"/>
    <w:bookmarkEnd w:id="47"/>
    <w:p w14:paraId="5763D344">
      <w:pPr>
        <w:pStyle w:val="20"/>
        <w:spacing w:before="120" w:after="120" w:line="360" w:lineRule="auto"/>
        <w:outlineLvl w:val="9"/>
        <w:rPr>
          <w:rFonts w:ascii="宋体" w:hAnsi="宋体" w:cs="宋体"/>
          <w:color w:val="auto"/>
          <w:szCs w:val="24"/>
          <w:highlight w:val="none"/>
          <w:u w:val="single"/>
        </w:rPr>
      </w:pPr>
    </w:p>
    <w:p w14:paraId="79CFFC87">
      <w:pPr>
        <w:jc w:val="center"/>
        <w:outlineLvl w:val="9"/>
        <w:rPr>
          <w:rFonts w:ascii="宋体" w:hAnsi="宋体" w:eastAsia="宋体" w:cs="宋体"/>
          <w:b w:val="0"/>
          <w:color w:val="auto"/>
          <w:sz w:val="24"/>
          <w:szCs w:val="24"/>
          <w:highlight w:val="none"/>
        </w:rPr>
      </w:pPr>
      <w:bookmarkStart w:id="57" w:name="_Toc405368940"/>
      <w:r>
        <w:rPr>
          <w:rFonts w:hint="eastAsia" w:ascii="宋体" w:hAnsi="宋体" w:eastAsia="宋体" w:cs="宋体"/>
          <w:b w:val="0"/>
          <w:color w:val="auto"/>
          <w:sz w:val="24"/>
          <w:szCs w:val="24"/>
          <w:highlight w:val="none"/>
        </w:rPr>
        <w:t>一、磋商响应文件封面格式</w:t>
      </w:r>
      <w:bookmarkEnd w:id="57"/>
    </w:p>
    <w:p w14:paraId="6ECB6FBD">
      <w:pPr>
        <w:outlineLvl w:val="9"/>
        <w:rPr>
          <w:rFonts w:ascii="宋体" w:hAnsi="宋体" w:cs="宋体"/>
          <w:color w:val="auto"/>
          <w:sz w:val="24"/>
          <w:highlight w:val="none"/>
        </w:rPr>
      </w:pPr>
    </w:p>
    <w:p w14:paraId="5639E053">
      <w:pPr>
        <w:outlineLvl w:val="9"/>
        <w:rPr>
          <w:rFonts w:ascii="宋体" w:hAnsi="宋体" w:cs="宋体"/>
          <w:color w:val="auto"/>
          <w:sz w:val="24"/>
          <w:highlight w:val="none"/>
        </w:rPr>
      </w:pPr>
    </w:p>
    <w:p w14:paraId="6F448E0D">
      <w:pPr>
        <w:outlineLvl w:val="9"/>
        <w:rPr>
          <w:rFonts w:ascii="宋体" w:hAnsi="宋体" w:cs="宋体"/>
          <w:color w:val="auto"/>
          <w:sz w:val="24"/>
          <w:highlight w:val="none"/>
        </w:rPr>
      </w:pPr>
    </w:p>
    <w:p w14:paraId="73C1D19F">
      <w:pPr>
        <w:spacing w:line="360" w:lineRule="auto"/>
        <w:outlineLvl w:val="9"/>
        <w:rPr>
          <w:rFonts w:ascii="宋体" w:hAnsi="宋体" w:cs="宋体"/>
          <w:color w:val="auto"/>
          <w:sz w:val="24"/>
          <w:highlight w:val="none"/>
        </w:rPr>
      </w:pPr>
      <w:r>
        <w:rPr>
          <w:rFonts w:hint="eastAsia" w:ascii="宋体" w:hAnsi="宋体" w:cs="宋体"/>
          <w:color w:val="auto"/>
          <w:sz w:val="24"/>
          <w:highlight w:val="none"/>
        </w:rPr>
        <w:t xml:space="preserve">1.磋商响应文件封面格式： </w:t>
      </w:r>
    </w:p>
    <w:p w14:paraId="0C5039A2">
      <w:pPr>
        <w:spacing w:line="360" w:lineRule="auto"/>
        <w:outlineLvl w:val="9"/>
        <w:rPr>
          <w:rFonts w:ascii="宋体" w:hAnsi="宋体" w:cs="宋体"/>
          <w:color w:val="auto"/>
          <w:sz w:val="24"/>
          <w:highlight w:val="none"/>
        </w:rPr>
      </w:pPr>
      <w:r>
        <w:rPr>
          <w:rFonts w:hint="eastAsia" w:ascii="宋体" w:hAnsi="宋体" w:cs="宋体"/>
          <w:color w:val="auto"/>
          <w:sz w:val="24"/>
          <w:highlight w:val="none"/>
        </w:rPr>
        <w:t xml:space="preserve">                                                    正本/或副本</w:t>
      </w:r>
    </w:p>
    <w:p w14:paraId="7A5EA76E">
      <w:pPr>
        <w:spacing w:line="360" w:lineRule="auto"/>
        <w:outlineLvl w:val="9"/>
        <w:rPr>
          <w:rFonts w:ascii="宋体" w:hAnsi="宋体" w:cs="宋体"/>
          <w:color w:val="auto"/>
          <w:sz w:val="24"/>
          <w:highlight w:val="none"/>
        </w:rPr>
      </w:pPr>
    </w:p>
    <w:p w14:paraId="21BF4A03">
      <w:pPr>
        <w:spacing w:line="360" w:lineRule="auto"/>
        <w:outlineLvl w:val="9"/>
        <w:rPr>
          <w:rFonts w:ascii="宋体" w:hAnsi="宋体" w:cs="宋体"/>
          <w:color w:val="auto"/>
          <w:sz w:val="24"/>
          <w:highlight w:val="none"/>
        </w:rPr>
      </w:pPr>
    </w:p>
    <w:p w14:paraId="2E331D22">
      <w:pPr>
        <w:spacing w:line="360" w:lineRule="auto"/>
        <w:outlineLvl w:val="9"/>
        <w:rPr>
          <w:rFonts w:ascii="宋体" w:hAnsi="宋体" w:cs="宋体"/>
          <w:color w:val="auto"/>
          <w:sz w:val="24"/>
          <w:highlight w:val="none"/>
        </w:rPr>
      </w:pPr>
    </w:p>
    <w:p w14:paraId="2725192C">
      <w:pPr>
        <w:spacing w:line="360" w:lineRule="auto"/>
        <w:outlineLvl w:val="9"/>
        <w:rPr>
          <w:rFonts w:ascii="宋体" w:hAnsi="宋体" w:cs="宋体"/>
          <w:color w:val="auto"/>
          <w:sz w:val="24"/>
          <w:highlight w:val="none"/>
        </w:rPr>
      </w:pPr>
    </w:p>
    <w:p w14:paraId="188F4D1D">
      <w:pPr>
        <w:spacing w:line="360" w:lineRule="auto"/>
        <w:outlineLvl w:val="9"/>
        <w:rPr>
          <w:rFonts w:ascii="宋体" w:hAnsi="宋体" w:cs="宋体"/>
          <w:color w:val="auto"/>
          <w:sz w:val="24"/>
          <w:highlight w:val="none"/>
        </w:rPr>
      </w:pPr>
    </w:p>
    <w:p w14:paraId="6E306522">
      <w:pPr>
        <w:spacing w:line="480" w:lineRule="auto"/>
        <w:rPr>
          <w:rFonts w:ascii="宋体" w:hAnsi="宋体" w:cs="宋体"/>
          <w:color w:val="auto"/>
          <w:sz w:val="24"/>
          <w:highlight w:val="none"/>
        </w:rPr>
      </w:pPr>
      <w:r>
        <w:rPr>
          <w:rFonts w:hint="eastAsia" w:ascii="宋体" w:hAnsi="宋体" w:cs="宋体"/>
          <w:color w:val="auto"/>
          <w:sz w:val="24"/>
          <w:highlight w:val="none"/>
        </w:rPr>
        <w:t>资格审查文件、商务技术文件、报价文件（相应选择一个磋商响应文件封面外包装名称）</w:t>
      </w:r>
    </w:p>
    <w:p w14:paraId="210E909A">
      <w:pPr>
        <w:spacing w:line="480" w:lineRule="auto"/>
        <w:rPr>
          <w:rFonts w:hint="eastAsia" w:ascii="宋体" w:hAnsi="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东阳市肛肠外科医院4000kVA双电源配电工程采购项目</w:t>
      </w:r>
    </w:p>
    <w:p w14:paraId="328CB448">
      <w:pPr>
        <w:spacing w:line="48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DDDYZFCG-2026-015</w:t>
      </w:r>
    </w:p>
    <w:p w14:paraId="636EC6D2">
      <w:pPr>
        <w:spacing w:line="480" w:lineRule="auto"/>
        <w:rPr>
          <w:rFonts w:ascii="宋体" w:hAnsi="宋体" w:cs="宋体"/>
          <w:color w:val="auto"/>
          <w:sz w:val="24"/>
          <w:highlight w:val="none"/>
        </w:rPr>
      </w:pPr>
      <w:r>
        <w:rPr>
          <w:rFonts w:hint="eastAsia" w:ascii="宋体" w:hAnsi="宋体" w:cs="宋体"/>
          <w:color w:val="auto"/>
          <w:sz w:val="24"/>
          <w:highlight w:val="none"/>
        </w:rPr>
        <w:t>标项：</w:t>
      </w:r>
    </w:p>
    <w:p w14:paraId="1224BEE7">
      <w:pPr>
        <w:spacing w:line="480" w:lineRule="auto"/>
        <w:rPr>
          <w:rFonts w:ascii="宋体" w:hAnsi="宋体" w:cs="宋体"/>
          <w:color w:val="auto"/>
          <w:sz w:val="24"/>
          <w:highlight w:val="none"/>
        </w:rPr>
      </w:pPr>
      <w:r>
        <w:rPr>
          <w:rFonts w:hint="eastAsia" w:ascii="宋体" w:hAnsi="宋体" w:cs="宋体"/>
          <w:color w:val="auto"/>
          <w:sz w:val="24"/>
          <w:highlight w:val="none"/>
        </w:rPr>
        <w:t>供应商名称：</w:t>
      </w:r>
    </w:p>
    <w:p w14:paraId="00BA67F0">
      <w:pPr>
        <w:spacing w:line="480" w:lineRule="auto"/>
        <w:rPr>
          <w:rFonts w:ascii="宋体" w:hAnsi="宋体" w:cs="宋体"/>
          <w:color w:val="auto"/>
          <w:sz w:val="24"/>
          <w:highlight w:val="none"/>
        </w:rPr>
      </w:pPr>
      <w:r>
        <w:rPr>
          <w:rFonts w:hint="eastAsia" w:ascii="宋体" w:hAnsi="宋体" w:cs="宋体"/>
          <w:color w:val="auto"/>
          <w:sz w:val="24"/>
          <w:highlight w:val="none"/>
        </w:rPr>
        <w:t>供应商地址：</w:t>
      </w:r>
    </w:p>
    <w:p w14:paraId="4E90C7B9">
      <w:pPr>
        <w:spacing w:line="48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6C121BA8">
      <w:pPr>
        <w:spacing w:line="480" w:lineRule="auto"/>
        <w:rPr>
          <w:rFonts w:ascii="宋体" w:hAnsi="宋体" w:cs="宋体"/>
          <w:color w:val="auto"/>
          <w:sz w:val="24"/>
          <w:highlight w:val="none"/>
        </w:rPr>
      </w:pPr>
      <w:r>
        <w:rPr>
          <w:rFonts w:hint="eastAsia" w:ascii="宋体" w:hAnsi="宋体" w:cs="宋体"/>
          <w:color w:val="auto"/>
          <w:sz w:val="24"/>
          <w:highlight w:val="none"/>
        </w:rPr>
        <w:t xml:space="preserve">                                                   年   月   日</w:t>
      </w:r>
    </w:p>
    <w:p w14:paraId="27C75DD8">
      <w:pPr>
        <w:spacing w:line="360" w:lineRule="auto"/>
        <w:rPr>
          <w:rFonts w:ascii="宋体" w:hAnsi="宋体" w:cs="宋体"/>
          <w:color w:val="auto"/>
          <w:sz w:val="24"/>
          <w:highlight w:val="none"/>
        </w:rPr>
      </w:pPr>
    </w:p>
    <w:p w14:paraId="5D6173B9">
      <w:pPr>
        <w:rPr>
          <w:rFonts w:ascii="宋体" w:hAnsi="宋体" w:cs="宋体"/>
          <w:color w:val="auto"/>
          <w:sz w:val="24"/>
          <w:highlight w:val="none"/>
        </w:rPr>
      </w:pPr>
    </w:p>
    <w:p w14:paraId="5CCA3D91">
      <w:pPr>
        <w:rPr>
          <w:rFonts w:ascii="宋体" w:hAnsi="宋体" w:cs="宋体"/>
          <w:color w:val="auto"/>
          <w:sz w:val="24"/>
          <w:highlight w:val="none"/>
        </w:rPr>
      </w:pPr>
    </w:p>
    <w:p w14:paraId="407609DA">
      <w:pPr>
        <w:spacing w:line="360" w:lineRule="auto"/>
        <w:rPr>
          <w:rFonts w:ascii="宋体" w:hAnsi="宋体" w:cs="宋体"/>
          <w:b/>
          <w:color w:val="auto"/>
          <w:sz w:val="24"/>
          <w:highlight w:val="none"/>
        </w:rPr>
      </w:pPr>
    </w:p>
    <w:p w14:paraId="6CAEC7BF">
      <w:pPr>
        <w:spacing w:line="360" w:lineRule="auto"/>
        <w:rPr>
          <w:rFonts w:ascii="宋体" w:hAnsi="宋体" w:cs="宋体"/>
          <w:b/>
          <w:color w:val="auto"/>
          <w:sz w:val="24"/>
          <w:highlight w:val="none"/>
        </w:rPr>
      </w:pPr>
    </w:p>
    <w:p w14:paraId="1EC091E9">
      <w:pPr>
        <w:rPr>
          <w:color w:val="auto"/>
          <w:highlight w:val="none"/>
        </w:rPr>
      </w:pPr>
    </w:p>
    <w:p w14:paraId="1AEE67F2">
      <w:pPr>
        <w:spacing w:line="430" w:lineRule="exact"/>
        <w:rPr>
          <w:rFonts w:hint="eastAsia" w:ascii="宋体" w:hAnsi="宋体" w:cs="宋体"/>
          <w:b/>
          <w:color w:val="auto"/>
          <w:sz w:val="24"/>
          <w:highlight w:val="none"/>
          <w:lang w:val="en-US" w:eastAsia="zh-CN"/>
        </w:rPr>
      </w:pPr>
    </w:p>
    <w:p w14:paraId="0BD06E34">
      <w:pPr>
        <w:spacing w:line="430" w:lineRule="exact"/>
        <w:rPr>
          <w:rFonts w:ascii="宋体" w:hAnsi="宋体" w:cs="宋体"/>
          <w:b/>
          <w:color w:val="auto"/>
          <w:sz w:val="24"/>
          <w:highlight w:val="none"/>
        </w:rPr>
      </w:pPr>
      <w:r>
        <w:rPr>
          <w:rFonts w:hint="eastAsia" w:ascii="宋体"/>
          <w:b/>
          <w:color w:val="auto"/>
          <w:sz w:val="28"/>
          <w:szCs w:val="28"/>
          <w:highlight w:val="none"/>
        </w:rPr>
        <w:t>▲</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.资格审查文件：</w:t>
      </w:r>
    </w:p>
    <w:p w14:paraId="1BFDF211">
      <w:pPr>
        <w:spacing w:line="360" w:lineRule="auto"/>
        <w:rPr>
          <w:rFonts w:ascii="宋体" w:hAnsi="宋体" w:cs="宋体"/>
          <w:color w:val="auto"/>
          <w:sz w:val="24"/>
          <w:highlight w:val="none"/>
        </w:rPr>
      </w:pPr>
      <w:r>
        <w:rPr>
          <w:rFonts w:hint="eastAsia" w:ascii="宋体" w:hAnsi="宋体" w:cs="宋体"/>
          <w:color w:val="auto"/>
          <w:sz w:val="24"/>
          <w:highlight w:val="none"/>
        </w:rPr>
        <w:t>（1）具有独立承担民事责任的能力：供应商须在投标文件中出具符合以下情况的证明材料复印件（五选一）：</w:t>
      </w:r>
    </w:p>
    <w:p w14:paraId="2BDEAB62">
      <w:pPr>
        <w:spacing w:line="360" w:lineRule="auto"/>
        <w:rPr>
          <w:rFonts w:ascii="宋体" w:hAnsi="宋体" w:cs="宋体"/>
          <w:color w:val="auto"/>
          <w:sz w:val="24"/>
          <w:highlight w:val="none"/>
        </w:rPr>
      </w:pPr>
      <w:r>
        <w:rPr>
          <w:rFonts w:hint="eastAsia" w:ascii="宋体" w:hAnsi="宋体" w:cs="宋体"/>
          <w:color w:val="auto"/>
          <w:sz w:val="24"/>
          <w:highlight w:val="none"/>
        </w:rPr>
        <w:t>①如供应商是企业（包括合伙企业），提供在工商部门注册的有效“企业法人营业执照”或“营业执照”；</w:t>
      </w:r>
    </w:p>
    <w:p w14:paraId="002E3B4C">
      <w:pPr>
        <w:spacing w:line="360" w:lineRule="auto"/>
        <w:rPr>
          <w:rFonts w:ascii="宋体" w:hAnsi="宋体" w:cs="宋体"/>
          <w:color w:val="auto"/>
          <w:sz w:val="24"/>
          <w:highlight w:val="none"/>
        </w:rPr>
      </w:pPr>
      <w:r>
        <w:rPr>
          <w:rFonts w:hint="eastAsia" w:ascii="宋体" w:hAnsi="宋体" w:cs="宋体"/>
          <w:color w:val="auto"/>
          <w:sz w:val="24"/>
          <w:highlight w:val="none"/>
        </w:rPr>
        <w:t>②如供应商是事业单位，提供有效的“事业单位法人证书”；</w:t>
      </w:r>
    </w:p>
    <w:p w14:paraId="2530C398">
      <w:pPr>
        <w:spacing w:line="360" w:lineRule="auto"/>
        <w:rPr>
          <w:rFonts w:ascii="宋体" w:hAnsi="宋体" w:cs="宋体"/>
          <w:color w:val="auto"/>
          <w:sz w:val="24"/>
          <w:highlight w:val="none"/>
        </w:rPr>
      </w:pPr>
      <w:r>
        <w:rPr>
          <w:rFonts w:hint="eastAsia" w:ascii="宋体" w:hAnsi="宋体" w:cs="宋体"/>
          <w:color w:val="auto"/>
          <w:sz w:val="24"/>
          <w:highlight w:val="none"/>
        </w:rPr>
        <w:t>③如供应商是非企业专业服务机构的，提供执业许可证等证明文件；</w:t>
      </w:r>
    </w:p>
    <w:p w14:paraId="06DEE71A">
      <w:pPr>
        <w:spacing w:line="360" w:lineRule="auto"/>
        <w:rPr>
          <w:rFonts w:ascii="宋体" w:hAnsi="宋体" w:cs="宋体"/>
          <w:color w:val="auto"/>
          <w:sz w:val="24"/>
          <w:highlight w:val="none"/>
        </w:rPr>
      </w:pPr>
      <w:r>
        <w:rPr>
          <w:rFonts w:hint="eastAsia" w:ascii="宋体" w:hAnsi="宋体" w:cs="宋体"/>
          <w:color w:val="auto"/>
          <w:sz w:val="24"/>
          <w:highlight w:val="none"/>
        </w:rPr>
        <w:t>④如供应商是个体工商户，提供有效的“个体工商户营业执照”；</w:t>
      </w:r>
    </w:p>
    <w:p w14:paraId="26A149B3">
      <w:pPr>
        <w:spacing w:line="360" w:lineRule="auto"/>
        <w:rPr>
          <w:rFonts w:ascii="宋体" w:hAnsi="宋体" w:cs="宋体"/>
          <w:color w:val="auto"/>
          <w:sz w:val="24"/>
          <w:highlight w:val="none"/>
        </w:rPr>
      </w:pPr>
      <w:r>
        <w:rPr>
          <w:rFonts w:hint="eastAsia" w:ascii="宋体" w:hAnsi="宋体" w:cs="宋体"/>
          <w:color w:val="auto"/>
          <w:sz w:val="24"/>
          <w:highlight w:val="none"/>
        </w:rPr>
        <w:t>⑤如供应商是自然人，提供有效的自然人身份证明（居民身份证正反面或公安机关出具的临时居民身份证正反面或港澳台胞证或护照）。</w:t>
      </w:r>
    </w:p>
    <w:p w14:paraId="025CC6E6">
      <w:pPr>
        <w:spacing w:line="360" w:lineRule="auto"/>
        <w:rPr>
          <w:rFonts w:ascii="宋体" w:hAnsi="宋体" w:cs="宋体"/>
          <w:color w:val="auto"/>
          <w:sz w:val="24"/>
          <w:highlight w:val="none"/>
        </w:rPr>
      </w:pPr>
      <w:r>
        <w:rPr>
          <w:rFonts w:hint="eastAsia" w:ascii="宋体" w:hAnsi="宋体" w:cs="宋体"/>
          <w:color w:val="auto"/>
          <w:sz w:val="24"/>
          <w:highlight w:val="none"/>
        </w:rPr>
        <w:t>（2）法定代表人身份证复印件或法定代表人授权委托书(格式见附件)；</w:t>
      </w:r>
    </w:p>
    <w:p w14:paraId="6095EC0C">
      <w:pPr>
        <w:spacing w:line="360" w:lineRule="auto"/>
        <w:rPr>
          <w:rFonts w:ascii="宋体" w:hAnsi="宋体" w:cs="宋体"/>
          <w:color w:val="auto"/>
          <w:sz w:val="24"/>
          <w:highlight w:val="none"/>
        </w:rPr>
      </w:pPr>
      <w:r>
        <w:rPr>
          <w:rFonts w:hint="eastAsia" w:ascii="宋体" w:hAnsi="宋体" w:cs="宋体"/>
          <w:color w:val="auto"/>
          <w:sz w:val="24"/>
          <w:highlight w:val="none"/>
        </w:rPr>
        <w:t>（3）符合参加政府采购活动应当具备的一般条件的承诺函（格式见附件）；</w:t>
      </w:r>
    </w:p>
    <w:p w14:paraId="00AEF118">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信用记录网络查询页面截图（以省级及以上政府采购网和信用中国查询截图为准）；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12FFA20">
      <w:pPr>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）东阳市政府采购代理机构社会评价表（格式见附件）；</w:t>
      </w:r>
    </w:p>
    <w:p w14:paraId="08E5158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磋商声明书 (格式见附件) ；</w:t>
      </w:r>
    </w:p>
    <w:p w14:paraId="40313F1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）政府采购活动现场确认声明书 (格式见附件) ；</w:t>
      </w:r>
    </w:p>
    <w:p w14:paraId="17A04E4E">
      <w:pPr>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）联合体协议书（联合体投标时提供）（格式见附件）；</w:t>
      </w:r>
    </w:p>
    <w:p w14:paraId="3F640570">
      <w:pPr>
        <w:spacing w:line="360" w:lineRule="auto"/>
        <w:rPr>
          <w:rFonts w:hint="eastAsia" w:ascii="宋体" w:hAnsi="宋体" w:cs="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9</w:t>
      </w:r>
      <w:r>
        <w:rPr>
          <w:rFonts w:hint="eastAsia" w:ascii="宋体" w:hAnsi="宋体"/>
          <w:color w:val="auto"/>
          <w:sz w:val="24"/>
          <w:highlight w:val="none"/>
        </w:rPr>
        <w:t>）</w:t>
      </w:r>
      <w:r>
        <w:rPr>
          <w:rFonts w:hint="eastAsia" w:ascii="宋体" w:hAnsi="宋体" w:cs="宋体"/>
          <w:color w:val="auto"/>
          <w:sz w:val="24"/>
          <w:highlight w:val="none"/>
        </w:rPr>
        <w:t>落实政府采购政策需满足的资格：供应商为中小企业/小微企业，提供《中小企业声明函》（格式见附件）；</w:t>
      </w:r>
    </w:p>
    <w:p w14:paraId="6210CFEB">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招标公告中的本项目特定资格要求；</w:t>
      </w:r>
    </w:p>
    <w:p w14:paraId="45D0CEF1">
      <w:pPr>
        <w:spacing w:line="360" w:lineRule="auto"/>
        <w:rPr>
          <w:rFonts w:ascii="宋体" w:hAnsi="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）分包意向协议；（分包时提供，格式见附件）；</w:t>
      </w:r>
    </w:p>
    <w:p w14:paraId="73EB3099">
      <w:pPr>
        <w:spacing w:line="360" w:lineRule="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）供应商情况介绍；</w:t>
      </w:r>
    </w:p>
    <w:p w14:paraId="1DBEBCE4">
      <w:pPr>
        <w:spacing w:line="360" w:lineRule="auto"/>
        <w:rPr>
          <w:rFonts w:hint="eastAsia" w:ascii="宋体" w:hAnsi="宋体" w:cs="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3</w:t>
      </w:r>
      <w:r>
        <w:rPr>
          <w:rFonts w:hint="eastAsia" w:ascii="宋体" w:hAnsi="宋体"/>
          <w:color w:val="auto"/>
          <w:sz w:val="24"/>
          <w:highlight w:val="none"/>
        </w:rPr>
        <w:t>）已缴纳投标保证金的证明（被列入不良行为记录名单的供应商提供）</w:t>
      </w:r>
      <w:r>
        <w:rPr>
          <w:rFonts w:hint="eastAsia" w:ascii="宋体" w:hAnsi="宋体"/>
          <w:color w:val="auto"/>
          <w:sz w:val="24"/>
          <w:highlight w:val="none"/>
          <w:lang w:eastAsia="zh-CN"/>
        </w:rPr>
        <w:t>；</w:t>
      </w:r>
    </w:p>
    <w:p w14:paraId="75816559">
      <w:pPr>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）供应商认为有必要提供的其它文件。</w:t>
      </w:r>
    </w:p>
    <w:p w14:paraId="5CD1C99B">
      <w:pPr>
        <w:spacing w:line="430" w:lineRule="exac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3.商务技术文件</w:t>
      </w:r>
    </w:p>
    <w:p w14:paraId="4E146623">
      <w:pPr>
        <w:spacing w:line="360" w:lineRule="auto"/>
        <w:rPr>
          <w:rFonts w:ascii="宋体" w:hAnsi="宋体"/>
          <w:color w:val="auto"/>
          <w:sz w:val="24"/>
          <w:highlight w:val="none"/>
        </w:rPr>
      </w:pPr>
      <w:r>
        <w:rPr>
          <w:rFonts w:hint="eastAsia" w:ascii="宋体" w:hAnsi="宋体" w:cs="宋体"/>
          <w:b/>
          <w:color w:val="auto"/>
          <w:sz w:val="24"/>
          <w:highlight w:val="none"/>
        </w:rPr>
        <w:t>▲</w:t>
      </w:r>
      <w:r>
        <w:rPr>
          <w:rFonts w:hint="eastAsia" w:ascii="宋体" w:hAnsi="宋体"/>
          <w:color w:val="auto"/>
          <w:sz w:val="24"/>
          <w:highlight w:val="none"/>
        </w:rPr>
        <w:t>（1）资信商务、技术自评得分表（格式见附件）；</w:t>
      </w:r>
    </w:p>
    <w:p w14:paraId="5A70F4B8">
      <w:pPr>
        <w:spacing w:line="360" w:lineRule="auto"/>
        <w:rPr>
          <w:rFonts w:hint="eastAsia" w:ascii="宋体" w:hAnsi="宋体" w:eastAsia="宋体"/>
          <w:color w:val="auto"/>
          <w:sz w:val="24"/>
          <w:highlight w:val="none"/>
        </w:rPr>
      </w:pPr>
      <w:r>
        <w:rPr>
          <w:rFonts w:hint="eastAsia" w:ascii="宋体" w:hAnsi="宋体" w:cs="宋体"/>
          <w:b/>
          <w:color w:val="auto"/>
          <w:sz w:val="24"/>
          <w:highlight w:val="none"/>
        </w:rPr>
        <w:t>▲</w:t>
      </w:r>
      <w:r>
        <w:rPr>
          <w:rFonts w:hint="eastAsia" w:ascii="宋体" w:hAnsi="宋体" w:eastAsia="宋体"/>
          <w:color w:val="auto"/>
          <w:sz w:val="24"/>
          <w:highlight w:val="none"/>
        </w:rPr>
        <w:t>（2）</w:t>
      </w:r>
      <w:r>
        <w:rPr>
          <w:rFonts w:hint="eastAsia" w:ascii="宋体" w:hAnsi="宋体"/>
          <w:color w:val="auto"/>
          <w:sz w:val="24"/>
          <w:highlight w:val="none"/>
        </w:rPr>
        <w:t>商务响应表（格式见附件）；</w:t>
      </w:r>
    </w:p>
    <w:p w14:paraId="7FB2B4F2">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3</w:t>
      </w:r>
      <w:r>
        <w:rPr>
          <w:rFonts w:hint="eastAsia" w:ascii="宋体" w:hAnsi="宋体" w:eastAsia="宋体"/>
          <w:color w:val="auto"/>
          <w:sz w:val="24"/>
          <w:highlight w:val="none"/>
        </w:rPr>
        <w:t>）项目理解情况；</w:t>
      </w:r>
    </w:p>
    <w:p w14:paraId="7F7DBD8A">
      <w:pPr>
        <w:spacing w:line="360" w:lineRule="auto"/>
        <w:rPr>
          <w:rFonts w:hint="eastAsia" w:ascii="宋体" w:hAnsi="宋体"/>
          <w:color w:val="auto"/>
          <w:sz w:val="24"/>
          <w:highlight w:val="none"/>
          <w:lang w:eastAsia="zh-CN"/>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4</w:t>
      </w:r>
      <w:r>
        <w:rPr>
          <w:rFonts w:hint="eastAsia" w:ascii="宋体" w:hAnsi="宋体" w:eastAsia="宋体"/>
          <w:color w:val="auto"/>
          <w:sz w:val="24"/>
          <w:highlight w:val="none"/>
        </w:rPr>
        <w:t>）</w:t>
      </w:r>
      <w:r>
        <w:rPr>
          <w:rFonts w:hint="default" w:ascii="宋体" w:hAnsi="宋体" w:eastAsia="宋体" w:cs="宋体"/>
          <w:color w:val="auto"/>
          <w:sz w:val="24"/>
          <w:highlight w:val="none"/>
          <w:lang w:val="en-US" w:eastAsia="zh-CN"/>
        </w:rPr>
        <w:t>突发事件应急预案</w:t>
      </w:r>
      <w:r>
        <w:rPr>
          <w:rFonts w:hint="eastAsia" w:ascii="宋体" w:hAnsi="宋体"/>
          <w:color w:val="auto"/>
          <w:sz w:val="24"/>
          <w:highlight w:val="none"/>
          <w:lang w:eastAsia="zh-CN"/>
        </w:rPr>
        <w:t>；</w:t>
      </w:r>
    </w:p>
    <w:p w14:paraId="70FE0C8B">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5</w:t>
      </w:r>
      <w:r>
        <w:rPr>
          <w:rFonts w:hint="eastAsia" w:ascii="宋体" w:hAnsi="宋体" w:eastAsia="宋体"/>
          <w:color w:val="auto"/>
          <w:sz w:val="24"/>
          <w:highlight w:val="none"/>
        </w:rPr>
        <w:t>）施工方案；</w:t>
      </w:r>
    </w:p>
    <w:p w14:paraId="7DA574A1">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6</w:t>
      </w:r>
      <w:r>
        <w:rPr>
          <w:rFonts w:hint="eastAsia" w:ascii="宋体" w:hAnsi="宋体" w:eastAsia="宋体"/>
          <w:color w:val="auto"/>
          <w:sz w:val="24"/>
          <w:highlight w:val="none"/>
        </w:rPr>
        <w:t>）施工进度；</w:t>
      </w:r>
    </w:p>
    <w:p w14:paraId="26E4E7AD">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7</w:t>
      </w:r>
      <w:r>
        <w:rPr>
          <w:rFonts w:hint="eastAsia" w:ascii="宋体" w:hAnsi="宋体" w:eastAsia="宋体"/>
          <w:color w:val="auto"/>
          <w:sz w:val="24"/>
          <w:highlight w:val="none"/>
        </w:rPr>
        <w:t xml:space="preserve">）质量保障； </w:t>
      </w:r>
    </w:p>
    <w:p w14:paraId="61FFD626">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8</w:t>
      </w:r>
      <w:r>
        <w:rPr>
          <w:rFonts w:hint="eastAsia" w:ascii="宋体" w:hAnsi="宋体" w:eastAsia="宋体"/>
          <w:color w:val="auto"/>
          <w:sz w:val="24"/>
          <w:highlight w:val="none"/>
        </w:rPr>
        <w:t>）安全、文明施工等的保证措施；</w:t>
      </w:r>
    </w:p>
    <w:p w14:paraId="0169F48F">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9</w:t>
      </w:r>
      <w:r>
        <w:rPr>
          <w:rFonts w:hint="eastAsia" w:ascii="宋体" w:hAnsi="宋体" w:eastAsia="宋体"/>
          <w:color w:val="auto"/>
          <w:sz w:val="24"/>
          <w:highlight w:val="none"/>
        </w:rPr>
        <w:t>）施工机具设备；</w:t>
      </w:r>
    </w:p>
    <w:p w14:paraId="7E034665">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color w:val="auto"/>
          <w:sz w:val="24"/>
          <w:highlight w:val="none"/>
          <w:lang w:val="en-US" w:eastAsia="zh-CN"/>
        </w:rPr>
        <w:t>0</w:t>
      </w:r>
      <w:r>
        <w:rPr>
          <w:rFonts w:hint="eastAsia" w:ascii="宋体" w:hAnsi="宋体" w:eastAsia="宋体"/>
          <w:color w:val="auto"/>
          <w:sz w:val="24"/>
          <w:highlight w:val="none"/>
        </w:rPr>
        <w:t>）材料设备进场计划；</w:t>
      </w:r>
    </w:p>
    <w:p w14:paraId="1D7009F5">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color w:val="auto"/>
          <w:sz w:val="24"/>
          <w:highlight w:val="none"/>
          <w:lang w:eastAsia="zh-CN"/>
        </w:rPr>
        <w:t>项目人员</w:t>
      </w:r>
      <w:r>
        <w:rPr>
          <w:rFonts w:hint="eastAsia" w:ascii="宋体" w:hAnsi="宋体" w:eastAsia="宋体"/>
          <w:color w:val="auto"/>
          <w:sz w:val="24"/>
          <w:highlight w:val="none"/>
        </w:rPr>
        <w:t>；</w:t>
      </w:r>
    </w:p>
    <w:p w14:paraId="5AD8350D">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color w:val="auto"/>
          <w:sz w:val="24"/>
          <w:highlight w:val="none"/>
          <w:lang w:val="en-US" w:eastAsia="zh-CN"/>
        </w:rPr>
        <w:t>2</w:t>
      </w:r>
      <w:r>
        <w:rPr>
          <w:rFonts w:hint="eastAsia" w:ascii="宋体" w:hAnsi="宋体" w:eastAsia="宋体"/>
          <w:color w:val="auto"/>
          <w:sz w:val="24"/>
          <w:highlight w:val="none"/>
        </w:rPr>
        <w:t>）布置情况；</w:t>
      </w:r>
    </w:p>
    <w:p w14:paraId="15CA093F">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color w:val="auto"/>
          <w:sz w:val="24"/>
          <w:highlight w:val="none"/>
          <w:lang w:val="en-US" w:eastAsia="zh-CN"/>
        </w:rPr>
        <w:t>3</w:t>
      </w:r>
      <w:r>
        <w:rPr>
          <w:rFonts w:hint="eastAsia" w:ascii="宋体" w:hAnsi="宋体" w:eastAsia="宋体"/>
          <w:color w:val="auto"/>
          <w:sz w:val="24"/>
          <w:highlight w:val="none"/>
        </w:rPr>
        <w:t>）关键工序、复杂环节的相应技术措施；</w:t>
      </w:r>
    </w:p>
    <w:p w14:paraId="46F8E305">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color w:val="auto"/>
          <w:sz w:val="24"/>
          <w:highlight w:val="none"/>
          <w:lang w:val="en-US" w:eastAsia="zh-CN"/>
        </w:rPr>
        <w:t>4</w:t>
      </w:r>
      <w:r>
        <w:rPr>
          <w:rFonts w:hint="eastAsia" w:ascii="宋体" w:hAnsi="宋体" w:eastAsia="宋体"/>
          <w:color w:val="auto"/>
          <w:sz w:val="24"/>
          <w:highlight w:val="none"/>
        </w:rPr>
        <w:t xml:space="preserve">）施工重点难点分析； </w:t>
      </w:r>
    </w:p>
    <w:p w14:paraId="6D7340B2">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color w:val="auto"/>
          <w:sz w:val="24"/>
          <w:highlight w:val="none"/>
          <w:lang w:val="en-US" w:eastAsia="zh-CN"/>
        </w:rPr>
        <w:t>5</w:t>
      </w:r>
      <w:r>
        <w:rPr>
          <w:rFonts w:hint="eastAsia" w:ascii="宋体" w:hAnsi="宋体" w:eastAsia="宋体"/>
          <w:color w:val="auto"/>
          <w:sz w:val="24"/>
          <w:highlight w:val="none"/>
        </w:rPr>
        <w:t>）成品保护的保证措施；</w:t>
      </w:r>
    </w:p>
    <w:p w14:paraId="3964B6CB">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color w:val="auto"/>
          <w:sz w:val="24"/>
          <w:highlight w:val="none"/>
          <w:lang w:val="en-US" w:eastAsia="zh-CN"/>
        </w:rPr>
        <w:t>6</w:t>
      </w:r>
      <w:r>
        <w:rPr>
          <w:rFonts w:hint="eastAsia" w:ascii="宋体" w:hAnsi="宋体" w:eastAsia="宋体"/>
          <w:color w:val="auto"/>
          <w:sz w:val="24"/>
          <w:highlight w:val="none"/>
        </w:rPr>
        <w:t>）管理协调；</w:t>
      </w:r>
    </w:p>
    <w:p w14:paraId="6C3D5FD6">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17</w:t>
      </w:r>
      <w:r>
        <w:rPr>
          <w:rFonts w:hint="eastAsia" w:ascii="宋体" w:hAnsi="宋体" w:eastAsia="宋体"/>
          <w:color w:val="auto"/>
          <w:sz w:val="24"/>
          <w:highlight w:val="none"/>
        </w:rPr>
        <w:t>）</w:t>
      </w:r>
      <w:r>
        <w:rPr>
          <w:rFonts w:hint="eastAsia" w:ascii="宋体" w:hAnsi="宋体"/>
          <w:color w:val="auto"/>
          <w:sz w:val="24"/>
          <w:highlight w:val="none"/>
          <w:lang w:eastAsia="zh-CN"/>
        </w:rPr>
        <w:t>企业</w:t>
      </w:r>
      <w:r>
        <w:rPr>
          <w:rFonts w:hint="eastAsia" w:ascii="宋体" w:hAnsi="宋体" w:eastAsia="宋体"/>
          <w:color w:val="auto"/>
          <w:sz w:val="24"/>
          <w:highlight w:val="none"/>
        </w:rPr>
        <w:t>证书；</w:t>
      </w:r>
    </w:p>
    <w:p w14:paraId="01408976">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18</w:t>
      </w:r>
      <w:r>
        <w:rPr>
          <w:rFonts w:hint="eastAsia" w:ascii="宋体" w:hAnsi="宋体" w:eastAsia="宋体"/>
          <w:color w:val="auto"/>
          <w:sz w:val="24"/>
          <w:highlight w:val="none"/>
        </w:rPr>
        <w:t>）同类项目业绩；</w:t>
      </w:r>
    </w:p>
    <w:p w14:paraId="436B8E98">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19</w:t>
      </w:r>
      <w:r>
        <w:rPr>
          <w:rFonts w:hint="eastAsia" w:ascii="宋体" w:hAnsi="宋体" w:eastAsia="宋体"/>
          <w:color w:val="auto"/>
          <w:sz w:val="24"/>
          <w:highlight w:val="none"/>
        </w:rPr>
        <w:t>）售后保障；</w:t>
      </w:r>
    </w:p>
    <w:p w14:paraId="43ABFD33">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color w:val="auto"/>
          <w:sz w:val="24"/>
          <w:highlight w:val="none"/>
          <w:lang w:val="en-US" w:eastAsia="zh-CN"/>
        </w:rPr>
        <w:t>1</w:t>
      </w:r>
      <w:r>
        <w:rPr>
          <w:rFonts w:hint="eastAsia" w:ascii="宋体" w:hAnsi="宋体" w:eastAsia="宋体"/>
          <w:color w:val="auto"/>
          <w:sz w:val="24"/>
          <w:highlight w:val="none"/>
        </w:rPr>
        <w:t>）合理化建议；</w:t>
      </w:r>
    </w:p>
    <w:p w14:paraId="639D8E41">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color w:val="auto"/>
          <w:sz w:val="24"/>
          <w:highlight w:val="none"/>
          <w:lang w:val="en-US" w:eastAsia="zh-CN"/>
        </w:rPr>
        <w:t>2</w:t>
      </w:r>
      <w:r>
        <w:rPr>
          <w:rFonts w:hint="eastAsia" w:ascii="宋体" w:hAnsi="宋体" w:eastAsia="宋体"/>
          <w:color w:val="auto"/>
          <w:sz w:val="24"/>
          <w:highlight w:val="none"/>
        </w:rPr>
        <w:t>）安全生产及其他承诺函（格式见附件）；</w:t>
      </w:r>
    </w:p>
    <w:p w14:paraId="13F69E41">
      <w:pPr>
        <w:spacing w:line="360" w:lineRule="auto"/>
        <w:rPr>
          <w:rFonts w:hint="eastAsia" w:ascii="宋体" w:hAnsi="宋体" w:eastAsia="宋体"/>
          <w:color w:val="auto"/>
          <w:sz w:val="24"/>
          <w:highlight w:val="none"/>
          <w:lang w:eastAsia="zh-CN"/>
        </w:rPr>
      </w:pP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2</w:t>
      </w:r>
      <w:r>
        <w:rPr>
          <w:rFonts w:hint="eastAsia" w:ascii="宋体" w:hAnsi="宋体"/>
          <w:color w:val="auto"/>
          <w:sz w:val="24"/>
          <w:highlight w:val="none"/>
          <w:lang w:val="en-US" w:eastAsia="zh-CN"/>
        </w:rPr>
        <w:t>3</w:t>
      </w:r>
      <w:r>
        <w:rPr>
          <w:rFonts w:hint="eastAsia" w:ascii="宋体" w:hAnsi="宋体" w:eastAsia="宋体"/>
          <w:color w:val="auto"/>
          <w:sz w:val="24"/>
          <w:highlight w:val="none"/>
          <w:lang w:eastAsia="zh-CN"/>
        </w:rPr>
        <w:t>）人员现场到位率承诺书（格式见附件）；</w:t>
      </w:r>
    </w:p>
    <w:p w14:paraId="214A348E">
      <w:pPr>
        <w:spacing w:line="360" w:lineRule="auto"/>
        <w:rPr>
          <w:rFonts w:ascii="宋体" w:hAnsi="宋体"/>
          <w:bCs/>
          <w:color w:val="auto"/>
          <w:sz w:val="24"/>
          <w:highlight w:val="none"/>
        </w:rPr>
      </w:pPr>
      <w:r>
        <w:rPr>
          <w:rFonts w:hint="eastAsia" w:ascii="宋体" w:hAnsi="宋体"/>
          <w:bCs/>
          <w:color w:val="auto"/>
          <w:sz w:val="24"/>
          <w:highlight w:val="none"/>
        </w:rPr>
        <w:t>（2</w:t>
      </w:r>
      <w:r>
        <w:rPr>
          <w:rFonts w:hint="eastAsia" w:ascii="宋体" w:hAnsi="宋体"/>
          <w:bCs/>
          <w:color w:val="auto"/>
          <w:sz w:val="24"/>
          <w:highlight w:val="none"/>
          <w:lang w:val="en-US" w:eastAsia="zh-CN"/>
        </w:rPr>
        <w:t>4</w:t>
      </w:r>
      <w:r>
        <w:rPr>
          <w:rFonts w:hint="eastAsia" w:ascii="宋体" w:hAnsi="宋体"/>
          <w:bCs/>
          <w:color w:val="auto"/>
          <w:sz w:val="24"/>
          <w:highlight w:val="none"/>
        </w:rPr>
        <w:t>）</w:t>
      </w:r>
      <w:r>
        <w:rPr>
          <w:rFonts w:hint="eastAsia" w:ascii="宋体" w:hAnsi="宋体" w:cs="宋体"/>
          <w:color w:val="auto"/>
          <w:sz w:val="24"/>
          <w:highlight w:val="none"/>
        </w:rPr>
        <w:t>供应商</w:t>
      </w:r>
      <w:r>
        <w:rPr>
          <w:rFonts w:hint="eastAsia" w:ascii="宋体" w:hAnsi="宋体"/>
          <w:bCs/>
          <w:color w:val="auto"/>
          <w:sz w:val="24"/>
          <w:highlight w:val="none"/>
        </w:rPr>
        <w:t>需要说明的其他文件和说明。</w:t>
      </w:r>
    </w:p>
    <w:p w14:paraId="41F34285">
      <w:pPr>
        <w:spacing w:line="430" w:lineRule="exact"/>
        <w:rPr>
          <w:rFonts w:hint="eastAsia" w:ascii="宋体" w:hAnsi="宋体" w:eastAsia="宋体" w:cs="宋体"/>
          <w:b/>
          <w:color w:val="auto"/>
          <w:sz w:val="24"/>
          <w:highlight w:val="none"/>
          <w:lang w:val="en-US" w:eastAsia="zh-CN"/>
        </w:rPr>
      </w:pPr>
      <w:r>
        <w:rPr>
          <w:rFonts w:hint="eastAsia" w:ascii="宋体"/>
          <w:b/>
          <w:color w:val="auto"/>
          <w:sz w:val="28"/>
          <w:szCs w:val="28"/>
          <w:highlight w:val="none"/>
        </w:rPr>
        <w:t>▲</w:t>
      </w:r>
      <w:r>
        <w:rPr>
          <w:rFonts w:hint="eastAsia" w:ascii="宋体" w:hAnsi="宋体" w:eastAsia="宋体" w:cs="宋体"/>
          <w:b/>
          <w:color w:val="auto"/>
          <w:sz w:val="24"/>
          <w:highlight w:val="none"/>
          <w:lang w:val="en-US" w:eastAsia="zh-CN"/>
        </w:rPr>
        <w:t>4.报价文件</w:t>
      </w:r>
    </w:p>
    <w:p w14:paraId="22F8958D">
      <w:pPr>
        <w:spacing w:line="430" w:lineRule="exact"/>
        <w:rPr>
          <w:rFonts w:hint="eastAsia" w:ascii="宋体" w:hAnsi="宋体" w:cs="宋体"/>
          <w:color w:val="auto"/>
          <w:sz w:val="24"/>
          <w:highlight w:val="none"/>
        </w:rPr>
      </w:pPr>
      <w:r>
        <w:rPr>
          <w:rFonts w:hint="eastAsia" w:ascii="宋体" w:hAnsi="宋体" w:cs="宋体"/>
          <w:color w:val="auto"/>
          <w:sz w:val="24"/>
          <w:highlight w:val="none"/>
        </w:rPr>
        <w:t xml:space="preserve">（1）磋商响应函（格式见附件）； </w:t>
      </w:r>
    </w:p>
    <w:p w14:paraId="3F0C8DF4">
      <w:pPr>
        <w:spacing w:line="43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 xml:space="preserve">）初次报价表（格式见附件）； </w:t>
      </w:r>
    </w:p>
    <w:p w14:paraId="7EC36E6F">
      <w:pPr>
        <w:spacing w:line="430" w:lineRule="exact"/>
        <w:rPr>
          <w:rFonts w:ascii="宋体" w:hAnsi="宋体" w:cs="宋体"/>
          <w:b/>
          <w:bCs/>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）供应商针对报价需要说明的其他文件和说明（格式自拟）；</w:t>
      </w:r>
    </w:p>
    <w:p w14:paraId="54017D32">
      <w:pPr>
        <w:pStyle w:val="3"/>
        <w:keepNext w:val="0"/>
        <w:keepLines w:val="0"/>
        <w:pageBreakBefore/>
        <w:spacing w:line="360" w:lineRule="auto"/>
        <w:rPr>
          <w:rFonts w:ascii="宋体" w:hAnsi="宋体" w:eastAsia="宋体" w:cs="宋体"/>
          <w:b w:val="0"/>
          <w:color w:val="auto"/>
          <w:sz w:val="24"/>
          <w:szCs w:val="24"/>
          <w:highlight w:val="none"/>
        </w:rPr>
      </w:pPr>
      <w:bookmarkStart w:id="58" w:name="_Toc30612"/>
      <w:bookmarkStart w:id="59" w:name="_Toc19980"/>
      <w:r>
        <w:rPr>
          <w:rFonts w:hint="eastAsia" w:ascii="宋体" w:hAnsi="宋体" w:eastAsia="宋体" w:cs="宋体"/>
          <w:b w:val="0"/>
          <w:color w:val="auto"/>
          <w:sz w:val="24"/>
          <w:szCs w:val="24"/>
          <w:highlight w:val="none"/>
        </w:rPr>
        <w:t>附件一：磋商声明书</w:t>
      </w:r>
      <w:bookmarkEnd w:id="58"/>
      <w:bookmarkEnd w:id="59"/>
    </w:p>
    <w:p w14:paraId="1A9F3CEA">
      <w:pPr>
        <w:snapToGrid w:val="0"/>
        <w:spacing w:beforeLines="50" w:after="50" w:line="276" w:lineRule="auto"/>
        <w:jc w:val="center"/>
        <w:rPr>
          <w:rFonts w:ascii="宋体" w:hAnsi="宋体" w:cs="宋体"/>
          <w:b/>
          <w:color w:val="auto"/>
          <w:sz w:val="24"/>
          <w:highlight w:val="none"/>
        </w:rPr>
      </w:pPr>
      <w:r>
        <w:rPr>
          <w:rFonts w:hint="eastAsia" w:ascii="宋体" w:hAnsi="宋体" w:cs="宋体"/>
          <w:b/>
          <w:color w:val="auto"/>
          <w:sz w:val="24"/>
          <w:highlight w:val="none"/>
        </w:rPr>
        <w:t>磋商声明书</w:t>
      </w:r>
    </w:p>
    <w:p w14:paraId="2594521C">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（招标采购单位名称）：</w:t>
      </w:r>
    </w:p>
    <w:p w14:paraId="5FB27EC3">
      <w:pPr>
        <w:snapToGrid w:val="0"/>
        <w:spacing w:beforeLines="50" w:after="50" w:line="276" w:lineRule="auto"/>
        <w:ind w:firstLine="720" w:firstLineChars="3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（供应商名称）系中华人民共和国合法企业，经营地址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3F7B794">
      <w:pPr>
        <w:snapToGrid w:val="0"/>
        <w:spacing w:beforeLines="50" w:after="50" w:line="276" w:lineRule="auto"/>
        <w:ind w:firstLine="645"/>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（供应商名称）的法定代表人，我方愿意参加贵方组织的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项目的磋商，为便于贵方公正、择优地确定中标人及其磋商服务，我方就本次磋商有关事项郑重声明如下：</w:t>
      </w:r>
    </w:p>
    <w:p w14:paraId="44241EA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1.我方向贵方提交的所有磋商响应文件、资料都是准确的和真实的。若有违背，我公司愿为由此而产生的一切后果负责。</w:t>
      </w:r>
    </w:p>
    <w:p w14:paraId="6E0FE03C">
      <w:pPr>
        <w:snapToGrid w:val="0"/>
        <w:spacing w:beforeLines="50" w:line="276"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2.我方不是采购人的附属机构；在获知本项目采购信息后，与采购人聘请的为此项目提供咨询服务的公司及其附属机构没有任何联系。</w:t>
      </w:r>
    </w:p>
    <w:p w14:paraId="0665A3DE">
      <w:pPr>
        <w:snapToGrid w:val="0"/>
        <w:spacing w:beforeLines="50" w:line="27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 我方诚意提请贵方关注：近期有</w:t>
      </w:r>
      <w:r>
        <w:rPr>
          <w:rFonts w:hint="eastAsia" w:ascii="宋体" w:hAnsi="宋体" w:cs="宋体"/>
          <w:color w:val="auto"/>
          <w:sz w:val="24"/>
          <w:highlight w:val="none"/>
          <w:u w:val="single"/>
        </w:rPr>
        <w:t xml:space="preserve">                   （采购内容）</w:t>
      </w:r>
      <w:r>
        <w:rPr>
          <w:rFonts w:hint="eastAsia" w:ascii="宋体" w:hAnsi="宋体" w:cs="宋体"/>
          <w:color w:val="auto"/>
          <w:sz w:val="24"/>
          <w:highlight w:val="none"/>
        </w:rPr>
        <w:t>等方面的重大决策和事项有：</w:t>
      </w:r>
    </w:p>
    <w:p w14:paraId="096F7D95">
      <w:pPr>
        <w:snapToGrid w:val="0"/>
        <w:spacing w:beforeLines="50" w:line="276"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w:t>
      </w:r>
    </w:p>
    <w:p w14:paraId="0DC0F0DC">
      <w:pPr>
        <w:snapToGrid w:val="0"/>
        <w:spacing w:beforeLines="50" w:line="276"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w:t>
      </w:r>
    </w:p>
    <w:p w14:paraId="1041BCF0">
      <w:pPr>
        <w:pStyle w:val="17"/>
        <w:snapToGrid w:val="0"/>
        <w:spacing w:line="276" w:lineRule="auto"/>
        <w:rPr>
          <w:rFonts w:ascii="宋体" w:hAnsi="宋体" w:cs="宋体"/>
          <w:color w:val="auto"/>
          <w:sz w:val="24"/>
          <w:highlight w:val="none"/>
        </w:rPr>
      </w:pPr>
      <w:r>
        <w:rPr>
          <w:rFonts w:hint="eastAsia" w:ascii="宋体" w:hAnsi="宋体" w:cs="宋体"/>
          <w:color w:val="auto"/>
          <w:sz w:val="24"/>
          <w:highlight w:val="none"/>
        </w:rPr>
        <w:t>4.我方及由本人担任法定代表人的其他机构最近三年内被通报或者被处罚的违法行为有：</w:t>
      </w:r>
    </w:p>
    <w:p w14:paraId="613E68E6">
      <w:pPr>
        <w:snapToGrid w:val="0"/>
        <w:spacing w:beforeLines="50" w:line="276"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w:t>
      </w:r>
    </w:p>
    <w:p w14:paraId="394B43A3">
      <w:pPr>
        <w:snapToGrid w:val="0"/>
        <w:spacing w:beforeLines="50" w:line="276"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w:t>
      </w:r>
    </w:p>
    <w:p w14:paraId="25BB71A2">
      <w:pPr>
        <w:snapToGrid w:val="0"/>
        <w:spacing w:line="27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5.以上事项如有虚假或隐瞒，我方愿意承担一切后果，并不再寻求任何旨在减轻或免除法律责任的辩解。</w:t>
      </w:r>
    </w:p>
    <w:p w14:paraId="1612FCA3">
      <w:pPr>
        <w:pStyle w:val="18"/>
        <w:tabs>
          <w:tab w:val="left" w:pos="939"/>
        </w:tabs>
        <w:snapToGrid w:val="0"/>
        <w:spacing w:line="276" w:lineRule="auto"/>
        <w:ind w:left="773" w:leftChars="150" w:hanging="458" w:hangingChars="191"/>
        <w:rPr>
          <w:rFonts w:ascii="宋体" w:hAnsi="宋体" w:cs="宋体"/>
          <w:color w:val="auto"/>
          <w:sz w:val="24"/>
          <w:highlight w:val="none"/>
        </w:rPr>
      </w:pPr>
    </w:p>
    <w:p w14:paraId="72745C7E">
      <w:pPr>
        <w:pStyle w:val="121"/>
        <w:snapToGrid w:val="0"/>
        <w:spacing w:beforeLines="50" w:line="276" w:lineRule="auto"/>
        <w:ind w:firstLine="200"/>
        <w:rPr>
          <w:rFonts w:ascii="宋体" w:hAnsi="宋体" w:cs="宋体"/>
          <w:color w:val="auto"/>
          <w:szCs w:val="24"/>
          <w:highlight w:val="none"/>
        </w:rPr>
      </w:pPr>
    </w:p>
    <w:p w14:paraId="2027BD3E">
      <w:pPr>
        <w:snapToGrid w:val="0"/>
        <w:spacing w:beforeLines="50" w:line="276" w:lineRule="auto"/>
        <w:ind w:firstLine="319" w:firstLineChars="133"/>
        <w:rPr>
          <w:rFonts w:ascii="宋体" w:hAnsi="宋体" w:cs="宋体"/>
          <w:color w:val="auto"/>
          <w:sz w:val="24"/>
          <w:highlight w:val="none"/>
          <w:u w:val="single"/>
        </w:rPr>
      </w:pPr>
      <w:r>
        <w:rPr>
          <w:rFonts w:hint="eastAsia" w:ascii="宋体" w:hAnsi="宋体" w:cs="宋体"/>
          <w:color w:val="auto"/>
          <w:sz w:val="24"/>
          <w:highlight w:val="none"/>
        </w:rPr>
        <w:t>法定代表人或委托代理人签字：</w:t>
      </w:r>
      <w:r>
        <w:rPr>
          <w:rFonts w:hint="eastAsia" w:ascii="宋体" w:hAnsi="宋体" w:cs="宋体"/>
          <w:color w:val="auto"/>
          <w:sz w:val="24"/>
          <w:highlight w:val="none"/>
          <w:u w:val="single"/>
        </w:rPr>
        <w:t xml:space="preserve">             </w:t>
      </w:r>
    </w:p>
    <w:p w14:paraId="2D661785">
      <w:pPr>
        <w:snapToGrid w:val="0"/>
        <w:spacing w:beforeLines="50" w:after="50" w:line="276"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ED18DE4">
      <w:pPr>
        <w:snapToGrid w:val="0"/>
        <w:spacing w:beforeLines="50" w:after="50" w:line="276"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年    月    日</w:t>
      </w:r>
    </w:p>
    <w:p w14:paraId="3B00EFF3">
      <w:pPr>
        <w:snapToGrid w:val="0"/>
        <w:spacing w:beforeLines="50" w:after="50" w:line="276" w:lineRule="auto"/>
        <w:ind w:firstLine="6240" w:firstLineChars="2600"/>
        <w:rPr>
          <w:rFonts w:ascii="宋体" w:hAnsi="宋体" w:cs="宋体"/>
          <w:color w:val="auto"/>
          <w:sz w:val="24"/>
          <w:highlight w:val="none"/>
        </w:rPr>
      </w:pPr>
    </w:p>
    <w:p w14:paraId="52D134C6">
      <w:pPr>
        <w:snapToGrid w:val="0"/>
        <w:spacing w:beforeLines="50" w:after="50" w:line="276" w:lineRule="auto"/>
        <w:ind w:firstLine="6240" w:firstLineChars="2600"/>
        <w:rPr>
          <w:rFonts w:ascii="宋体" w:hAnsi="宋体" w:cs="宋体"/>
          <w:color w:val="auto"/>
          <w:sz w:val="24"/>
          <w:highlight w:val="none"/>
        </w:rPr>
      </w:pPr>
    </w:p>
    <w:p w14:paraId="6587EBF3">
      <w:pPr>
        <w:snapToGrid w:val="0"/>
        <w:spacing w:beforeLines="50" w:after="50" w:line="276" w:lineRule="auto"/>
        <w:ind w:firstLine="6240" w:firstLineChars="2600"/>
        <w:rPr>
          <w:rFonts w:ascii="宋体" w:hAnsi="宋体" w:cs="宋体"/>
          <w:color w:val="auto"/>
          <w:sz w:val="24"/>
          <w:highlight w:val="none"/>
        </w:rPr>
      </w:pPr>
    </w:p>
    <w:p w14:paraId="1E27E009">
      <w:pPr>
        <w:snapToGrid w:val="0"/>
        <w:spacing w:beforeLines="50" w:after="50" w:line="276" w:lineRule="auto"/>
        <w:rPr>
          <w:rFonts w:ascii="宋体" w:hAnsi="宋体" w:cs="宋体"/>
          <w:color w:val="auto"/>
          <w:sz w:val="24"/>
          <w:highlight w:val="none"/>
        </w:rPr>
      </w:pPr>
    </w:p>
    <w:p w14:paraId="2425F969">
      <w:pPr>
        <w:pStyle w:val="3"/>
        <w:keepNext w:val="0"/>
        <w:keepLines w:val="0"/>
        <w:pageBreakBefore/>
        <w:spacing w:line="360" w:lineRule="auto"/>
        <w:rPr>
          <w:rFonts w:ascii="宋体" w:hAnsi="宋体" w:eastAsia="宋体" w:cs="宋体"/>
          <w:b w:val="0"/>
          <w:bCs w:val="0"/>
          <w:color w:val="auto"/>
          <w:sz w:val="24"/>
          <w:szCs w:val="24"/>
          <w:highlight w:val="none"/>
        </w:rPr>
      </w:pPr>
      <w:bookmarkStart w:id="60" w:name="_Toc30843"/>
      <w:bookmarkStart w:id="61" w:name="_Toc24340"/>
      <w:bookmarkStart w:id="62" w:name="_Toc3531"/>
      <w:bookmarkStart w:id="63" w:name="_Toc9161"/>
      <w:bookmarkStart w:id="64" w:name="_Toc23315"/>
      <w:bookmarkStart w:id="65" w:name="_Toc3669"/>
      <w:bookmarkStart w:id="66" w:name="_Toc10320"/>
      <w:r>
        <w:rPr>
          <w:rFonts w:hint="eastAsia" w:ascii="宋体" w:hAnsi="宋体" w:eastAsia="宋体" w:cs="宋体"/>
          <w:b w:val="0"/>
          <w:bCs w:val="0"/>
          <w:color w:val="auto"/>
          <w:sz w:val="24"/>
          <w:szCs w:val="24"/>
          <w:highlight w:val="none"/>
        </w:rPr>
        <w:t>附件二：</w:t>
      </w:r>
      <w:bookmarkEnd w:id="60"/>
      <w:bookmarkEnd w:id="61"/>
      <w:r>
        <w:rPr>
          <w:rFonts w:hint="eastAsia" w:ascii="宋体" w:hAnsi="宋体" w:eastAsia="宋体" w:cs="宋体"/>
          <w:b w:val="0"/>
          <w:bCs w:val="0"/>
          <w:color w:val="auto"/>
          <w:sz w:val="24"/>
          <w:szCs w:val="24"/>
          <w:highlight w:val="none"/>
        </w:rPr>
        <w:t>符合参加政府采购活动应当具备的一般条件的承诺函</w:t>
      </w:r>
      <w:bookmarkEnd w:id="62"/>
      <w:bookmarkEnd w:id="63"/>
      <w:bookmarkEnd w:id="64"/>
      <w:bookmarkEnd w:id="65"/>
    </w:p>
    <w:p w14:paraId="4661FAD0">
      <w:pPr>
        <w:pStyle w:val="34"/>
        <w:spacing w:before="100" w:after="100" w:line="360" w:lineRule="auto"/>
        <w:jc w:val="center"/>
        <w:rPr>
          <w:color w:val="auto"/>
          <w:highlight w:val="none"/>
        </w:rPr>
      </w:pPr>
      <w:r>
        <w:rPr>
          <w:rFonts w:hint="eastAsia"/>
          <w:b/>
          <w:bCs/>
          <w:color w:val="auto"/>
          <w:sz w:val="27"/>
          <w:szCs w:val="27"/>
          <w:highlight w:val="none"/>
        </w:rPr>
        <w:t>符合参加政府采购活动应当具备的一般条件的承诺函</w:t>
      </w:r>
    </w:p>
    <w:p w14:paraId="5C7C21C7">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（招标采购单位名称）：</w:t>
      </w:r>
    </w:p>
    <w:p w14:paraId="05441155">
      <w:pPr>
        <w:pStyle w:val="34"/>
        <w:spacing w:before="0" w:after="0" w:line="360" w:lineRule="auto"/>
        <w:ind w:left="480"/>
        <w:jc w:val="both"/>
        <w:rPr>
          <w:color w:val="auto"/>
          <w:kern w:val="2"/>
          <w:highlight w:val="none"/>
        </w:rPr>
      </w:pPr>
      <w:r>
        <w:rPr>
          <w:rFonts w:hint="eastAsia"/>
          <w:color w:val="auto"/>
          <w:kern w:val="2"/>
          <w:highlight w:val="none"/>
        </w:rPr>
        <w:t>我方参与</w:t>
      </w:r>
      <w:r>
        <w:rPr>
          <w:rFonts w:hint="eastAsia"/>
          <w:color w:val="auto"/>
          <w:highlight w:val="none"/>
          <w:u w:val="single"/>
        </w:rPr>
        <w:t xml:space="preserve">              </w:t>
      </w:r>
      <w:r>
        <w:rPr>
          <w:rFonts w:hint="eastAsia"/>
          <w:color w:val="auto"/>
          <w:kern w:val="2"/>
          <w:highlight w:val="none"/>
        </w:rPr>
        <w:t>项目【项目编号：</w:t>
      </w:r>
      <w:r>
        <w:rPr>
          <w:rFonts w:hint="eastAsia"/>
          <w:color w:val="auto"/>
          <w:highlight w:val="none"/>
          <w:u w:val="single"/>
        </w:rPr>
        <w:t xml:space="preserve">             </w:t>
      </w:r>
      <w:r>
        <w:rPr>
          <w:rFonts w:hint="eastAsia"/>
          <w:color w:val="auto"/>
          <w:kern w:val="2"/>
          <w:highlight w:val="none"/>
        </w:rPr>
        <w:t>】政府采购活动，郑重承诺：</w:t>
      </w:r>
    </w:p>
    <w:p w14:paraId="710CAC68">
      <w:pPr>
        <w:pStyle w:val="34"/>
        <w:spacing w:before="0" w:after="0" w:line="360" w:lineRule="auto"/>
        <w:ind w:left="480"/>
        <w:jc w:val="both"/>
        <w:rPr>
          <w:color w:val="auto"/>
          <w:kern w:val="2"/>
          <w:highlight w:val="none"/>
        </w:rPr>
      </w:pPr>
      <w:r>
        <w:rPr>
          <w:rFonts w:hint="eastAsia"/>
          <w:color w:val="auto"/>
          <w:kern w:val="2"/>
          <w:highlight w:val="none"/>
        </w:rPr>
        <w:t>（一）具备《中华人民共和国政府采购法》第二十二条第一款规定的条件：</w:t>
      </w:r>
    </w:p>
    <w:p w14:paraId="193ACD4D">
      <w:pPr>
        <w:pStyle w:val="34"/>
        <w:spacing w:before="0" w:after="0" w:line="360" w:lineRule="auto"/>
        <w:ind w:left="480"/>
        <w:jc w:val="both"/>
        <w:rPr>
          <w:color w:val="auto"/>
          <w:kern w:val="2"/>
          <w:highlight w:val="none"/>
        </w:rPr>
      </w:pPr>
      <w:r>
        <w:rPr>
          <w:rFonts w:hint="eastAsia"/>
          <w:color w:val="auto"/>
          <w:kern w:val="2"/>
          <w:highlight w:val="none"/>
        </w:rPr>
        <w:t>1、具有独立承担民事责任的能力；</w:t>
      </w:r>
    </w:p>
    <w:p w14:paraId="5FB383D2">
      <w:pPr>
        <w:pStyle w:val="34"/>
        <w:spacing w:before="0" w:after="0" w:line="360" w:lineRule="auto"/>
        <w:ind w:left="480"/>
        <w:jc w:val="both"/>
        <w:rPr>
          <w:color w:val="auto"/>
          <w:kern w:val="2"/>
          <w:highlight w:val="none"/>
        </w:rPr>
      </w:pPr>
      <w:r>
        <w:rPr>
          <w:rFonts w:hint="eastAsia"/>
          <w:color w:val="auto"/>
          <w:kern w:val="2"/>
          <w:highlight w:val="none"/>
        </w:rPr>
        <w:t xml:space="preserve">2、具有良好的商业信誉和健全的财务会计制度； </w:t>
      </w:r>
    </w:p>
    <w:p w14:paraId="3356053E">
      <w:pPr>
        <w:pStyle w:val="34"/>
        <w:spacing w:before="0" w:after="0" w:line="360" w:lineRule="auto"/>
        <w:ind w:left="480"/>
        <w:jc w:val="both"/>
        <w:rPr>
          <w:color w:val="auto"/>
          <w:kern w:val="2"/>
          <w:highlight w:val="none"/>
        </w:rPr>
      </w:pPr>
      <w:r>
        <w:rPr>
          <w:rFonts w:hint="eastAsia"/>
          <w:color w:val="auto"/>
          <w:kern w:val="2"/>
          <w:highlight w:val="none"/>
        </w:rPr>
        <w:t>3、具有履行合同所必需的设备和专业技术能力；</w:t>
      </w:r>
    </w:p>
    <w:p w14:paraId="2EDE1C5C">
      <w:pPr>
        <w:pStyle w:val="34"/>
        <w:spacing w:before="0" w:after="0" w:line="360" w:lineRule="auto"/>
        <w:ind w:left="480"/>
        <w:jc w:val="both"/>
        <w:rPr>
          <w:color w:val="auto"/>
          <w:kern w:val="2"/>
          <w:highlight w:val="none"/>
        </w:rPr>
      </w:pPr>
      <w:r>
        <w:rPr>
          <w:rFonts w:hint="eastAsia"/>
          <w:color w:val="auto"/>
          <w:kern w:val="2"/>
          <w:highlight w:val="none"/>
        </w:rPr>
        <w:t>4、有依法缴纳税收和社会保障资金的良好记录；</w:t>
      </w:r>
    </w:p>
    <w:p w14:paraId="551C8DC7">
      <w:pPr>
        <w:pStyle w:val="34"/>
        <w:spacing w:before="0" w:after="0" w:line="360" w:lineRule="auto"/>
        <w:ind w:left="480"/>
        <w:jc w:val="both"/>
        <w:rPr>
          <w:color w:val="auto"/>
          <w:kern w:val="2"/>
          <w:highlight w:val="none"/>
        </w:rPr>
      </w:pPr>
      <w:r>
        <w:rPr>
          <w:rFonts w:hint="eastAsia"/>
          <w:color w:val="auto"/>
          <w:kern w:val="2"/>
          <w:highlight w:val="none"/>
        </w:rPr>
        <w:t>5、参加政府采购活动前三年内，在经营活动中没有重大违法记录；</w:t>
      </w:r>
    </w:p>
    <w:p w14:paraId="44FE161B">
      <w:pPr>
        <w:pStyle w:val="34"/>
        <w:spacing w:before="0" w:after="0" w:line="360" w:lineRule="auto"/>
        <w:ind w:left="480"/>
        <w:jc w:val="both"/>
        <w:rPr>
          <w:color w:val="auto"/>
          <w:kern w:val="2"/>
          <w:highlight w:val="none"/>
        </w:rPr>
      </w:pPr>
      <w:r>
        <w:rPr>
          <w:rFonts w:hint="eastAsia"/>
          <w:color w:val="auto"/>
          <w:kern w:val="2"/>
          <w:highlight w:val="none"/>
        </w:rPr>
        <w:t>6、具有法律、行政法规规定的其他条件。</w:t>
      </w:r>
    </w:p>
    <w:p w14:paraId="4876AFCB">
      <w:pPr>
        <w:pStyle w:val="34"/>
        <w:spacing w:before="0" w:after="0" w:line="360" w:lineRule="auto"/>
        <w:ind w:left="480"/>
        <w:jc w:val="both"/>
        <w:rPr>
          <w:color w:val="auto"/>
          <w:kern w:val="2"/>
          <w:highlight w:val="none"/>
        </w:rPr>
      </w:pPr>
      <w:r>
        <w:rPr>
          <w:rFonts w:hint="eastAsia"/>
          <w:color w:val="auto"/>
          <w:kern w:val="2"/>
          <w:highlight w:val="none"/>
        </w:rPr>
        <w:t>（二）未被信用中国（www.creditchina.gov.cn)、中国政府采购网（www.ccgp.gov.cn）列入失信被执行人、重大税收违法案件当事人名单、政府采购严重违法失信行为记录名单。</w:t>
      </w:r>
    </w:p>
    <w:p w14:paraId="3A0F3918">
      <w:pPr>
        <w:pStyle w:val="34"/>
        <w:spacing w:before="0" w:after="0" w:line="360" w:lineRule="auto"/>
        <w:ind w:left="480"/>
        <w:jc w:val="both"/>
        <w:rPr>
          <w:color w:val="auto"/>
          <w:kern w:val="2"/>
          <w:highlight w:val="none"/>
        </w:rPr>
      </w:pPr>
      <w:r>
        <w:rPr>
          <w:rFonts w:hint="eastAsia"/>
          <w:color w:val="auto"/>
          <w:kern w:val="2"/>
          <w:highlight w:val="none"/>
        </w:rPr>
        <w:t>（三）不存在以下情况：</w:t>
      </w:r>
    </w:p>
    <w:p w14:paraId="7F235ED9">
      <w:pPr>
        <w:pStyle w:val="34"/>
        <w:spacing w:before="0" w:after="0" w:line="360" w:lineRule="auto"/>
        <w:ind w:left="480"/>
        <w:jc w:val="both"/>
        <w:rPr>
          <w:color w:val="auto"/>
          <w:kern w:val="2"/>
          <w:highlight w:val="none"/>
        </w:rPr>
      </w:pPr>
      <w:r>
        <w:rPr>
          <w:rFonts w:hint="eastAsia"/>
          <w:color w:val="auto"/>
          <w:kern w:val="2"/>
          <w:highlight w:val="none"/>
        </w:rPr>
        <w:t>1、单位负责人为同一人或者存在直接控股、管理关系的不同供应商参加同一合同项下的政府采购活动的；</w:t>
      </w:r>
    </w:p>
    <w:p w14:paraId="2EAFA14C">
      <w:pPr>
        <w:pStyle w:val="34"/>
        <w:spacing w:before="0" w:after="0" w:line="360" w:lineRule="auto"/>
        <w:ind w:left="480"/>
        <w:jc w:val="both"/>
        <w:rPr>
          <w:color w:val="auto"/>
          <w:kern w:val="2"/>
          <w:highlight w:val="none"/>
        </w:rPr>
      </w:pPr>
      <w:r>
        <w:rPr>
          <w:rFonts w:hint="eastAsia"/>
          <w:color w:val="auto"/>
          <w:kern w:val="2"/>
          <w:highlight w:val="none"/>
        </w:rPr>
        <w:t>2、为采购项目提供整体设计、规范编制或者项目管理、监理、检测等服务后再参加该采购项目的其他采购活动的。</w:t>
      </w:r>
    </w:p>
    <w:p w14:paraId="15DF259D">
      <w:pPr>
        <w:pStyle w:val="34"/>
        <w:spacing w:before="0" w:after="0" w:line="360" w:lineRule="auto"/>
        <w:ind w:left="480"/>
        <w:jc w:val="both"/>
        <w:rPr>
          <w:color w:val="auto"/>
          <w:kern w:val="2"/>
          <w:highlight w:val="none"/>
        </w:rPr>
      </w:pPr>
    </w:p>
    <w:p w14:paraId="7666D524">
      <w:pPr>
        <w:pStyle w:val="34"/>
        <w:spacing w:before="0" w:after="0" w:line="360" w:lineRule="auto"/>
        <w:ind w:left="480"/>
        <w:jc w:val="both"/>
        <w:rPr>
          <w:color w:val="auto"/>
          <w:kern w:val="2"/>
          <w:highlight w:val="none"/>
        </w:rPr>
      </w:pPr>
    </w:p>
    <w:p w14:paraId="43401C8A">
      <w:pPr>
        <w:pStyle w:val="34"/>
        <w:spacing w:before="0" w:after="0" w:line="360" w:lineRule="auto"/>
        <w:ind w:left="480"/>
        <w:jc w:val="both"/>
        <w:rPr>
          <w:color w:val="auto"/>
          <w:kern w:val="2"/>
          <w:highlight w:val="none"/>
        </w:rPr>
      </w:pPr>
    </w:p>
    <w:p w14:paraId="3DD5D018">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法定代表人或委托代理人签字</w:t>
      </w:r>
      <w:r>
        <w:rPr>
          <w:rFonts w:hint="eastAsia" w:ascii="宋体" w:hAnsi="宋体" w:cs="宋体"/>
          <w:color w:val="auto"/>
          <w:spacing w:val="20"/>
          <w:sz w:val="24"/>
          <w:highlight w:val="none"/>
        </w:rPr>
        <w:t>：</w:t>
      </w:r>
      <w:r>
        <w:rPr>
          <w:rFonts w:hint="eastAsia" w:ascii="宋体" w:hAnsi="宋体" w:cs="宋体"/>
          <w:color w:val="auto"/>
          <w:spacing w:val="20"/>
          <w:sz w:val="24"/>
          <w:highlight w:val="none"/>
          <w:u w:val="single"/>
        </w:rPr>
        <w:t xml:space="preserve">        </w:t>
      </w:r>
    </w:p>
    <w:p w14:paraId="55B585D6">
      <w:pPr>
        <w:snapToGrid w:val="0"/>
        <w:spacing w:beforeLines="50"/>
        <w:rPr>
          <w:rFonts w:ascii="宋体" w:hAnsi="宋体" w:cs="宋体"/>
          <w:color w:val="auto"/>
          <w:sz w:val="24"/>
          <w:highlight w:val="none"/>
        </w:rPr>
      </w:pPr>
      <w:r>
        <w:rPr>
          <w:rFonts w:hint="eastAsia" w:ascii="宋体" w:hAnsi="宋体" w:cs="宋体"/>
          <w:color w:val="auto"/>
          <w:spacing w:val="20"/>
          <w:sz w:val="24"/>
          <w:highlight w:val="none"/>
        </w:rPr>
        <w:t>供应商盖章：</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日 期：</w:t>
      </w:r>
      <w:r>
        <w:rPr>
          <w:rFonts w:hint="eastAsia" w:ascii="宋体" w:hAnsi="宋体" w:cs="宋体"/>
          <w:color w:val="auto"/>
          <w:spacing w:val="20"/>
          <w:sz w:val="24"/>
          <w:highlight w:val="none"/>
          <w:u w:val="single"/>
        </w:rPr>
        <w:t xml:space="preserve">            </w:t>
      </w:r>
    </w:p>
    <w:p w14:paraId="4F1E9F95">
      <w:pPr>
        <w:rPr>
          <w:rFonts w:ascii="宋体" w:hAnsi="宋体" w:cs="宋体"/>
          <w:color w:val="auto"/>
          <w:sz w:val="24"/>
          <w:highlight w:val="none"/>
        </w:rPr>
      </w:pPr>
    </w:p>
    <w:p w14:paraId="13407BE3">
      <w:pPr>
        <w:pageBreakBefore/>
        <w:spacing w:before="260" w:after="260" w:line="415" w:lineRule="auto"/>
        <w:outlineLvl w:val="1"/>
        <w:rPr>
          <w:rFonts w:hint="eastAsia" w:ascii="宋体" w:hAnsi="宋体" w:eastAsia="宋体" w:cs="宋体"/>
          <w:bCs/>
          <w:color w:val="auto"/>
          <w:sz w:val="24"/>
          <w:highlight w:val="none"/>
        </w:rPr>
      </w:pPr>
      <w:bookmarkStart w:id="67" w:name="_Toc28973"/>
      <w:bookmarkStart w:id="68" w:name="_Toc26637"/>
      <w:bookmarkStart w:id="69" w:name="_Toc11397"/>
      <w:r>
        <w:rPr>
          <w:rFonts w:hint="eastAsia" w:ascii="宋体" w:hAnsi="宋体" w:eastAsia="宋体" w:cs="宋体"/>
          <w:bCs/>
          <w:color w:val="auto"/>
          <w:sz w:val="24"/>
          <w:highlight w:val="none"/>
        </w:rPr>
        <w:t>附件</w:t>
      </w:r>
      <w:r>
        <w:rPr>
          <w:rFonts w:hint="eastAsia" w:ascii="宋体" w:hAnsi="宋体" w:eastAsia="宋体" w:cs="宋体"/>
          <w:bCs/>
          <w:color w:val="auto"/>
          <w:sz w:val="24"/>
          <w:highlight w:val="none"/>
          <w:lang w:val="en-US" w:eastAsia="zh-CN"/>
        </w:rPr>
        <w:t>三</w:t>
      </w:r>
      <w:r>
        <w:rPr>
          <w:rFonts w:hint="eastAsia" w:ascii="宋体" w:hAnsi="宋体" w:eastAsia="宋体" w:cs="宋体"/>
          <w:bCs/>
          <w:color w:val="auto"/>
          <w:sz w:val="24"/>
          <w:highlight w:val="none"/>
        </w:rPr>
        <w:t>：东阳市政府采购代理机构社会评价表</w:t>
      </w:r>
      <w:bookmarkEnd w:id="67"/>
      <w:bookmarkEnd w:id="68"/>
      <w:bookmarkEnd w:id="69"/>
    </w:p>
    <w:p w14:paraId="11841D9D">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东阳市政府采购代理机构社会评价表</w:t>
      </w:r>
    </w:p>
    <w:p w14:paraId="58D534B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代理机构名称： </w:t>
      </w:r>
    </w:p>
    <w:tbl>
      <w:tblPr>
        <w:tblStyle w:val="38"/>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552"/>
        <w:gridCol w:w="735"/>
        <w:gridCol w:w="1128"/>
        <w:gridCol w:w="1089"/>
        <w:gridCol w:w="836"/>
        <w:gridCol w:w="3047"/>
      </w:tblGrid>
      <w:tr w14:paraId="5C61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312" w:type="dxa"/>
            <w:tcBorders>
              <w:top w:val="single" w:color="auto" w:sz="4" w:space="0"/>
              <w:left w:val="single" w:color="auto" w:sz="4" w:space="0"/>
              <w:bottom w:val="single" w:color="auto" w:sz="4" w:space="0"/>
              <w:right w:val="single" w:color="auto" w:sz="4" w:space="0"/>
            </w:tcBorders>
            <w:vAlign w:val="center"/>
          </w:tcPr>
          <w:p w14:paraId="6474E41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填表人类别</w:t>
            </w:r>
          </w:p>
        </w:tc>
        <w:tc>
          <w:tcPr>
            <w:tcW w:w="8387" w:type="dxa"/>
            <w:gridSpan w:val="6"/>
            <w:tcBorders>
              <w:top w:val="single" w:color="auto" w:sz="4" w:space="0"/>
              <w:left w:val="nil"/>
              <w:bottom w:val="single" w:color="auto" w:sz="4" w:space="0"/>
              <w:right w:val="single" w:color="auto" w:sz="4" w:space="0"/>
            </w:tcBorders>
            <w:vAlign w:val="center"/>
          </w:tcPr>
          <w:p w14:paraId="02AE08A7">
            <w:pPr>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□采购单位      □供应商      □专家     </w:t>
            </w:r>
          </w:p>
        </w:tc>
      </w:tr>
      <w:tr w14:paraId="1534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312" w:type="dxa"/>
            <w:tcBorders>
              <w:top w:val="single" w:color="auto" w:sz="4" w:space="0"/>
              <w:left w:val="single" w:color="auto" w:sz="4" w:space="0"/>
              <w:bottom w:val="single" w:color="auto" w:sz="4" w:space="0"/>
              <w:right w:val="single" w:color="auto" w:sz="4" w:space="0"/>
            </w:tcBorders>
            <w:vAlign w:val="center"/>
          </w:tcPr>
          <w:p w14:paraId="2500834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填表人名称或姓名</w:t>
            </w:r>
          </w:p>
        </w:tc>
        <w:tc>
          <w:tcPr>
            <w:tcW w:w="4504" w:type="dxa"/>
            <w:gridSpan w:val="4"/>
            <w:tcBorders>
              <w:top w:val="single" w:color="auto" w:sz="4" w:space="0"/>
              <w:left w:val="nil"/>
              <w:bottom w:val="single" w:color="auto" w:sz="4" w:space="0"/>
              <w:right w:val="single" w:color="auto" w:sz="4" w:space="0"/>
            </w:tcBorders>
            <w:vAlign w:val="center"/>
          </w:tcPr>
          <w:p w14:paraId="33B69867">
            <w:pPr>
              <w:jc w:val="center"/>
              <w:rPr>
                <w:rFonts w:hint="eastAsia" w:ascii="宋体" w:hAnsi="宋体" w:eastAsia="宋体" w:cs="宋体"/>
                <w:color w:val="auto"/>
                <w:sz w:val="24"/>
                <w:highlight w:val="none"/>
              </w:rPr>
            </w:pPr>
          </w:p>
        </w:tc>
        <w:tc>
          <w:tcPr>
            <w:tcW w:w="836" w:type="dxa"/>
            <w:tcBorders>
              <w:top w:val="single" w:color="auto" w:sz="4" w:space="0"/>
              <w:left w:val="nil"/>
              <w:bottom w:val="single" w:color="auto" w:sz="4" w:space="0"/>
              <w:right w:val="single" w:color="auto" w:sz="4" w:space="0"/>
            </w:tcBorders>
            <w:vAlign w:val="center"/>
          </w:tcPr>
          <w:p w14:paraId="58F4F5D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3047" w:type="dxa"/>
            <w:tcBorders>
              <w:top w:val="single" w:color="auto" w:sz="4" w:space="0"/>
              <w:left w:val="single" w:color="auto" w:sz="4" w:space="0"/>
              <w:bottom w:val="single" w:color="auto" w:sz="4" w:space="0"/>
              <w:right w:val="single" w:color="auto" w:sz="4" w:space="0"/>
            </w:tcBorders>
            <w:vAlign w:val="center"/>
          </w:tcPr>
          <w:p w14:paraId="77A56C2E">
            <w:pPr>
              <w:jc w:val="center"/>
              <w:rPr>
                <w:rFonts w:hint="eastAsia" w:ascii="宋体" w:hAnsi="宋体" w:eastAsia="宋体" w:cs="宋体"/>
                <w:color w:val="auto"/>
                <w:sz w:val="24"/>
                <w:highlight w:val="none"/>
              </w:rPr>
            </w:pPr>
          </w:p>
        </w:tc>
      </w:tr>
      <w:tr w14:paraId="66BD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312" w:type="dxa"/>
            <w:tcBorders>
              <w:top w:val="single" w:color="auto" w:sz="4" w:space="0"/>
              <w:left w:val="single" w:color="auto" w:sz="4" w:space="0"/>
              <w:bottom w:val="single" w:color="auto" w:sz="4" w:space="0"/>
              <w:right w:val="single" w:color="auto" w:sz="4" w:space="0"/>
            </w:tcBorders>
            <w:vAlign w:val="center"/>
          </w:tcPr>
          <w:p w14:paraId="2DE0F87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1552" w:type="dxa"/>
            <w:tcBorders>
              <w:top w:val="single" w:color="auto" w:sz="4" w:space="0"/>
              <w:left w:val="nil"/>
              <w:bottom w:val="single" w:color="auto" w:sz="4" w:space="0"/>
              <w:right w:val="single" w:color="auto" w:sz="4" w:space="0"/>
            </w:tcBorders>
            <w:vAlign w:val="center"/>
          </w:tcPr>
          <w:p w14:paraId="6CF0B049">
            <w:pPr>
              <w:jc w:val="center"/>
              <w:rPr>
                <w:rFonts w:hint="eastAsia" w:ascii="宋体" w:hAnsi="宋体" w:eastAsia="宋体" w:cs="宋体"/>
                <w:color w:val="auto"/>
                <w:sz w:val="24"/>
                <w:highlight w:val="none"/>
              </w:rPr>
            </w:pPr>
          </w:p>
        </w:tc>
        <w:tc>
          <w:tcPr>
            <w:tcW w:w="735" w:type="dxa"/>
            <w:tcBorders>
              <w:top w:val="single" w:color="auto" w:sz="4" w:space="0"/>
              <w:left w:val="nil"/>
              <w:bottom w:val="single" w:color="auto" w:sz="4" w:space="0"/>
              <w:right w:val="single" w:color="auto" w:sz="4" w:space="0"/>
            </w:tcBorders>
            <w:vAlign w:val="center"/>
          </w:tcPr>
          <w:p w14:paraId="286E1D9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2217" w:type="dxa"/>
            <w:gridSpan w:val="2"/>
            <w:tcBorders>
              <w:top w:val="single" w:color="auto" w:sz="4" w:space="0"/>
              <w:left w:val="nil"/>
              <w:bottom w:val="single" w:color="auto" w:sz="4" w:space="0"/>
              <w:right w:val="single" w:color="auto" w:sz="4" w:space="0"/>
            </w:tcBorders>
            <w:vAlign w:val="center"/>
          </w:tcPr>
          <w:p w14:paraId="7344484C">
            <w:pPr>
              <w:jc w:val="center"/>
              <w:rPr>
                <w:rFonts w:hint="eastAsia" w:ascii="宋体" w:hAnsi="宋体" w:eastAsia="宋体" w:cs="宋体"/>
                <w:color w:val="auto"/>
                <w:sz w:val="24"/>
                <w:highlight w:val="none"/>
              </w:rPr>
            </w:pPr>
          </w:p>
        </w:tc>
        <w:tc>
          <w:tcPr>
            <w:tcW w:w="836" w:type="dxa"/>
            <w:tcBorders>
              <w:top w:val="single" w:color="auto" w:sz="4" w:space="0"/>
              <w:left w:val="nil"/>
              <w:bottom w:val="single" w:color="auto" w:sz="4" w:space="0"/>
              <w:right w:val="single" w:color="auto" w:sz="4" w:space="0"/>
            </w:tcBorders>
            <w:vAlign w:val="center"/>
          </w:tcPr>
          <w:p w14:paraId="33B166F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tc>
        <w:tc>
          <w:tcPr>
            <w:tcW w:w="3047" w:type="dxa"/>
            <w:tcBorders>
              <w:top w:val="single" w:color="auto" w:sz="4" w:space="0"/>
              <w:left w:val="single" w:color="auto" w:sz="4" w:space="0"/>
              <w:bottom w:val="single" w:color="auto" w:sz="4" w:space="0"/>
              <w:right w:val="single" w:color="auto" w:sz="4" w:space="0"/>
            </w:tcBorders>
            <w:vAlign w:val="center"/>
          </w:tcPr>
          <w:p w14:paraId="570E4E10">
            <w:pPr>
              <w:jc w:val="center"/>
              <w:rPr>
                <w:rFonts w:hint="eastAsia" w:ascii="宋体" w:hAnsi="宋体" w:eastAsia="宋体" w:cs="宋体"/>
                <w:color w:val="auto"/>
                <w:sz w:val="24"/>
                <w:highlight w:val="none"/>
              </w:rPr>
            </w:pPr>
          </w:p>
        </w:tc>
      </w:tr>
      <w:tr w14:paraId="7219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312" w:type="dxa"/>
            <w:vMerge w:val="restart"/>
            <w:tcBorders>
              <w:top w:val="nil"/>
              <w:left w:val="single" w:color="auto" w:sz="4" w:space="0"/>
              <w:bottom w:val="single" w:color="auto" w:sz="4" w:space="0"/>
              <w:right w:val="single" w:color="auto" w:sz="4" w:space="0"/>
            </w:tcBorders>
            <w:vAlign w:val="center"/>
          </w:tcPr>
          <w:p w14:paraId="5762A3F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对代理机构的评价</w:t>
            </w:r>
          </w:p>
        </w:tc>
        <w:tc>
          <w:tcPr>
            <w:tcW w:w="3415" w:type="dxa"/>
            <w:gridSpan w:val="3"/>
            <w:tcBorders>
              <w:top w:val="single" w:color="auto" w:sz="4" w:space="0"/>
              <w:left w:val="nil"/>
              <w:bottom w:val="single" w:color="auto" w:sz="4" w:space="0"/>
              <w:right w:val="single" w:color="auto" w:sz="4" w:space="0"/>
            </w:tcBorders>
            <w:vAlign w:val="center"/>
          </w:tcPr>
          <w:p w14:paraId="24E549AD">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4972" w:type="dxa"/>
            <w:gridSpan w:val="3"/>
            <w:tcBorders>
              <w:top w:val="single" w:color="auto" w:sz="4" w:space="0"/>
              <w:left w:val="nil"/>
              <w:bottom w:val="single" w:color="auto" w:sz="4" w:space="0"/>
              <w:right w:val="single" w:color="auto" w:sz="4" w:space="0"/>
            </w:tcBorders>
            <w:vAlign w:val="center"/>
          </w:tcPr>
          <w:p w14:paraId="424D2039">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评价（请在分值范围内进行打分）</w:t>
            </w:r>
          </w:p>
        </w:tc>
      </w:tr>
      <w:tr w14:paraId="23A5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12" w:type="dxa"/>
            <w:vMerge w:val="continue"/>
            <w:tcBorders>
              <w:top w:val="nil"/>
              <w:left w:val="single" w:color="auto" w:sz="4" w:space="0"/>
              <w:bottom w:val="single" w:color="auto" w:sz="4" w:space="0"/>
              <w:right w:val="single" w:color="auto" w:sz="4" w:space="0"/>
            </w:tcBorders>
            <w:vAlign w:val="center"/>
          </w:tcPr>
          <w:p w14:paraId="0F8A55BF">
            <w:pPr>
              <w:widowControl/>
              <w:jc w:val="left"/>
              <w:rPr>
                <w:rFonts w:hint="eastAsia" w:ascii="宋体" w:hAnsi="宋体" w:eastAsia="宋体" w:cs="宋体"/>
                <w:color w:val="auto"/>
                <w:sz w:val="24"/>
                <w:highlight w:val="none"/>
              </w:rPr>
            </w:pPr>
          </w:p>
        </w:tc>
        <w:tc>
          <w:tcPr>
            <w:tcW w:w="3415" w:type="dxa"/>
            <w:gridSpan w:val="3"/>
            <w:tcBorders>
              <w:top w:val="single" w:color="auto" w:sz="4" w:space="0"/>
              <w:left w:val="nil"/>
              <w:bottom w:val="single" w:color="auto" w:sz="4" w:space="0"/>
              <w:right w:val="single" w:color="auto" w:sz="4" w:space="0"/>
            </w:tcBorders>
            <w:vAlign w:val="center"/>
          </w:tcPr>
          <w:p w14:paraId="52BDEC2D">
            <w:pP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是否严格执行政府采购纪律、法规和规章制度等（2分）。</w:t>
            </w:r>
          </w:p>
        </w:tc>
        <w:tc>
          <w:tcPr>
            <w:tcW w:w="4972" w:type="dxa"/>
            <w:gridSpan w:val="3"/>
            <w:tcBorders>
              <w:top w:val="single" w:color="auto" w:sz="4" w:space="0"/>
              <w:left w:val="nil"/>
              <w:bottom w:val="single" w:color="auto" w:sz="4" w:space="0"/>
              <w:right w:val="single" w:color="auto" w:sz="4" w:space="0"/>
            </w:tcBorders>
            <w:vAlign w:val="center"/>
          </w:tcPr>
          <w:p w14:paraId="3A282CCA">
            <w:pPr>
              <w:spacing w:line="500" w:lineRule="exact"/>
              <w:jc w:val="center"/>
              <w:rPr>
                <w:rFonts w:hint="eastAsia" w:ascii="宋体" w:hAnsi="宋体" w:eastAsia="宋体" w:cs="宋体"/>
                <w:color w:val="auto"/>
                <w:sz w:val="24"/>
                <w:highlight w:val="none"/>
              </w:rPr>
            </w:pPr>
          </w:p>
        </w:tc>
      </w:tr>
      <w:tr w14:paraId="6F79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312" w:type="dxa"/>
            <w:vMerge w:val="continue"/>
            <w:tcBorders>
              <w:top w:val="nil"/>
              <w:left w:val="single" w:color="auto" w:sz="4" w:space="0"/>
              <w:bottom w:val="single" w:color="auto" w:sz="4" w:space="0"/>
              <w:right w:val="single" w:color="auto" w:sz="4" w:space="0"/>
            </w:tcBorders>
            <w:vAlign w:val="center"/>
          </w:tcPr>
          <w:p w14:paraId="2DC6C67B">
            <w:pPr>
              <w:widowControl/>
              <w:jc w:val="left"/>
              <w:rPr>
                <w:rFonts w:hint="eastAsia" w:ascii="宋体" w:hAnsi="宋体" w:eastAsia="宋体" w:cs="宋体"/>
                <w:color w:val="auto"/>
                <w:sz w:val="24"/>
                <w:highlight w:val="none"/>
              </w:rPr>
            </w:pPr>
          </w:p>
        </w:tc>
        <w:tc>
          <w:tcPr>
            <w:tcW w:w="3415" w:type="dxa"/>
            <w:gridSpan w:val="3"/>
            <w:tcBorders>
              <w:top w:val="single" w:color="auto" w:sz="4" w:space="0"/>
              <w:left w:val="nil"/>
              <w:bottom w:val="single" w:color="auto" w:sz="4" w:space="0"/>
              <w:right w:val="single" w:color="auto" w:sz="4" w:space="0"/>
            </w:tcBorders>
            <w:vAlign w:val="center"/>
          </w:tcPr>
          <w:p w14:paraId="033F8C28">
            <w:pP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操作程序是否规范，采购行为、过程、结果是否公开、公平、公正，采购组织管理是否规范严谨（2分）</w:t>
            </w:r>
            <w:r>
              <w:rPr>
                <w:rFonts w:hint="eastAsia" w:ascii="宋体" w:hAnsi="宋体" w:eastAsia="宋体" w:cs="宋体"/>
                <w:color w:val="auto"/>
                <w:kern w:val="0"/>
                <w:sz w:val="24"/>
                <w:highlight w:val="none"/>
              </w:rPr>
              <w:t>。</w:t>
            </w:r>
          </w:p>
        </w:tc>
        <w:tc>
          <w:tcPr>
            <w:tcW w:w="4972" w:type="dxa"/>
            <w:gridSpan w:val="3"/>
            <w:tcBorders>
              <w:top w:val="single" w:color="auto" w:sz="4" w:space="0"/>
              <w:left w:val="nil"/>
              <w:bottom w:val="single" w:color="auto" w:sz="4" w:space="0"/>
              <w:right w:val="single" w:color="auto" w:sz="4" w:space="0"/>
            </w:tcBorders>
            <w:vAlign w:val="center"/>
          </w:tcPr>
          <w:p w14:paraId="7455FB00">
            <w:pPr>
              <w:spacing w:line="500" w:lineRule="exact"/>
              <w:jc w:val="center"/>
              <w:rPr>
                <w:rFonts w:hint="eastAsia" w:ascii="宋体" w:hAnsi="宋体" w:eastAsia="宋体" w:cs="宋体"/>
                <w:color w:val="auto"/>
                <w:sz w:val="24"/>
                <w:highlight w:val="none"/>
              </w:rPr>
            </w:pPr>
          </w:p>
        </w:tc>
      </w:tr>
      <w:tr w14:paraId="6450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312" w:type="dxa"/>
            <w:vMerge w:val="continue"/>
            <w:tcBorders>
              <w:top w:val="nil"/>
              <w:left w:val="single" w:color="auto" w:sz="4" w:space="0"/>
              <w:bottom w:val="single" w:color="auto" w:sz="4" w:space="0"/>
              <w:right w:val="single" w:color="auto" w:sz="4" w:space="0"/>
            </w:tcBorders>
            <w:vAlign w:val="center"/>
          </w:tcPr>
          <w:p w14:paraId="6CDEAB4E">
            <w:pPr>
              <w:widowControl/>
              <w:jc w:val="left"/>
              <w:rPr>
                <w:rFonts w:hint="eastAsia" w:ascii="宋体" w:hAnsi="宋体" w:eastAsia="宋体" w:cs="宋体"/>
                <w:color w:val="auto"/>
                <w:sz w:val="24"/>
                <w:highlight w:val="none"/>
              </w:rPr>
            </w:pPr>
          </w:p>
        </w:tc>
        <w:tc>
          <w:tcPr>
            <w:tcW w:w="3415" w:type="dxa"/>
            <w:gridSpan w:val="3"/>
            <w:tcBorders>
              <w:top w:val="single" w:color="auto" w:sz="4" w:space="0"/>
              <w:left w:val="nil"/>
              <w:bottom w:val="single" w:color="auto" w:sz="4" w:space="0"/>
              <w:right w:val="single" w:color="auto" w:sz="4" w:space="0"/>
            </w:tcBorders>
            <w:vAlign w:val="center"/>
          </w:tcPr>
          <w:p w14:paraId="336780BB">
            <w:pP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是否及时组织采购，是否有承诺办事时间并能限时办结（2分）</w:t>
            </w:r>
            <w:r>
              <w:rPr>
                <w:rFonts w:hint="eastAsia" w:ascii="宋体" w:hAnsi="宋体" w:eastAsia="宋体" w:cs="宋体"/>
                <w:color w:val="auto"/>
                <w:kern w:val="0"/>
                <w:sz w:val="24"/>
                <w:highlight w:val="none"/>
              </w:rPr>
              <w:t>。</w:t>
            </w:r>
          </w:p>
        </w:tc>
        <w:tc>
          <w:tcPr>
            <w:tcW w:w="4972" w:type="dxa"/>
            <w:gridSpan w:val="3"/>
            <w:tcBorders>
              <w:top w:val="single" w:color="auto" w:sz="4" w:space="0"/>
              <w:left w:val="nil"/>
              <w:bottom w:val="single" w:color="auto" w:sz="4" w:space="0"/>
              <w:right w:val="single" w:color="auto" w:sz="4" w:space="0"/>
            </w:tcBorders>
            <w:vAlign w:val="center"/>
          </w:tcPr>
          <w:p w14:paraId="722BA8B3">
            <w:pPr>
              <w:spacing w:line="500" w:lineRule="exact"/>
              <w:jc w:val="center"/>
              <w:rPr>
                <w:rFonts w:hint="eastAsia" w:ascii="宋体" w:hAnsi="宋体" w:eastAsia="宋体" w:cs="宋体"/>
                <w:color w:val="auto"/>
                <w:sz w:val="24"/>
                <w:highlight w:val="none"/>
              </w:rPr>
            </w:pPr>
          </w:p>
        </w:tc>
      </w:tr>
      <w:tr w14:paraId="58CE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312" w:type="dxa"/>
            <w:vMerge w:val="continue"/>
            <w:tcBorders>
              <w:top w:val="nil"/>
              <w:left w:val="single" w:color="auto" w:sz="4" w:space="0"/>
              <w:bottom w:val="single" w:color="auto" w:sz="4" w:space="0"/>
              <w:right w:val="single" w:color="auto" w:sz="4" w:space="0"/>
            </w:tcBorders>
            <w:vAlign w:val="center"/>
          </w:tcPr>
          <w:p w14:paraId="40B5CFEB">
            <w:pPr>
              <w:widowControl/>
              <w:jc w:val="left"/>
              <w:rPr>
                <w:rFonts w:hint="eastAsia" w:ascii="宋体" w:hAnsi="宋体" w:eastAsia="宋体" w:cs="宋体"/>
                <w:color w:val="auto"/>
                <w:sz w:val="24"/>
                <w:highlight w:val="none"/>
              </w:rPr>
            </w:pPr>
          </w:p>
        </w:tc>
        <w:tc>
          <w:tcPr>
            <w:tcW w:w="3415" w:type="dxa"/>
            <w:gridSpan w:val="3"/>
            <w:tcBorders>
              <w:top w:val="single" w:color="auto" w:sz="4" w:space="0"/>
              <w:left w:val="nil"/>
              <w:bottom w:val="single" w:color="auto" w:sz="4" w:space="0"/>
              <w:right w:val="single" w:color="auto" w:sz="4" w:space="0"/>
            </w:tcBorders>
            <w:vAlign w:val="center"/>
          </w:tcPr>
          <w:p w14:paraId="737B60AF">
            <w:pP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是否能积极</w:t>
            </w:r>
            <w:r>
              <w:rPr>
                <w:rFonts w:hint="eastAsia" w:ascii="宋体" w:hAnsi="宋体" w:eastAsia="宋体" w:cs="宋体"/>
                <w:color w:val="auto"/>
                <w:kern w:val="0"/>
                <w:sz w:val="24"/>
                <w:highlight w:val="none"/>
              </w:rPr>
              <w:t>主动</w:t>
            </w:r>
            <w:r>
              <w:rPr>
                <w:rFonts w:hint="eastAsia" w:ascii="宋体" w:hAnsi="宋体" w:eastAsia="宋体" w:cs="宋体"/>
                <w:color w:val="auto"/>
                <w:sz w:val="24"/>
                <w:highlight w:val="none"/>
              </w:rPr>
              <w:t>与当事人沟通</w:t>
            </w:r>
            <w:r>
              <w:rPr>
                <w:rFonts w:hint="eastAsia" w:ascii="宋体" w:hAnsi="宋体" w:eastAsia="宋体" w:cs="宋体"/>
                <w:color w:val="auto"/>
                <w:kern w:val="0"/>
                <w:sz w:val="24"/>
                <w:highlight w:val="none"/>
              </w:rPr>
              <w:t>对接；对采购政策进行详细解读；</w:t>
            </w:r>
            <w:r>
              <w:rPr>
                <w:rFonts w:hint="eastAsia" w:ascii="宋体" w:hAnsi="宋体" w:eastAsia="宋体" w:cs="宋体"/>
                <w:color w:val="auto"/>
                <w:sz w:val="24"/>
                <w:highlight w:val="none"/>
              </w:rPr>
              <w:t>咨询答复是否热情周到、耐心细致（2分）</w:t>
            </w:r>
            <w:r>
              <w:rPr>
                <w:rFonts w:hint="eastAsia" w:ascii="宋体" w:hAnsi="宋体" w:eastAsia="宋体" w:cs="宋体"/>
                <w:color w:val="auto"/>
                <w:kern w:val="0"/>
                <w:sz w:val="24"/>
                <w:highlight w:val="none"/>
              </w:rPr>
              <w:t>。</w:t>
            </w:r>
          </w:p>
        </w:tc>
        <w:tc>
          <w:tcPr>
            <w:tcW w:w="4972" w:type="dxa"/>
            <w:gridSpan w:val="3"/>
            <w:tcBorders>
              <w:top w:val="single" w:color="auto" w:sz="4" w:space="0"/>
              <w:left w:val="nil"/>
              <w:bottom w:val="single" w:color="auto" w:sz="4" w:space="0"/>
              <w:right w:val="single" w:color="auto" w:sz="4" w:space="0"/>
            </w:tcBorders>
            <w:vAlign w:val="center"/>
          </w:tcPr>
          <w:p w14:paraId="24D33D3A">
            <w:pPr>
              <w:spacing w:line="500" w:lineRule="exact"/>
              <w:jc w:val="center"/>
              <w:rPr>
                <w:rFonts w:hint="eastAsia" w:ascii="宋体" w:hAnsi="宋体" w:eastAsia="宋体" w:cs="宋体"/>
                <w:color w:val="auto"/>
                <w:sz w:val="24"/>
                <w:highlight w:val="none"/>
              </w:rPr>
            </w:pPr>
          </w:p>
        </w:tc>
      </w:tr>
      <w:tr w14:paraId="48C0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12" w:type="dxa"/>
            <w:vMerge w:val="continue"/>
            <w:tcBorders>
              <w:top w:val="nil"/>
              <w:left w:val="single" w:color="auto" w:sz="4" w:space="0"/>
              <w:bottom w:val="single" w:color="auto" w:sz="4" w:space="0"/>
              <w:right w:val="single" w:color="auto" w:sz="4" w:space="0"/>
            </w:tcBorders>
            <w:vAlign w:val="center"/>
          </w:tcPr>
          <w:p w14:paraId="5207C51E">
            <w:pPr>
              <w:widowControl/>
              <w:jc w:val="left"/>
              <w:rPr>
                <w:rFonts w:hint="eastAsia" w:ascii="宋体" w:hAnsi="宋体" w:eastAsia="宋体" w:cs="宋体"/>
                <w:color w:val="auto"/>
                <w:sz w:val="24"/>
                <w:highlight w:val="none"/>
              </w:rPr>
            </w:pPr>
          </w:p>
        </w:tc>
        <w:tc>
          <w:tcPr>
            <w:tcW w:w="3415" w:type="dxa"/>
            <w:gridSpan w:val="3"/>
            <w:tcBorders>
              <w:top w:val="single" w:color="auto" w:sz="4" w:space="0"/>
              <w:left w:val="nil"/>
              <w:bottom w:val="single" w:color="auto" w:sz="4" w:space="0"/>
              <w:right w:val="single" w:color="auto" w:sz="4" w:space="0"/>
            </w:tcBorders>
            <w:vAlign w:val="center"/>
          </w:tcPr>
          <w:p w14:paraId="4AE5C38C">
            <w:pP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采购的质量、服务是否满意（2分）。</w:t>
            </w:r>
          </w:p>
        </w:tc>
        <w:tc>
          <w:tcPr>
            <w:tcW w:w="4972" w:type="dxa"/>
            <w:gridSpan w:val="3"/>
            <w:tcBorders>
              <w:top w:val="single" w:color="auto" w:sz="4" w:space="0"/>
              <w:left w:val="nil"/>
              <w:bottom w:val="single" w:color="auto" w:sz="4" w:space="0"/>
              <w:right w:val="single" w:color="auto" w:sz="4" w:space="0"/>
            </w:tcBorders>
            <w:vAlign w:val="center"/>
          </w:tcPr>
          <w:p w14:paraId="725B407F">
            <w:pPr>
              <w:spacing w:line="500" w:lineRule="exact"/>
              <w:jc w:val="center"/>
              <w:rPr>
                <w:rFonts w:hint="eastAsia" w:ascii="宋体" w:hAnsi="宋体" w:eastAsia="宋体" w:cs="宋体"/>
                <w:color w:val="auto"/>
                <w:sz w:val="24"/>
                <w:highlight w:val="none"/>
              </w:rPr>
            </w:pPr>
          </w:p>
        </w:tc>
      </w:tr>
      <w:tr w14:paraId="759E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312" w:type="dxa"/>
            <w:vMerge w:val="continue"/>
            <w:tcBorders>
              <w:top w:val="nil"/>
              <w:left w:val="single" w:color="auto" w:sz="4" w:space="0"/>
              <w:bottom w:val="single" w:color="auto" w:sz="4" w:space="0"/>
              <w:right w:val="single" w:color="auto" w:sz="4" w:space="0"/>
            </w:tcBorders>
            <w:vAlign w:val="center"/>
          </w:tcPr>
          <w:p w14:paraId="29C75916">
            <w:pPr>
              <w:widowControl/>
              <w:jc w:val="left"/>
              <w:rPr>
                <w:rFonts w:hint="eastAsia" w:ascii="宋体" w:hAnsi="宋体" w:eastAsia="宋体" w:cs="宋体"/>
                <w:color w:val="auto"/>
                <w:sz w:val="24"/>
                <w:highlight w:val="none"/>
              </w:rPr>
            </w:pPr>
          </w:p>
        </w:tc>
        <w:tc>
          <w:tcPr>
            <w:tcW w:w="3415" w:type="dxa"/>
            <w:gridSpan w:val="3"/>
            <w:tcBorders>
              <w:top w:val="single" w:color="auto" w:sz="4" w:space="0"/>
              <w:left w:val="nil"/>
              <w:bottom w:val="single" w:color="auto" w:sz="4" w:space="0"/>
              <w:right w:val="single" w:color="auto" w:sz="4" w:space="0"/>
            </w:tcBorders>
            <w:vAlign w:val="center"/>
          </w:tcPr>
          <w:p w14:paraId="286D0472">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c>
          <w:tcPr>
            <w:tcW w:w="4972" w:type="dxa"/>
            <w:gridSpan w:val="3"/>
            <w:tcBorders>
              <w:top w:val="single" w:color="auto" w:sz="4" w:space="0"/>
              <w:left w:val="nil"/>
              <w:bottom w:val="single" w:color="auto" w:sz="4" w:space="0"/>
              <w:right w:val="single" w:color="auto" w:sz="4" w:space="0"/>
            </w:tcBorders>
            <w:vAlign w:val="center"/>
          </w:tcPr>
          <w:p w14:paraId="31EE8A9E">
            <w:pPr>
              <w:spacing w:line="500" w:lineRule="exact"/>
              <w:jc w:val="center"/>
              <w:rPr>
                <w:rFonts w:hint="eastAsia" w:ascii="宋体" w:hAnsi="宋体" w:eastAsia="宋体" w:cs="宋体"/>
                <w:color w:val="auto"/>
                <w:sz w:val="24"/>
                <w:highlight w:val="none"/>
              </w:rPr>
            </w:pPr>
          </w:p>
        </w:tc>
      </w:tr>
      <w:tr w14:paraId="2376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312" w:type="dxa"/>
            <w:tcBorders>
              <w:top w:val="single" w:color="auto" w:sz="4" w:space="0"/>
              <w:left w:val="single" w:color="auto" w:sz="4" w:space="0"/>
              <w:bottom w:val="single" w:color="auto" w:sz="4" w:space="0"/>
              <w:right w:val="single" w:color="auto" w:sz="4" w:space="0"/>
            </w:tcBorders>
            <w:vAlign w:val="center"/>
          </w:tcPr>
          <w:p w14:paraId="140F9E3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对代理机构的意见和建议</w:t>
            </w:r>
          </w:p>
        </w:tc>
        <w:tc>
          <w:tcPr>
            <w:tcW w:w="8387" w:type="dxa"/>
            <w:gridSpan w:val="6"/>
            <w:tcBorders>
              <w:top w:val="single" w:color="auto" w:sz="4" w:space="0"/>
              <w:left w:val="nil"/>
              <w:bottom w:val="single" w:color="auto" w:sz="4" w:space="0"/>
              <w:right w:val="single" w:color="auto" w:sz="4" w:space="0"/>
            </w:tcBorders>
            <w:vAlign w:val="center"/>
          </w:tcPr>
          <w:p w14:paraId="23D8F3E7">
            <w:pPr>
              <w:jc w:val="center"/>
              <w:rPr>
                <w:rFonts w:hint="eastAsia" w:ascii="宋体" w:hAnsi="宋体" w:eastAsia="宋体" w:cs="宋体"/>
                <w:color w:val="auto"/>
                <w:sz w:val="24"/>
                <w:highlight w:val="none"/>
              </w:rPr>
            </w:pPr>
          </w:p>
        </w:tc>
      </w:tr>
      <w:tr w14:paraId="2F5B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312" w:type="dxa"/>
            <w:tcBorders>
              <w:top w:val="single" w:color="auto" w:sz="4" w:space="0"/>
              <w:left w:val="single" w:color="auto" w:sz="4" w:space="0"/>
              <w:bottom w:val="single" w:color="auto" w:sz="4" w:space="0"/>
              <w:right w:val="single" w:color="auto" w:sz="4" w:space="0"/>
            </w:tcBorders>
            <w:vAlign w:val="center"/>
          </w:tcPr>
          <w:p w14:paraId="06D7E5F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8387" w:type="dxa"/>
            <w:gridSpan w:val="6"/>
            <w:tcBorders>
              <w:top w:val="single" w:color="auto" w:sz="4" w:space="0"/>
              <w:left w:val="nil"/>
              <w:bottom w:val="single" w:color="auto" w:sz="4" w:space="0"/>
              <w:right w:val="single" w:color="auto" w:sz="4" w:space="0"/>
            </w:tcBorders>
            <w:vAlign w:val="center"/>
          </w:tcPr>
          <w:p w14:paraId="1284C758">
            <w:pPr>
              <w:jc w:val="center"/>
              <w:rPr>
                <w:rFonts w:hint="eastAsia" w:ascii="宋体" w:hAnsi="宋体" w:eastAsia="宋体" w:cs="宋体"/>
                <w:color w:val="auto"/>
                <w:sz w:val="24"/>
                <w:highlight w:val="none"/>
              </w:rPr>
            </w:pPr>
          </w:p>
        </w:tc>
      </w:tr>
    </w:tbl>
    <w:p w14:paraId="0BCA4769">
      <w:pPr>
        <w:spacing w:after="120"/>
        <w:ind w:right="1240"/>
        <w:rPr>
          <w:rFonts w:hint="eastAsia" w:ascii="宋体" w:hAnsi="宋体" w:eastAsia="宋体" w:cs="宋体"/>
          <w:color w:val="auto"/>
          <w:sz w:val="24"/>
          <w:highlight w:val="none"/>
        </w:rPr>
      </w:pPr>
      <w:r>
        <w:rPr>
          <w:rFonts w:hint="eastAsia" w:ascii="宋体" w:hAnsi="宋体" w:eastAsia="宋体" w:cs="宋体"/>
          <w:color w:val="auto"/>
          <w:sz w:val="24"/>
          <w:highlight w:val="none"/>
        </w:rPr>
        <w:t>填表人签字盖章：                    日期</w:t>
      </w:r>
    </w:p>
    <w:p w14:paraId="195207DA">
      <w:pPr>
        <w:spacing w:after="120"/>
        <w:ind w:right="-154"/>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注：投标单位须加盖单位红章。</w:t>
      </w:r>
    </w:p>
    <w:p w14:paraId="772F01DA">
      <w:pPr>
        <w:pStyle w:val="3"/>
        <w:keepNext w:val="0"/>
        <w:keepLines w:val="0"/>
        <w:pageBreakBefore/>
        <w:spacing w:line="360" w:lineRule="auto"/>
        <w:rPr>
          <w:rFonts w:ascii="宋体" w:hAnsi="宋体" w:eastAsia="宋体" w:cs="宋体"/>
          <w:b w:val="0"/>
          <w:bCs w:val="0"/>
          <w:color w:val="auto"/>
          <w:sz w:val="24"/>
          <w:szCs w:val="24"/>
          <w:highlight w:val="none"/>
        </w:rPr>
      </w:pPr>
      <w:bookmarkStart w:id="70" w:name="_Toc23206"/>
      <w:bookmarkStart w:id="71" w:name="_Toc21543"/>
      <w:r>
        <w:rPr>
          <w:rFonts w:hint="eastAsia" w:ascii="宋体" w:hAnsi="宋体" w:eastAsia="宋体" w:cs="宋体"/>
          <w:b w:val="0"/>
          <w:bCs w:val="0"/>
          <w:color w:val="auto"/>
          <w:sz w:val="24"/>
          <w:szCs w:val="24"/>
          <w:highlight w:val="none"/>
        </w:rPr>
        <w:t>附件</w:t>
      </w:r>
      <w:r>
        <w:rPr>
          <w:rFonts w:hint="eastAsia" w:ascii="宋体" w:hAnsi="宋体" w:eastAsia="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rPr>
        <w:t>：政府采购活动现场确认声明书</w:t>
      </w:r>
      <w:bookmarkEnd w:id="66"/>
      <w:bookmarkEnd w:id="70"/>
      <w:bookmarkEnd w:id="71"/>
    </w:p>
    <w:p w14:paraId="6F09E5B4">
      <w:pPr>
        <w:snapToGrid w:val="0"/>
        <w:spacing w:beforeLines="50" w:after="50" w:line="480" w:lineRule="auto"/>
        <w:jc w:val="center"/>
        <w:rPr>
          <w:rFonts w:ascii="宋体" w:hAnsi="宋体" w:cs="宋体"/>
          <w:b/>
          <w:color w:val="auto"/>
          <w:sz w:val="24"/>
          <w:highlight w:val="none"/>
        </w:rPr>
      </w:pPr>
      <w:r>
        <w:rPr>
          <w:rFonts w:hint="eastAsia" w:ascii="宋体" w:hAnsi="宋体" w:cs="宋体"/>
          <w:b/>
          <w:color w:val="auto"/>
          <w:sz w:val="24"/>
          <w:highlight w:val="none"/>
        </w:rPr>
        <w:t>政府采购活动现场确认声明书</w:t>
      </w:r>
    </w:p>
    <w:p w14:paraId="2FD37C67">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lang w:eastAsia="zh-CN"/>
        </w:rPr>
        <w:t>大地工程咨询有限公司</w:t>
      </w:r>
      <w:r>
        <w:rPr>
          <w:rFonts w:hint="eastAsia" w:ascii="宋体" w:hAnsi="宋体" w:cs="宋体"/>
          <w:color w:val="auto"/>
          <w:sz w:val="24"/>
          <w:highlight w:val="none"/>
        </w:rPr>
        <w:t xml:space="preserve"> :</w:t>
      </w:r>
    </w:p>
    <w:p w14:paraId="4034E20C">
      <w:pPr>
        <w:snapToGrid w:val="0"/>
        <w:spacing w:beforeLines="50" w:after="50" w:line="276" w:lineRule="auto"/>
        <w:ind w:firstLine="720" w:firstLineChars="300"/>
        <w:rPr>
          <w:rFonts w:ascii="宋体" w:hAnsi="宋体" w:cs="宋体"/>
          <w:color w:val="auto"/>
          <w:sz w:val="24"/>
          <w:highlight w:val="non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（授权代表姓名），经由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w:t>
      </w:r>
    </w:p>
    <w:p w14:paraId="74F8F661">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（法定代表人姓名）合法授权参加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）政府采购活动．经与本单位法人代表（负责人）联系确认，现就有关公平竞争事项郑重声明如下:</w:t>
      </w:r>
    </w:p>
    <w:p w14:paraId="4708B832">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一、本单位与采购人之间口不存在利害关系口存在下列利害关系:</w:t>
      </w:r>
    </w:p>
    <w:p w14:paraId="37FAB3AF">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A．投资关系</w:t>
      </w:r>
      <w:r>
        <w:rPr>
          <w:rFonts w:hint="eastAsia" w:ascii="宋体" w:hAnsi="宋体" w:cs="宋体"/>
          <w:color w:val="auto"/>
          <w:sz w:val="24"/>
          <w:highlight w:val="none"/>
        </w:rPr>
        <w:tab/>
      </w:r>
      <w:r>
        <w:rPr>
          <w:rFonts w:hint="eastAsia" w:ascii="宋体" w:hAnsi="宋体" w:cs="宋体"/>
          <w:color w:val="auto"/>
          <w:sz w:val="24"/>
          <w:highlight w:val="none"/>
        </w:rPr>
        <w:t>B．行政隶属关系</w:t>
      </w:r>
      <w:r>
        <w:rPr>
          <w:rFonts w:hint="eastAsia" w:ascii="宋体" w:hAnsi="宋体" w:cs="宋体"/>
          <w:color w:val="auto"/>
          <w:sz w:val="24"/>
          <w:highlight w:val="none"/>
        </w:rPr>
        <w:tab/>
      </w:r>
      <w:r>
        <w:rPr>
          <w:rFonts w:hint="eastAsia" w:ascii="宋体" w:hAnsi="宋体" w:cs="宋体"/>
          <w:color w:val="auto"/>
          <w:sz w:val="24"/>
          <w:highlight w:val="none"/>
        </w:rPr>
        <w:t>C．业务指导关系  D．其他可能影响采购公正的利害关系（如有，请如实说明）。</w:t>
      </w:r>
    </w:p>
    <w:p w14:paraId="17CF2BCF">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 xml:space="preserve">二、现己清楚知道参加本项目采购活动的其他所有供应商名称，本单位 口与其他所有供应商之间均不存在利害关系 口与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（供应商名称）之间存在下列利害关系:</w:t>
      </w:r>
    </w:p>
    <w:p w14:paraId="1050E47C">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A．法定代表人或负责人或实际控制人是同一人B．法定代表人或负责人或实际控制人是夫妻关系</w:t>
      </w:r>
    </w:p>
    <w:p w14:paraId="0B6EA893">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C.法定代表人或负责人或实际控制人是直系血亲关系</w:t>
      </w:r>
    </w:p>
    <w:p w14:paraId="08280757">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D.法定代表人或负责人或实际控制人存在三代以内旁系血亲关系</w:t>
      </w:r>
    </w:p>
    <w:p w14:paraId="7C0CD934">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E．法定代表人或负责人或实际控制人存在近姻亲关系</w:t>
      </w:r>
    </w:p>
    <w:p w14:paraId="65F2C8DF">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F．法定代表人或负责人或实际控制人存在股份控制或实际控制关系</w:t>
      </w:r>
    </w:p>
    <w:p w14:paraId="4665EEF7">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G．存在共同直接或间接投资设立子公司、联营企业和合营企业情况</w:t>
      </w:r>
    </w:p>
    <w:p w14:paraId="008A8D27">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H.存在分级代理或代销关系、同一生产制造商关系、管理关系、重要业务（占主昔业务收入 50 ％以上）或重要财务往来关系（如融资）等其他实质性控制关系</w:t>
      </w:r>
    </w:p>
    <w:p w14:paraId="3C95C648">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I.其他利害关系情况</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w:t>
      </w:r>
    </w:p>
    <w:p w14:paraId="0FD416B6">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三、现己清楚知道并严格遵守政府采购法律法规和现场纪律。</w:t>
      </w:r>
    </w:p>
    <w:p w14:paraId="56B758D8">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四、我发现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供应商之间存在或可能存在上述第二条第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项利害关系。</w:t>
      </w:r>
    </w:p>
    <w:p w14:paraId="24FB5908">
      <w:pPr>
        <w:snapToGrid w:val="0"/>
        <w:spacing w:beforeLines="50" w:after="50" w:line="276" w:lineRule="auto"/>
        <w:rPr>
          <w:rFonts w:ascii="宋体" w:hAnsi="宋体" w:cs="宋体"/>
          <w:color w:val="auto"/>
          <w:sz w:val="24"/>
          <w:highlight w:val="none"/>
        </w:rPr>
      </w:pPr>
    </w:p>
    <w:p w14:paraId="5F662E81">
      <w:pPr>
        <w:pStyle w:val="15"/>
        <w:rPr>
          <w:color w:val="auto"/>
          <w:highlight w:val="none"/>
        </w:rPr>
      </w:pPr>
    </w:p>
    <w:p w14:paraId="3F7B9E47">
      <w:pPr>
        <w:snapToGrid w:val="0"/>
        <w:spacing w:beforeLines="50" w:after="50" w:line="276" w:lineRule="auto"/>
        <w:jc w:val="center"/>
        <w:rPr>
          <w:rFonts w:ascii="宋体" w:hAnsi="宋体" w:cs="宋体"/>
          <w:color w:val="auto"/>
          <w:sz w:val="24"/>
          <w:highlight w:val="none"/>
        </w:rPr>
      </w:pPr>
      <w:r>
        <w:rPr>
          <w:rFonts w:hint="eastAsia" w:ascii="宋体" w:hAnsi="宋体" w:cs="宋体"/>
          <w:color w:val="auto"/>
          <w:sz w:val="24"/>
          <w:highlight w:val="none"/>
        </w:rPr>
        <w:t xml:space="preserve">（供应商代表签名）: </w:t>
      </w:r>
    </w:p>
    <w:p w14:paraId="7B85EE1D">
      <w:pPr>
        <w:snapToGrid w:val="0"/>
        <w:spacing w:beforeLines="50" w:after="50" w:line="276" w:lineRule="auto"/>
        <w:jc w:val="center"/>
        <w:rPr>
          <w:rFonts w:ascii="宋体" w:hAnsi="宋体" w:cs="宋体"/>
          <w:b/>
          <w:color w:val="auto"/>
          <w:sz w:val="24"/>
          <w:highlight w:val="none"/>
        </w:rPr>
      </w:pPr>
      <w:r>
        <w:rPr>
          <w:rFonts w:hint="eastAsia" w:ascii="宋体" w:hAnsi="宋体" w:cs="宋体"/>
          <w:color w:val="auto"/>
          <w:sz w:val="24"/>
          <w:highlight w:val="none"/>
        </w:rPr>
        <w:t xml:space="preserve">                                                     年   月   日</w:t>
      </w:r>
    </w:p>
    <w:p w14:paraId="6FFD9520">
      <w:pPr>
        <w:pStyle w:val="3"/>
        <w:keepNext w:val="0"/>
        <w:keepLines w:val="0"/>
        <w:pageBreakBefore/>
        <w:spacing w:line="276" w:lineRule="auto"/>
        <w:rPr>
          <w:rFonts w:ascii="宋体" w:hAnsi="宋体" w:eastAsia="宋体" w:cs="宋体"/>
          <w:b w:val="0"/>
          <w:color w:val="auto"/>
          <w:sz w:val="24"/>
          <w:szCs w:val="24"/>
          <w:highlight w:val="none"/>
        </w:rPr>
      </w:pPr>
      <w:bookmarkStart w:id="72" w:name="_Toc4686"/>
      <w:bookmarkStart w:id="73" w:name="_Toc14517"/>
      <w:r>
        <w:rPr>
          <w:rFonts w:hint="eastAsia" w:ascii="宋体" w:hAnsi="宋体" w:eastAsia="宋体" w:cs="宋体"/>
          <w:b w:val="0"/>
          <w:color w:val="auto"/>
          <w:sz w:val="24"/>
          <w:szCs w:val="24"/>
          <w:highlight w:val="none"/>
        </w:rPr>
        <w:t>附件</w:t>
      </w:r>
      <w:r>
        <w:rPr>
          <w:rFonts w:hint="eastAsia" w:ascii="宋体" w:hAnsi="宋体" w:eastAsia="宋体" w:cs="宋体"/>
          <w:b w:val="0"/>
          <w:color w:val="auto"/>
          <w:sz w:val="24"/>
          <w:szCs w:val="24"/>
          <w:highlight w:val="none"/>
          <w:lang w:val="en-US" w:eastAsia="zh-CN"/>
        </w:rPr>
        <w:t>五</w:t>
      </w:r>
      <w:r>
        <w:rPr>
          <w:rFonts w:hint="eastAsia" w:ascii="宋体" w:hAnsi="宋体" w:eastAsia="宋体" w:cs="宋体"/>
          <w:b w:val="0"/>
          <w:color w:val="auto"/>
          <w:sz w:val="24"/>
          <w:szCs w:val="24"/>
          <w:highlight w:val="none"/>
        </w:rPr>
        <w:t>：法定代表人授权委托书</w:t>
      </w:r>
      <w:bookmarkEnd w:id="72"/>
      <w:bookmarkEnd w:id="73"/>
    </w:p>
    <w:p w14:paraId="33A17BF8">
      <w:pPr>
        <w:snapToGrid w:val="0"/>
        <w:spacing w:beforeLines="50" w:after="50" w:line="276" w:lineRule="auto"/>
        <w:jc w:val="center"/>
        <w:rPr>
          <w:rFonts w:ascii="宋体" w:hAnsi="宋体" w:cs="宋体"/>
          <w:b/>
          <w:color w:val="auto"/>
          <w:sz w:val="24"/>
          <w:highlight w:val="none"/>
        </w:rPr>
      </w:pPr>
      <w:r>
        <w:rPr>
          <w:rFonts w:hint="eastAsia" w:ascii="宋体" w:hAnsi="宋体" w:cs="宋体"/>
          <w:b/>
          <w:color w:val="auto"/>
          <w:sz w:val="24"/>
          <w:highlight w:val="none"/>
        </w:rPr>
        <w:t>法定代表人授权委托书</w:t>
      </w:r>
    </w:p>
    <w:p w14:paraId="14BD232F">
      <w:pPr>
        <w:snapToGrid w:val="0"/>
        <w:spacing w:beforeLines="50" w:after="50" w:line="276" w:lineRule="auto"/>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（招标采购单位名称）：</w:t>
      </w:r>
    </w:p>
    <w:p w14:paraId="2825CADA">
      <w:pPr>
        <w:snapToGrid w:val="0"/>
        <w:spacing w:beforeLines="50" w:after="50" w:line="276" w:lineRule="auto"/>
        <w:ind w:firstLine="720" w:firstLineChars="3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（供应商名称）的法定代表人，现授权委托本单位在职职工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（姓名）以我方的名义参加</w:t>
      </w:r>
      <w:r>
        <w:rPr>
          <w:rFonts w:hint="eastAsia" w:ascii="宋体" w:hAnsi="宋体" w:cs="宋体"/>
          <w:color w:val="auto"/>
          <w:sz w:val="24"/>
          <w:highlight w:val="none"/>
          <w:u w:val="single"/>
          <w:lang w:eastAsia="zh-CN"/>
        </w:rPr>
        <w:t xml:space="preserve">东阳市肛肠外科医院4000kVA双电源配电工程采购项目 </w:t>
      </w:r>
      <w:r>
        <w:rPr>
          <w:rFonts w:hint="eastAsia" w:ascii="宋体" w:hAnsi="宋体" w:cs="宋体"/>
          <w:color w:val="auto"/>
          <w:sz w:val="24"/>
          <w:highlight w:val="none"/>
        </w:rPr>
        <w:t>的磋商活动，并代表我方全权办理针对上述项目的磋商、开标、签约等具体事务和签署相关文件。</w:t>
      </w:r>
    </w:p>
    <w:p w14:paraId="752CAD61">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我方对委托代理人的签名事项负全部责任。</w:t>
      </w:r>
    </w:p>
    <w:p w14:paraId="3D42A845">
      <w:pPr>
        <w:snapToGrid w:val="0"/>
        <w:spacing w:beforeLines="50" w:after="50" w:line="276" w:lineRule="auto"/>
        <w:ind w:firstLine="480"/>
        <w:rPr>
          <w:rFonts w:ascii="宋体" w:hAnsi="宋体" w:cs="宋体"/>
          <w:color w:val="auto"/>
          <w:sz w:val="24"/>
          <w:highlight w:val="none"/>
        </w:rPr>
      </w:pPr>
      <w:r>
        <w:rPr>
          <w:rFonts w:hint="eastAsia" w:ascii="宋体" w:hAnsi="宋体" w:cs="宋体"/>
          <w:color w:val="auto"/>
          <w:sz w:val="24"/>
          <w:highlight w:val="none"/>
          <w:u w:val="single"/>
        </w:rPr>
        <w:t>在撤销授权的书面通知以前，本授权书一直有效。</w:t>
      </w:r>
      <w:r>
        <w:rPr>
          <w:rFonts w:hint="eastAsia" w:ascii="宋体" w:hAnsi="宋体" w:cs="宋体"/>
          <w:color w:val="auto"/>
          <w:sz w:val="24"/>
          <w:highlight w:val="none"/>
        </w:rPr>
        <w:t>委托代理人在授权书有效期内签署的所有文件不因授权的撤销而失效。</w:t>
      </w:r>
    </w:p>
    <w:p w14:paraId="66C85F0D">
      <w:pPr>
        <w:snapToGrid w:val="0"/>
        <w:spacing w:beforeLines="50" w:after="50" w:line="276" w:lineRule="auto"/>
        <w:ind w:firstLine="48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1BC76794">
      <w:pPr>
        <w:snapToGrid w:val="0"/>
        <w:spacing w:beforeLines="50" w:after="50" w:line="276" w:lineRule="auto"/>
        <w:rPr>
          <w:rFonts w:ascii="宋体" w:hAnsi="宋体" w:cs="宋体"/>
          <w:color w:val="auto"/>
          <w:sz w:val="24"/>
          <w:highlight w:val="none"/>
          <w:u w:val="single"/>
        </w:rPr>
      </w:pPr>
      <w:r>
        <w:rPr>
          <w:rFonts w:hint="eastAsia" w:ascii="宋体" w:hAnsi="宋体" w:cs="宋体"/>
          <w:color w:val="auto"/>
          <w:sz w:val="24"/>
          <w:highlight w:val="none"/>
        </w:rPr>
        <w:t>委托代理人签名：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法定代表人签名：</w:t>
      </w:r>
      <w:r>
        <w:rPr>
          <w:rFonts w:hint="eastAsia" w:ascii="宋体" w:hAnsi="宋体" w:cs="宋体"/>
          <w:color w:val="auto"/>
          <w:sz w:val="24"/>
          <w:highlight w:val="none"/>
          <w:u w:val="single"/>
        </w:rPr>
        <w:t xml:space="preserve">          </w:t>
      </w:r>
    </w:p>
    <w:p w14:paraId="6862F20B">
      <w:pPr>
        <w:snapToGrid w:val="0"/>
        <w:spacing w:beforeLines="50" w:after="50" w:line="276" w:lineRule="auto"/>
        <w:ind w:firstLine="960" w:firstLineChars="400"/>
        <w:rPr>
          <w:rFonts w:ascii="宋体" w:hAnsi="宋体" w:cs="宋体"/>
          <w:color w:val="auto"/>
          <w:sz w:val="24"/>
          <w:highlight w:val="none"/>
        </w:rPr>
      </w:pP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p>
    <w:p w14:paraId="471A27BF">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委托代理人身份证复印件（正反双面）：</w:t>
      </w:r>
    </w:p>
    <w:tbl>
      <w:tblPr>
        <w:tblStyle w:val="38"/>
        <w:tblpPr w:leftFromText="180" w:rightFromText="180" w:vertAnchor="text" w:tblpX="109" w:tblpY="151"/>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328"/>
      </w:tblGrid>
      <w:tr w14:paraId="3D00F18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232" w:hRule="atLeast"/>
        </w:trPr>
        <w:tc>
          <w:tcPr>
            <w:tcW w:w="5328" w:type="dxa"/>
          </w:tcPr>
          <w:p w14:paraId="5765A7C5">
            <w:pPr>
              <w:snapToGrid w:val="0"/>
              <w:spacing w:beforeLines="50" w:after="50" w:line="276" w:lineRule="auto"/>
              <w:rPr>
                <w:rFonts w:ascii="宋体" w:hAnsi="宋体" w:cs="宋体"/>
                <w:color w:val="auto"/>
                <w:sz w:val="24"/>
                <w:highlight w:val="none"/>
              </w:rPr>
            </w:pPr>
          </w:p>
          <w:p w14:paraId="675E0AB2">
            <w:pPr>
              <w:snapToGrid w:val="0"/>
              <w:spacing w:beforeLines="50" w:after="50" w:line="276" w:lineRule="auto"/>
              <w:rPr>
                <w:rFonts w:ascii="宋体" w:hAnsi="宋体" w:cs="宋体"/>
                <w:color w:val="auto"/>
                <w:sz w:val="24"/>
                <w:highlight w:val="none"/>
              </w:rPr>
            </w:pPr>
          </w:p>
          <w:p w14:paraId="5395EEA8">
            <w:pPr>
              <w:snapToGrid w:val="0"/>
              <w:spacing w:beforeLines="50" w:after="50" w:line="276" w:lineRule="auto"/>
              <w:rPr>
                <w:rFonts w:ascii="宋体" w:hAnsi="宋体" w:cs="宋体"/>
                <w:color w:val="auto"/>
                <w:sz w:val="24"/>
                <w:highlight w:val="none"/>
              </w:rPr>
            </w:pPr>
          </w:p>
          <w:p w14:paraId="372F2A8A">
            <w:pPr>
              <w:snapToGrid w:val="0"/>
              <w:spacing w:beforeLines="50" w:after="50" w:line="276" w:lineRule="auto"/>
              <w:jc w:val="center"/>
              <w:rPr>
                <w:rFonts w:ascii="宋体" w:hAnsi="宋体" w:cs="宋体"/>
                <w:color w:val="auto"/>
                <w:sz w:val="24"/>
                <w:highlight w:val="none"/>
              </w:rPr>
            </w:pPr>
            <w:r>
              <w:rPr>
                <w:rFonts w:hint="eastAsia" w:ascii="宋体" w:hAnsi="宋体" w:cs="宋体"/>
                <w:color w:val="auto"/>
                <w:sz w:val="24"/>
                <w:highlight w:val="none"/>
              </w:rPr>
              <w:t>粘</w:t>
            </w:r>
          </w:p>
          <w:p w14:paraId="53D1ACD8">
            <w:pPr>
              <w:snapToGrid w:val="0"/>
              <w:spacing w:beforeLines="50" w:after="50" w:line="276" w:lineRule="auto"/>
              <w:jc w:val="center"/>
              <w:rPr>
                <w:rFonts w:ascii="宋体" w:hAnsi="宋体" w:cs="宋体"/>
                <w:color w:val="auto"/>
                <w:sz w:val="24"/>
                <w:highlight w:val="none"/>
              </w:rPr>
            </w:pPr>
          </w:p>
          <w:p w14:paraId="32390441">
            <w:pPr>
              <w:snapToGrid w:val="0"/>
              <w:spacing w:beforeLines="50" w:after="50" w:line="276" w:lineRule="auto"/>
              <w:jc w:val="center"/>
              <w:rPr>
                <w:rFonts w:ascii="宋体" w:hAnsi="宋体" w:cs="宋体"/>
                <w:color w:val="auto"/>
                <w:sz w:val="24"/>
                <w:highlight w:val="none"/>
              </w:rPr>
            </w:pPr>
            <w:r>
              <w:rPr>
                <w:rFonts w:hint="eastAsia" w:ascii="宋体" w:hAnsi="宋体" w:cs="宋体"/>
                <w:color w:val="auto"/>
                <w:sz w:val="24"/>
                <w:highlight w:val="none"/>
              </w:rPr>
              <w:t>贴</w:t>
            </w:r>
          </w:p>
          <w:p w14:paraId="3D8DFEF6">
            <w:pPr>
              <w:snapToGrid w:val="0"/>
              <w:spacing w:beforeLines="50" w:after="50" w:line="276" w:lineRule="auto"/>
              <w:jc w:val="center"/>
              <w:rPr>
                <w:rFonts w:ascii="宋体" w:hAnsi="宋体" w:cs="宋体"/>
                <w:color w:val="auto"/>
                <w:sz w:val="24"/>
                <w:highlight w:val="none"/>
              </w:rPr>
            </w:pPr>
          </w:p>
          <w:p w14:paraId="014E6058">
            <w:pPr>
              <w:snapToGrid w:val="0"/>
              <w:spacing w:beforeLines="50" w:after="50" w:line="276" w:lineRule="auto"/>
              <w:jc w:val="center"/>
              <w:rPr>
                <w:rFonts w:ascii="宋体" w:hAnsi="宋体" w:cs="宋体"/>
                <w:color w:val="auto"/>
                <w:sz w:val="24"/>
                <w:highlight w:val="none"/>
              </w:rPr>
            </w:pPr>
            <w:r>
              <w:rPr>
                <w:rFonts w:hint="eastAsia" w:ascii="宋体" w:hAnsi="宋体" w:cs="宋体"/>
                <w:color w:val="auto"/>
                <w:sz w:val="24"/>
                <w:highlight w:val="none"/>
              </w:rPr>
              <w:t>处</w:t>
            </w:r>
          </w:p>
        </w:tc>
      </w:tr>
    </w:tbl>
    <w:p w14:paraId="287D5CC4">
      <w:pPr>
        <w:snapToGrid w:val="0"/>
        <w:spacing w:beforeLines="50" w:after="50" w:line="276" w:lineRule="auto"/>
        <w:rPr>
          <w:rFonts w:ascii="宋体" w:hAnsi="宋体" w:cs="宋体"/>
          <w:color w:val="auto"/>
          <w:sz w:val="24"/>
          <w:highlight w:val="none"/>
        </w:rPr>
      </w:pPr>
    </w:p>
    <w:p w14:paraId="25CF8A05">
      <w:pPr>
        <w:snapToGrid w:val="0"/>
        <w:spacing w:beforeLines="50" w:after="50" w:line="276" w:lineRule="auto"/>
        <w:rPr>
          <w:rFonts w:ascii="宋体" w:hAnsi="宋体" w:cs="宋体"/>
          <w:color w:val="auto"/>
          <w:sz w:val="24"/>
          <w:highlight w:val="none"/>
        </w:rPr>
      </w:pPr>
    </w:p>
    <w:p w14:paraId="6E4D3569">
      <w:pPr>
        <w:snapToGrid w:val="0"/>
        <w:spacing w:beforeLines="50" w:after="50" w:line="276" w:lineRule="auto"/>
        <w:rPr>
          <w:rFonts w:ascii="宋体" w:hAnsi="宋体" w:cs="宋体"/>
          <w:color w:val="auto"/>
          <w:sz w:val="24"/>
          <w:highlight w:val="none"/>
        </w:rPr>
      </w:pPr>
    </w:p>
    <w:p w14:paraId="50239393">
      <w:pPr>
        <w:snapToGrid w:val="0"/>
        <w:spacing w:beforeLines="50" w:after="50" w:line="276" w:lineRule="auto"/>
        <w:rPr>
          <w:rFonts w:ascii="宋体" w:hAnsi="宋体" w:cs="宋体"/>
          <w:color w:val="auto"/>
          <w:sz w:val="24"/>
          <w:highlight w:val="none"/>
        </w:rPr>
      </w:pPr>
    </w:p>
    <w:p w14:paraId="27ABF6B8">
      <w:pPr>
        <w:snapToGrid w:val="0"/>
        <w:spacing w:beforeLines="50" w:after="50" w:line="276" w:lineRule="auto"/>
        <w:rPr>
          <w:rFonts w:ascii="宋体" w:hAnsi="宋体" w:cs="宋体"/>
          <w:color w:val="auto"/>
          <w:sz w:val="24"/>
          <w:highlight w:val="none"/>
        </w:rPr>
      </w:pPr>
    </w:p>
    <w:p w14:paraId="4D5E194E">
      <w:pPr>
        <w:snapToGrid w:val="0"/>
        <w:spacing w:beforeLines="50" w:after="50" w:line="276" w:lineRule="auto"/>
        <w:rPr>
          <w:rFonts w:ascii="宋体" w:hAnsi="宋体" w:cs="宋体"/>
          <w:color w:val="auto"/>
          <w:sz w:val="24"/>
          <w:highlight w:val="none"/>
        </w:rPr>
      </w:pPr>
    </w:p>
    <w:p w14:paraId="5C1C66C7">
      <w:pPr>
        <w:snapToGrid w:val="0"/>
        <w:spacing w:beforeLines="50" w:after="50" w:line="276" w:lineRule="auto"/>
        <w:rPr>
          <w:rFonts w:ascii="宋体" w:hAnsi="宋体" w:cs="宋体"/>
          <w:color w:val="auto"/>
          <w:sz w:val="24"/>
          <w:highlight w:val="none"/>
        </w:rPr>
      </w:pPr>
    </w:p>
    <w:p w14:paraId="21D8BC53">
      <w:pPr>
        <w:snapToGrid w:val="0"/>
        <w:spacing w:beforeLines="50" w:after="50" w:line="276" w:lineRule="auto"/>
        <w:rPr>
          <w:rFonts w:ascii="宋体" w:hAnsi="宋体" w:cs="宋体"/>
          <w:color w:val="auto"/>
          <w:sz w:val="24"/>
          <w:highlight w:val="none"/>
        </w:rPr>
      </w:pPr>
    </w:p>
    <w:p w14:paraId="74C94B11">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3C096502">
      <w:pPr>
        <w:snapToGrid w:val="0"/>
        <w:spacing w:beforeLines="50" w:after="50" w:line="276" w:lineRule="auto"/>
        <w:rPr>
          <w:rFonts w:ascii="宋体" w:hAnsi="宋体" w:cs="宋体"/>
          <w:color w:val="auto"/>
          <w:sz w:val="24"/>
          <w:highlight w:val="none"/>
        </w:rPr>
      </w:pPr>
    </w:p>
    <w:p w14:paraId="45308D2C">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58417C40">
      <w:pPr>
        <w:snapToGrid w:val="0"/>
        <w:spacing w:beforeLines="50" w:after="50" w:line="276" w:lineRule="auto"/>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11B25BD6">
      <w:pPr>
        <w:snapToGrid w:val="0"/>
        <w:spacing w:beforeLines="50" w:after="50" w:line="276" w:lineRule="auto"/>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注；此表格格式不得修改。</w:t>
      </w:r>
    </w:p>
    <w:p w14:paraId="23DA0A69">
      <w:pPr>
        <w:pStyle w:val="3"/>
        <w:keepNext w:val="0"/>
        <w:keepLines w:val="0"/>
        <w:pageBreakBefore/>
        <w:spacing w:line="276" w:lineRule="auto"/>
        <w:rPr>
          <w:rFonts w:ascii="宋体" w:hAnsi="宋体" w:eastAsia="宋体" w:cs="宋体"/>
          <w:b w:val="0"/>
          <w:color w:val="auto"/>
          <w:sz w:val="24"/>
          <w:szCs w:val="24"/>
          <w:highlight w:val="none"/>
        </w:rPr>
      </w:pPr>
      <w:bookmarkStart w:id="74" w:name="_Toc16972"/>
      <w:bookmarkStart w:id="75" w:name="_Toc22508"/>
      <w:bookmarkStart w:id="76" w:name="_Toc21978"/>
      <w:bookmarkStart w:id="77" w:name="_Toc25167"/>
      <w:r>
        <w:rPr>
          <w:rFonts w:hint="eastAsia" w:ascii="宋体" w:hAnsi="宋体" w:eastAsia="宋体" w:cs="宋体"/>
          <w:b w:val="0"/>
          <w:color w:val="auto"/>
          <w:sz w:val="24"/>
          <w:szCs w:val="24"/>
          <w:highlight w:val="none"/>
        </w:rPr>
        <w:t>附件</w:t>
      </w:r>
      <w:r>
        <w:rPr>
          <w:rFonts w:hint="eastAsia" w:ascii="宋体" w:hAnsi="宋体" w:eastAsia="宋体" w:cs="宋体"/>
          <w:b w:val="0"/>
          <w:color w:val="auto"/>
          <w:sz w:val="24"/>
          <w:szCs w:val="24"/>
          <w:highlight w:val="none"/>
          <w:lang w:val="en-US" w:eastAsia="zh-CN"/>
        </w:rPr>
        <w:t>六</w:t>
      </w:r>
      <w:r>
        <w:rPr>
          <w:rFonts w:hint="eastAsia" w:ascii="宋体" w:hAnsi="宋体" w:eastAsia="宋体" w:cs="宋体"/>
          <w:b w:val="0"/>
          <w:color w:val="auto"/>
          <w:sz w:val="24"/>
          <w:szCs w:val="24"/>
          <w:highlight w:val="none"/>
        </w:rPr>
        <w:t>：联合体协议</w:t>
      </w:r>
      <w:bookmarkEnd w:id="74"/>
      <w:bookmarkEnd w:id="75"/>
      <w:bookmarkEnd w:id="76"/>
      <w:bookmarkEnd w:id="77"/>
    </w:p>
    <w:p w14:paraId="2DD98CE1">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联合体协议</w:t>
      </w:r>
    </w:p>
    <w:p w14:paraId="3B080CA2">
      <w:pPr>
        <w:snapToGrid w:val="0"/>
        <w:spacing w:line="360" w:lineRule="auto"/>
        <w:ind w:firstLine="576"/>
        <w:rPr>
          <w:rFonts w:hint="eastAsia" w:ascii="宋体" w:hAnsi="宋体" w:eastAsia="宋体" w:cs="宋体"/>
          <w:b/>
          <w:bCs/>
          <w:color w:val="auto"/>
          <w:kern w:val="0"/>
          <w:sz w:val="24"/>
          <w:highlight w:val="none"/>
          <w:u w:val="single"/>
        </w:rPr>
      </w:pPr>
      <w:r>
        <w:rPr>
          <w:rFonts w:hint="eastAsia" w:ascii="宋体" w:hAnsi="宋体" w:eastAsia="宋体" w:cs="宋体"/>
          <w:b/>
          <w:bCs/>
          <w:color w:val="auto"/>
          <w:kern w:val="0"/>
          <w:sz w:val="24"/>
          <w:highlight w:val="none"/>
          <w:u w:val="single"/>
        </w:rPr>
        <w:t>（以联合体形式投标的，提供联合协议；本项目不接受联合体投标或者供应商不以联合体形式投标的，则不需要提供）</w:t>
      </w:r>
    </w:p>
    <w:p w14:paraId="7D559E9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（联合体所有成员名称）</w:t>
      </w:r>
      <w:r>
        <w:rPr>
          <w:rFonts w:hint="eastAsia" w:ascii="宋体" w:hAnsi="宋体" w:eastAsia="宋体" w:cs="宋体"/>
          <w:color w:val="auto"/>
          <w:kern w:val="0"/>
          <w:sz w:val="24"/>
          <w:highlight w:val="none"/>
        </w:rPr>
        <w:t>自愿</w:t>
      </w:r>
      <w:r>
        <w:rPr>
          <w:rFonts w:hint="eastAsia" w:ascii="宋体" w:hAnsi="宋体" w:eastAsia="宋体" w:cs="宋体"/>
          <w:color w:val="auto"/>
          <w:kern w:val="0"/>
          <w:sz w:val="24"/>
          <w:highlight w:val="none"/>
          <w:lang w:val="zh-CN"/>
        </w:rPr>
        <w:t>组成一个联合体，以一个供应商的身份</w:t>
      </w:r>
      <w:r>
        <w:rPr>
          <w:rFonts w:hint="eastAsia" w:ascii="宋体" w:hAnsi="宋体" w:eastAsia="宋体" w:cs="宋体"/>
          <w:color w:val="auto"/>
          <w:kern w:val="0"/>
          <w:sz w:val="24"/>
          <w:highlight w:val="none"/>
        </w:rPr>
        <w:t>参加</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 xml:space="preserve">投标。 </w:t>
      </w:r>
    </w:p>
    <w:p w14:paraId="16F4A0E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一、各方一致决定，</w:t>
      </w:r>
      <w:r>
        <w:rPr>
          <w:rFonts w:hint="eastAsia" w:ascii="宋体" w:hAnsi="宋体" w:eastAsia="宋体" w:cs="宋体"/>
          <w:color w:val="auto"/>
          <w:kern w:val="0"/>
          <w:sz w:val="24"/>
          <w:highlight w:val="none"/>
          <w:u w:val="single"/>
        </w:rPr>
        <w:t>（某联合体成员名称）</w:t>
      </w:r>
      <w:r>
        <w:rPr>
          <w:rFonts w:hint="eastAsia" w:ascii="宋体" w:hAnsi="宋体" w:eastAsia="宋体" w:cs="宋体"/>
          <w:color w:val="auto"/>
          <w:kern w:val="0"/>
          <w:sz w:val="24"/>
          <w:highlight w:val="none"/>
        </w:rPr>
        <w:t>为联合体</w:t>
      </w:r>
      <w:r>
        <w:rPr>
          <w:rFonts w:hint="eastAsia" w:ascii="宋体" w:hAnsi="宋体" w:eastAsia="宋体" w:cs="宋体"/>
          <w:color w:val="auto"/>
          <w:kern w:val="0"/>
          <w:sz w:val="24"/>
          <w:highlight w:val="none"/>
          <w:lang w:val="zh-CN"/>
        </w:rPr>
        <w:t>牵头人</w:t>
      </w:r>
      <w:r>
        <w:rPr>
          <w:rFonts w:hint="eastAsia" w:ascii="宋体" w:hAnsi="宋体" w:eastAsia="宋体" w:cs="宋体"/>
          <w:color w:val="auto"/>
          <w:sz w:val="24"/>
          <w:highlight w:val="none"/>
        </w:rPr>
        <w:t>，代表所有联合体成员负责投标和合同实施阶段的主办、协调工作</w:t>
      </w:r>
      <w:r>
        <w:rPr>
          <w:rFonts w:hint="eastAsia" w:ascii="宋体" w:hAnsi="宋体" w:eastAsia="宋体" w:cs="宋体"/>
          <w:color w:val="auto"/>
          <w:kern w:val="0"/>
          <w:sz w:val="24"/>
          <w:highlight w:val="none"/>
          <w:lang w:val="zh-CN"/>
        </w:rPr>
        <w:t>。</w:t>
      </w:r>
    </w:p>
    <w:p w14:paraId="7F6A953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w:t>
      </w:r>
      <w:r>
        <w:rPr>
          <w:rFonts w:hint="eastAsia" w:ascii="宋体" w:hAnsi="宋体" w:eastAsia="宋体" w:cs="宋体"/>
          <w:color w:val="auto"/>
          <w:sz w:val="24"/>
          <w:highlight w:val="none"/>
        </w:rPr>
        <w:t>所有联合体成员各方签署授权书，授权书载明的</w:t>
      </w:r>
      <w:r>
        <w:rPr>
          <w:rFonts w:hint="eastAsia" w:ascii="宋体" w:hAnsi="宋体" w:eastAsia="宋体" w:cs="宋体"/>
          <w:color w:val="auto"/>
          <w:kern w:val="0"/>
          <w:sz w:val="24"/>
          <w:highlight w:val="none"/>
          <w:lang w:val="zh-CN"/>
        </w:rPr>
        <w:t>授权代表根据竞争性磋商文件规定及投标内容而对采购人、采购机构所作的任何合法承诺，包括书面澄清及相应等均对联合投标各方产生约束力。</w:t>
      </w:r>
    </w:p>
    <w:p w14:paraId="6E07ED22">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三、本次联合投标中，分工如下：</w:t>
      </w:r>
      <w:r>
        <w:rPr>
          <w:rFonts w:hint="eastAsia" w:ascii="宋体" w:hAnsi="宋体" w:eastAsia="宋体" w:cs="宋体"/>
          <w:color w:val="auto"/>
          <w:kern w:val="0"/>
          <w:sz w:val="24"/>
          <w:highlight w:val="none"/>
          <w:u w:val="single"/>
        </w:rPr>
        <w:t>（联合体其中一方成员名称）</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29BD96D4">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w:t>
      </w:r>
      <w:r>
        <w:rPr>
          <w:rFonts w:hint="eastAsia" w:ascii="宋体" w:hAnsi="宋体" w:eastAsia="宋体" w:cs="宋体"/>
          <w:color w:val="auto"/>
          <w:kern w:val="0"/>
          <w:sz w:val="24"/>
          <w:highlight w:val="none"/>
          <w:u w:val="single"/>
        </w:rPr>
        <w:t>（联合体其中一方成员名称）</w:t>
      </w:r>
      <w:r>
        <w:rPr>
          <w:rFonts w:hint="eastAsia" w:ascii="宋体" w:hAnsi="宋体" w:eastAsia="宋体" w:cs="宋体"/>
          <w:color w:val="auto"/>
          <w:kern w:val="0"/>
          <w:sz w:val="24"/>
          <w:highlight w:val="none"/>
        </w:rPr>
        <w:t>提供的全部货物/服务由小微企业制造/服务，其合同份额占到合同总金额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p>
    <w:p w14:paraId="66E46963">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五、如果中标，</w:t>
      </w:r>
      <w:r>
        <w:rPr>
          <w:rFonts w:hint="eastAsia" w:ascii="宋体" w:hAnsi="宋体" w:eastAsia="宋体" w:cs="宋体"/>
          <w:color w:val="auto"/>
          <w:sz w:val="24"/>
          <w:highlight w:val="none"/>
        </w:rPr>
        <w:t>联合体各成员方共同与采购人签订合同，并就采购合同约定的事项对采购人承担连带责任。</w:t>
      </w:r>
    </w:p>
    <w:p w14:paraId="6142AFC3">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六、有关本次联合投标的其他事宜：</w:t>
      </w:r>
    </w:p>
    <w:p w14:paraId="2EC5D577">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1、联合体各方不再单独参加或者与其他供应商另外组成联合体参加同一合同项下的政府采购活动。</w:t>
      </w:r>
    </w:p>
    <w:p w14:paraId="35A2827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2、联合体中有同类资质的各方按照联合体分工承担相同工作的，按照资质等级较低的供应商确定资质等级。</w:t>
      </w:r>
    </w:p>
    <w:p w14:paraId="65E4B19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3、本协议提交采购人、采购机构后，联合体各方不得以任何形式对上述内容进行修改或撤销。</w:t>
      </w:r>
    </w:p>
    <w:p w14:paraId="29601D45">
      <w:pPr>
        <w:snapToGrid w:val="0"/>
        <w:spacing w:line="360" w:lineRule="auto"/>
        <w:ind w:firstLine="5040" w:firstLineChars="21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联合体成员名称(公章)：</w:t>
      </w:r>
    </w:p>
    <w:p w14:paraId="3294DAA3">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473D195A">
      <w:pPr>
        <w:snapToGrid w:val="0"/>
        <w:spacing w:line="360" w:lineRule="auto"/>
        <w:ind w:right="480"/>
        <w:rPr>
          <w:rFonts w:hint="eastAsia" w:ascii="宋体" w:hAnsi="宋体" w:eastAsia="宋体" w:cs="宋体"/>
          <w:b/>
          <w:color w:val="auto"/>
          <w:kern w:val="0"/>
          <w:sz w:val="32"/>
          <w:szCs w:val="32"/>
          <w:highlight w:val="none"/>
          <w:lang w:val="zh-CN"/>
        </w:rPr>
        <w:sectPr>
          <w:headerReference r:id="rId4" w:type="first"/>
          <w:footerReference r:id="rId6" w:type="first"/>
          <w:headerReference r:id="rId3" w:type="default"/>
          <w:footerReference r:id="rId5" w:type="default"/>
          <w:pgSz w:w="11906" w:h="16838"/>
          <w:pgMar w:top="1247" w:right="1304" w:bottom="1247" w:left="1304" w:header="851" w:footer="992" w:gutter="0"/>
          <w:pgBorders>
            <w:top w:val="none" w:sz="0" w:space="0"/>
            <w:left w:val="none" w:sz="0" w:space="0"/>
            <w:bottom w:val="none" w:sz="0" w:space="0"/>
            <w:right w:val="none" w:sz="0" w:space="0"/>
          </w:pgBorders>
          <w:cols w:space="720" w:num="1"/>
          <w:docGrid w:linePitch="312" w:charSpace="0"/>
        </w:sectPr>
      </w:pPr>
    </w:p>
    <w:p w14:paraId="5905E445">
      <w:pPr>
        <w:pStyle w:val="3"/>
        <w:rPr>
          <w:rFonts w:hint="eastAsia" w:ascii="宋体" w:hAnsi="宋体" w:eastAsia="宋体" w:cs="宋体"/>
          <w:b w:val="0"/>
          <w:color w:val="auto"/>
          <w:sz w:val="24"/>
          <w:szCs w:val="24"/>
          <w:highlight w:val="none"/>
        </w:rPr>
      </w:pPr>
      <w:bookmarkStart w:id="78" w:name="_Toc21469"/>
      <w:bookmarkStart w:id="79" w:name="_Toc2319"/>
      <w:bookmarkStart w:id="80" w:name="_Toc20690"/>
      <w:bookmarkStart w:id="81" w:name="_Toc18030"/>
      <w:r>
        <w:rPr>
          <w:rFonts w:hint="eastAsia" w:ascii="宋体" w:hAnsi="宋体" w:eastAsia="宋体" w:cs="宋体"/>
          <w:b w:val="0"/>
          <w:color w:val="auto"/>
          <w:sz w:val="24"/>
          <w:szCs w:val="24"/>
          <w:highlight w:val="none"/>
        </w:rPr>
        <w:t>附件</w:t>
      </w:r>
      <w:r>
        <w:rPr>
          <w:rFonts w:hint="eastAsia" w:ascii="宋体" w:hAnsi="宋体" w:eastAsia="宋体" w:cs="宋体"/>
          <w:b w:val="0"/>
          <w:color w:val="auto"/>
          <w:sz w:val="24"/>
          <w:szCs w:val="24"/>
          <w:highlight w:val="none"/>
          <w:lang w:val="en-US" w:eastAsia="zh-CN"/>
        </w:rPr>
        <w:t>七</w:t>
      </w:r>
      <w:r>
        <w:rPr>
          <w:rFonts w:hint="eastAsia" w:ascii="宋体" w:hAnsi="宋体" w:eastAsia="宋体" w:cs="宋体"/>
          <w:b w:val="0"/>
          <w:color w:val="auto"/>
          <w:sz w:val="24"/>
          <w:szCs w:val="24"/>
          <w:highlight w:val="none"/>
        </w:rPr>
        <w:t>：分包意向协议</w:t>
      </w:r>
      <w:bookmarkEnd w:id="78"/>
      <w:bookmarkEnd w:id="79"/>
      <w:bookmarkEnd w:id="80"/>
      <w:bookmarkEnd w:id="81"/>
    </w:p>
    <w:p w14:paraId="61F7A53C">
      <w:pPr>
        <w:snapToGrid w:val="0"/>
        <w:spacing w:line="360" w:lineRule="auto"/>
        <w:ind w:firstLine="3534" w:firstLineChars="110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分包意向协议</w:t>
      </w:r>
    </w:p>
    <w:p w14:paraId="429B22DC">
      <w:pPr>
        <w:widowControl/>
        <w:spacing w:line="360" w:lineRule="auto"/>
        <w:ind w:firstLine="120" w:firstLine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中标后以分包方式履行合同的，提供分包意向协议；采购人不同意分包或者供应商中标后不以分包方式履行合同的，则不需要提供。</w:t>
      </w:r>
      <w:r>
        <w:rPr>
          <w:rFonts w:hint="eastAsia" w:ascii="宋体" w:hAnsi="宋体" w:eastAsia="宋体" w:cs="宋体"/>
          <w:color w:val="auto"/>
          <w:sz w:val="24"/>
          <w:highlight w:val="none"/>
        </w:rPr>
        <w:t>）</w:t>
      </w:r>
    </w:p>
    <w:p w14:paraId="42EEB465">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（供应商名称）</w:t>
      </w:r>
      <w:r>
        <w:rPr>
          <w:rFonts w:hint="eastAsia" w:ascii="宋体" w:hAnsi="宋体" w:eastAsia="宋体" w:cs="宋体"/>
          <w:color w:val="auto"/>
          <w:kern w:val="0"/>
          <w:sz w:val="24"/>
          <w:highlight w:val="none"/>
          <w:lang w:val="zh-CN"/>
        </w:rPr>
        <w:t>若成为</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的中标供应商，将依法采取分包方式履行合同。</w:t>
      </w:r>
      <w:r>
        <w:rPr>
          <w:rFonts w:hint="eastAsia" w:ascii="宋体" w:hAnsi="宋体" w:eastAsia="宋体" w:cs="宋体"/>
          <w:color w:val="auto"/>
          <w:kern w:val="0"/>
          <w:sz w:val="24"/>
          <w:highlight w:val="none"/>
          <w:u w:val="single"/>
        </w:rPr>
        <w:t>（供应商名称）</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u w:val="single"/>
        </w:rPr>
        <w:t>（所有分包供应商名称）</w:t>
      </w:r>
      <w:r>
        <w:rPr>
          <w:rFonts w:hint="eastAsia" w:ascii="宋体" w:hAnsi="宋体" w:eastAsia="宋体" w:cs="宋体"/>
          <w:color w:val="auto"/>
          <w:kern w:val="0"/>
          <w:sz w:val="24"/>
          <w:highlight w:val="none"/>
        </w:rPr>
        <w:t>达成分包意向协议</w:t>
      </w:r>
      <w:r>
        <w:rPr>
          <w:rFonts w:hint="eastAsia" w:ascii="宋体" w:hAnsi="宋体" w:eastAsia="宋体" w:cs="宋体"/>
          <w:color w:val="auto"/>
          <w:kern w:val="0"/>
          <w:sz w:val="24"/>
          <w:highlight w:val="none"/>
          <w:lang w:val="zh-CN"/>
        </w:rPr>
        <w:t xml:space="preserve">。 </w:t>
      </w:r>
    </w:p>
    <w:p w14:paraId="30B64423">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一、分包标的及数量</w:t>
      </w:r>
    </w:p>
    <w:p w14:paraId="1550D6E7">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（供应商名称）</w:t>
      </w:r>
      <w:r>
        <w:rPr>
          <w:rFonts w:hint="eastAsia" w:ascii="宋体" w:hAnsi="宋体" w:eastAsia="宋体" w:cs="宋体"/>
          <w:color w:val="auto"/>
          <w:kern w:val="0"/>
          <w:sz w:val="24"/>
          <w:highlight w:val="none"/>
          <w:lang w:val="zh-CN"/>
        </w:rPr>
        <w:t>将</w:t>
      </w:r>
      <w:r>
        <w:rPr>
          <w:rFonts w:hint="eastAsia" w:ascii="宋体" w:hAnsi="宋体" w:eastAsia="宋体" w:cs="宋体"/>
          <w:color w:val="auto"/>
          <w:sz w:val="24"/>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（某分包供应商名称）</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rPr>
        <w:t>（某分包供应商名称），</w:t>
      </w:r>
      <w:r>
        <w:rPr>
          <w:rFonts w:hint="eastAsia" w:ascii="宋体" w:hAnsi="宋体" w:eastAsia="宋体" w:cs="宋体"/>
          <w:color w:val="auto"/>
          <w:kern w:val="0"/>
          <w:sz w:val="24"/>
          <w:highlight w:val="none"/>
          <w:lang w:val="zh-CN"/>
        </w:rPr>
        <w:t>具备承</w:t>
      </w:r>
      <w:r>
        <w:rPr>
          <w:rFonts w:hint="eastAsia" w:ascii="宋体" w:hAnsi="宋体" w:eastAsia="宋体" w:cs="宋体"/>
          <w:color w:val="auto"/>
          <w:kern w:val="0"/>
          <w:sz w:val="24"/>
          <w:highlight w:val="none"/>
        </w:rPr>
        <w:t>担</w:t>
      </w:r>
      <w:r>
        <w:rPr>
          <w:rFonts w:hint="eastAsia" w:ascii="宋体" w:hAnsi="宋体" w:eastAsia="宋体" w:cs="宋体"/>
          <w:color w:val="auto"/>
          <w:kern w:val="0"/>
          <w:sz w:val="24"/>
          <w:highlight w:val="none"/>
          <w:u w:val="single"/>
          <w:lang w:val="zh-CN"/>
        </w:rPr>
        <w:t>XX工作内容</w:t>
      </w:r>
      <w:r>
        <w:rPr>
          <w:rFonts w:hint="eastAsia" w:ascii="宋体" w:hAnsi="宋体" w:eastAsia="宋体" w:cs="宋体"/>
          <w:color w:val="auto"/>
          <w:kern w:val="0"/>
          <w:sz w:val="24"/>
          <w:highlight w:val="none"/>
          <w:lang w:val="zh-CN"/>
        </w:rPr>
        <w:t>相应资质条件且不得再次分包；</w:t>
      </w:r>
    </w:p>
    <w:p w14:paraId="0E91127E">
      <w:pPr>
        <w:snapToGrid w:val="0"/>
        <w:spacing w:line="360" w:lineRule="auto"/>
        <w:ind w:firstLine="576"/>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w:t>
      </w:r>
    </w:p>
    <w:p w14:paraId="38342202">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二、分包工作履行期限、地点、方式</w:t>
      </w:r>
    </w:p>
    <w:p w14:paraId="4DB3AF3C">
      <w:pPr>
        <w:snapToGrid w:val="0"/>
        <w:spacing w:line="360" w:lineRule="auto"/>
        <w:ind w:firstLine="57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59D95FF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三、质量</w:t>
      </w:r>
    </w:p>
    <w:p w14:paraId="18065445">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u w:val="single"/>
        </w:rPr>
        <w:t xml:space="preserve">                                                                                       </w:t>
      </w:r>
    </w:p>
    <w:p w14:paraId="09C156D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四、价款或者报酬</w:t>
      </w:r>
    </w:p>
    <w:p w14:paraId="24289B7D">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u w:val="single"/>
        </w:rPr>
        <w:t xml:space="preserve">                                                                                     </w:t>
      </w:r>
    </w:p>
    <w:p w14:paraId="69AC7511">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五、违约责任</w:t>
      </w:r>
    </w:p>
    <w:p w14:paraId="0BC878CF">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u w:val="single"/>
        </w:rPr>
        <w:t xml:space="preserve">                                                                                     </w:t>
      </w:r>
    </w:p>
    <w:p w14:paraId="52DA03CC">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六、争议解决的办法</w:t>
      </w:r>
    </w:p>
    <w:p w14:paraId="1FD6030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u w:val="single"/>
        </w:rPr>
        <w:t xml:space="preserve">                                                                                  </w:t>
      </w:r>
    </w:p>
    <w:p w14:paraId="65D72373">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七、其他</w:t>
      </w:r>
    </w:p>
    <w:p w14:paraId="0A67C29A">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u w:val="single"/>
        </w:rPr>
        <w:t>（分包供应商名称）提供的货物/服务全部由小微企业制造/服务，</w:t>
      </w:r>
      <w:r>
        <w:rPr>
          <w:rFonts w:hint="eastAsia" w:ascii="宋体" w:hAnsi="宋体" w:eastAsia="宋体" w:cs="宋体"/>
          <w:color w:val="auto"/>
          <w:kern w:val="0"/>
          <w:sz w:val="24"/>
          <w:highlight w:val="none"/>
        </w:rPr>
        <w:t>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sz w:val="24"/>
          <w:highlight w:val="none"/>
        </w:rPr>
        <w:t>。</w:t>
      </w:r>
    </w:p>
    <w:p w14:paraId="5E7C6DD9">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供应商名称(盖章)：</w:t>
      </w:r>
    </w:p>
    <w:p w14:paraId="4457DB0E">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分包供应商名称：</w:t>
      </w:r>
    </w:p>
    <w:p w14:paraId="62DEDEA9">
      <w:pPr>
        <w:snapToGrid w:val="0"/>
        <w:spacing w:line="360" w:lineRule="auto"/>
        <w:ind w:firstLine="5760" w:firstLineChars="24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w:t>
      </w:r>
    </w:p>
    <w:p w14:paraId="75CFA26A">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38B6C9FD">
      <w:pPr>
        <w:pageBreakBefore/>
        <w:spacing w:before="260" w:after="260" w:line="415" w:lineRule="auto"/>
        <w:outlineLvl w:val="1"/>
        <w:rPr>
          <w:rFonts w:hint="eastAsia" w:ascii="宋体" w:hAnsi="宋体" w:eastAsia="宋体" w:cs="宋体"/>
          <w:bCs/>
          <w:color w:val="auto"/>
          <w:sz w:val="24"/>
          <w:highlight w:val="none"/>
        </w:rPr>
      </w:pPr>
      <w:bookmarkStart w:id="82" w:name="_Toc26112"/>
      <w:bookmarkStart w:id="83" w:name="_Toc25434"/>
      <w:bookmarkStart w:id="84" w:name="_Toc1849"/>
      <w:r>
        <w:rPr>
          <w:rFonts w:hint="eastAsia" w:ascii="宋体" w:hAnsi="宋体" w:eastAsia="宋体" w:cs="宋体"/>
          <w:bCs/>
          <w:color w:val="auto"/>
          <w:sz w:val="24"/>
          <w:highlight w:val="none"/>
        </w:rPr>
        <w:t>附件</w:t>
      </w:r>
      <w:r>
        <w:rPr>
          <w:rFonts w:hint="eastAsia" w:ascii="宋体" w:hAnsi="宋体" w:eastAsia="宋体" w:cs="宋体"/>
          <w:bCs/>
          <w:color w:val="auto"/>
          <w:sz w:val="24"/>
          <w:highlight w:val="none"/>
          <w:lang w:val="en-US" w:eastAsia="zh-CN"/>
        </w:rPr>
        <w:t>八</w:t>
      </w:r>
      <w:r>
        <w:rPr>
          <w:rFonts w:hint="eastAsia" w:ascii="宋体" w:hAnsi="宋体" w:eastAsia="宋体" w:cs="宋体"/>
          <w:bCs/>
          <w:color w:val="auto"/>
          <w:sz w:val="24"/>
          <w:highlight w:val="none"/>
        </w:rPr>
        <w:t>：中小企业声明函（工程、服务）</w:t>
      </w:r>
      <w:bookmarkEnd w:id="82"/>
      <w:bookmarkEnd w:id="83"/>
      <w:bookmarkEnd w:id="84"/>
    </w:p>
    <w:p w14:paraId="49B71229">
      <w:pPr>
        <w:snapToGrid w:val="0"/>
        <w:spacing w:line="360" w:lineRule="auto"/>
        <w:jc w:val="cente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中小企业声明函（工程、服务）</w:t>
      </w:r>
    </w:p>
    <w:p w14:paraId="1D99510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highlight w:val="none"/>
          <w:u w:val="single"/>
        </w:rPr>
        <w:t xml:space="preserve">  （单位名称）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14:paraId="645C828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（标的名称）  </w:t>
      </w:r>
      <w:r>
        <w:rPr>
          <w:rFonts w:hint="eastAsia" w:ascii="宋体" w:hAnsi="宋体" w:eastAsia="宋体" w:cs="宋体"/>
          <w:color w:val="auto"/>
          <w:sz w:val="24"/>
          <w:highlight w:val="none"/>
        </w:rPr>
        <w:t>，属于</w:t>
      </w:r>
      <w:r>
        <w:rPr>
          <w:rFonts w:hint="eastAsia" w:ascii="宋体" w:hAnsi="宋体" w:cs="宋体"/>
          <w:color w:val="auto"/>
          <w:sz w:val="24"/>
          <w:highlight w:val="none"/>
          <w:u w:val="single"/>
          <w:lang w:val="en-US" w:eastAsia="zh-CN"/>
        </w:rPr>
        <w:t>建筑业</w:t>
      </w:r>
      <w:r>
        <w:rPr>
          <w:rFonts w:hint="eastAsia" w:ascii="宋体" w:hAnsi="宋体" w:eastAsia="宋体" w:cs="宋体"/>
          <w:color w:val="auto"/>
          <w:sz w:val="24"/>
          <w:highlight w:val="none"/>
        </w:rPr>
        <w:t>；承建（承接）企业为</w:t>
      </w:r>
      <w:r>
        <w:rPr>
          <w:rFonts w:hint="eastAsia" w:ascii="宋体" w:hAnsi="宋体" w:eastAsia="宋体" w:cs="宋体"/>
          <w:color w:val="auto"/>
          <w:sz w:val="24"/>
          <w:highlight w:val="none"/>
          <w:u w:val="single"/>
        </w:rPr>
        <w:t xml:space="preserve">  （企业名称）  </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AD0AEA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 xml:space="preserve">  （标的名称）  </w:t>
      </w:r>
      <w:r>
        <w:rPr>
          <w:rFonts w:hint="eastAsia" w:ascii="宋体" w:hAnsi="宋体" w:eastAsia="宋体" w:cs="宋体"/>
          <w:color w:val="auto"/>
          <w:sz w:val="24"/>
          <w:highlight w:val="none"/>
        </w:rPr>
        <w:t>，属于</w:t>
      </w:r>
      <w:r>
        <w:rPr>
          <w:rFonts w:hint="eastAsia" w:ascii="宋体" w:hAnsi="宋体" w:cs="宋体"/>
          <w:color w:val="auto"/>
          <w:sz w:val="24"/>
          <w:highlight w:val="none"/>
          <w:u w:val="single"/>
          <w:lang w:val="en-US" w:eastAsia="zh-CN"/>
        </w:rPr>
        <w:t>建筑业</w:t>
      </w:r>
      <w:r>
        <w:rPr>
          <w:rFonts w:hint="eastAsia" w:ascii="宋体" w:hAnsi="宋体" w:eastAsia="宋体" w:cs="宋体"/>
          <w:color w:val="auto"/>
          <w:sz w:val="24"/>
          <w:highlight w:val="none"/>
        </w:rPr>
        <w:t>；承建（承接）企业为</w:t>
      </w:r>
      <w:r>
        <w:rPr>
          <w:rFonts w:hint="eastAsia" w:ascii="宋体" w:hAnsi="宋体" w:eastAsia="宋体" w:cs="宋体"/>
          <w:color w:val="auto"/>
          <w:sz w:val="24"/>
          <w:highlight w:val="none"/>
          <w:u w:val="single"/>
        </w:rPr>
        <w:t xml:space="preserve">  （企业名称）  </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180C883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0692740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35B17EC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650276D0">
      <w:pPr>
        <w:spacing w:line="360" w:lineRule="auto"/>
        <w:rPr>
          <w:rFonts w:hint="eastAsia" w:ascii="宋体" w:hAnsi="宋体" w:eastAsia="宋体" w:cs="宋体"/>
          <w:color w:val="auto"/>
          <w:sz w:val="24"/>
          <w:highlight w:val="none"/>
        </w:rPr>
      </w:pPr>
    </w:p>
    <w:p w14:paraId="21DF72FE">
      <w:pPr>
        <w:spacing w:line="360" w:lineRule="auto"/>
        <w:ind w:firstLine="5280" w:firstLineChars="2200"/>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w:t>
      </w:r>
    </w:p>
    <w:p w14:paraId="435FA5BF">
      <w:pPr>
        <w:spacing w:line="360" w:lineRule="auto"/>
        <w:ind w:firstLine="5280" w:firstLineChars="22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7FE71573">
      <w:pPr>
        <w:spacing w:line="360" w:lineRule="auto"/>
        <w:rPr>
          <w:rFonts w:hint="eastAsia" w:ascii="宋体" w:hAnsi="宋体" w:eastAsia="宋体" w:cs="宋体"/>
          <w:color w:val="auto"/>
          <w:sz w:val="24"/>
          <w:highlight w:val="none"/>
        </w:rPr>
      </w:pPr>
    </w:p>
    <w:p w14:paraId="7B2E49A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4384" behindDoc="1" locked="0" layoutInCell="1" allowOverlap="1">
                <wp:simplePos x="0" y="0"/>
                <wp:positionH relativeFrom="page">
                  <wp:posOffset>1143000</wp:posOffset>
                </wp:positionH>
                <wp:positionV relativeFrom="paragraph">
                  <wp:posOffset>111125</wp:posOffset>
                </wp:positionV>
                <wp:extent cx="1828800" cy="0"/>
                <wp:effectExtent l="0" t="4445" r="0" b="5080"/>
                <wp:wrapTopAndBottom/>
                <wp:docPr id="10" name="直线 6"/>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0" cmpd="sng">
                          <a:solidFill>
                            <a:srgbClr val="000000"/>
                          </a:solidFill>
                          <a:round/>
                        </a:ln>
                      </wps:spPr>
                      <wps:bodyPr/>
                    </wps:wsp>
                  </a:graphicData>
                </a:graphic>
              </wp:anchor>
            </w:drawing>
          </mc:Choice>
          <mc:Fallback>
            <w:pict>
              <v:line id="直线 6" o:spid="_x0000_s1026" o:spt="20" style="position:absolute;left:0pt;margin-left:90pt;margin-top:8.75pt;height:0pt;width:144pt;mso-position-horizontal-relative:page;mso-wrap-distance-bottom:0pt;mso-wrap-distance-top:0pt;z-index:-251652096;mso-width-relative:page;mso-height-relative:page;" filled="f" stroked="t" coordsize="21600,21600" o:gfxdata="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tshuPVAAAACQEAAA8AAAAAAAAAAQAg&#10;AAAAIgAAAGRycy9kb3ducmV2LnhtbFBLAQIUABQAAAAIAIdO4kDNNiga2AEAAKoDAAAOAAAAAAAA&#10;AAEAIAAAACQBAABkcnMvZTJvRG9jLnhtbFBLBQYAAAAABgAGAFkBAABuBQAAAAA=&#10;">
                <v:fill on="f" focussize="0,0"/>
                <v:stroke weight="0pt" color="#000000" joinstyle="round"/>
                <v:imagedata o:title=""/>
                <o:lock v:ext="edit" aspectratio="f"/>
                <w10:wrap type="topAndBottom"/>
              </v:line>
            </w:pict>
          </mc:Fallback>
        </mc:AlternateContent>
      </w:r>
    </w:p>
    <w:p w14:paraId="3AF3954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p w14:paraId="72683BE4">
      <w:pPr>
        <w:spacing w:line="360" w:lineRule="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rPr>
        <w:t>、从业人员、营业收入、资产总额填报上一年度数据，无上一年度数据的新成立企业可不填报。</w:t>
      </w:r>
    </w:p>
    <w:p w14:paraId="3C169090">
      <w:pPr>
        <w:pStyle w:val="15"/>
        <w:spacing w:line="360" w:lineRule="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rPr>
        <w:t>、如中标人声明为小微企业，本声明函将随中标结果同时公告，接受社会监督。</w:t>
      </w:r>
    </w:p>
    <w:p w14:paraId="7ABE03B0">
      <w:pPr>
        <w:pStyle w:val="3"/>
        <w:keepNext w:val="0"/>
        <w:keepLines w:val="0"/>
        <w:pageBreakBefore/>
        <w:spacing w:line="415" w:lineRule="auto"/>
        <w:rPr>
          <w:rFonts w:hint="eastAsia" w:ascii="宋体" w:hAnsi="宋体" w:eastAsia="宋体" w:cs="宋体"/>
          <w:b w:val="0"/>
          <w:color w:val="auto"/>
          <w:sz w:val="24"/>
          <w:szCs w:val="24"/>
          <w:highlight w:val="none"/>
        </w:rPr>
      </w:pPr>
      <w:bookmarkStart w:id="85" w:name="_Toc11400"/>
      <w:bookmarkStart w:id="86" w:name="_Toc5557"/>
      <w:bookmarkStart w:id="87" w:name="_Toc24672"/>
      <w:bookmarkStart w:id="88" w:name="_Toc3821"/>
      <w:r>
        <w:rPr>
          <w:rFonts w:hint="eastAsia" w:ascii="宋体" w:hAnsi="宋体" w:eastAsia="宋体" w:cs="宋体"/>
          <w:b w:val="0"/>
          <w:color w:val="auto"/>
          <w:sz w:val="24"/>
          <w:szCs w:val="24"/>
          <w:highlight w:val="none"/>
        </w:rPr>
        <w:t>附件</w:t>
      </w:r>
      <w:r>
        <w:rPr>
          <w:rFonts w:hint="eastAsia" w:ascii="宋体" w:hAnsi="宋体" w:eastAsia="宋体" w:cs="宋体"/>
          <w:b w:val="0"/>
          <w:color w:val="auto"/>
          <w:sz w:val="24"/>
          <w:szCs w:val="24"/>
          <w:highlight w:val="none"/>
          <w:lang w:val="en-US" w:eastAsia="zh-CN"/>
        </w:rPr>
        <w:t>九</w:t>
      </w:r>
      <w:r>
        <w:rPr>
          <w:rFonts w:hint="eastAsia" w:ascii="宋体" w:hAnsi="宋体" w:eastAsia="宋体" w:cs="宋体"/>
          <w:b w:val="0"/>
          <w:color w:val="auto"/>
          <w:sz w:val="24"/>
          <w:szCs w:val="24"/>
          <w:highlight w:val="none"/>
        </w:rPr>
        <w:t>：残疾人福利性单位声明函</w:t>
      </w:r>
      <w:bookmarkEnd w:id="85"/>
      <w:bookmarkEnd w:id="86"/>
      <w:bookmarkEnd w:id="87"/>
      <w:bookmarkEnd w:id="88"/>
    </w:p>
    <w:p w14:paraId="6456502D">
      <w:pPr>
        <w:spacing w:after="120"/>
        <w:ind w:right="960" w:firstLine="2533" w:firstLineChars="701"/>
        <w:jc w:val="left"/>
        <w:rPr>
          <w:rFonts w:hint="eastAsia" w:ascii="宋体" w:hAnsi="宋体" w:cs="宋体"/>
          <w:b/>
          <w:color w:val="auto"/>
          <w:sz w:val="36"/>
          <w:highlight w:val="none"/>
        </w:rPr>
      </w:pPr>
      <w:r>
        <w:rPr>
          <w:rFonts w:hint="eastAsia" w:ascii="宋体" w:hAnsi="宋体" w:cs="宋体"/>
          <w:b/>
          <w:color w:val="auto"/>
          <w:sz w:val="36"/>
          <w:highlight w:val="none"/>
        </w:rPr>
        <w:t>残疾人福利性单位声明函</w:t>
      </w:r>
    </w:p>
    <w:p w14:paraId="7A237CF7">
      <w:pPr>
        <w:spacing w:after="120" w:line="360" w:lineRule="auto"/>
        <w:ind w:right="960" w:firstLine="548" w:firstLineChars="196"/>
        <w:jc w:val="left"/>
        <w:rPr>
          <w:rFonts w:hint="eastAsia" w:ascii="宋体" w:hAnsi="宋体" w:cs="宋体"/>
          <w:color w:val="auto"/>
          <w:sz w:val="28"/>
          <w:highlight w:val="none"/>
        </w:rPr>
      </w:pPr>
    </w:p>
    <w:p w14:paraId="3ACD1429">
      <w:pPr>
        <w:spacing w:after="120" w:line="360" w:lineRule="auto"/>
        <w:ind w:right="960" w:firstLine="548" w:firstLineChars="196"/>
        <w:jc w:val="left"/>
        <w:rPr>
          <w:rFonts w:hint="eastAsia" w:ascii="宋体" w:hAnsi="宋体" w:cs="宋体"/>
          <w:color w:val="auto"/>
          <w:sz w:val="28"/>
          <w:highlight w:val="none"/>
        </w:rPr>
      </w:pPr>
      <w:r>
        <w:rPr>
          <w:rFonts w:hint="eastAsia" w:ascii="宋体" w:hAnsi="宋体" w:cs="宋体"/>
          <w:color w:val="auto"/>
          <w:sz w:val="28"/>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8"/>
          <w:highlight w:val="none"/>
          <w:u w:val="single"/>
        </w:rPr>
        <w:t xml:space="preserve">               </w:t>
      </w:r>
      <w:r>
        <w:rPr>
          <w:rFonts w:hint="eastAsia" w:ascii="宋体" w:hAnsi="宋体" w:cs="宋体"/>
          <w:color w:val="auto"/>
          <w:sz w:val="28"/>
          <w:highlight w:val="none"/>
        </w:rPr>
        <w:t>单位的</w:t>
      </w:r>
      <w:r>
        <w:rPr>
          <w:rFonts w:hint="eastAsia" w:ascii="宋体" w:hAnsi="宋体" w:cs="宋体"/>
          <w:color w:val="auto"/>
          <w:sz w:val="28"/>
          <w:highlight w:val="none"/>
          <w:u w:val="single"/>
        </w:rPr>
        <w:t xml:space="preserve">        </w:t>
      </w:r>
      <w:r>
        <w:rPr>
          <w:rFonts w:hint="eastAsia" w:ascii="宋体" w:hAnsi="宋体" w:cs="宋体"/>
          <w:color w:val="auto"/>
          <w:sz w:val="28"/>
          <w:highlight w:val="none"/>
        </w:rPr>
        <w:t>项目采购活动提供本单位制造的货物（由本单位承担工程/服务），或者提供其他残疾人福利性单位制造的货物（不包括使用非残疾人福利性单位注册商标的货物）。</w:t>
      </w:r>
    </w:p>
    <w:p w14:paraId="5540C251">
      <w:pPr>
        <w:spacing w:after="120" w:line="360" w:lineRule="auto"/>
        <w:ind w:right="960" w:firstLine="548" w:firstLineChars="196"/>
        <w:jc w:val="left"/>
        <w:rPr>
          <w:rFonts w:hint="eastAsia" w:ascii="宋体" w:hAnsi="宋体" w:cs="宋体"/>
          <w:color w:val="auto"/>
          <w:sz w:val="28"/>
          <w:highlight w:val="none"/>
        </w:rPr>
      </w:pPr>
      <w:r>
        <w:rPr>
          <w:rFonts w:hint="eastAsia" w:ascii="宋体" w:hAnsi="宋体" w:cs="宋体"/>
          <w:color w:val="auto"/>
          <w:sz w:val="28"/>
          <w:highlight w:val="none"/>
        </w:rPr>
        <w:t>本单位对上述声明的真实性负责。如有虚假，将依法承担相应责任。</w:t>
      </w:r>
    </w:p>
    <w:p w14:paraId="1DFE35D7">
      <w:pPr>
        <w:spacing w:after="120" w:line="360" w:lineRule="auto"/>
        <w:ind w:right="960" w:firstLine="4200" w:firstLineChars="1500"/>
        <w:jc w:val="left"/>
        <w:rPr>
          <w:rFonts w:hint="eastAsia" w:ascii="宋体" w:hAnsi="宋体" w:cs="宋体"/>
          <w:color w:val="auto"/>
          <w:sz w:val="28"/>
          <w:highlight w:val="none"/>
        </w:rPr>
      </w:pPr>
    </w:p>
    <w:p w14:paraId="0DD193F9">
      <w:pPr>
        <w:spacing w:after="120" w:line="360" w:lineRule="auto"/>
        <w:ind w:right="960" w:firstLine="4200" w:firstLineChars="1500"/>
        <w:jc w:val="left"/>
        <w:rPr>
          <w:rFonts w:hint="eastAsia" w:ascii="宋体" w:hAnsi="宋体" w:cs="宋体"/>
          <w:color w:val="auto"/>
          <w:sz w:val="28"/>
          <w:highlight w:val="none"/>
        </w:rPr>
      </w:pPr>
    </w:p>
    <w:p w14:paraId="268A802D">
      <w:pPr>
        <w:spacing w:after="120" w:line="360" w:lineRule="auto"/>
        <w:ind w:right="960" w:firstLine="4200" w:firstLineChars="1500"/>
        <w:jc w:val="left"/>
        <w:rPr>
          <w:rFonts w:hint="eastAsia" w:ascii="宋体" w:hAnsi="宋体" w:cs="宋体"/>
          <w:color w:val="auto"/>
          <w:sz w:val="28"/>
          <w:highlight w:val="none"/>
        </w:rPr>
      </w:pPr>
      <w:r>
        <w:rPr>
          <w:rFonts w:hint="eastAsia" w:ascii="宋体" w:hAnsi="宋体" w:cs="宋体"/>
          <w:color w:val="auto"/>
          <w:sz w:val="28"/>
          <w:highlight w:val="none"/>
        </w:rPr>
        <w:t>单位名称（盖章）:</w:t>
      </w:r>
    </w:p>
    <w:p w14:paraId="2876B18F">
      <w:pPr>
        <w:spacing w:after="120" w:line="360" w:lineRule="auto"/>
        <w:ind w:right="960" w:firstLine="4200" w:firstLineChars="1500"/>
        <w:jc w:val="left"/>
        <w:rPr>
          <w:rFonts w:hint="eastAsia" w:ascii="宋体" w:hAnsi="宋体" w:cs="宋体"/>
          <w:color w:val="auto"/>
          <w:sz w:val="28"/>
          <w:highlight w:val="none"/>
        </w:rPr>
      </w:pPr>
      <w:r>
        <w:rPr>
          <w:rFonts w:hint="eastAsia" w:ascii="宋体" w:hAnsi="宋体" w:cs="宋体"/>
          <w:color w:val="auto"/>
          <w:sz w:val="28"/>
          <w:highlight w:val="none"/>
        </w:rPr>
        <w:t xml:space="preserve">日期：        </w:t>
      </w:r>
    </w:p>
    <w:p w14:paraId="7A821D44">
      <w:pPr>
        <w:spacing w:after="120"/>
        <w:jc w:val="center"/>
        <w:rPr>
          <w:rFonts w:hint="eastAsia" w:ascii="宋体" w:hAnsi="宋体" w:cs="宋体"/>
          <w:b/>
          <w:color w:val="auto"/>
          <w:sz w:val="36"/>
          <w:szCs w:val="36"/>
          <w:highlight w:val="none"/>
        </w:rPr>
      </w:pPr>
    </w:p>
    <w:p w14:paraId="4887B51B">
      <w:pPr>
        <w:numPr>
          <w:ilvl w:val="0"/>
          <w:numId w:val="11"/>
        </w:numPr>
        <w:tabs>
          <w:tab w:val="left" w:pos="420"/>
          <w:tab w:val="clear" w:pos="1244"/>
        </w:tabs>
        <w:spacing w:before="100" w:beforeAutospacing="1" w:after="100" w:afterAutospacing="1" w:line="432" w:lineRule="auto"/>
        <w:ind w:hanging="1244"/>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残疾人福利性单位视同小型、微型企业，享受</w:t>
      </w:r>
      <w:r>
        <w:rPr>
          <w:rFonts w:hint="eastAsia" w:ascii="宋体" w:hAnsi="宋体" w:cs="Times New Roman"/>
          <w:b/>
          <w:color w:val="auto"/>
          <w:szCs w:val="21"/>
          <w:highlight w:val="none"/>
          <w:lang w:val="en-US" w:eastAsia="zh-CN"/>
        </w:rPr>
        <w:t>政策扶持</w:t>
      </w:r>
      <w:r>
        <w:rPr>
          <w:rFonts w:hint="eastAsia" w:ascii="宋体" w:hAnsi="宋体" w:eastAsia="宋体" w:cs="Times New Roman"/>
          <w:b/>
          <w:color w:val="auto"/>
          <w:szCs w:val="21"/>
          <w:highlight w:val="none"/>
        </w:rPr>
        <w:t>。</w:t>
      </w:r>
    </w:p>
    <w:p w14:paraId="65EA96A8">
      <w:pPr>
        <w:numPr>
          <w:ilvl w:val="0"/>
          <w:numId w:val="11"/>
        </w:numPr>
        <w:tabs>
          <w:tab w:val="left" w:pos="420"/>
          <w:tab w:val="clear" w:pos="1244"/>
        </w:tabs>
        <w:spacing w:before="100" w:beforeAutospacing="1" w:after="100" w:afterAutospacing="1" w:line="432" w:lineRule="auto"/>
        <w:ind w:hanging="1244"/>
        <w:rPr>
          <w:rFonts w:hint="eastAsia" w:ascii="宋体" w:hAnsi="宋体" w:eastAsia="宋体" w:cs="宋体"/>
          <w:bCs/>
          <w:color w:val="auto"/>
          <w:sz w:val="24"/>
          <w:highlight w:val="none"/>
        </w:rPr>
      </w:pPr>
      <w:r>
        <w:rPr>
          <w:rFonts w:hint="eastAsia" w:ascii="宋体" w:hAnsi="宋体"/>
          <w:b/>
          <w:color w:val="auto"/>
          <w:szCs w:val="21"/>
          <w:highlight w:val="none"/>
        </w:rPr>
        <w:t>如中标人声明为残疾人福利性单位，本声明函将随中标结果同时公告，接受社会监督。</w:t>
      </w:r>
    </w:p>
    <w:p w14:paraId="342B4583">
      <w:pPr>
        <w:pStyle w:val="3"/>
        <w:keepNext/>
        <w:keepLines/>
        <w:pageBreakBefore/>
        <w:widowControl w:val="0"/>
        <w:kinsoku/>
        <w:wordWrap/>
        <w:overflowPunct/>
        <w:topLinePunct w:val="0"/>
        <w:autoSpaceDE/>
        <w:autoSpaceDN/>
        <w:bidi w:val="0"/>
        <w:adjustRightInd/>
        <w:snapToGrid/>
        <w:spacing w:line="416" w:lineRule="auto"/>
        <w:textAlignment w:val="auto"/>
        <w:rPr>
          <w:rFonts w:hint="eastAsia" w:ascii="宋体" w:hAnsi="宋体" w:eastAsia="宋体" w:cs="宋体"/>
          <w:b w:val="0"/>
          <w:color w:val="auto"/>
          <w:sz w:val="24"/>
          <w:szCs w:val="24"/>
          <w:highlight w:val="none"/>
        </w:rPr>
      </w:pPr>
      <w:bookmarkStart w:id="89" w:name="_Toc17578"/>
      <w:bookmarkStart w:id="90" w:name="_Toc27995"/>
      <w:r>
        <w:rPr>
          <w:rFonts w:hint="eastAsia" w:ascii="宋体" w:hAnsi="宋体" w:eastAsia="宋体" w:cs="宋体"/>
          <w:b w:val="0"/>
          <w:color w:val="auto"/>
          <w:sz w:val="24"/>
          <w:szCs w:val="24"/>
          <w:highlight w:val="none"/>
        </w:rPr>
        <w:t>附件</w:t>
      </w:r>
      <w:r>
        <w:rPr>
          <w:rFonts w:hint="eastAsia" w:ascii="宋体" w:hAnsi="宋体" w:eastAsia="宋体" w:cs="宋体"/>
          <w:b w:val="0"/>
          <w:color w:val="auto"/>
          <w:sz w:val="24"/>
          <w:szCs w:val="24"/>
          <w:highlight w:val="none"/>
          <w:lang w:val="en-US" w:eastAsia="zh-CN"/>
        </w:rPr>
        <w:t>十</w:t>
      </w:r>
      <w:r>
        <w:rPr>
          <w:rFonts w:hint="eastAsia" w:ascii="宋体" w:hAnsi="宋体" w:eastAsia="宋体" w:cs="宋体"/>
          <w:b w:val="0"/>
          <w:color w:val="auto"/>
          <w:sz w:val="24"/>
          <w:szCs w:val="24"/>
          <w:highlight w:val="none"/>
        </w:rPr>
        <w:t>：资信商务、技术自评得分表</w:t>
      </w:r>
      <w:bookmarkEnd w:id="89"/>
      <w:bookmarkEnd w:id="90"/>
    </w:p>
    <w:p w14:paraId="50416F09">
      <w:pPr>
        <w:snapToGrid w:val="0"/>
        <w:spacing w:before="50" w:after="50"/>
        <w:jc w:val="center"/>
        <w:rPr>
          <w:rFonts w:hint="eastAsia" w:ascii="宋体"/>
          <w:b/>
          <w:color w:val="auto"/>
          <w:sz w:val="36"/>
          <w:szCs w:val="36"/>
          <w:highlight w:val="none"/>
        </w:rPr>
      </w:pPr>
      <w:r>
        <w:rPr>
          <w:rFonts w:hint="eastAsia" w:ascii="宋体"/>
          <w:b/>
          <w:color w:val="auto"/>
          <w:sz w:val="36"/>
          <w:szCs w:val="36"/>
          <w:highlight w:val="none"/>
        </w:rPr>
        <w:t>▲资信商务、技术自评得分表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3550"/>
        <w:gridCol w:w="3200"/>
        <w:gridCol w:w="916"/>
        <w:gridCol w:w="1219"/>
      </w:tblGrid>
      <w:tr w14:paraId="67AC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834" w:type="dxa"/>
            <w:vAlign w:val="center"/>
          </w:tcPr>
          <w:p w14:paraId="4BA9EF2C">
            <w:pPr>
              <w:jc w:val="center"/>
              <w:rPr>
                <w:rFonts w:ascii="宋体" w:hAnsi="宋体" w:cs="宋体"/>
                <w:color w:val="auto"/>
                <w:sz w:val="24"/>
                <w:highlight w:val="none"/>
              </w:rPr>
            </w:pPr>
            <w:bookmarkStart w:id="91" w:name="_Toc8510"/>
            <w:bookmarkStart w:id="92" w:name="_Toc26193"/>
            <w:bookmarkStart w:id="93" w:name="_Toc17172"/>
            <w:r>
              <w:rPr>
                <w:rFonts w:hint="eastAsia" w:ascii="宋体" w:hAnsi="宋体" w:cs="宋体"/>
                <w:color w:val="auto"/>
                <w:sz w:val="24"/>
                <w:highlight w:val="none"/>
              </w:rPr>
              <w:t>序号</w:t>
            </w:r>
          </w:p>
        </w:tc>
        <w:tc>
          <w:tcPr>
            <w:tcW w:w="3550" w:type="dxa"/>
            <w:vAlign w:val="center"/>
          </w:tcPr>
          <w:p w14:paraId="36D999B2">
            <w:pPr>
              <w:jc w:val="center"/>
              <w:rPr>
                <w:rFonts w:ascii="宋体" w:hAnsi="宋体" w:cs="宋体"/>
                <w:color w:val="auto"/>
                <w:sz w:val="24"/>
                <w:highlight w:val="none"/>
              </w:rPr>
            </w:pPr>
            <w:r>
              <w:rPr>
                <w:rFonts w:hint="eastAsia" w:ascii="宋体" w:hAnsi="宋体" w:cs="宋体"/>
                <w:color w:val="auto"/>
                <w:sz w:val="24"/>
                <w:highlight w:val="none"/>
              </w:rPr>
              <w:t>评分标准</w:t>
            </w:r>
          </w:p>
        </w:tc>
        <w:tc>
          <w:tcPr>
            <w:tcW w:w="3200" w:type="dxa"/>
            <w:vAlign w:val="center"/>
          </w:tcPr>
          <w:p w14:paraId="5C23FB9D">
            <w:pPr>
              <w:jc w:val="center"/>
              <w:rPr>
                <w:rFonts w:ascii="宋体" w:hAnsi="宋体" w:cs="宋体"/>
                <w:color w:val="auto"/>
                <w:sz w:val="24"/>
                <w:highlight w:val="none"/>
              </w:rPr>
            </w:pPr>
            <w:r>
              <w:rPr>
                <w:rFonts w:hint="eastAsia" w:ascii="宋体" w:hAnsi="宋体" w:cs="宋体"/>
                <w:color w:val="auto"/>
                <w:sz w:val="24"/>
                <w:highlight w:val="none"/>
              </w:rPr>
              <w:t>得分内容</w:t>
            </w:r>
          </w:p>
        </w:tc>
        <w:tc>
          <w:tcPr>
            <w:tcW w:w="916" w:type="dxa"/>
            <w:vAlign w:val="center"/>
          </w:tcPr>
          <w:p w14:paraId="1F42C5EC">
            <w:pPr>
              <w:jc w:val="center"/>
              <w:rPr>
                <w:rFonts w:ascii="宋体" w:hAnsi="宋体" w:cs="宋体"/>
                <w:color w:val="auto"/>
                <w:sz w:val="24"/>
                <w:highlight w:val="none"/>
              </w:rPr>
            </w:pPr>
            <w:r>
              <w:rPr>
                <w:rFonts w:hint="eastAsia" w:ascii="宋体" w:hAnsi="宋体" w:cs="宋体"/>
                <w:color w:val="auto"/>
                <w:sz w:val="24"/>
                <w:highlight w:val="none"/>
              </w:rPr>
              <w:t>自评</w:t>
            </w:r>
          </w:p>
          <w:p w14:paraId="1E7A9D3C">
            <w:pPr>
              <w:jc w:val="center"/>
              <w:rPr>
                <w:rFonts w:ascii="宋体" w:hAnsi="宋体" w:cs="宋体"/>
                <w:color w:val="auto"/>
                <w:sz w:val="24"/>
                <w:highlight w:val="none"/>
              </w:rPr>
            </w:pPr>
            <w:r>
              <w:rPr>
                <w:rFonts w:hint="eastAsia" w:ascii="宋体" w:hAnsi="宋体" w:cs="宋体"/>
                <w:color w:val="auto"/>
                <w:sz w:val="24"/>
                <w:highlight w:val="none"/>
              </w:rPr>
              <w:t>得分</w:t>
            </w:r>
          </w:p>
        </w:tc>
        <w:tc>
          <w:tcPr>
            <w:tcW w:w="1219" w:type="dxa"/>
            <w:vAlign w:val="center"/>
          </w:tcPr>
          <w:p w14:paraId="684BA865">
            <w:pPr>
              <w:jc w:val="center"/>
              <w:rPr>
                <w:rFonts w:ascii="宋体" w:hAnsi="宋体" w:cs="宋体"/>
                <w:color w:val="auto"/>
                <w:sz w:val="24"/>
                <w:highlight w:val="none"/>
              </w:rPr>
            </w:pPr>
            <w:r>
              <w:rPr>
                <w:rFonts w:hint="eastAsia" w:ascii="宋体" w:hAnsi="宋体" w:cs="宋体"/>
                <w:color w:val="auto"/>
                <w:sz w:val="24"/>
                <w:highlight w:val="none"/>
              </w:rPr>
              <w:t>页码</w:t>
            </w:r>
          </w:p>
        </w:tc>
      </w:tr>
      <w:tr w14:paraId="2025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34" w:type="dxa"/>
            <w:vAlign w:val="center"/>
          </w:tcPr>
          <w:p w14:paraId="507CC07E">
            <w:pPr>
              <w:jc w:val="center"/>
              <w:rPr>
                <w:rFonts w:ascii="宋体" w:hAnsi="宋体" w:cs="宋体"/>
                <w:color w:val="auto"/>
                <w:sz w:val="24"/>
                <w:highlight w:val="none"/>
              </w:rPr>
            </w:pPr>
            <w:r>
              <w:rPr>
                <w:rFonts w:hint="eastAsia" w:ascii="宋体" w:hAnsi="宋体" w:cs="宋体"/>
                <w:color w:val="auto"/>
                <w:sz w:val="24"/>
                <w:highlight w:val="none"/>
              </w:rPr>
              <w:t>1</w:t>
            </w:r>
          </w:p>
        </w:tc>
        <w:tc>
          <w:tcPr>
            <w:tcW w:w="3550" w:type="dxa"/>
            <w:vAlign w:val="center"/>
          </w:tcPr>
          <w:p w14:paraId="59D86E81">
            <w:pPr>
              <w:jc w:val="center"/>
              <w:rPr>
                <w:rFonts w:ascii="宋体" w:hAnsi="宋体" w:cs="宋体"/>
                <w:color w:val="auto"/>
                <w:sz w:val="24"/>
                <w:highlight w:val="none"/>
              </w:rPr>
            </w:pPr>
          </w:p>
        </w:tc>
        <w:tc>
          <w:tcPr>
            <w:tcW w:w="3200" w:type="dxa"/>
            <w:vAlign w:val="center"/>
          </w:tcPr>
          <w:p w14:paraId="13241818">
            <w:pPr>
              <w:jc w:val="center"/>
              <w:rPr>
                <w:rFonts w:ascii="宋体" w:hAnsi="宋体" w:cs="宋体"/>
                <w:color w:val="auto"/>
                <w:sz w:val="24"/>
                <w:highlight w:val="none"/>
              </w:rPr>
            </w:pPr>
          </w:p>
        </w:tc>
        <w:tc>
          <w:tcPr>
            <w:tcW w:w="916" w:type="dxa"/>
            <w:vAlign w:val="center"/>
          </w:tcPr>
          <w:p w14:paraId="2451018D">
            <w:pPr>
              <w:jc w:val="center"/>
              <w:rPr>
                <w:rFonts w:ascii="宋体" w:hAnsi="宋体" w:cs="宋体"/>
                <w:color w:val="auto"/>
                <w:sz w:val="24"/>
                <w:highlight w:val="none"/>
              </w:rPr>
            </w:pPr>
          </w:p>
        </w:tc>
        <w:tc>
          <w:tcPr>
            <w:tcW w:w="1219" w:type="dxa"/>
            <w:vAlign w:val="center"/>
          </w:tcPr>
          <w:p w14:paraId="5252D8D6">
            <w:pPr>
              <w:jc w:val="center"/>
              <w:rPr>
                <w:rFonts w:ascii="宋体" w:hAnsi="宋体" w:cs="宋体"/>
                <w:color w:val="auto"/>
                <w:sz w:val="24"/>
                <w:highlight w:val="none"/>
              </w:rPr>
            </w:pPr>
          </w:p>
        </w:tc>
      </w:tr>
      <w:tr w14:paraId="6215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34" w:type="dxa"/>
            <w:vAlign w:val="center"/>
          </w:tcPr>
          <w:p w14:paraId="52D41150">
            <w:pPr>
              <w:jc w:val="center"/>
              <w:rPr>
                <w:rFonts w:ascii="宋体" w:hAnsi="宋体" w:cs="宋体"/>
                <w:color w:val="auto"/>
                <w:sz w:val="24"/>
                <w:highlight w:val="none"/>
              </w:rPr>
            </w:pPr>
            <w:r>
              <w:rPr>
                <w:rFonts w:hint="eastAsia" w:ascii="宋体" w:hAnsi="宋体" w:cs="宋体"/>
                <w:color w:val="auto"/>
                <w:sz w:val="24"/>
                <w:highlight w:val="none"/>
              </w:rPr>
              <w:t>2</w:t>
            </w:r>
          </w:p>
        </w:tc>
        <w:tc>
          <w:tcPr>
            <w:tcW w:w="3550" w:type="dxa"/>
            <w:vAlign w:val="center"/>
          </w:tcPr>
          <w:p w14:paraId="6D4D7006">
            <w:pPr>
              <w:jc w:val="center"/>
              <w:rPr>
                <w:rFonts w:ascii="宋体" w:hAnsi="宋体" w:cs="宋体"/>
                <w:color w:val="auto"/>
                <w:sz w:val="24"/>
                <w:highlight w:val="none"/>
              </w:rPr>
            </w:pPr>
          </w:p>
        </w:tc>
        <w:tc>
          <w:tcPr>
            <w:tcW w:w="3200" w:type="dxa"/>
            <w:vAlign w:val="center"/>
          </w:tcPr>
          <w:p w14:paraId="5BB5344B">
            <w:pPr>
              <w:jc w:val="center"/>
              <w:rPr>
                <w:rFonts w:ascii="宋体" w:hAnsi="宋体" w:cs="宋体"/>
                <w:color w:val="auto"/>
                <w:sz w:val="24"/>
                <w:highlight w:val="none"/>
              </w:rPr>
            </w:pPr>
          </w:p>
        </w:tc>
        <w:tc>
          <w:tcPr>
            <w:tcW w:w="916" w:type="dxa"/>
            <w:vAlign w:val="center"/>
          </w:tcPr>
          <w:p w14:paraId="0B27CAEF">
            <w:pPr>
              <w:jc w:val="center"/>
              <w:rPr>
                <w:rFonts w:ascii="宋体" w:hAnsi="宋体" w:cs="宋体"/>
                <w:color w:val="auto"/>
                <w:sz w:val="24"/>
                <w:highlight w:val="none"/>
              </w:rPr>
            </w:pPr>
          </w:p>
        </w:tc>
        <w:tc>
          <w:tcPr>
            <w:tcW w:w="1219" w:type="dxa"/>
            <w:vAlign w:val="center"/>
          </w:tcPr>
          <w:p w14:paraId="6C8180D6">
            <w:pPr>
              <w:jc w:val="center"/>
              <w:rPr>
                <w:rFonts w:ascii="宋体" w:hAnsi="宋体" w:cs="宋体"/>
                <w:color w:val="auto"/>
                <w:sz w:val="24"/>
                <w:highlight w:val="none"/>
              </w:rPr>
            </w:pPr>
          </w:p>
        </w:tc>
      </w:tr>
      <w:tr w14:paraId="13DA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34" w:type="dxa"/>
            <w:vAlign w:val="center"/>
          </w:tcPr>
          <w:p w14:paraId="25C913DF">
            <w:pPr>
              <w:jc w:val="center"/>
              <w:rPr>
                <w:rFonts w:ascii="宋体" w:hAnsi="宋体" w:cs="宋体"/>
                <w:color w:val="auto"/>
                <w:sz w:val="24"/>
                <w:highlight w:val="none"/>
              </w:rPr>
            </w:pPr>
            <w:r>
              <w:rPr>
                <w:rFonts w:hint="eastAsia" w:ascii="宋体" w:hAnsi="宋体" w:cs="宋体"/>
                <w:color w:val="auto"/>
                <w:sz w:val="24"/>
                <w:highlight w:val="none"/>
              </w:rPr>
              <w:t>3</w:t>
            </w:r>
          </w:p>
        </w:tc>
        <w:tc>
          <w:tcPr>
            <w:tcW w:w="3550" w:type="dxa"/>
            <w:vAlign w:val="center"/>
          </w:tcPr>
          <w:p w14:paraId="39F9B9EE">
            <w:pPr>
              <w:jc w:val="center"/>
              <w:rPr>
                <w:rFonts w:ascii="宋体" w:hAnsi="宋体" w:cs="宋体"/>
                <w:color w:val="auto"/>
                <w:sz w:val="24"/>
                <w:highlight w:val="none"/>
              </w:rPr>
            </w:pPr>
          </w:p>
        </w:tc>
        <w:tc>
          <w:tcPr>
            <w:tcW w:w="3200" w:type="dxa"/>
            <w:vAlign w:val="center"/>
          </w:tcPr>
          <w:p w14:paraId="48F0FAD9">
            <w:pPr>
              <w:jc w:val="center"/>
              <w:rPr>
                <w:rFonts w:ascii="宋体" w:hAnsi="宋体" w:cs="宋体"/>
                <w:color w:val="auto"/>
                <w:sz w:val="24"/>
                <w:highlight w:val="none"/>
              </w:rPr>
            </w:pPr>
          </w:p>
        </w:tc>
        <w:tc>
          <w:tcPr>
            <w:tcW w:w="916" w:type="dxa"/>
            <w:vAlign w:val="center"/>
          </w:tcPr>
          <w:p w14:paraId="4DA2FFDA">
            <w:pPr>
              <w:jc w:val="center"/>
              <w:rPr>
                <w:rFonts w:ascii="宋体" w:hAnsi="宋体" w:cs="宋体"/>
                <w:color w:val="auto"/>
                <w:sz w:val="24"/>
                <w:highlight w:val="none"/>
              </w:rPr>
            </w:pPr>
          </w:p>
        </w:tc>
        <w:tc>
          <w:tcPr>
            <w:tcW w:w="1219" w:type="dxa"/>
            <w:vAlign w:val="center"/>
          </w:tcPr>
          <w:p w14:paraId="5FF84135">
            <w:pPr>
              <w:jc w:val="center"/>
              <w:rPr>
                <w:rFonts w:ascii="宋体" w:hAnsi="宋体" w:cs="宋体"/>
                <w:color w:val="auto"/>
                <w:sz w:val="24"/>
                <w:highlight w:val="none"/>
              </w:rPr>
            </w:pPr>
          </w:p>
        </w:tc>
      </w:tr>
      <w:tr w14:paraId="4EBF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34" w:type="dxa"/>
            <w:vAlign w:val="center"/>
          </w:tcPr>
          <w:p w14:paraId="7742AB76">
            <w:pPr>
              <w:jc w:val="center"/>
              <w:rPr>
                <w:rFonts w:ascii="宋体" w:hAnsi="宋体" w:cs="宋体"/>
                <w:color w:val="auto"/>
                <w:sz w:val="24"/>
                <w:highlight w:val="none"/>
              </w:rPr>
            </w:pPr>
            <w:r>
              <w:rPr>
                <w:rFonts w:hint="eastAsia" w:ascii="宋体" w:hAnsi="宋体" w:cs="宋体"/>
                <w:color w:val="auto"/>
                <w:sz w:val="24"/>
                <w:highlight w:val="none"/>
              </w:rPr>
              <w:t>4</w:t>
            </w:r>
          </w:p>
        </w:tc>
        <w:tc>
          <w:tcPr>
            <w:tcW w:w="3550" w:type="dxa"/>
            <w:vAlign w:val="center"/>
          </w:tcPr>
          <w:p w14:paraId="22F5F437">
            <w:pPr>
              <w:jc w:val="center"/>
              <w:rPr>
                <w:rFonts w:ascii="宋体" w:hAnsi="宋体" w:cs="宋体"/>
                <w:color w:val="auto"/>
                <w:sz w:val="24"/>
                <w:highlight w:val="none"/>
              </w:rPr>
            </w:pPr>
          </w:p>
        </w:tc>
        <w:tc>
          <w:tcPr>
            <w:tcW w:w="3200" w:type="dxa"/>
            <w:vAlign w:val="center"/>
          </w:tcPr>
          <w:p w14:paraId="36445F87">
            <w:pPr>
              <w:jc w:val="center"/>
              <w:rPr>
                <w:rFonts w:ascii="宋体" w:hAnsi="宋体" w:cs="宋体"/>
                <w:color w:val="auto"/>
                <w:sz w:val="24"/>
                <w:highlight w:val="none"/>
              </w:rPr>
            </w:pPr>
          </w:p>
        </w:tc>
        <w:tc>
          <w:tcPr>
            <w:tcW w:w="916" w:type="dxa"/>
            <w:vAlign w:val="center"/>
          </w:tcPr>
          <w:p w14:paraId="0D628C36">
            <w:pPr>
              <w:jc w:val="center"/>
              <w:rPr>
                <w:rFonts w:ascii="宋体" w:hAnsi="宋体" w:cs="宋体"/>
                <w:color w:val="auto"/>
                <w:sz w:val="24"/>
                <w:highlight w:val="none"/>
              </w:rPr>
            </w:pPr>
          </w:p>
        </w:tc>
        <w:tc>
          <w:tcPr>
            <w:tcW w:w="1219" w:type="dxa"/>
            <w:vAlign w:val="center"/>
          </w:tcPr>
          <w:p w14:paraId="7C4E2FEE">
            <w:pPr>
              <w:jc w:val="center"/>
              <w:rPr>
                <w:rFonts w:ascii="宋体" w:hAnsi="宋体" w:cs="宋体"/>
                <w:color w:val="auto"/>
                <w:sz w:val="24"/>
                <w:highlight w:val="none"/>
              </w:rPr>
            </w:pPr>
          </w:p>
        </w:tc>
      </w:tr>
      <w:tr w14:paraId="6176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34" w:type="dxa"/>
            <w:vAlign w:val="center"/>
          </w:tcPr>
          <w:p w14:paraId="158A55D0">
            <w:pPr>
              <w:jc w:val="center"/>
              <w:rPr>
                <w:rFonts w:ascii="宋体" w:hAnsi="宋体" w:cs="宋体"/>
                <w:color w:val="auto"/>
                <w:sz w:val="24"/>
                <w:highlight w:val="none"/>
              </w:rPr>
            </w:pPr>
            <w:r>
              <w:rPr>
                <w:rFonts w:hint="eastAsia" w:ascii="宋体" w:hAnsi="宋体" w:cs="宋体"/>
                <w:color w:val="auto"/>
                <w:sz w:val="24"/>
                <w:highlight w:val="none"/>
              </w:rPr>
              <w:t>5</w:t>
            </w:r>
          </w:p>
        </w:tc>
        <w:tc>
          <w:tcPr>
            <w:tcW w:w="3550" w:type="dxa"/>
            <w:vAlign w:val="center"/>
          </w:tcPr>
          <w:p w14:paraId="5F06B55F">
            <w:pPr>
              <w:jc w:val="center"/>
              <w:rPr>
                <w:rFonts w:ascii="宋体" w:hAnsi="宋体" w:cs="宋体"/>
                <w:color w:val="auto"/>
                <w:sz w:val="24"/>
                <w:highlight w:val="none"/>
              </w:rPr>
            </w:pPr>
          </w:p>
        </w:tc>
        <w:tc>
          <w:tcPr>
            <w:tcW w:w="3200" w:type="dxa"/>
            <w:vAlign w:val="center"/>
          </w:tcPr>
          <w:p w14:paraId="68B6B697">
            <w:pPr>
              <w:jc w:val="center"/>
              <w:rPr>
                <w:rFonts w:ascii="宋体" w:hAnsi="宋体" w:cs="宋体"/>
                <w:color w:val="auto"/>
                <w:sz w:val="24"/>
                <w:highlight w:val="none"/>
              </w:rPr>
            </w:pPr>
          </w:p>
        </w:tc>
        <w:tc>
          <w:tcPr>
            <w:tcW w:w="916" w:type="dxa"/>
            <w:vAlign w:val="center"/>
          </w:tcPr>
          <w:p w14:paraId="321C6DF0">
            <w:pPr>
              <w:jc w:val="center"/>
              <w:rPr>
                <w:rFonts w:ascii="宋体" w:hAnsi="宋体" w:cs="宋体"/>
                <w:color w:val="auto"/>
                <w:sz w:val="24"/>
                <w:highlight w:val="none"/>
              </w:rPr>
            </w:pPr>
          </w:p>
        </w:tc>
        <w:tc>
          <w:tcPr>
            <w:tcW w:w="1219" w:type="dxa"/>
            <w:vAlign w:val="center"/>
          </w:tcPr>
          <w:p w14:paraId="146F0164">
            <w:pPr>
              <w:jc w:val="center"/>
              <w:rPr>
                <w:rFonts w:ascii="宋体" w:hAnsi="宋体" w:cs="宋体"/>
                <w:color w:val="auto"/>
                <w:sz w:val="24"/>
                <w:highlight w:val="none"/>
              </w:rPr>
            </w:pPr>
          </w:p>
        </w:tc>
      </w:tr>
      <w:tr w14:paraId="378D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34" w:type="dxa"/>
            <w:vAlign w:val="center"/>
          </w:tcPr>
          <w:p w14:paraId="4FF9AD92">
            <w:pPr>
              <w:jc w:val="center"/>
              <w:rPr>
                <w:rFonts w:ascii="宋体" w:hAnsi="宋体" w:cs="宋体"/>
                <w:color w:val="auto"/>
                <w:sz w:val="24"/>
                <w:highlight w:val="none"/>
              </w:rPr>
            </w:pPr>
            <w:r>
              <w:rPr>
                <w:rFonts w:hint="eastAsia" w:ascii="宋体" w:hAnsi="宋体" w:cs="宋体"/>
                <w:color w:val="auto"/>
                <w:sz w:val="24"/>
                <w:highlight w:val="none"/>
              </w:rPr>
              <w:t>6</w:t>
            </w:r>
          </w:p>
        </w:tc>
        <w:tc>
          <w:tcPr>
            <w:tcW w:w="3550" w:type="dxa"/>
            <w:vAlign w:val="center"/>
          </w:tcPr>
          <w:p w14:paraId="3022496C">
            <w:pPr>
              <w:jc w:val="center"/>
              <w:rPr>
                <w:rFonts w:ascii="宋体" w:hAnsi="宋体" w:cs="宋体"/>
                <w:color w:val="auto"/>
                <w:sz w:val="24"/>
                <w:highlight w:val="none"/>
              </w:rPr>
            </w:pPr>
          </w:p>
        </w:tc>
        <w:tc>
          <w:tcPr>
            <w:tcW w:w="3200" w:type="dxa"/>
            <w:vAlign w:val="center"/>
          </w:tcPr>
          <w:p w14:paraId="03C8A6E3">
            <w:pPr>
              <w:jc w:val="center"/>
              <w:rPr>
                <w:rFonts w:ascii="宋体" w:hAnsi="宋体" w:cs="宋体"/>
                <w:color w:val="auto"/>
                <w:sz w:val="24"/>
                <w:highlight w:val="none"/>
              </w:rPr>
            </w:pPr>
          </w:p>
        </w:tc>
        <w:tc>
          <w:tcPr>
            <w:tcW w:w="916" w:type="dxa"/>
            <w:vAlign w:val="center"/>
          </w:tcPr>
          <w:p w14:paraId="4123887F">
            <w:pPr>
              <w:jc w:val="center"/>
              <w:rPr>
                <w:rFonts w:ascii="宋体" w:hAnsi="宋体" w:cs="宋体"/>
                <w:color w:val="auto"/>
                <w:sz w:val="24"/>
                <w:highlight w:val="none"/>
              </w:rPr>
            </w:pPr>
          </w:p>
        </w:tc>
        <w:tc>
          <w:tcPr>
            <w:tcW w:w="1219" w:type="dxa"/>
            <w:vAlign w:val="center"/>
          </w:tcPr>
          <w:p w14:paraId="5E63B883">
            <w:pPr>
              <w:jc w:val="center"/>
              <w:rPr>
                <w:rFonts w:ascii="宋体" w:hAnsi="宋体" w:cs="宋体"/>
                <w:color w:val="auto"/>
                <w:sz w:val="24"/>
                <w:highlight w:val="none"/>
              </w:rPr>
            </w:pPr>
          </w:p>
        </w:tc>
      </w:tr>
      <w:tr w14:paraId="18E2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34" w:type="dxa"/>
            <w:vAlign w:val="center"/>
          </w:tcPr>
          <w:p w14:paraId="33E8C050">
            <w:pPr>
              <w:jc w:val="center"/>
              <w:rPr>
                <w:rFonts w:ascii="宋体" w:hAnsi="宋体" w:cs="宋体"/>
                <w:color w:val="auto"/>
                <w:sz w:val="24"/>
                <w:highlight w:val="none"/>
              </w:rPr>
            </w:pPr>
            <w:r>
              <w:rPr>
                <w:rFonts w:hint="eastAsia" w:ascii="宋体" w:hAnsi="宋体" w:cs="宋体"/>
                <w:color w:val="auto"/>
                <w:sz w:val="24"/>
                <w:highlight w:val="none"/>
              </w:rPr>
              <w:t>7</w:t>
            </w:r>
          </w:p>
        </w:tc>
        <w:tc>
          <w:tcPr>
            <w:tcW w:w="3550" w:type="dxa"/>
            <w:vAlign w:val="center"/>
          </w:tcPr>
          <w:p w14:paraId="2A330FCA">
            <w:pPr>
              <w:jc w:val="center"/>
              <w:rPr>
                <w:rFonts w:ascii="宋体" w:hAnsi="宋体" w:cs="宋体"/>
                <w:color w:val="auto"/>
                <w:sz w:val="24"/>
                <w:highlight w:val="none"/>
              </w:rPr>
            </w:pPr>
          </w:p>
        </w:tc>
        <w:tc>
          <w:tcPr>
            <w:tcW w:w="3200" w:type="dxa"/>
            <w:vAlign w:val="center"/>
          </w:tcPr>
          <w:p w14:paraId="1CE9AD94">
            <w:pPr>
              <w:jc w:val="center"/>
              <w:rPr>
                <w:rFonts w:ascii="宋体" w:hAnsi="宋体" w:cs="宋体"/>
                <w:color w:val="auto"/>
                <w:sz w:val="24"/>
                <w:highlight w:val="none"/>
              </w:rPr>
            </w:pPr>
          </w:p>
        </w:tc>
        <w:tc>
          <w:tcPr>
            <w:tcW w:w="916" w:type="dxa"/>
            <w:vAlign w:val="center"/>
          </w:tcPr>
          <w:p w14:paraId="1280BFDD">
            <w:pPr>
              <w:jc w:val="center"/>
              <w:rPr>
                <w:rFonts w:ascii="宋体" w:hAnsi="宋体" w:cs="宋体"/>
                <w:color w:val="auto"/>
                <w:sz w:val="24"/>
                <w:highlight w:val="none"/>
              </w:rPr>
            </w:pPr>
          </w:p>
        </w:tc>
        <w:tc>
          <w:tcPr>
            <w:tcW w:w="1219" w:type="dxa"/>
            <w:vAlign w:val="center"/>
          </w:tcPr>
          <w:p w14:paraId="2AC1DC57">
            <w:pPr>
              <w:jc w:val="center"/>
              <w:rPr>
                <w:rFonts w:ascii="宋体" w:hAnsi="宋体" w:cs="宋体"/>
                <w:color w:val="auto"/>
                <w:sz w:val="24"/>
                <w:highlight w:val="none"/>
              </w:rPr>
            </w:pPr>
          </w:p>
        </w:tc>
      </w:tr>
      <w:tr w14:paraId="1FB6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34" w:type="dxa"/>
            <w:vAlign w:val="center"/>
          </w:tcPr>
          <w:p w14:paraId="2D51B328">
            <w:pPr>
              <w:jc w:val="center"/>
              <w:rPr>
                <w:rFonts w:ascii="宋体" w:hAnsi="宋体" w:cs="宋体"/>
                <w:color w:val="auto"/>
                <w:sz w:val="24"/>
                <w:highlight w:val="none"/>
              </w:rPr>
            </w:pPr>
            <w:r>
              <w:rPr>
                <w:rFonts w:hint="eastAsia" w:ascii="宋体" w:hAnsi="宋体" w:cs="宋体"/>
                <w:color w:val="auto"/>
                <w:sz w:val="24"/>
                <w:highlight w:val="none"/>
              </w:rPr>
              <w:t>8</w:t>
            </w:r>
          </w:p>
        </w:tc>
        <w:tc>
          <w:tcPr>
            <w:tcW w:w="3550" w:type="dxa"/>
            <w:vAlign w:val="center"/>
          </w:tcPr>
          <w:p w14:paraId="41F50877">
            <w:pPr>
              <w:jc w:val="center"/>
              <w:rPr>
                <w:rFonts w:ascii="宋体" w:hAnsi="宋体" w:cs="宋体"/>
                <w:color w:val="auto"/>
                <w:sz w:val="24"/>
                <w:highlight w:val="none"/>
              </w:rPr>
            </w:pPr>
          </w:p>
        </w:tc>
        <w:tc>
          <w:tcPr>
            <w:tcW w:w="3200" w:type="dxa"/>
            <w:vAlign w:val="center"/>
          </w:tcPr>
          <w:p w14:paraId="4141E9BA">
            <w:pPr>
              <w:jc w:val="center"/>
              <w:rPr>
                <w:rFonts w:ascii="宋体" w:hAnsi="宋体" w:cs="宋体"/>
                <w:color w:val="auto"/>
                <w:sz w:val="24"/>
                <w:highlight w:val="none"/>
              </w:rPr>
            </w:pPr>
          </w:p>
        </w:tc>
        <w:tc>
          <w:tcPr>
            <w:tcW w:w="916" w:type="dxa"/>
            <w:vAlign w:val="center"/>
          </w:tcPr>
          <w:p w14:paraId="200B3EB7">
            <w:pPr>
              <w:jc w:val="center"/>
              <w:rPr>
                <w:rFonts w:ascii="宋体" w:hAnsi="宋体" w:cs="宋体"/>
                <w:color w:val="auto"/>
                <w:sz w:val="24"/>
                <w:highlight w:val="none"/>
              </w:rPr>
            </w:pPr>
          </w:p>
        </w:tc>
        <w:tc>
          <w:tcPr>
            <w:tcW w:w="1219" w:type="dxa"/>
            <w:vAlign w:val="center"/>
          </w:tcPr>
          <w:p w14:paraId="73A74FEF">
            <w:pPr>
              <w:jc w:val="center"/>
              <w:rPr>
                <w:rFonts w:ascii="宋体" w:hAnsi="宋体" w:cs="宋体"/>
                <w:color w:val="auto"/>
                <w:sz w:val="24"/>
                <w:highlight w:val="none"/>
              </w:rPr>
            </w:pPr>
          </w:p>
        </w:tc>
      </w:tr>
      <w:tr w14:paraId="5DA7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34" w:type="dxa"/>
            <w:vAlign w:val="center"/>
          </w:tcPr>
          <w:p w14:paraId="5E2820B7">
            <w:pPr>
              <w:jc w:val="center"/>
              <w:rPr>
                <w:rFonts w:ascii="宋体" w:hAnsi="宋体" w:cs="宋体"/>
                <w:color w:val="auto"/>
                <w:sz w:val="24"/>
                <w:highlight w:val="none"/>
              </w:rPr>
            </w:pPr>
            <w:r>
              <w:rPr>
                <w:rFonts w:hint="eastAsia" w:ascii="宋体" w:hAnsi="宋体" w:cs="宋体"/>
                <w:color w:val="auto"/>
                <w:sz w:val="24"/>
                <w:highlight w:val="none"/>
              </w:rPr>
              <w:t>9</w:t>
            </w:r>
          </w:p>
        </w:tc>
        <w:tc>
          <w:tcPr>
            <w:tcW w:w="3550" w:type="dxa"/>
            <w:vAlign w:val="center"/>
          </w:tcPr>
          <w:p w14:paraId="48581CC7">
            <w:pPr>
              <w:jc w:val="center"/>
              <w:rPr>
                <w:rFonts w:ascii="宋体" w:hAnsi="宋体" w:cs="宋体"/>
                <w:color w:val="auto"/>
                <w:sz w:val="24"/>
                <w:highlight w:val="none"/>
              </w:rPr>
            </w:pPr>
          </w:p>
        </w:tc>
        <w:tc>
          <w:tcPr>
            <w:tcW w:w="3200" w:type="dxa"/>
            <w:vAlign w:val="center"/>
          </w:tcPr>
          <w:p w14:paraId="76842912">
            <w:pPr>
              <w:jc w:val="center"/>
              <w:rPr>
                <w:rFonts w:ascii="宋体" w:hAnsi="宋体" w:cs="宋体"/>
                <w:color w:val="auto"/>
                <w:sz w:val="24"/>
                <w:highlight w:val="none"/>
              </w:rPr>
            </w:pPr>
          </w:p>
        </w:tc>
        <w:tc>
          <w:tcPr>
            <w:tcW w:w="916" w:type="dxa"/>
            <w:vAlign w:val="center"/>
          </w:tcPr>
          <w:p w14:paraId="3C446E32">
            <w:pPr>
              <w:jc w:val="center"/>
              <w:rPr>
                <w:rFonts w:ascii="宋体" w:hAnsi="宋体" w:cs="宋体"/>
                <w:color w:val="auto"/>
                <w:sz w:val="24"/>
                <w:highlight w:val="none"/>
              </w:rPr>
            </w:pPr>
          </w:p>
        </w:tc>
        <w:tc>
          <w:tcPr>
            <w:tcW w:w="1219" w:type="dxa"/>
            <w:vAlign w:val="center"/>
          </w:tcPr>
          <w:p w14:paraId="1289BC49">
            <w:pPr>
              <w:jc w:val="center"/>
              <w:rPr>
                <w:rFonts w:ascii="宋体" w:hAnsi="宋体" w:cs="宋体"/>
                <w:color w:val="auto"/>
                <w:sz w:val="24"/>
                <w:highlight w:val="none"/>
              </w:rPr>
            </w:pPr>
          </w:p>
        </w:tc>
      </w:tr>
      <w:tr w14:paraId="169E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34" w:type="dxa"/>
            <w:vAlign w:val="center"/>
          </w:tcPr>
          <w:p w14:paraId="72EBC77B">
            <w:pPr>
              <w:jc w:val="center"/>
              <w:rPr>
                <w:rFonts w:ascii="宋体" w:hAnsi="宋体" w:cs="宋体"/>
                <w:color w:val="auto"/>
                <w:sz w:val="24"/>
                <w:highlight w:val="none"/>
              </w:rPr>
            </w:pPr>
            <w:r>
              <w:rPr>
                <w:rFonts w:hint="eastAsia" w:ascii="宋体" w:hAnsi="宋体" w:cs="宋体"/>
                <w:color w:val="auto"/>
                <w:sz w:val="24"/>
                <w:highlight w:val="none"/>
              </w:rPr>
              <w:t>10</w:t>
            </w:r>
          </w:p>
        </w:tc>
        <w:tc>
          <w:tcPr>
            <w:tcW w:w="3550" w:type="dxa"/>
            <w:vAlign w:val="center"/>
          </w:tcPr>
          <w:p w14:paraId="54870157">
            <w:pPr>
              <w:jc w:val="center"/>
              <w:rPr>
                <w:rFonts w:ascii="宋体" w:hAnsi="宋体" w:cs="宋体"/>
                <w:color w:val="auto"/>
                <w:sz w:val="24"/>
                <w:highlight w:val="none"/>
              </w:rPr>
            </w:pPr>
          </w:p>
        </w:tc>
        <w:tc>
          <w:tcPr>
            <w:tcW w:w="3200" w:type="dxa"/>
            <w:vAlign w:val="center"/>
          </w:tcPr>
          <w:p w14:paraId="78859A7E">
            <w:pPr>
              <w:jc w:val="center"/>
              <w:rPr>
                <w:rFonts w:ascii="宋体" w:hAnsi="宋体" w:cs="宋体"/>
                <w:color w:val="auto"/>
                <w:sz w:val="24"/>
                <w:highlight w:val="none"/>
              </w:rPr>
            </w:pPr>
          </w:p>
        </w:tc>
        <w:tc>
          <w:tcPr>
            <w:tcW w:w="916" w:type="dxa"/>
            <w:vAlign w:val="center"/>
          </w:tcPr>
          <w:p w14:paraId="2767D997">
            <w:pPr>
              <w:jc w:val="center"/>
              <w:rPr>
                <w:rFonts w:ascii="宋体" w:hAnsi="宋体" w:cs="宋体"/>
                <w:color w:val="auto"/>
                <w:sz w:val="24"/>
                <w:highlight w:val="none"/>
              </w:rPr>
            </w:pPr>
          </w:p>
        </w:tc>
        <w:tc>
          <w:tcPr>
            <w:tcW w:w="1219" w:type="dxa"/>
            <w:vAlign w:val="center"/>
          </w:tcPr>
          <w:p w14:paraId="4EDFBDBC">
            <w:pPr>
              <w:jc w:val="center"/>
              <w:rPr>
                <w:rFonts w:ascii="宋体" w:hAnsi="宋体" w:cs="宋体"/>
                <w:color w:val="auto"/>
                <w:sz w:val="24"/>
                <w:highlight w:val="none"/>
              </w:rPr>
            </w:pPr>
          </w:p>
        </w:tc>
      </w:tr>
      <w:tr w14:paraId="5E13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34" w:type="dxa"/>
            <w:vAlign w:val="center"/>
          </w:tcPr>
          <w:p w14:paraId="3F3D0B08">
            <w:pPr>
              <w:jc w:val="center"/>
              <w:rPr>
                <w:rFonts w:ascii="宋体" w:hAnsi="宋体" w:cs="宋体"/>
                <w:color w:val="auto"/>
                <w:sz w:val="24"/>
                <w:highlight w:val="none"/>
              </w:rPr>
            </w:pPr>
            <w:r>
              <w:rPr>
                <w:rFonts w:hint="eastAsia" w:ascii="宋体" w:hAnsi="宋体" w:cs="宋体"/>
                <w:color w:val="auto"/>
                <w:sz w:val="24"/>
                <w:highlight w:val="none"/>
              </w:rPr>
              <w:t>11</w:t>
            </w:r>
          </w:p>
        </w:tc>
        <w:tc>
          <w:tcPr>
            <w:tcW w:w="3550" w:type="dxa"/>
            <w:vAlign w:val="center"/>
          </w:tcPr>
          <w:p w14:paraId="229F7063">
            <w:pPr>
              <w:jc w:val="center"/>
              <w:rPr>
                <w:rFonts w:ascii="宋体" w:hAnsi="宋体" w:cs="宋体"/>
                <w:color w:val="auto"/>
                <w:sz w:val="24"/>
                <w:highlight w:val="none"/>
              </w:rPr>
            </w:pPr>
          </w:p>
        </w:tc>
        <w:tc>
          <w:tcPr>
            <w:tcW w:w="3200" w:type="dxa"/>
            <w:vAlign w:val="center"/>
          </w:tcPr>
          <w:p w14:paraId="73C59B87">
            <w:pPr>
              <w:jc w:val="center"/>
              <w:rPr>
                <w:rFonts w:ascii="宋体" w:hAnsi="宋体" w:cs="宋体"/>
                <w:color w:val="auto"/>
                <w:sz w:val="24"/>
                <w:highlight w:val="none"/>
              </w:rPr>
            </w:pPr>
          </w:p>
        </w:tc>
        <w:tc>
          <w:tcPr>
            <w:tcW w:w="916" w:type="dxa"/>
            <w:vAlign w:val="center"/>
          </w:tcPr>
          <w:p w14:paraId="70F75B96">
            <w:pPr>
              <w:jc w:val="center"/>
              <w:rPr>
                <w:rFonts w:ascii="宋体" w:hAnsi="宋体" w:cs="宋体"/>
                <w:color w:val="auto"/>
                <w:sz w:val="24"/>
                <w:highlight w:val="none"/>
              </w:rPr>
            </w:pPr>
          </w:p>
        </w:tc>
        <w:tc>
          <w:tcPr>
            <w:tcW w:w="1219" w:type="dxa"/>
            <w:vAlign w:val="center"/>
          </w:tcPr>
          <w:p w14:paraId="5BE769F1">
            <w:pPr>
              <w:jc w:val="center"/>
              <w:rPr>
                <w:rFonts w:ascii="宋体" w:hAnsi="宋体" w:cs="宋体"/>
                <w:color w:val="auto"/>
                <w:sz w:val="24"/>
                <w:highlight w:val="none"/>
              </w:rPr>
            </w:pPr>
          </w:p>
        </w:tc>
      </w:tr>
      <w:tr w14:paraId="1E59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34" w:type="dxa"/>
            <w:vAlign w:val="center"/>
          </w:tcPr>
          <w:p w14:paraId="62FDC050">
            <w:pPr>
              <w:jc w:val="center"/>
              <w:rPr>
                <w:rFonts w:ascii="宋体" w:hAnsi="宋体" w:cs="宋体"/>
                <w:color w:val="auto"/>
                <w:sz w:val="24"/>
                <w:highlight w:val="none"/>
              </w:rPr>
            </w:pPr>
            <w:r>
              <w:rPr>
                <w:rFonts w:hint="eastAsia" w:ascii="宋体" w:hAnsi="宋体" w:cs="宋体"/>
                <w:color w:val="auto"/>
                <w:sz w:val="24"/>
                <w:highlight w:val="none"/>
              </w:rPr>
              <w:t>12</w:t>
            </w:r>
          </w:p>
        </w:tc>
        <w:tc>
          <w:tcPr>
            <w:tcW w:w="3550" w:type="dxa"/>
            <w:vAlign w:val="center"/>
          </w:tcPr>
          <w:p w14:paraId="5B28FFCB">
            <w:pPr>
              <w:jc w:val="center"/>
              <w:rPr>
                <w:rFonts w:ascii="宋体" w:hAnsi="宋体" w:cs="宋体"/>
                <w:color w:val="auto"/>
                <w:sz w:val="24"/>
                <w:highlight w:val="none"/>
              </w:rPr>
            </w:pPr>
          </w:p>
        </w:tc>
        <w:tc>
          <w:tcPr>
            <w:tcW w:w="3200" w:type="dxa"/>
            <w:vAlign w:val="center"/>
          </w:tcPr>
          <w:p w14:paraId="7D46A814">
            <w:pPr>
              <w:jc w:val="center"/>
              <w:rPr>
                <w:rFonts w:ascii="宋体" w:hAnsi="宋体" w:cs="宋体"/>
                <w:color w:val="auto"/>
                <w:sz w:val="24"/>
                <w:highlight w:val="none"/>
              </w:rPr>
            </w:pPr>
          </w:p>
        </w:tc>
        <w:tc>
          <w:tcPr>
            <w:tcW w:w="916" w:type="dxa"/>
            <w:vAlign w:val="center"/>
          </w:tcPr>
          <w:p w14:paraId="28618219">
            <w:pPr>
              <w:jc w:val="center"/>
              <w:rPr>
                <w:rFonts w:ascii="宋体" w:hAnsi="宋体" w:cs="宋体"/>
                <w:color w:val="auto"/>
                <w:sz w:val="24"/>
                <w:highlight w:val="none"/>
              </w:rPr>
            </w:pPr>
          </w:p>
        </w:tc>
        <w:tc>
          <w:tcPr>
            <w:tcW w:w="1219" w:type="dxa"/>
            <w:vAlign w:val="center"/>
          </w:tcPr>
          <w:p w14:paraId="28C727AC">
            <w:pPr>
              <w:jc w:val="center"/>
              <w:rPr>
                <w:rFonts w:ascii="宋体" w:hAnsi="宋体" w:cs="宋体"/>
                <w:color w:val="auto"/>
                <w:sz w:val="24"/>
                <w:highlight w:val="none"/>
              </w:rPr>
            </w:pPr>
          </w:p>
        </w:tc>
      </w:tr>
      <w:tr w14:paraId="7C2A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34" w:type="dxa"/>
            <w:vAlign w:val="center"/>
          </w:tcPr>
          <w:p w14:paraId="0D6DD994">
            <w:pPr>
              <w:jc w:val="center"/>
              <w:rPr>
                <w:rFonts w:ascii="宋体" w:hAnsi="宋体" w:cs="宋体"/>
                <w:color w:val="auto"/>
                <w:sz w:val="24"/>
                <w:highlight w:val="none"/>
              </w:rPr>
            </w:pPr>
            <w:r>
              <w:rPr>
                <w:rFonts w:hint="eastAsia" w:ascii="宋体" w:hAnsi="宋体" w:cs="宋体"/>
                <w:color w:val="auto"/>
                <w:sz w:val="24"/>
                <w:highlight w:val="none"/>
              </w:rPr>
              <w:t>13</w:t>
            </w:r>
          </w:p>
        </w:tc>
        <w:tc>
          <w:tcPr>
            <w:tcW w:w="3550" w:type="dxa"/>
            <w:vAlign w:val="center"/>
          </w:tcPr>
          <w:p w14:paraId="35E5BF23">
            <w:pPr>
              <w:jc w:val="center"/>
              <w:rPr>
                <w:rFonts w:ascii="宋体" w:hAnsi="宋体" w:cs="宋体"/>
                <w:color w:val="auto"/>
                <w:sz w:val="24"/>
                <w:highlight w:val="none"/>
              </w:rPr>
            </w:pPr>
          </w:p>
        </w:tc>
        <w:tc>
          <w:tcPr>
            <w:tcW w:w="3200" w:type="dxa"/>
            <w:vAlign w:val="center"/>
          </w:tcPr>
          <w:p w14:paraId="18DC377E">
            <w:pPr>
              <w:jc w:val="center"/>
              <w:rPr>
                <w:rFonts w:ascii="宋体" w:hAnsi="宋体" w:cs="宋体"/>
                <w:color w:val="auto"/>
                <w:sz w:val="24"/>
                <w:highlight w:val="none"/>
              </w:rPr>
            </w:pPr>
          </w:p>
        </w:tc>
        <w:tc>
          <w:tcPr>
            <w:tcW w:w="916" w:type="dxa"/>
            <w:vAlign w:val="center"/>
          </w:tcPr>
          <w:p w14:paraId="00E00D57">
            <w:pPr>
              <w:jc w:val="center"/>
              <w:rPr>
                <w:rFonts w:ascii="宋体" w:hAnsi="宋体" w:cs="宋体"/>
                <w:color w:val="auto"/>
                <w:sz w:val="24"/>
                <w:highlight w:val="none"/>
              </w:rPr>
            </w:pPr>
          </w:p>
        </w:tc>
        <w:tc>
          <w:tcPr>
            <w:tcW w:w="1219" w:type="dxa"/>
            <w:vAlign w:val="center"/>
          </w:tcPr>
          <w:p w14:paraId="57A415DA">
            <w:pPr>
              <w:jc w:val="center"/>
              <w:rPr>
                <w:rFonts w:ascii="宋体" w:hAnsi="宋体" w:cs="宋体"/>
                <w:color w:val="auto"/>
                <w:sz w:val="24"/>
                <w:highlight w:val="none"/>
              </w:rPr>
            </w:pPr>
          </w:p>
        </w:tc>
      </w:tr>
      <w:tr w14:paraId="39CA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34" w:type="dxa"/>
            <w:vAlign w:val="center"/>
          </w:tcPr>
          <w:p w14:paraId="6F18BD98">
            <w:pPr>
              <w:jc w:val="center"/>
              <w:rPr>
                <w:rFonts w:ascii="宋体" w:hAnsi="宋体" w:cs="宋体"/>
                <w:color w:val="auto"/>
                <w:sz w:val="24"/>
                <w:highlight w:val="none"/>
              </w:rPr>
            </w:pPr>
            <w:r>
              <w:rPr>
                <w:rFonts w:hint="eastAsia" w:ascii="宋体" w:hAnsi="宋体" w:cs="宋体"/>
                <w:color w:val="auto"/>
                <w:sz w:val="24"/>
                <w:highlight w:val="none"/>
              </w:rPr>
              <w:t>……</w:t>
            </w:r>
          </w:p>
        </w:tc>
        <w:tc>
          <w:tcPr>
            <w:tcW w:w="3550" w:type="dxa"/>
            <w:vAlign w:val="center"/>
          </w:tcPr>
          <w:p w14:paraId="5D3D2892">
            <w:pPr>
              <w:jc w:val="center"/>
              <w:rPr>
                <w:rFonts w:ascii="宋体" w:hAnsi="宋体" w:cs="宋体"/>
                <w:color w:val="auto"/>
                <w:sz w:val="24"/>
                <w:highlight w:val="none"/>
              </w:rPr>
            </w:pPr>
          </w:p>
        </w:tc>
        <w:tc>
          <w:tcPr>
            <w:tcW w:w="3200" w:type="dxa"/>
            <w:vAlign w:val="center"/>
          </w:tcPr>
          <w:p w14:paraId="47B018CF">
            <w:pPr>
              <w:jc w:val="center"/>
              <w:rPr>
                <w:rFonts w:ascii="宋体" w:hAnsi="宋体" w:cs="宋体"/>
                <w:color w:val="auto"/>
                <w:sz w:val="24"/>
                <w:highlight w:val="none"/>
              </w:rPr>
            </w:pPr>
          </w:p>
        </w:tc>
        <w:tc>
          <w:tcPr>
            <w:tcW w:w="916" w:type="dxa"/>
            <w:vAlign w:val="center"/>
          </w:tcPr>
          <w:p w14:paraId="0685F1C5">
            <w:pPr>
              <w:jc w:val="center"/>
              <w:rPr>
                <w:rFonts w:ascii="宋体" w:hAnsi="宋体" w:cs="宋体"/>
                <w:color w:val="auto"/>
                <w:sz w:val="24"/>
                <w:highlight w:val="none"/>
              </w:rPr>
            </w:pPr>
          </w:p>
        </w:tc>
        <w:tc>
          <w:tcPr>
            <w:tcW w:w="1219" w:type="dxa"/>
            <w:vAlign w:val="center"/>
          </w:tcPr>
          <w:p w14:paraId="7B557405">
            <w:pPr>
              <w:jc w:val="center"/>
              <w:rPr>
                <w:rFonts w:ascii="宋体" w:hAnsi="宋体" w:cs="宋体"/>
                <w:color w:val="auto"/>
                <w:sz w:val="24"/>
                <w:highlight w:val="none"/>
              </w:rPr>
            </w:pPr>
          </w:p>
        </w:tc>
      </w:tr>
    </w:tbl>
    <w:p w14:paraId="642F996B">
      <w:pPr>
        <w:rPr>
          <w:rFonts w:ascii="宋体" w:hAnsi="宋体" w:cs="宋体"/>
          <w:color w:val="auto"/>
          <w:sz w:val="24"/>
          <w:highlight w:val="none"/>
        </w:rPr>
      </w:pPr>
    </w:p>
    <w:p w14:paraId="4BC0645E">
      <w:pPr>
        <w:rPr>
          <w:rFonts w:ascii="宋体" w:hAnsi="宋体" w:cs="宋体"/>
          <w:color w:val="auto"/>
          <w:sz w:val="24"/>
          <w:highlight w:val="none"/>
        </w:rPr>
      </w:pPr>
    </w:p>
    <w:p w14:paraId="3C6916C9">
      <w:pPr>
        <w:rPr>
          <w:rFonts w:ascii="宋体" w:hAnsi="宋体" w:cs="宋体"/>
          <w:color w:val="auto"/>
          <w:sz w:val="24"/>
          <w:highlight w:val="none"/>
        </w:rPr>
      </w:pPr>
    </w:p>
    <w:p w14:paraId="741399B1">
      <w:pPr>
        <w:rPr>
          <w:rFonts w:ascii="宋体" w:hAnsi="宋体" w:cs="宋体"/>
          <w:color w:val="auto"/>
          <w:sz w:val="24"/>
          <w:highlight w:val="none"/>
        </w:rPr>
      </w:pPr>
      <w:r>
        <w:rPr>
          <w:rFonts w:hint="eastAsia" w:ascii="宋体" w:hAnsi="宋体" w:cs="宋体"/>
          <w:color w:val="auto"/>
          <w:sz w:val="24"/>
          <w:highlight w:val="none"/>
        </w:rPr>
        <w:t>供应商名称（盖章）：                         年   月    日</w:t>
      </w:r>
    </w:p>
    <w:p w14:paraId="0816320D">
      <w:pPr>
        <w:pStyle w:val="3"/>
        <w:keepNext w:val="0"/>
        <w:keepLines w:val="0"/>
        <w:pageBreakBefore/>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附件</w:t>
      </w:r>
      <w:r>
        <w:rPr>
          <w:rFonts w:hint="eastAsia" w:ascii="宋体" w:hAnsi="宋体" w:eastAsia="宋体" w:cs="宋体"/>
          <w:b w:val="0"/>
          <w:color w:val="auto"/>
          <w:sz w:val="24"/>
          <w:szCs w:val="24"/>
          <w:highlight w:val="none"/>
          <w:lang w:val="en-US" w:eastAsia="zh-CN"/>
        </w:rPr>
        <w:t>十一</w:t>
      </w:r>
      <w:r>
        <w:rPr>
          <w:rFonts w:hint="eastAsia" w:ascii="宋体" w:hAnsi="宋体" w:eastAsia="宋体" w:cs="宋体"/>
          <w:b w:val="0"/>
          <w:color w:val="auto"/>
          <w:sz w:val="24"/>
          <w:szCs w:val="24"/>
          <w:highlight w:val="none"/>
        </w:rPr>
        <w:t>：商务响应表</w:t>
      </w:r>
      <w:bookmarkEnd w:id="91"/>
      <w:bookmarkEnd w:id="92"/>
      <w:bookmarkEnd w:id="93"/>
    </w:p>
    <w:p w14:paraId="348755C7">
      <w:pPr>
        <w:snapToGrid w:val="0"/>
        <w:spacing w:before="50" w:afterLines="50"/>
        <w:jc w:val="center"/>
        <w:rPr>
          <w:rFonts w:ascii="宋体" w:hAnsi="宋体" w:cs="宋体"/>
          <w:color w:val="auto"/>
          <w:sz w:val="24"/>
          <w:highlight w:val="none"/>
          <w:u w:val="single"/>
        </w:rPr>
      </w:pPr>
      <w:r>
        <w:rPr>
          <w:rFonts w:hint="eastAsia" w:ascii="宋体" w:hAnsi="Times New Roman" w:eastAsia="宋体" w:cs="Times New Roman"/>
          <w:b/>
          <w:color w:val="auto"/>
          <w:sz w:val="36"/>
          <w:szCs w:val="36"/>
          <w:highlight w:val="none"/>
        </w:rPr>
        <w:t>▲商务响应表</w:t>
      </w:r>
    </w:p>
    <w:tbl>
      <w:tblPr>
        <w:tblStyle w:val="3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3"/>
        <w:gridCol w:w="2969"/>
        <w:gridCol w:w="1386"/>
        <w:gridCol w:w="3321"/>
      </w:tblGrid>
      <w:tr w14:paraId="4784BA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03" w:type="dxa"/>
            <w:tcBorders>
              <w:top w:val="single" w:color="auto" w:sz="4" w:space="0"/>
              <w:left w:val="single" w:color="auto" w:sz="4" w:space="0"/>
              <w:bottom w:val="single" w:color="auto" w:sz="4" w:space="0"/>
              <w:right w:val="single" w:color="auto" w:sz="4" w:space="0"/>
            </w:tcBorders>
            <w:vAlign w:val="center"/>
          </w:tcPr>
          <w:p w14:paraId="1D75FC1B">
            <w:pPr>
              <w:jc w:val="center"/>
              <w:rPr>
                <w:rFonts w:ascii="宋体" w:hAnsi="宋体" w:cs="宋体"/>
                <w:color w:val="auto"/>
                <w:sz w:val="24"/>
                <w:highlight w:val="none"/>
              </w:rPr>
            </w:pPr>
            <w:r>
              <w:rPr>
                <w:rFonts w:hint="eastAsia" w:ascii="宋体" w:hAnsi="宋体" w:cs="宋体"/>
                <w:color w:val="auto"/>
                <w:sz w:val="24"/>
                <w:highlight w:val="none"/>
              </w:rPr>
              <w:t>项目</w:t>
            </w:r>
          </w:p>
        </w:tc>
        <w:tc>
          <w:tcPr>
            <w:tcW w:w="2969" w:type="dxa"/>
            <w:tcBorders>
              <w:top w:val="single" w:color="auto" w:sz="4" w:space="0"/>
              <w:left w:val="single" w:color="auto" w:sz="4" w:space="0"/>
              <w:bottom w:val="single" w:color="auto" w:sz="4" w:space="0"/>
              <w:right w:val="single" w:color="auto" w:sz="4" w:space="0"/>
            </w:tcBorders>
            <w:vAlign w:val="center"/>
          </w:tcPr>
          <w:p w14:paraId="21F7CC0E">
            <w:pPr>
              <w:jc w:val="center"/>
              <w:rPr>
                <w:rFonts w:ascii="宋体" w:hAnsi="宋体" w:cs="宋体"/>
                <w:color w:val="auto"/>
                <w:sz w:val="24"/>
                <w:highlight w:val="none"/>
              </w:rPr>
            </w:pPr>
            <w:r>
              <w:rPr>
                <w:rFonts w:hint="eastAsia" w:ascii="宋体" w:hAnsi="宋体" w:cs="宋体"/>
                <w:color w:val="auto"/>
                <w:sz w:val="24"/>
                <w:highlight w:val="none"/>
              </w:rPr>
              <w:t>磋商文件要求</w:t>
            </w:r>
          </w:p>
        </w:tc>
        <w:tc>
          <w:tcPr>
            <w:tcW w:w="1386" w:type="dxa"/>
            <w:tcBorders>
              <w:top w:val="single" w:color="auto" w:sz="4" w:space="0"/>
              <w:left w:val="single" w:color="auto" w:sz="4" w:space="0"/>
              <w:bottom w:val="single" w:color="auto" w:sz="4" w:space="0"/>
              <w:right w:val="single" w:color="auto" w:sz="4" w:space="0"/>
            </w:tcBorders>
            <w:vAlign w:val="center"/>
          </w:tcPr>
          <w:p w14:paraId="060775E7">
            <w:pPr>
              <w:jc w:val="center"/>
              <w:rPr>
                <w:rFonts w:ascii="宋体" w:hAnsi="宋体" w:cs="宋体"/>
                <w:color w:val="auto"/>
                <w:sz w:val="24"/>
                <w:highlight w:val="none"/>
              </w:rPr>
            </w:pPr>
            <w:r>
              <w:rPr>
                <w:rFonts w:hint="eastAsia" w:ascii="宋体" w:hAnsi="宋体" w:cs="宋体"/>
                <w:color w:val="auto"/>
                <w:sz w:val="24"/>
                <w:highlight w:val="none"/>
              </w:rPr>
              <w:t>响应及偏离情况</w:t>
            </w:r>
          </w:p>
        </w:tc>
        <w:tc>
          <w:tcPr>
            <w:tcW w:w="3321" w:type="dxa"/>
            <w:tcBorders>
              <w:top w:val="single" w:color="auto" w:sz="4" w:space="0"/>
              <w:left w:val="single" w:color="auto" w:sz="4" w:space="0"/>
              <w:bottom w:val="single" w:color="auto" w:sz="4" w:space="0"/>
              <w:right w:val="single" w:color="auto" w:sz="4" w:space="0"/>
            </w:tcBorders>
            <w:vAlign w:val="center"/>
          </w:tcPr>
          <w:p w14:paraId="030BEC63">
            <w:pPr>
              <w:jc w:val="center"/>
              <w:rPr>
                <w:rFonts w:ascii="宋体" w:hAnsi="宋体" w:cs="宋体"/>
                <w:color w:val="auto"/>
                <w:sz w:val="24"/>
                <w:highlight w:val="none"/>
              </w:rPr>
            </w:pPr>
            <w:r>
              <w:rPr>
                <w:rFonts w:hint="eastAsia" w:ascii="宋体" w:hAnsi="宋体" w:cs="宋体"/>
                <w:color w:val="auto"/>
                <w:sz w:val="24"/>
                <w:highlight w:val="none"/>
              </w:rPr>
              <w:t>供应商的承诺或说明</w:t>
            </w:r>
          </w:p>
        </w:tc>
      </w:tr>
      <w:tr w14:paraId="119C3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03" w:type="dxa"/>
            <w:tcBorders>
              <w:top w:val="single" w:color="auto" w:sz="4" w:space="0"/>
              <w:left w:val="single" w:color="auto" w:sz="4" w:space="0"/>
              <w:bottom w:val="single" w:color="auto" w:sz="4" w:space="0"/>
              <w:right w:val="single" w:color="auto" w:sz="4" w:space="0"/>
            </w:tcBorders>
            <w:vAlign w:val="center"/>
          </w:tcPr>
          <w:p w14:paraId="1DDBEF6D">
            <w:pPr>
              <w:rPr>
                <w:rFonts w:ascii="宋体" w:hAnsi="宋体" w:cs="宋体"/>
                <w:color w:val="auto"/>
                <w:sz w:val="24"/>
                <w:highlight w:val="none"/>
              </w:rPr>
            </w:pPr>
          </w:p>
        </w:tc>
        <w:tc>
          <w:tcPr>
            <w:tcW w:w="2969" w:type="dxa"/>
            <w:tcBorders>
              <w:top w:val="single" w:color="auto" w:sz="4" w:space="0"/>
              <w:left w:val="single" w:color="auto" w:sz="4" w:space="0"/>
              <w:bottom w:val="single" w:color="auto" w:sz="4" w:space="0"/>
              <w:right w:val="single" w:color="auto" w:sz="4" w:space="0"/>
            </w:tcBorders>
          </w:tcPr>
          <w:p w14:paraId="7D64D074">
            <w:pPr>
              <w:rPr>
                <w:rFonts w:ascii="宋体" w:hAnsi="宋体" w:cs="宋体"/>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tcPr>
          <w:p w14:paraId="33080941">
            <w:pPr>
              <w:rPr>
                <w:rFonts w:ascii="宋体" w:hAnsi="宋体" w:cs="宋体"/>
                <w:color w:val="auto"/>
                <w:sz w:val="24"/>
                <w:highlight w:val="none"/>
              </w:rPr>
            </w:pPr>
          </w:p>
        </w:tc>
        <w:tc>
          <w:tcPr>
            <w:tcW w:w="3321" w:type="dxa"/>
            <w:tcBorders>
              <w:top w:val="single" w:color="auto" w:sz="4" w:space="0"/>
              <w:left w:val="single" w:color="auto" w:sz="4" w:space="0"/>
              <w:bottom w:val="single" w:color="auto" w:sz="4" w:space="0"/>
              <w:right w:val="single" w:color="auto" w:sz="4" w:space="0"/>
            </w:tcBorders>
          </w:tcPr>
          <w:p w14:paraId="1006CFD1">
            <w:pPr>
              <w:rPr>
                <w:rFonts w:ascii="宋体" w:hAnsi="宋体" w:cs="宋体"/>
                <w:color w:val="auto"/>
                <w:sz w:val="24"/>
                <w:highlight w:val="none"/>
              </w:rPr>
            </w:pPr>
          </w:p>
        </w:tc>
      </w:tr>
      <w:tr w14:paraId="4FBEF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03" w:type="dxa"/>
            <w:tcBorders>
              <w:top w:val="single" w:color="auto" w:sz="4" w:space="0"/>
              <w:left w:val="single" w:color="auto" w:sz="4" w:space="0"/>
              <w:bottom w:val="single" w:color="auto" w:sz="4" w:space="0"/>
              <w:right w:val="single" w:color="auto" w:sz="4" w:space="0"/>
            </w:tcBorders>
            <w:vAlign w:val="center"/>
          </w:tcPr>
          <w:p w14:paraId="057BB2C4">
            <w:pPr>
              <w:rPr>
                <w:rFonts w:ascii="宋体" w:hAnsi="宋体" w:cs="宋体"/>
                <w:color w:val="auto"/>
                <w:sz w:val="24"/>
                <w:highlight w:val="none"/>
              </w:rPr>
            </w:pPr>
          </w:p>
        </w:tc>
        <w:tc>
          <w:tcPr>
            <w:tcW w:w="2969" w:type="dxa"/>
            <w:tcBorders>
              <w:top w:val="single" w:color="auto" w:sz="4" w:space="0"/>
              <w:left w:val="single" w:color="auto" w:sz="4" w:space="0"/>
              <w:bottom w:val="single" w:color="auto" w:sz="4" w:space="0"/>
              <w:right w:val="single" w:color="auto" w:sz="4" w:space="0"/>
            </w:tcBorders>
          </w:tcPr>
          <w:p w14:paraId="7C0DCA5D">
            <w:pPr>
              <w:rPr>
                <w:rFonts w:ascii="宋体" w:hAnsi="宋体" w:cs="宋体"/>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tcPr>
          <w:p w14:paraId="0296C322">
            <w:pPr>
              <w:rPr>
                <w:rFonts w:ascii="宋体" w:hAnsi="宋体" w:cs="宋体"/>
                <w:color w:val="auto"/>
                <w:sz w:val="24"/>
                <w:highlight w:val="none"/>
              </w:rPr>
            </w:pPr>
          </w:p>
        </w:tc>
        <w:tc>
          <w:tcPr>
            <w:tcW w:w="3321" w:type="dxa"/>
            <w:tcBorders>
              <w:top w:val="single" w:color="auto" w:sz="4" w:space="0"/>
              <w:left w:val="single" w:color="auto" w:sz="4" w:space="0"/>
              <w:bottom w:val="single" w:color="auto" w:sz="4" w:space="0"/>
              <w:right w:val="single" w:color="auto" w:sz="4" w:space="0"/>
            </w:tcBorders>
          </w:tcPr>
          <w:p w14:paraId="0FC9A53E">
            <w:pPr>
              <w:rPr>
                <w:rFonts w:ascii="宋体" w:hAnsi="宋体" w:cs="宋体"/>
                <w:color w:val="auto"/>
                <w:sz w:val="24"/>
                <w:highlight w:val="none"/>
              </w:rPr>
            </w:pPr>
          </w:p>
        </w:tc>
      </w:tr>
      <w:tr w14:paraId="525BED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03" w:type="dxa"/>
            <w:tcBorders>
              <w:top w:val="single" w:color="auto" w:sz="4" w:space="0"/>
              <w:left w:val="single" w:color="auto" w:sz="4" w:space="0"/>
              <w:bottom w:val="single" w:color="auto" w:sz="4" w:space="0"/>
              <w:right w:val="single" w:color="auto" w:sz="4" w:space="0"/>
            </w:tcBorders>
            <w:vAlign w:val="center"/>
          </w:tcPr>
          <w:p w14:paraId="728C4B95">
            <w:pPr>
              <w:rPr>
                <w:rFonts w:ascii="宋体" w:hAnsi="宋体" w:cs="宋体"/>
                <w:color w:val="auto"/>
                <w:sz w:val="24"/>
                <w:highlight w:val="none"/>
              </w:rPr>
            </w:pPr>
          </w:p>
        </w:tc>
        <w:tc>
          <w:tcPr>
            <w:tcW w:w="2969" w:type="dxa"/>
            <w:tcBorders>
              <w:top w:val="single" w:color="auto" w:sz="4" w:space="0"/>
              <w:left w:val="single" w:color="auto" w:sz="4" w:space="0"/>
              <w:bottom w:val="single" w:color="auto" w:sz="4" w:space="0"/>
              <w:right w:val="single" w:color="auto" w:sz="4" w:space="0"/>
            </w:tcBorders>
          </w:tcPr>
          <w:p w14:paraId="68ED35E8">
            <w:pPr>
              <w:rPr>
                <w:rFonts w:ascii="宋体" w:hAnsi="宋体" w:cs="宋体"/>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tcPr>
          <w:p w14:paraId="692DB229">
            <w:pPr>
              <w:rPr>
                <w:rFonts w:ascii="宋体" w:hAnsi="宋体" w:cs="宋体"/>
                <w:color w:val="auto"/>
                <w:sz w:val="24"/>
                <w:highlight w:val="none"/>
              </w:rPr>
            </w:pPr>
          </w:p>
        </w:tc>
        <w:tc>
          <w:tcPr>
            <w:tcW w:w="3321" w:type="dxa"/>
            <w:tcBorders>
              <w:top w:val="single" w:color="auto" w:sz="4" w:space="0"/>
              <w:left w:val="single" w:color="auto" w:sz="4" w:space="0"/>
              <w:bottom w:val="single" w:color="auto" w:sz="4" w:space="0"/>
              <w:right w:val="single" w:color="auto" w:sz="4" w:space="0"/>
            </w:tcBorders>
          </w:tcPr>
          <w:p w14:paraId="7FF41EDC">
            <w:pPr>
              <w:rPr>
                <w:rFonts w:ascii="宋体" w:hAnsi="宋体" w:cs="宋体"/>
                <w:color w:val="auto"/>
                <w:sz w:val="24"/>
                <w:highlight w:val="none"/>
              </w:rPr>
            </w:pPr>
          </w:p>
        </w:tc>
      </w:tr>
      <w:tr w14:paraId="36B311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03" w:type="dxa"/>
            <w:tcBorders>
              <w:top w:val="single" w:color="auto" w:sz="4" w:space="0"/>
              <w:left w:val="single" w:color="auto" w:sz="4" w:space="0"/>
              <w:bottom w:val="single" w:color="auto" w:sz="4" w:space="0"/>
              <w:right w:val="single" w:color="auto" w:sz="4" w:space="0"/>
            </w:tcBorders>
            <w:vAlign w:val="center"/>
          </w:tcPr>
          <w:p w14:paraId="2B6B45AE">
            <w:pPr>
              <w:rPr>
                <w:rFonts w:ascii="宋体" w:hAnsi="宋体" w:cs="宋体"/>
                <w:color w:val="auto"/>
                <w:sz w:val="24"/>
                <w:highlight w:val="none"/>
              </w:rPr>
            </w:pPr>
          </w:p>
        </w:tc>
        <w:tc>
          <w:tcPr>
            <w:tcW w:w="2969" w:type="dxa"/>
            <w:tcBorders>
              <w:top w:val="single" w:color="auto" w:sz="4" w:space="0"/>
              <w:left w:val="single" w:color="auto" w:sz="4" w:space="0"/>
              <w:bottom w:val="single" w:color="auto" w:sz="4" w:space="0"/>
              <w:right w:val="single" w:color="auto" w:sz="4" w:space="0"/>
            </w:tcBorders>
          </w:tcPr>
          <w:p w14:paraId="4AC342FD">
            <w:pPr>
              <w:rPr>
                <w:rFonts w:ascii="宋体" w:hAnsi="宋体" w:cs="宋体"/>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tcPr>
          <w:p w14:paraId="4A9E70F6">
            <w:pPr>
              <w:rPr>
                <w:rFonts w:ascii="宋体" w:hAnsi="宋体" w:cs="宋体"/>
                <w:color w:val="auto"/>
                <w:sz w:val="24"/>
                <w:highlight w:val="none"/>
              </w:rPr>
            </w:pPr>
          </w:p>
        </w:tc>
        <w:tc>
          <w:tcPr>
            <w:tcW w:w="3321" w:type="dxa"/>
            <w:tcBorders>
              <w:top w:val="single" w:color="auto" w:sz="4" w:space="0"/>
              <w:left w:val="single" w:color="auto" w:sz="4" w:space="0"/>
              <w:bottom w:val="single" w:color="auto" w:sz="4" w:space="0"/>
              <w:right w:val="single" w:color="auto" w:sz="4" w:space="0"/>
            </w:tcBorders>
          </w:tcPr>
          <w:p w14:paraId="74C8CF95">
            <w:pPr>
              <w:rPr>
                <w:rFonts w:ascii="宋体" w:hAnsi="宋体" w:cs="宋体"/>
                <w:color w:val="auto"/>
                <w:sz w:val="24"/>
                <w:highlight w:val="none"/>
              </w:rPr>
            </w:pPr>
          </w:p>
        </w:tc>
      </w:tr>
      <w:tr w14:paraId="7ADED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703" w:type="dxa"/>
            <w:tcBorders>
              <w:top w:val="single" w:color="auto" w:sz="4" w:space="0"/>
              <w:left w:val="single" w:color="auto" w:sz="4" w:space="0"/>
              <w:bottom w:val="single" w:color="auto" w:sz="4" w:space="0"/>
              <w:right w:val="single" w:color="auto" w:sz="4" w:space="0"/>
            </w:tcBorders>
            <w:vAlign w:val="center"/>
          </w:tcPr>
          <w:p w14:paraId="42A6B7D3">
            <w:pPr>
              <w:rPr>
                <w:rFonts w:ascii="宋体" w:hAnsi="宋体" w:cs="宋体"/>
                <w:color w:val="auto"/>
                <w:sz w:val="24"/>
                <w:highlight w:val="none"/>
              </w:rPr>
            </w:pPr>
          </w:p>
        </w:tc>
        <w:tc>
          <w:tcPr>
            <w:tcW w:w="2969" w:type="dxa"/>
            <w:tcBorders>
              <w:top w:val="single" w:color="auto" w:sz="4" w:space="0"/>
              <w:left w:val="single" w:color="auto" w:sz="4" w:space="0"/>
              <w:bottom w:val="single" w:color="auto" w:sz="4" w:space="0"/>
              <w:right w:val="single" w:color="auto" w:sz="4" w:space="0"/>
            </w:tcBorders>
          </w:tcPr>
          <w:p w14:paraId="2910C7D3">
            <w:pPr>
              <w:rPr>
                <w:rFonts w:ascii="宋体" w:hAnsi="宋体" w:cs="宋体"/>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tcPr>
          <w:p w14:paraId="3C97A15E">
            <w:pPr>
              <w:rPr>
                <w:rFonts w:ascii="宋体" w:hAnsi="宋体" w:cs="宋体"/>
                <w:color w:val="auto"/>
                <w:sz w:val="24"/>
                <w:highlight w:val="none"/>
              </w:rPr>
            </w:pPr>
          </w:p>
        </w:tc>
        <w:tc>
          <w:tcPr>
            <w:tcW w:w="3321" w:type="dxa"/>
            <w:tcBorders>
              <w:top w:val="single" w:color="auto" w:sz="4" w:space="0"/>
              <w:left w:val="single" w:color="auto" w:sz="4" w:space="0"/>
              <w:bottom w:val="single" w:color="auto" w:sz="4" w:space="0"/>
              <w:right w:val="single" w:color="auto" w:sz="4" w:space="0"/>
            </w:tcBorders>
          </w:tcPr>
          <w:p w14:paraId="35F353A4">
            <w:pPr>
              <w:rPr>
                <w:rFonts w:ascii="宋体" w:hAnsi="宋体" w:cs="宋体"/>
                <w:color w:val="auto"/>
                <w:sz w:val="24"/>
                <w:highlight w:val="none"/>
              </w:rPr>
            </w:pPr>
          </w:p>
        </w:tc>
      </w:tr>
      <w:tr w14:paraId="36B688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03" w:type="dxa"/>
            <w:tcBorders>
              <w:top w:val="single" w:color="auto" w:sz="4" w:space="0"/>
              <w:left w:val="single" w:color="auto" w:sz="4" w:space="0"/>
              <w:bottom w:val="single" w:color="auto" w:sz="4" w:space="0"/>
              <w:right w:val="single" w:color="auto" w:sz="4" w:space="0"/>
            </w:tcBorders>
            <w:vAlign w:val="center"/>
          </w:tcPr>
          <w:p w14:paraId="429C3BDF">
            <w:pPr>
              <w:rPr>
                <w:rFonts w:ascii="宋体" w:hAnsi="宋体" w:cs="宋体"/>
                <w:color w:val="auto"/>
                <w:sz w:val="24"/>
                <w:highlight w:val="none"/>
              </w:rPr>
            </w:pPr>
          </w:p>
        </w:tc>
        <w:tc>
          <w:tcPr>
            <w:tcW w:w="2969" w:type="dxa"/>
            <w:tcBorders>
              <w:top w:val="single" w:color="auto" w:sz="4" w:space="0"/>
              <w:left w:val="single" w:color="auto" w:sz="4" w:space="0"/>
              <w:bottom w:val="single" w:color="auto" w:sz="4" w:space="0"/>
              <w:right w:val="single" w:color="auto" w:sz="4" w:space="0"/>
            </w:tcBorders>
          </w:tcPr>
          <w:p w14:paraId="4F8F4F2E">
            <w:pPr>
              <w:rPr>
                <w:rFonts w:ascii="宋体" w:hAnsi="宋体" w:cs="宋体"/>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tcPr>
          <w:p w14:paraId="1A018D2D">
            <w:pPr>
              <w:rPr>
                <w:rFonts w:ascii="宋体" w:hAnsi="宋体" w:cs="宋体"/>
                <w:color w:val="auto"/>
                <w:sz w:val="24"/>
                <w:highlight w:val="none"/>
              </w:rPr>
            </w:pPr>
          </w:p>
        </w:tc>
        <w:tc>
          <w:tcPr>
            <w:tcW w:w="3321" w:type="dxa"/>
            <w:tcBorders>
              <w:top w:val="single" w:color="auto" w:sz="4" w:space="0"/>
              <w:left w:val="single" w:color="auto" w:sz="4" w:space="0"/>
              <w:bottom w:val="single" w:color="auto" w:sz="4" w:space="0"/>
              <w:right w:val="single" w:color="auto" w:sz="4" w:space="0"/>
            </w:tcBorders>
          </w:tcPr>
          <w:p w14:paraId="3A9B078B">
            <w:pPr>
              <w:rPr>
                <w:rFonts w:ascii="宋体" w:hAnsi="宋体" w:cs="宋体"/>
                <w:color w:val="auto"/>
                <w:sz w:val="24"/>
                <w:highlight w:val="none"/>
              </w:rPr>
            </w:pPr>
          </w:p>
        </w:tc>
      </w:tr>
      <w:tr w14:paraId="63827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03" w:type="dxa"/>
            <w:tcBorders>
              <w:top w:val="single" w:color="auto" w:sz="4" w:space="0"/>
              <w:left w:val="single" w:color="auto" w:sz="4" w:space="0"/>
              <w:bottom w:val="single" w:color="auto" w:sz="4" w:space="0"/>
              <w:right w:val="single" w:color="auto" w:sz="4" w:space="0"/>
            </w:tcBorders>
            <w:vAlign w:val="center"/>
          </w:tcPr>
          <w:p w14:paraId="01771A73">
            <w:pPr>
              <w:rPr>
                <w:rFonts w:ascii="宋体" w:hAnsi="宋体" w:cs="宋体"/>
                <w:color w:val="auto"/>
                <w:sz w:val="24"/>
                <w:highlight w:val="none"/>
              </w:rPr>
            </w:pPr>
          </w:p>
        </w:tc>
        <w:tc>
          <w:tcPr>
            <w:tcW w:w="2969" w:type="dxa"/>
            <w:tcBorders>
              <w:top w:val="single" w:color="auto" w:sz="4" w:space="0"/>
              <w:left w:val="single" w:color="auto" w:sz="4" w:space="0"/>
              <w:bottom w:val="single" w:color="auto" w:sz="4" w:space="0"/>
              <w:right w:val="single" w:color="auto" w:sz="4" w:space="0"/>
            </w:tcBorders>
          </w:tcPr>
          <w:p w14:paraId="5C6577F6">
            <w:pPr>
              <w:rPr>
                <w:rFonts w:ascii="宋体" w:hAnsi="宋体" w:cs="宋体"/>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tcPr>
          <w:p w14:paraId="2860CBAD">
            <w:pPr>
              <w:rPr>
                <w:rFonts w:ascii="宋体" w:hAnsi="宋体" w:cs="宋体"/>
                <w:color w:val="auto"/>
                <w:sz w:val="24"/>
                <w:highlight w:val="none"/>
              </w:rPr>
            </w:pPr>
          </w:p>
        </w:tc>
        <w:tc>
          <w:tcPr>
            <w:tcW w:w="3321" w:type="dxa"/>
            <w:tcBorders>
              <w:top w:val="single" w:color="auto" w:sz="4" w:space="0"/>
              <w:left w:val="single" w:color="auto" w:sz="4" w:space="0"/>
              <w:bottom w:val="single" w:color="auto" w:sz="4" w:space="0"/>
              <w:right w:val="single" w:color="auto" w:sz="4" w:space="0"/>
            </w:tcBorders>
          </w:tcPr>
          <w:p w14:paraId="236F361A">
            <w:pPr>
              <w:rPr>
                <w:rFonts w:ascii="宋体" w:hAnsi="宋体" w:cs="宋体"/>
                <w:color w:val="auto"/>
                <w:sz w:val="24"/>
                <w:highlight w:val="none"/>
              </w:rPr>
            </w:pPr>
          </w:p>
        </w:tc>
      </w:tr>
      <w:tr w14:paraId="0701FE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03" w:type="dxa"/>
            <w:tcBorders>
              <w:top w:val="single" w:color="auto" w:sz="4" w:space="0"/>
              <w:left w:val="single" w:color="auto" w:sz="4" w:space="0"/>
              <w:bottom w:val="single" w:color="auto" w:sz="4" w:space="0"/>
              <w:right w:val="single" w:color="auto" w:sz="4" w:space="0"/>
            </w:tcBorders>
            <w:vAlign w:val="center"/>
          </w:tcPr>
          <w:p w14:paraId="7093AAB0">
            <w:pPr>
              <w:rPr>
                <w:rFonts w:ascii="宋体" w:hAnsi="宋体" w:cs="宋体"/>
                <w:color w:val="auto"/>
                <w:sz w:val="24"/>
                <w:highlight w:val="none"/>
              </w:rPr>
            </w:pPr>
          </w:p>
        </w:tc>
        <w:tc>
          <w:tcPr>
            <w:tcW w:w="2969" w:type="dxa"/>
            <w:tcBorders>
              <w:top w:val="single" w:color="auto" w:sz="4" w:space="0"/>
              <w:left w:val="single" w:color="auto" w:sz="4" w:space="0"/>
              <w:bottom w:val="single" w:color="auto" w:sz="4" w:space="0"/>
              <w:right w:val="single" w:color="auto" w:sz="4" w:space="0"/>
            </w:tcBorders>
          </w:tcPr>
          <w:p w14:paraId="36D35C5E">
            <w:pPr>
              <w:rPr>
                <w:rFonts w:ascii="宋体" w:hAnsi="宋体" w:cs="宋体"/>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tcPr>
          <w:p w14:paraId="1E85F5A7">
            <w:pPr>
              <w:rPr>
                <w:rFonts w:ascii="宋体" w:hAnsi="宋体" w:cs="宋体"/>
                <w:color w:val="auto"/>
                <w:sz w:val="24"/>
                <w:highlight w:val="none"/>
              </w:rPr>
            </w:pPr>
          </w:p>
        </w:tc>
        <w:tc>
          <w:tcPr>
            <w:tcW w:w="3321" w:type="dxa"/>
            <w:tcBorders>
              <w:top w:val="single" w:color="auto" w:sz="4" w:space="0"/>
              <w:left w:val="single" w:color="auto" w:sz="4" w:space="0"/>
              <w:bottom w:val="single" w:color="auto" w:sz="4" w:space="0"/>
              <w:right w:val="single" w:color="auto" w:sz="4" w:space="0"/>
            </w:tcBorders>
          </w:tcPr>
          <w:p w14:paraId="32AC3DA8">
            <w:pPr>
              <w:rPr>
                <w:rFonts w:ascii="宋体" w:hAnsi="宋体" w:cs="宋体"/>
                <w:color w:val="auto"/>
                <w:sz w:val="24"/>
                <w:highlight w:val="none"/>
              </w:rPr>
            </w:pPr>
          </w:p>
        </w:tc>
      </w:tr>
      <w:tr w14:paraId="65ED1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03" w:type="dxa"/>
            <w:tcBorders>
              <w:top w:val="single" w:color="auto" w:sz="4" w:space="0"/>
              <w:left w:val="single" w:color="auto" w:sz="4" w:space="0"/>
              <w:bottom w:val="single" w:color="auto" w:sz="4" w:space="0"/>
              <w:right w:val="single" w:color="auto" w:sz="4" w:space="0"/>
            </w:tcBorders>
            <w:vAlign w:val="center"/>
          </w:tcPr>
          <w:p w14:paraId="7512B4C7">
            <w:pPr>
              <w:rPr>
                <w:rFonts w:ascii="宋体" w:hAnsi="宋体" w:cs="宋体"/>
                <w:color w:val="auto"/>
                <w:sz w:val="24"/>
                <w:highlight w:val="none"/>
              </w:rPr>
            </w:pPr>
          </w:p>
        </w:tc>
        <w:tc>
          <w:tcPr>
            <w:tcW w:w="2969" w:type="dxa"/>
            <w:tcBorders>
              <w:top w:val="single" w:color="auto" w:sz="4" w:space="0"/>
              <w:left w:val="single" w:color="auto" w:sz="4" w:space="0"/>
              <w:bottom w:val="single" w:color="auto" w:sz="4" w:space="0"/>
              <w:right w:val="single" w:color="auto" w:sz="4" w:space="0"/>
            </w:tcBorders>
          </w:tcPr>
          <w:p w14:paraId="58D33F6D">
            <w:pPr>
              <w:rPr>
                <w:rFonts w:ascii="宋体" w:hAnsi="宋体" w:cs="宋体"/>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tcPr>
          <w:p w14:paraId="7BF2EDD5">
            <w:pPr>
              <w:rPr>
                <w:rFonts w:ascii="宋体" w:hAnsi="宋体" w:cs="宋体"/>
                <w:color w:val="auto"/>
                <w:sz w:val="24"/>
                <w:highlight w:val="none"/>
              </w:rPr>
            </w:pPr>
          </w:p>
        </w:tc>
        <w:tc>
          <w:tcPr>
            <w:tcW w:w="3321" w:type="dxa"/>
            <w:tcBorders>
              <w:top w:val="single" w:color="auto" w:sz="4" w:space="0"/>
              <w:left w:val="single" w:color="auto" w:sz="4" w:space="0"/>
              <w:bottom w:val="single" w:color="auto" w:sz="4" w:space="0"/>
              <w:right w:val="single" w:color="auto" w:sz="4" w:space="0"/>
            </w:tcBorders>
          </w:tcPr>
          <w:p w14:paraId="2DCD93E9">
            <w:pPr>
              <w:rPr>
                <w:rFonts w:ascii="宋体" w:hAnsi="宋体" w:cs="宋体"/>
                <w:color w:val="auto"/>
                <w:sz w:val="24"/>
                <w:highlight w:val="none"/>
              </w:rPr>
            </w:pPr>
          </w:p>
        </w:tc>
      </w:tr>
      <w:tr w14:paraId="3BBBB8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03" w:type="dxa"/>
            <w:tcBorders>
              <w:top w:val="single" w:color="auto" w:sz="4" w:space="0"/>
              <w:left w:val="single" w:color="auto" w:sz="4" w:space="0"/>
              <w:bottom w:val="single" w:color="auto" w:sz="4" w:space="0"/>
              <w:right w:val="single" w:color="auto" w:sz="4" w:space="0"/>
            </w:tcBorders>
            <w:vAlign w:val="center"/>
          </w:tcPr>
          <w:p w14:paraId="25CB7279">
            <w:pPr>
              <w:rPr>
                <w:rFonts w:ascii="宋体" w:hAnsi="宋体" w:cs="宋体"/>
                <w:color w:val="auto"/>
                <w:sz w:val="24"/>
                <w:highlight w:val="none"/>
              </w:rPr>
            </w:pPr>
          </w:p>
        </w:tc>
        <w:tc>
          <w:tcPr>
            <w:tcW w:w="2969" w:type="dxa"/>
            <w:tcBorders>
              <w:top w:val="single" w:color="auto" w:sz="4" w:space="0"/>
              <w:left w:val="single" w:color="auto" w:sz="4" w:space="0"/>
              <w:bottom w:val="single" w:color="auto" w:sz="4" w:space="0"/>
              <w:right w:val="single" w:color="auto" w:sz="4" w:space="0"/>
            </w:tcBorders>
          </w:tcPr>
          <w:p w14:paraId="129073C0">
            <w:pPr>
              <w:rPr>
                <w:rFonts w:ascii="宋体" w:hAnsi="宋体" w:cs="宋体"/>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tcPr>
          <w:p w14:paraId="3EA8B56D">
            <w:pPr>
              <w:rPr>
                <w:rFonts w:ascii="宋体" w:hAnsi="宋体" w:cs="宋体"/>
                <w:color w:val="auto"/>
                <w:sz w:val="24"/>
                <w:highlight w:val="none"/>
              </w:rPr>
            </w:pPr>
          </w:p>
        </w:tc>
        <w:tc>
          <w:tcPr>
            <w:tcW w:w="3321" w:type="dxa"/>
            <w:tcBorders>
              <w:top w:val="single" w:color="auto" w:sz="4" w:space="0"/>
              <w:left w:val="single" w:color="auto" w:sz="4" w:space="0"/>
              <w:bottom w:val="single" w:color="auto" w:sz="4" w:space="0"/>
              <w:right w:val="single" w:color="auto" w:sz="4" w:space="0"/>
            </w:tcBorders>
          </w:tcPr>
          <w:p w14:paraId="7F6D44C7">
            <w:pPr>
              <w:rPr>
                <w:rFonts w:ascii="宋体" w:hAnsi="宋体" w:cs="宋体"/>
                <w:color w:val="auto"/>
                <w:sz w:val="24"/>
                <w:highlight w:val="none"/>
              </w:rPr>
            </w:pPr>
          </w:p>
        </w:tc>
      </w:tr>
    </w:tbl>
    <w:p w14:paraId="31A2DC45">
      <w:pPr>
        <w:snapToGrid w:val="0"/>
        <w:spacing w:beforeLines="50"/>
        <w:rPr>
          <w:rFonts w:ascii="宋体" w:hAnsi="宋体" w:cs="宋体"/>
          <w:color w:val="auto"/>
          <w:sz w:val="24"/>
          <w:highlight w:val="none"/>
        </w:rPr>
      </w:pPr>
    </w:p>
    <w:p w14:paraId="2D7706D2">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法定代表人或委托代理人签字</w:t>
      </w:r>
      <w:r>
        <w:rPr>
          <w:rFonts w:hint="eastAsia" w:ascii="宋体" w:hAnsi="宋体" w:cs="宋体"/>
          <w:color w:val="auto"/>
          <w:spacing w:val="20"/>
          <w:sz w:val="24"/>
          <w:highlight w:val="none"/>
        </w:rPr>
        <w:t>：</w:t>
      </w:r>
      <w:r>
        <w:rPr>
          <w:rFonts w:hint="eastAsia" w:ascii="宋体" w:hAnsi="宋体" w:cs="宋体"/>
          <w:color w:val="auto"/>
          <w:spacing w:val="20"/>
          <w:sz w:val="24"/>
          <w:highlight w:val="none"/>
          <w:u w:val="single"/>
        </w:rPr>
        <w:t xml:space="preserve">        </w:t>
      </w:r>
    </w:p>
    <w:p w14:paraId="67BB0B49">
      <w:pPr>
        <w:snapToGrid w:val="0"/>
        <w:spacing w:beforeLines="50"/>
        <w:rPr>
          <w:rFonts w:ascii="宋体" w:hAnsi="宋体" w:cs="宋体"/>
          <w:color w:val="auto"/>
          <w:sz w:val="24"/>
          <w:highlight w:val="none"/>
        </w:rPr>
      </w:pPr>
      <w:r>
        <w:rPr>
          <w:rFonts w:hint="eastAsia" w:ascii="宋体" w:hAnsi="宋体" w:cs="宋体"/>
          <w:color w:val="auto"/>
          <w:spacing w:val="20"/>
          <w:sz w:val="24"/>
          <w:highlight w:val="none"/>
        </w:rPr>
        <w:t>供应商盖章：</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日 期：</w:t>
      </w:r>
      <w:r>
        <w:rPr>
          <w:rFonts w:hint="eastAsia" w:ascii="宋体" w:hAnsi="宋体" w:cs="宋体"/>
          <w:color w:val="auto"/>
          <w:spacing w:val="20"/>
          <w:sz w:val="24"/>
          <w:highlight w:val="none"/>
          <w:u w:val="single"/>
        </w:rPr>
        <w:t xml:space="preserve">            </w:t>
      </w:r>
    </w:p>
    <w:p w14:paraId="21EAB88D">
      <w:pPr>
        <w:snapToGrid w:val="0"/>
        <w:spacing w:before="50" w:after="50" w:line="360" w:lineRule="auto"/>
        <w:ind w:firstLine="6160" w:firstLineChars="2200"/>
        <w:rPr>
          <w:rFonts w:hint="eastAsia" w:ascii="宋体" w:hAnsi="宋体" w:cs="宋体"/>
          <w:color w:val="auto"/>
          <w:spacing w:val="20"/>
          <w:sz w:val="24"/>
          <w:highlight w:val="none"/>
        </w:rPr>
      </w:pPr>
    </w:p>
    <w:p w14:paraId="0A96FCD9">
      <w:pPr>
        <w:snapToGrid w:val="0"/>
        <w:spacing w:before="50" w:after="50"/>
        <w:rPr>
          <w:rFonts w:ascii="宋体" w:hAnsi="宋体" w:cs="宋体"/>
          <w:color w:val="auto"/>
          <w:sz w:val="24"/>
          <w:highlight w:val="none"/>
        </w:rPr>
      </w:pPr>
    </w:p>
    <w:p w14:paraId="74FF14C9">
      <w:pPr>
        <w:snapToGrid w:val="0"/>
        <w:spacing w:before="50" w:afterLines="50"/>
        <w:jc w:val="left"/>
        <w:rPr>
          <w:rFonts w:ascii="宋体" w:hAnsi="宋体" w:cs="宋体"/>
          <w:color w:val="auto"/>
          <w:sz w:val="24"/>
          <w:highlight w:val="none"/>
        </w:rPr>
      </w:pPr>
    </w:p>
    <w:p w14:paraId="2550D4ED">
      <w:pPr>
        <w:spacing w:before="260" w:after="260" w:line="415" w:lineRule="auto"/>
        <w:rPr>
          <w:rFonts w:ascii="宋体" w:hAnsi="宋体" w:cs="宋体"/>
          <w:bCs/>
          <w:color w:val="auto"/>
          <w:sz w:val="24"/>
          <w:highlight w:val="none"/>
        </w:rPr>
      </w:pPr>
    </w:p>
    <w:p w14:paraId="14BC5E54">
      <w:pPr>
        <w:pStyle w:val="3"/>
        <w:keepNext w:val="0"/>
        <w:keepLines w:val="0"/>
        <w:pageBreakBefore/>
        <w:spacing w:line="415" w:lineRule="auto"/>
        <w:rPr>
          <w:rFonts w:hint="eastAsia" w:ascii="宋体" w:hAnsi="宋体" w:eastAsia="宋体" w:cs="宋体"/>
          <w:b w:val="0"/>
          <w:bCs w:val="0"/>
          <w:color w:val="auto"/>
          <w:sz w:val="24"/>
          <w:szCs w:val="24"/>
          <w:highlight w:val="none"/>
        </w:rPr>
      </w:pPr>
      <w:bookmarkStart w:id="94" w:name="_Toc426996341"/>
      <w:bookmarkStart w:id="95" w:name="_Toc345575541"/>
      <w:bookmarkStart w:id="96" w:name="_Toc22048"/>
      <w:bookmarkStart w:id="97" w:name="_Toc14942619"/>
      <w:bookmarkStart w:id="98" w:name="_Toc25841"/>
      <w:bookmarkStart w:id="99" w:name="_Toc335039029"/>
      <w:bookmarkStart w:id="100" w:name="_Toc21215"/>
      <w:bookmarkStart w:id="101" w:name="_Toc18731"/>
      <w:bookmarkStart w:id="102" w:name="_Toc48"/>
      <w:bookmarkStart w:id="103" w:name="_Toc24152"/>
      <w:bookmarkStart w:id="104" w:name="_Toc31862"/>
      <w:bookmarkStart w:id="105" w:name="_Toc3577"/>
      <w:bookmarkStart w:id="106" w:name="_Toc13087"/>
      <w:bookmarkStart w:id="107" w:name="_Toc4581"/>
      <w:bookmarkStart w:id="108" w:name="_Toc21446147"/>
      <w:bookmarkStart w:id="109" w:name="_Toc31640"/>
      <w:bookmarkStart w:id="110" w:name="_Toc21703809"/>
      <w:bookmarkStart w:id="111" w:name="_Toc536428271"/>
      <w:r>
        <w:rPr>
          <w:rFonts w:hint="eastAsia" w:ascii="宋体" w:hAnsi="宋体" w:eastAsia="宋体" w:cs="宋体"/>
          <w:b w:val="0"/>
          <w:bCs w:val="0"/>
          <w:color w:val="auto"/>
          <w:sz w:val="24"/>
          <w:szCs w:val="24"/>
          <w:highlight w:val="none"/>
        </w:rPr>
        <w:t>附件</w:t>
      </w:r>
      <w:r>
        <w:rPr>
          <w:rFonts w:hint="eastAsia" w:ascii="宋体" w:hAnsi="宋体" w:eastAsia="宋体" w:cs="宋体"/>
          <w:b w:val="0"/>
          <w:bCs w:val="0"/>
          <w:color w:val="auto"/>
          <w:sz w:val="24"/>
          <w:szCs w:val="24"/>
          <w:highlight w:val="none"/>
          <w:lang w:val="en-US" w:eastAsia="zh-CN"/>
        </w:rPr>
        <w:t>十二</w:t>
      </w:r>
      <w:r>
        <w:rPr>
          <w:rFonts w:hint="eastAsia" w:ascii="宋体" w:hAnsi="宋体" w:eastAsia="宋体" w:cs="宋体"/>
          <w:b w:val="0"/>
          <w:bCs w:val="0"/>
          <w:color w:val="auto"/>
          <w:sz w:val="24"/>
          <w:szCs w:val="24"/>
          <w:highlight w:val="none"/>
        </w:rPr>
        <w:t>：</w:t>
      </w:r>
      <w:bookmarkEnd w:id="94"/>
      <w:bookmarkEnd w:id="95"/>
      <w:bookmarkEnd w:id="96"/>
      <w:bookmarkEnd w:id="97"/>
      <w:bookmarkEnd w:id="98"/>
      <w:bookmarkEnd w:id="99"/>
      <w:bookmarkEnd w:id="100"/>
      <w:r>
        <w:rPr>
          <w:rFonts w:hint="eastAsia" w:ascii="宋体" w:hAnsi="宋体" w:eastAsia="宋体" w:cs="宋体"/>
          <w:b w:val="0"/>
          <w:bCs w:val="0"/>
          <w:color w:val="auto"/>
          <w:sz w:val="24"/>
          <w:szCs w:val="24"/>
          <w:highlight w:val="none"/>
        </w:rPr>
        <w:t>人员现场到位率承诺书</w:t>
      </w:r>
      <w:bookmarkEnd w:id="101"/>
      <w:bookmarkEnd w:id="102"/>
      <w:bookmarkEnd w:id="103"/>
      <w:bookmarkEnd w:id="104"/>
      <w:bookmarkEnd w:id="105"/>
    </w:p>
    <w:p w14:paraId="5097DCB9">
      <w:pPr>
        <w:snapToGrid w:val="0"/>
        <w:spacing w:before="50" w:after="190" w:afterLines="50"/>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人员现场到位率承诺书</w:t>
      </w:r>
    </w:p>
    <w:p w14:paraId="57261215">
      <w:pPr>
        <w:spacing w:line="360" w:lineRule="auto"/>
        <w:rPr>
          <w:rFonts w:hint="eastAsia" w:ascii="宋体" w:hAnsi="宋体" w:eastAsia="宋体"/>
          <w:bCs/>
          <w:color w:val="auto"/>
          <w:sz w:val="24"/>
          <w:highlight w:val="none"/>
          <w:lang w:eastAsia="zh-CN"/>
        </w:rPr>
      </w:pPr>
      <w:r>
        <w:rPr>
          <w:rFonts w:hint="eastAsia" w:ascii="宋体" w:hAnsi="宋体"/>
          <w:bCs/>
          <w:color w:val="auto"/>
          <w:sz w:val="24"/>
          <w:highlight w:val="none"/>
        </w:rPr>
        <w:t>致：</w:t>
      </w:r>
      <w:r>
        <w:rPr>
          <w:rFonts w:hint="eastAsia" w:ascii="宋体" w:hAnsi="宋体"/>
          <w:color w:val="auto"/>
          <w:sz w:val="24"/>
          <w:highlight w:val="none"/>
          <w:u w:val="single"/>
          <w:lang w:eastAsia="zh-CN"/>
        </w:rPr>
        <w:t>东阳市湖溪镇中心卫生院（东阳市肛肠外科医院）</w:t>
      </w:r>
    </w:p>
    <w:p w14:paraId="0AA69156">
      <w:pPr>
        <w:spacing w:line="360" w:lineRule="auto"/>
        <w:ind w:firstLine="960" w:firstLineChars="400"/>
        <w:jc w:val="left"/>
        <w:rPr>
          <w:rFonts w:hint="eastAsia" w:ascii="仿宋_GB2312" w:eastAsia="仿宋_GB2312"/>
          <w:b/>
          <w:bCs/>
          <w:color w:val="auto"/>
          <w:sz w:val="24"/>
          <w:highlight w:val="none"/>
        </w:rPr>
      </w:pPr>
      <w:r>
        <w:rPr>
          <w:rFonts w:hint="eastAsia" w:ascii="宋体" w:hAnsi="宋体"/>
          <w:bCs/>
          <w:color w:val="auto"/>
          <w:sz w:val="24"/>
          <w:highlight w:val="none"/>
        </w:rPr>
        <w:t>如有幸中标并参与</w:t>
      </w:r>
      <w:r>
        <w:rPr>
          <w:rFonts w:hint="eastAsia" w:ascii="宋体" w:hAnsi="宋体"/>
          <w:bCs/>
          <w:color w:val="auto"/>
          <w:sz w:val="24"/>
          <w:highlight w:val="none"/>
          <w:u w:val="single"/>
        </w:rPr>
        <w:t xml:space="preserve">                         项目</w:t>
      </w:r>
      <w:r>
        <w:rPr>
          <w:rFonts w:hint="eastAsia" w:ascii="宋体" w:hAnsi="宋体"/>
          <w:bCs/>
          <w:color w:val="auto"/>
          <w:sz w:val="24"/>
          <w:highlight w:val="none"/>
        </w:rPr>
        <w:t>工程的施工，我公司将派</w:t>
      </w:r>
      <w:r>
        <w:rPr>
          <w:rFonts w:hint="eastAsia" w:ascii="宋体" w:hAnsi="宋体"/>
          <w:bCs/>
          <w:color w:val="auto"/>
          <w:sz w:val="24"/>
          <w:highlight w:val="none"/>
          <w:u w:val="single"/>
        </w:rPr>
        <w:t xml:space="preserve">                                        </w:t>
      </w:r>
      <w:r>
        <w:rPr>
          <w:rFonts w:hint="eastAsia" w:ascii="宋体" w:hAnsi="宋体"/>
          <w:bCs/>
          <w:color w:val="auto"/>
          <w:sz w:val="24"/>
          <w:highlight w:val="none"/>
        </w:rPr>
        <w:t>（填写施工项目负责人姓名、负责人资格证书编号）为本工程的施工项目负责人，并保证施工项目负责人到位率在</w:t>
      </w:r>
      <w:r>
        <w:rPr>
          <w:rFonts w:hint="eastAsia" w:ascii="宋体" w:hAnsi="宋体"/>
          <w:bCs/>
          <w:color w:val="auto"/>
          <w:sz w:val="24"/>
          <w:highlight w:val="none"/>
          <w:u w:val="single"/>
        </w:rPr>
        <w:t xml:space="preserve">     </w:t>
      </w:r>
      <w:r>
        <w:rPr>
          <w:rFonts w:hint="eastAsia" w:ascii="宋体" w:hAnsi="宋体"/>
          <w:bCs/>
          <w:color w:val="auto"/>
          <w:sz w:val="24"/>
          <w:highlight w:val="none"/>
        </w:rPr>
        <w:t>%；保证项目管理人员到位率在</w:t>
      </w:r>
      <w:r>
        <w:rPr>
          <w:rFonts w:hint="eastAsia" w:ascii="宋体" w:hAnsi="宋体"/>
          <w:bCs/>
          <w:color w:val="auto"/>
          <w:sz w:val="24"/>
          <w:highlight w:val="none"/>
          <w:u w:val="single"/>
        </w:rPr>
        <w:t xml:space="preserve">    </w:t>
      </w:r>
      <w:r>
        <w:rPr>
          <w:rFonts w:hint="eastAsia" w:ascii="宋体" w:hAnsi="宋体"/>
          <w:bCs/>
          <w:color w:val="auto"/>
          <w:sz w:val="24"/>
          <w:highlight w:val="none"/>
        </w:rPr>
        <w:t>%；保证所有人员按</w:t>
      </w:r>
      <w:r>
        <w:rPr>
          <w:rFonts w:hint="eastAsia" w:ascii="宋体" w:hAnsi="宋体"/>
          <w:bCs/>
          <w:color w:val="auto"/>
          <w:sz w:val="24"/>
          <w:highlight w:val="none"/>
          <w:lang w:val="en-US" w:eastAsia="zh-CN"/>
        </w:rPr>
        <w:t>投标</w:t>
      </w:r>
      <w:r>
        <w:rPr>
          <w:rFonts w:hint="eastAsia" w:ascii="宋体" w:hAnsi="宋体"/>
          <w:bCs/>
          <w:color w:val="auto"/>
          <w:sz w:val="24"/>
          <w:highlight w:val="none"/>
        </w:rPr>
        <w:t>文件中拟派的履行；</w:t>
      </w:r>
      <w:r>
        <w:rPr>
          <w:rFonts w:hint="eastAsia" w:ascii="新宋体" w:hAnsi="新宋体" w:eastAsia="新宋体"/>
          <w:color w:val="auto"/>
          <w:sz w:val="24"/>
          <w:highlight w:val="none"/>
        </w:rPr>
        <w:t>合同执行期间，采购人对不称职人员如提出更换，我方保证不拒绝或拖延。</w:t>
      </w:r>
      <w:r>
        <w:rPr>
          <w:rFonts w:hint="eastAsia" w:ascii="宋体" w:hAnsi="宋体"/>
          <w:bCs/>
          <w:color w:val="auto"/>
          <w:sz w:val="24"/>
          <w:highlight w:val="none"/>
        </w:rPr>
        <w:t>如违反此承诺，愿按以下规定接受处罚：</w:t>
      </w:r>
    </w:p>
    <w:p w14:paraId="339E9815">
      <w:pPr>
        <w:numPr>
          <w:ilvl w:val="0"/>
          <w:numId w:val="12"/>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擅自更换</w:t>
      </w:r>
      <w:r>
        <w:rPr>
          <w:rFonts w:hint="eastAsia" w:ascii="宋体" w:hAnsi="宋体"/>
          <w:bCs/>
          <w:color w:val="auto"/>
          <w:sz w:val="24"/>
          <w:highlight w:val="none"/>
        </w:rPr>
        <w:t>施工项目负责人</w:t>
      </w:r>
      <w:r>
        <w:rPr>
          <w:rFonts w:hint="eastAsia" w:ascii="宋体" w:hAnsi="宋体"/>
          <w:color w:val="auto"/>
          <w:sz w:val="24"/>
          <w:highlight w:val="none"/>
        </w:rPr>
        <w:t>、管理人员的，分别罚款人民币</w:t>
      </w:r>
      <w:r>
        <w:rPr>
          <w:rFonts w:hint="eastAsia" w:ascii="宋体" w:hAnsi="宋体"/>
          <w:color w:val="auto"/>
          <w:sz w:val="24"/>
          <w:highlight w:val="none"/>
          <w:u w:val="single"/>
          <w:lang w:val="en-US" w:eastAsia="zh-CN"/>
        </w:rPr>
        <w:t>20000</w:t>
      </w:r>
      <w:r>
        <w:rPr>
          <w:rFonts w:hint="eastAsia" w:ascii="宋体" w:hAnsi="宋体"/>
          <w:color w:val="auto"/>
          <w:sz w:val="24"/>
          <w:highlight w:val="none"/>
        </w:rPr>
        <w:t xml:space="preserve">元/人次、   </w:t>
      </w:r>
    </w:p>
    <w:p w14:paraId="427492F1">
      <w:pPr>
        <w:spacing w:line="360" w:lineRule="auto"/>
        <w:rPr>
          <w:rFonts w:hint="eastAsia" w:ascii="宋体" w:hAnsi="宋体"/>
          <w:color w:val="auto"/>
          <w:sz w:val="24"/>
          <w:highlight w:val="none"/>
        </w:rPr>
      </w:pPr>
      <w:r>
        <w:rPr>
          <w:rFonts w:hint="eastAsia" w:ascii="宋体" w:hAnsi="宋体"/>
          <w:color w:val="auto"/>
          <w:sz w:val="24"/>
          <w:highlight w:val="none"/>
          <w:u w:val="single"/>
          <w:lang w:val="en-US" w:eastAsia="zh-CN"/>
        </w:rPr>
        <w:t>10000</w:t>
      </w:r>
      <w:r>
        <w:rPr>
          <w:rFonts w:hint="eastAsia" w:ascii="宋体" w:hAnsi="宋体"/>
          <w:color w:val="auto"/>
          <w:sz w:val="24"/>
          <w:highlight w:val="none"/>
        </w:rPr>
        <w:t>元/人次；（采购人要求更换的除外）；</w:t>
      </w:r>
    </w:p>
    <w:p w14:paraId="42EAA07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2、若达不到投标承诺的到位率，每不足一天，</w:t>
      </w:r>
      <w:r>
        <w:rPr>
          <w:rFonts w:hint="eastAsia" w:ascii="宋体" w:hAnsi="宋体"/>
          <w:bCs/>
          <w:color w:val="auto"/>
          <w:sz w:val="24"/>
          <w:highlight w:val="none"/>
        </w:rPr>
        <w:t>施工项目负责人</w:t>
      </w:r>
      <w:r>
        <w:rPr>
          <w:rFonts w:hint="eastAsia" w:ascii="宋体" w:hAnsi="宋体"/>
          <w:color w:val="auto"/>
          <w:sz w:val="24"/>
          <w:highlight w:val="none"/>
        </w:rPr>
        <w:t>、管理人员分别罚款人民币</w:t>
      </w:r>
      <w:r>
        <w:rPr>
          <w:rFonts w:hint="eastAsia" w:ascii="宋体" w:hAnsi="宋体"/>
          <w:color w:val="auto"/>
          <w:sz w:val="24"/>
          <w:highlight w:val="none"/>
          <w:u w:val="single"/>
          <w:lang w:val="en-US" w:eastAsia="zh-CN"/>
        </w:rPr>
        <w:t>5000</w:t>
      </w:r>
      <w:r>
        <w:rPr>
          <w:rFonts w:hint="eastAsia" w:ascii="宋体" w:hAnsi="宋体"/>
          <w:color w:val="auto"/>
          <w:sz w:val="24"/>
          <w:highlight w:val="none"/>
        </w:rPr>
        <w:t>元/天、</w:t>
      </w:r>
      <w:r>
        <w:rPr>
          <w:rFonts w:hint="eastAsia" w:ascii="宋体" w:hAnsi="宋体"/>
          <w:color w:val="auto"/>
          <w:sz w:val="24"/>
          <w:highlight w:val="none"/>
          <w:u w:val="single"/>
          <w:lang w:val="en-US" w:eastAsia="zh-CN"/>
        </w:rPr>
        <w:t>1000</w:t>
      </w:r>
      <w:r>
        <w:rPr>
          <w:rFonts w:hint="eastAsia" w:ascii="宋体" w:hAnsi="宋体"/>
          <w:color w:val="auto"/>
          <w:sz w:val="24"/>
          <w:highlight w:val="none"/>
        </w:rPr>
        <w:t>元/天；</w:t>
      </w:r>
    </w:p>
    <w:p w14:paraId="7C387B27">
      <w:pPr>
        <w:spacing w:line="360" w:lineRule="auto"/>
        <w:ind w:firstLine="480" w:firstLineChars="200"/>
        <w:rPr>
          <w:rFonts w:hint="eastAsia" w:ascii="新宋体" w:hAnsi="新宋体" w:eastAsia="新宋体"/>
          <w:color w:val="auto"/>
          <w:sz w:val="24"/>
          <w:highlight w:val="none"/>
        </w:rPr>
      </w:pPr>
      <w:r>
        <w:rPr>
          <w:rFonts w:hint="eastAsia" w:ascii="新宋体" w:hAnsi="新宋体" w:eastAsia="新宋体"/>
          <w:color w:val="auto"/>
          <w:sz w:val="24"/>
          <w:highlight w:val="none"/>
        </w:rPr>
        <w:t>3、合同执行期间，采购人对不称职</w:t>
      </w:r>
      <w:r>
        <w:rPr>
          <w:rFonts w:hint="eastAsia" w:ascii="宋体" w:hAnsi="宋体"/>
          <w:bCs/>
          <w:color w:val="auto"/>
          <w:sz w:val="24"/>
          <w:highlight w:val="none"/>
        </w:rPr>
        <w:t>人员</w:t>
      </w:r>
      <w:r>
        <w:rPr>
          <w:rFonts w:hint="eastAsia" w:ascii="新宋体" w:hAnsi="新宋体" w:eastAsia="新宋体"/>
          <w:color w:val="auto"/>
          <w:sz w:val="24"/>
          <w:highlight w:val="none"/>
        </w:rPr>
        <w:t>提出更换意见，我方拒绝或拖延的，</w:t>
      </w:r>
      <w:r>
        <w:rPr>
          <w:rFonts w:hint="eastAsia" w:ascii="新宋体" w:hAnsi="新宋体" w:eastAsia="新宋体"/>
          <w:color w:val="auto"/>
          <w:sz w:val="24"/>
          <w:highlight w:val="none"/>
          <w:lang w:eastAsia="zh-CN"/>
        </w:rPr>
        <w:t>采购人有权扣除我方工程款</w:t>
      </w:r>
      <w:r>
        <w:rPr>
          <w:rFonts w:hint="eastAsia" w:ascii="新宋体" w:hAnsi="新宋体" w:eastAsia="新宋体"/>
          <w:color w:val="auto"/>
          <w:sz w:val="24"/>
          <w:highlight w:val="none"/>
        </w:rPr>
        <w:t>。</w:t>
      </w:r>
    </w:p>
    <w:p w14:paraId="09A7303B">
      <w:pPr>
        <w:widowControl/>
        <w:jc w:val="left"/>
        <w:rPr>
          <w:rFonts w:hint="eastAsia"/>
          <w:color w:val="auto"/>
          <w:kern w:val="0"/>
          <w:sz w:val="24"/>
          <w:szCs w:val="20"/>
          <w:highlight w:val="none"/>
        </w:rPr>
      </w:pPr>
    </w:p>
    <w:p w14:paraId="40C03D37">
      <w:pPr>
        <w:widowControl/>
        <w:jc w:val="left"/>
        <w:rPr>
          <w:rFonts w:hint="eastAsia"/>
          <w:color w:val="auto"/>
          <w:kern w:val="0"/>
          <w:sz w:val="24"/>
          <w:szCs w:val="20"/>
          <w:highlight w:val="none"/>
        </w:rPr>
      </w:pPr>
    </w:p>
    <w:p w14:paraId="2AD44CC3">
      <w:pPr>
        <w:widowControl/>
        <w:jc w:val="left"/>
        <w:rPr>
          <w:rFonts w:hint="eastAsia"/>
          <w:color w:val="auto"/>
          <w:kern w:val="0"/>
          <w:sz w:val="24"/>
          <w:szCs w:val="20"/>
          <w:highlight w:val="none"/>
        </w:rPr>
      </w:pPr>
    </w:p>
    <w:p w14:paraId="431A5271">
      <w:pPr>
        <w:widowControl/>
        <w:jc w:val="left"/>
        <w:rPr>
          <w:rFonts w:hint="eastAsia"/>
          <w:color w:val="auto"/>
          <w:kern w:val="0"/>
          <w:sz w:val="24"/>
          <w:szCs w:val="20"/>
          <w:highlight w:val="none"/>
        </w:rPr>
      </w:pPr>
    </w:p>
    <w:p w14:paraId="3E1BCE86">
      <w:pPr>
        <w:pStyle w:val="10"/>
        <w:overflowPunct w:val="0"/>
        <w:spacing w:line="360" w:lineRule="auto"/>
        <w:ind w:right="420" w:firstLine="3300" w:firstLineChars="1375"/>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（单位盖章）：</w:t>
      </w:r>
    </w:p>
    <w:p w14:paraId="4062D85B">
      <w:pPr>
        <w:pStyle w:val="10"/>
        <w:overflowPunct w:val="0"/>
        <w:spacing w:line="360" w:lineRule="auto"/>
        <w:ind w:right="420" w:firstLine="3360" w:firstLineChars="14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法定代表人或委托代理人（签字或盖章）：                         </w:t>
      </w:r>
    </w:p>
    <w:p w14:paraId="3B318140">
      <w:pPr>
        <w:spacing w:before="120" w:beforeLines="50" w:line="360" w:lineRule="auto"/>
        <w:ind w:right="-21" w:rightChars="-10" w:firstLine="470" w:firstLineChars="196"/>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0F3F37C0">
      <w:pPr>
        <w:rPr>
          <w:color w:val="auto"/>
          <w:highlight w:val="none"/>
        </w:rPr>
      </w:pPr>
    </w:p>
    <w:p w14:paraId="3CF17982">
      <w:pPr>
        <w:pStyle w:val="3"/>
        <w:keepNext w:val="0"/>
        <w:keepLines w:val="0"/>
        <w:pageBreakBefore/>
        <w:spacing w:line="415" w:lineRule="auto"/>
        <w:rPr>
          <w:rFonts w:hint="eastAsia" w:ascii="宋体" w:hAnsi="宋体" w:eastAsia="宋体" w:cs="宋体"/>
          <w:b w:val="0"/>
          <w:bCs w:val="0"/>
          <w:color w:val="auto"/>
          <w:sz w:val="24"/>
          <w:szCs w:val="24"/>
          <w:highlight w:val="none"/>
        </w:rPr>
      </w:pPr>
      <w:bookmarkStart w:id="112" w:name="_Toc26142"/>
      <w:bookmarkStart w:id="113" w:name="_Toc6771"/>
      <w:bookmarkStart w:id="114" w:name="_Toc15790"/>
      <w:bookmarkStart w:id="115" w:name="_Toc834"/>
      <w:bookmarkStart w:id="116" w:name="_Toc10463"/>
      <w:r>
        <w:rPr>
          <w:rFonts w:hint="eastAsia" w:ascii="宋体" w:hAnsi="宋体" w:eastAsia="宋体" w:cs="宋体"/>
          <w:b w:val="0"/>
          <w:bCs w:val="0"/>
          <w:color w:val="auto"/>
          <w:sz w:val="24"/>
          <w:szCs w:val="24"/>
          <w:highlight w:val="none"/>
        </w:rPr>
        <w:t>附件</w:t>
      </w:r>
      <w:r>
        <w:rPr>
          <w:rFonts w:hint="eastAsia" w:ascii="宋体" w:hAnsi="宋体" w:eastAsia="宋体" w:cs="宋体"/>
          <w:b w:val="0"/>
          <w:bCs w:val="0"/>
          <w:color w:val="auto"/>
          <w:sz w:val="24"/>
          <w:szCs w:val="24"/>
          <w:highlight w:val="none"/>
          <w:lang w:val="en-US" w:eastAsia="zh-CN"/>
        </w:rPr>
        <w:t>十三</w:t>
      </w:r>
      <w:r>
        <w:rPr>
          <w:rFonts w:hint="eastAsia" w:ascii="宋体" w:hAnsi="宋体" w:eastAsia="宋体" w:cs="宋体"/>
          <w:b w:val="0"/>
          <w:bCs w:val="0"/>
          <w:color w:val="auto"/>
          <w:sz w:val="24"/>
          <w:szCs w:val="24"/>
          <w:highlight w:val="none"/>
        </w:rPr>
        <w:t>：安全生产及其他承诺函</w:t>
      </w:r>
      <w:bookmarkEnd w:id="112"/>
      <w:bookmarkEnd w:id="113"/>
      <w:bookmarkEnd w:id="114"/>
      <w:bookmarkEnd w:id="115"/>
      <w:bookmarkEnd w:id="116"/>
    </w:p>
    <w:p w14:paraId="336AE3BE">
      <w:pPr>
        <w:snapToGrid w:val="0"/>
        <w:spacing w:before="50" w:after="190" w:afterLines="50"/>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安全生产及其他承诺函</w:t>
      </w:r>
    </w:p>
    <w:p w14:paraId="3CB82E92">
      <w:pPr>
        <w:snapToGrid w:val="0"/>
        <w:spacing w:before="50" w:after="190" w:afterLines="50"/>
        <w:jc w:val="left"/>
        <w:rPr>
          <w:rFonts w:hint="eastAsia" w:ascii="宋体" w:hAnsi="宋体" w:cs="宋体"/>
          <w:b/>
          <w:color w:val="auto"/>
          <w:sz w:val="24"/>
          <w:highlight w:val="none"/>
        </w:rPr>
      </w:pPr>
    </w:p>
    <w:p w14:paraId="1FE15BCE">
      <w:p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致：</w:t>
      </w:r>
      <w:r>
        <w:rPr>
          <w:rFonts w:hint="eastAsia" w:ascii="宋体" w:hAnsi="宋体" w:cs="宋体"/>
          <w:color w:val="auto"/>
          <w:sz w:val="28"/>
          <w:szCs w:val="28"/>
          <w:highlight w:val="none"/>
          <w:u w:val="none"/>
          <w:lang w:eastAsia="zh-CN"/>
        </w:rPr>
        <w:t>东阳市湖溪镇中心卫生院（东阳市肛肠外科医院）</w:t>
      </w:r>
    </w:p>
    <w:p w14:paraId="002A610F">
      <w:pPr>
        <w:spacing w:line="360" w:lineRule="auto"/>
        <w:ind w:firstLine="560" w:firstLineChars="200"/>
        <w:rPr>
          <w:rFonts w:hint="eastAsia" w:ascii="宋体" w:hAnsi="宋体" w:cs="宋体"/>
          <w:color w:val="auto"/>
          <w:sz w:val="28"/>
          <w:szCs w:val="28"/>
          <w:highlight w:val="none"/>
        </w:rPr>
      </w:pPr>
      <w:r>
        <w:rPr>
          <w:rFonts w:hint="eastAsia" w:ascii="宋体" w:hAnsi="宋体"/>
          <w:color w:val="auto"/>
          <w:sz w:val="28"/>
          <w:szCs w:val="28"/>
          <w:highlight w:val="none"/>
        </w:rPr>
        <w:t>根据贵方</w:t>
      </w:r>
      <w:r>
        <w:rPr>
          <w:rFonts w:hint="eastAsia" w:ascii="宋体" w:hAnsi="宋体"/>
          <w:color w:val="auto"/>
          <w:sz w:val="28"/>
          <w:szCs w:val="28"/>
          <w:highlight w:val="none"/>
          <w:u w:val="single"/>
        </w:rPr>
        <w:t xml:space="preserve">                        项目</w:t>
      </w:r>
      <w:r>
        <w:rPr>
          <w:rFonts w:hint="eastAsia" w:ascii="宋体" w:hAnsi="宋体"/>
          <w:color w:val="auto"/>
          <w:sz w:val="28"/>
          <w:szCs w:val="28"/>
          <w:highlight w:val="none"/>
          <w:lang w:val="en-US" w:eastAsia="zh-CN"/>
        </w:rPr>
        <w:t>招标</w:t>
      </w:r>
      <w:r>
        <w:rPr>
          <w:rFonts w:hint="eastAsia" w:ascii="宋体" w:hAnsi="宋体"/>
          <w:color w:val="auto"/>
          <w:sz w:val="28"/>
          <w:szCs w:val="28"/>
          <w:highlight w:val="none"/>
        </w:rPr>
        <w:t>公告（项目编号：</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），签字代表</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（全名）经正式授权并代表</w:t>
      </w:r>
      <w:r>
        <w:rPr>
          <w:rFonts w:hint="eastAsia" w:ascii="宋体" w:hAnsi="宋体"/>
          <w:color w:val="auto"/>
          <w:sz w:val="28"/>
          <w:szCs w:val="28"/>
          <w:highlight w:val="none"/>
          <w:lang w:val="en-US" w:eastAsia="zh-CN"/>
        </w:rPr>
        <w:t>投标人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投标人</w:t>
      </w:r>
      <w:r>
        <w:rPr>
          <w:rFonts w:hint="eastAsia" w:ascii="宋体" w:hAnsi="宋体"/>
          <w:color w:val="auto"/>
          <w:sz w:val="28"/>
          <w:szCs w:val="28"/>
          <w:highlight w:val="none"/>
        </w:rPr>
        <w:t>名称）作出如下承诺：</w:t>
      </w:r>
    </w:p>
    <w:p w14:paraId="5CCEB46E">
      <w:pPr>
        <w:spacing w:line="360" w:lineRule="auto"/>
        <w:ind w:firstLine="560" w:firstLineChars="200"/>
        <w:rPr>
          <w:rFonts w:hint="eastAsia" w:ascii="宋体" w:hAnsi="宋体"/>
          <w:color w:val="auto"/>
          <w:sz w:val="28"/>
          <w:szCs w:val="28"/>
          <w:highlight w:val="none"/>
        </w:rPr>
      </w:pPr>
    </w:p>
    <w:p w14:paraId="264280FE">
      <w:pPr>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（1）我方承诺本项目在验收合格前所发生的一切经济、安全及其他责任事故以及验收合格后因</w:t>
      </w:r>
      <w:r>
        <w:rPr>
          <w:rFonts w:hint="eastAsia" w:ascii="宋体" w:hAnsi="宋体"/>
          <w:color w:val="auto"/>
          <w:sz w:val="28"/>
          <w:szCs w:val="28"/>
          <w:highlight w:val="none"/>
          <w:lang w:val="en-US" w:eastAsia="zh-CN"/>
        </w:rPr>
        <w:t>中标人</w:t>
      </w:r>
      <w:r>
        <w:rPr>
          <w:rFonts w:hint="eastAsia" w:ascii="宋体" w:hAnsi="宋体"/>
          <w:color w:val="auto"/>
          <w:sz w:val="28"/>
          <w:szCs w:val="28"/>
          <w:highlight w:val="none"/>
        </w:rPr>
        <w:t>原因导致的一切事故及损失均由我公司承担，与采购人无关。</w:t>
      </w:r>
    </w:p>
    <w:p w14:paraId="43D02477">
      <w:pPr>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（2）工期按</w:t>
      </w:r>
      <w:r>
        <w:rPr>
          <w:rFonts w:hint="eastAsia" w:ascii="宋体" w:hAnsi="宋体"/>
          <w:color w:val="auto"/>
          <w:sz w:val="28"/>
          <w:szCs w:val="28"/>
          <w:highlight w:val="none"/>
          <w:lang w:val="en-US" w:eastAsia="zh-CN"/>
        </w:rPr>
        <w:t>招标</w:t>
      </w:r>
      <w:r>
        <w:rPr>
          <w:rFonts w:hint="eastAsia" w:ascii="宋体" w:hAnsi="宋体"/>
          <w:color w:val="auto"/>
          <w:sz w:val="28"/>
          <w:szCs w:val="28"/>
          <w:highlight w:val="none"/>
        </w:rPr>
        <w:t>文件规定实行，如工期延误的，按1</w:t>
      </w:r>
      <w:r>
        <w:rPr>
          <w:rFonts w:hint="eastAsia" w:ascii="宋体" w:hAnsi="宋体"/>
          <w:color w:val="auto"/>
          <w:sz w:val="28"/>
          <w:szCs w:val="28"/>
          <w:highlight w:val="none"/>
          <w:lang w:val="en-US" w:eastAsia="zh-CN"/>
        </w:rPr>
        <w:t>000</w:t>
      </w:r>
      <w:r>
        <w:rPr>
          <w:rFonts w:hint="eastAsia" w:ascii="宋体" w:hAnsi="宋体"/>
          <w:color w:val="auto"/>
          <w:sz w:val="28"/>
          <w:szCs w:val="28"/>
          <w:highlight w:val="none"/>
        </w:rPr>
        <w:t>元/天在工程款中扣除，且由我公司承担全部损失。</w:t>
      </w:r>
    </w:p>
    <w:p w14:paraId="0002B8B2">
      <w:pPr>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（3）在施工过程中产生的垃圾，由我公司清运、处置。</w:t>
      </w:r>
    </w:p>
    <w:p w14:paraId="6EE0B6C1">
      <w:pPr>
        <w:rPr>
          <w:rFonts w:hint="eastAsia" w:ascii="宋体" w:hAnsi="宋体" w:cs="宋体"/>
          <w:color w:val="auto"/>
          <w:sz w:val="28"/>
          <w:szCs w:val="28"/>
          <w:highlight w:val="none"/>
        </w:rPr>
      </w:pPr>
    </w:p>
    <w:p w14:paraId="0AA425E6">
      <w:pPr>
        <w:spacing w:line="360" w:lineRule="auto"/>
        <w:rPr>
          <w:rFonts w:hint="eastAsia" w:ascii="宋体" w:hAnsi="宋体" w:cs="宋体"/>
          <w:color w:val="auto"/>
          <w:sz w:val="28"/>
          <w:szCs w:val="28"/>
          <w:highlight w:val="none"/>
        </w:rPr>
      </w:pPr>
    </w:p>
    <w:p w14:paraId="318A9185">
      <w:pPr>
        <w:spacing w:line="360" w:lineRule="auto"/>
        <w:ind w:firstLine="560" w:firstLineChars="200"/>
        <w:rPr>
          <w:rFonts w:hint="eastAsia" w:ascii="宋体" w:hAnsi="宋体"/>
          <w:color w:val="auto"/>
          <w:sz w:val="28"/>
          <w:szCs w:val="28"/>
          <w:highlight w:val="none"/>
        </w:rPr>
      </w:pPr>
    </w:p>
    <w:bookmarkEnd w:id="106"/>
    <w:bookmarkEnd w:id="107"/>
    <w:p w14:paraId="1AEFEB15">
      <w:pPr>
        <w:spacing w:line="360" w:lineRule="auto"/>
        <w:ind w:firstLine="3920" w:firstLineChars="1400"/>
        <w:rPr>
          <w:rFonts w:hint="eastAsia" w:ascii="宋体" w:hAnsi="宋体"/>
          <w:color w:val="auto"/>
          <w:sz w:val="28"/>
          <w:szCs w:val="28"/>
          <w:highlight w:val="none"/>
        </w:rPr>
      </w:pPr>
      <w:r>
        <w:rPr>
          <w:rFonts w:hint="eastAsia" w:ascii="宋体" w:hAnsi="宋体"/>
          <w:color w:val="auto"/>
          <w:sz w:val="28"/>
          <w:szCs w:val="28"/>
          <w:highlight w:val="none"/>
          <w:lang w:val="en-US" w:eastAsia="zh-CN"/>
        </w:rPr>
        <w:t>供应商</w:t>
      </w:r>
      <w:r>
        <w:rPr>
          <w:rFonts w:hint="eastAsia" w:ascii="宋体" w:hAnsi="宋体"/>
          <w:color w:val="auto"/>
          <w:sz w:val="28"/>
          <w:szCs w:val="28"/>
          <w:highlight w:val="none"/>
        </w:rPr>
        <w:t>（单位盖章）：</w:t>
      </w:r>
    </w:p>
    <w:p w14:paraId="5AC7DED6">
      <w:pPr>
        <w:spacing w:line="360" w:lineRule="auto"/>
        <w:ind w:firstLine="3920" w:firstLineChars="1400"/>
        <w:rPr>
          <w:rFonts w:hint="eastAsia" w:ascii="宋体" w:hAnsi="宋体" w:cs="宋体"/>
          <w:color w:val="auto"/>
          <w:sz w:val="24"/>
          <w:szCs w:val="24"/>
          <w:highlight w:val="none"/>
        </w:rPr>
      </w:pPr>
      <w:r>
        <w:rPr>
          <w:rFonts w:hint="eastAsia" w:ascii="宋体" w:hAnsi="宋体"/>
          <w:color w:val="auto"/>
          <w:sz w:val="28"/>
          <w:szCs w:val="28"/>
          <w:highlight w:val="none"/>
        </w:rPr>
        <w:t xml:space="preserve">法定代表人或委托代理人（签字或盖章）：   </w:t>
      </w:r>
      <w:r>
        <w:rPr>
          <w:rFonts w:hint="eastAsia" w:ascii="宋体" w:hAnsi="宋体" w:cs="宋体"/>
          <w:color w:val="auto"/>
          <w:sz w:val="24"/>
          <w:szCs w:val="24"/>
          <w:highlight w:val="none"/>
        </w:rPr>
        <w:t xml:space="preserve">                      </w:t>
      </w:r>
    </w:p>
    <w:p w14:paraId="1D99F87C">
      <w:pPr>
        <w:spacing w:line="360" w:lineRule="auto"/>
        <w:ind w:firstLine="4480" w:firstLineChars="1600"/>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年  月  日</w:t>
      </w:r>
    </w:p>
    <w:p w14:paraId="5B91D9B4">
      <w:pPr>
        <w:pStyle w:val="3"/>
        <w:keepNext w:val="0"/>
        <w:keepLines w:val="0"/>
        <w:pageBreakBefore/>
        <w:spacing w:line="415" w:lineRule="auto"/>
        <w:rPr>
          <w:rFonts w:ascii="宋体" w:hAnsi="宋体" w:eastAsia="宋体" w:cs="宋体"/>
          <w:b w:val="0"/>
          <w:bCs w:val="0"/>
          <w:color w:val="auto"/>
          <w:sz w:val="24"/>
          <w:szCs w:val="24"/>
          <w:highlight w:val="none"/>
        </w:rPr>
      </w:pPr>
      <w:bookmarkStart w:id="117" w:name="_Toc20545"/>
      <w:bookmarkStart w:id="118" w:name="_Toc29071"/>
      <w:r>
        <w:rPr>
          <w:rFonts w:hint="eastAsia" w:ascii="宋体" w:hAnsi="宋体" w:eastAsia="宋体" w:cs="宋体"/>
          <w:b w:val="0"/>
          <w:bCs w:val="0"/>
          <w:color w:val="auto"/>
          <w:sz w:val="24"/>
          <w:szCs w:val="24"/>
          <w:highlight w:val="none"/>
        </w:rPr>
        <w:t>附件十</w:t>
      </w:r>
      <w:r>
        <w:rPr>
          <w:rFonts w:hint="eastAsia" w:ascii="宋体" w:hAnsi="宋体" w:eastAsia="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rPr>
        <w:t>：</w:t>
      </w:r>
      <w:bookmarkEnd w:id="108"/>
      <w:bookmarkEnd w:id="109"/>
      <w:bookmarkEnd w:id="110"/>
      <w:bookmarkStart w:id="119" w:name="_Toc20267"/>
      <w:bookmarkStart w:id="120" w:name="_Toc31096"/>
      <w:r>
        <w:rPr>
          <w:rFonts w:hint="eastAsia" w:ascii="宋体" w:hAnsi="宋体" w:eastAsia="宋体" w:cs="宋体"/>
          <w:b w:val="0"/>
          <w:bCs w:val="0"/>
          <w:color w:val="auto"/>
          <w:sz w:val="24"/>
          <w:szCs w:val="24"/>
          <w:highlight w:val="none"/>
        </w:rPr>
        <w:t>拟投入本项目</w:t>
      </w:r>
      <w:bookmarkEnd w:id="119"/>
      <w:r>
        <w:rPr>
          <w:rFonts w:hint="eastAsia" w:ascii="宋体" w:hAnsi="宋体" w:eastAsia="宋体" w:cs="宋体"/>
          <w:b w:val="0"/>
          <w:bCs w:val="0"/>
          <w:color w:val="auto"/>
          <w:sz w:val="24"/>
          <w:szCs w:val="24"/>
          <w:highlight w:val="none"/>
        </w:rPr>
        <w:t>人员一览表</w:t>
      </w:r>
      <w:bookmarkEnd w:id="117"/>
      <w:bookmarkEnd w:id="118"/>
      <w:bookmarkEnd w:id="120"/>
    </w:p>
    <w:p w14:paraId="610DCB4E">
      <w:pPr>
        <w:jc w:val="center"/>
        <w:rPr>
          <w:rFonts w:ascii="宋体" w:hAnsi="宋体"/>
          <w:b/>
          <w:color w:val="auto"/>
          <w:sz w:val="28"/>
          <w:szCs w:val="28"/>
          <w:highlight w:val="none"/>
        </w:rPr>
      </w:pPr>
      <w:r>
        <w:rPr>
          <w:rFonts w:ascii="宋体" w:hAnsi="宋体"/>
          <w:b/>
          <w:color w:val="auto"/>
          <w:sz w:val="28"/>
          <w:szCs w:val="28"/>
          <w:highlight w:val="none"/>
        </w:rPr>
        <w:t>拟投入本项目人员一览表</w:t>
      </w:r>
    </w:p>
    <w:p w14:paraId="2F659E41">
      <w:pPr>
        <w:rPr>
          <w:rFonts w:ascii="宋体" w:hAnsi="宋体"/>
          <w:b/>
          <w:color w:val="auto"/>
          <w:sz w:val="28"/>
          <w:szCs w:val="28"/>
          <w:highlight w:val="non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招标编号：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080"/>
        <w:gridCol w:w="1080"/>
        <w:gridCol w:w="1440"/>
        <w:gridCol w:w="1620"/>
        <w:gridCol w:w="1458"/>
        <w:gridCol w:w="1505"/>
      </w:tblGrid>
      <w:tr w14:paraId="41B8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vMerge w:val="restart"/>
            <w:vAlign w:val="center"/>
          </w:tcPr>
          <w:p w14:paraId="0D18C84D">
            <w:pPr>
              <w:jc w:val="center"/>
              <w:rPr>
                <w:rFonts w:ascii="宋体" w:hAnsi="宋体"/>
                <w:color w:val="auto"/>
                <w:szCs w:val="21"/>
                <w:highlight w:val="none"/>
              </w:rPr>
            </w:pPr>
            <w:r>
              <w:rPr>
                <w:rFonts w:hint="eastAsia" w:ascii="宋体" w:hAnsi="宋体"/>
                <w:color w:val="auto"/>
                <w:szCs w:val="21"/>
                <w:highlight w:val="none"/>
              </w:rPr>
              <w:t>在本项目任职岗位</w:t>
            </w:r>
          </w:p>
        </w:tc>
        <w:tc>
          <w:tcPr>
            <w:tcW w:w="1080" w:type="dxa"/>
            <w:vMerge w:val="restart"/>
            <w:vAlign w:val="center"/>
          </w:tcPr>
          <w:p w14:paraId="43E71615">
            <w:pPr>
              <w:jc w:val="center"/>
              <w:rPr>
                <w:rFonts w:ascii="宋体" w:hAnsi="宋体"/>
                <w:color w:val="auto"/>
                <w:szCs w:val="21"/>
                <w:highlight w:val="none"/>
              </w:rPr>
            </w:pPr>
            <w:r>
              <w:rPr>
                <w:rFonts w:hint="eastAsia" w:ascii="宋体" w:hAnsi="宋体"/>
                <w:color w:val="auto"/>
                <w:szCs w:val="21"/>
                <w:highlight w:val="none"/>
              </w:rPr>
              <w:t>姓名</w:t>
            </w:r>
          </w:p>
        </w:tc>
        <w:tc>
          <w:tcPr>
            <w:tcW w:w="1080" w:type="dxa"/>
            <w:vMerge w:val="restart"/>
            <w:vAlign w:val="center"/>
          </w:tcPr>
          <w:p w14:paraId="1F43CD28">
            <w:pPr>
              <w:jc w:val="center"/>
              <w:rPr>
                <w:rFonts w:ascii="宋体" w:hAnsi="宋体"/>
                <w:color w:val="auto"/>
                <w:szCs w:val="21"/>
                <w:highlight w:val="none"/>
              </w:rPr>
            </w:pPr>
            <w:r>
              <w:rPr>
                <w:rFonts w:hint="eastAsia" w:ascii="宋体" w:hAnsi="宋体"/>
                <w:color w:val="auto"/>
                <w:szCs w:val="21"/>
                <w:highlight w:val="none"/>
              </w:rPr>
              <w:t>职称</w:t>
            </w:r>
          </w:p>
        </w:tc>
        <w:tc>
          <w:tcPr>
            <w:tcW w:w="4518" w:type="dxa"/>
            <w:gridSpan w:val="3"/>
            <w:vAlign w:val="center"/>
          </w:tcPr>
          <w:p w14:paraId="437B9610">
            <w:pPr>
              <w:jc w:val="center"/>
              <w:rPr>
                <w:rFonts w:ascii="宋体" w:hAnsi="宋体"/>
                <w:color w:val="auto"/>
                <w:szCs w:val="21"/>
                <w:highlight w:val="none"/>
              </w:rPr>
            </w:pPr>
            <w:r>
              <w:rPr>
                <w:rFonts w:hint="eastAsia" w:ascii="宋体" w:hAnsi="宋体"/>
                <w:color w:val="auto"/>
                <w:szCs w:val="21"/>
                <w:highlight w:val="none"/>
              </w:rPr>
              <w:t>执业或职业资格证明</w:t>
            </w:r>
          </w:p>
        </w:tc>
        <w:tc>
          <w:tcPr>
            <w:tcW w:w="1505" w:type="dxa"/>
            <w:vMerge w:val="restart"/>
            <w:vAlign w:val="center"/>
          </w:tcPr>
          <w:p w14:paraId="32EE4893">
            <w:pPr>
              <w:jc w:val="center"/>
              <w:rPr>
                <w:rFonts w:ascii="宋体" w:hAnsi="宋体"/>
                <w:color w:val="auto"/>
                <w:szCs w:val="21"/>
                <w:highlight w:val="none"/>
              </w:rPr>
            </w:pPr>
            <w:r>
              <w:rPr>
                <w:rFonts w:hint="eastAsia" w:ascii="宋体" w:hAnsi="宋体"/>
                <w:color w:val="auto"/>
                <w:szCs w:val="21"/>
                <w:highlight w:val="none"/>
              </w:rPr>
              <w:t>备注</w:t>
            </w:r>
          </w:p>
        </w:tc>
      </w:tr>
      <w:tr w14:paraId="7D15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60" w:type="dxa"/>
            <w:vMerge w:val="continue"/>
          </w:tcPr>
          <w:p w14:paraId="026E5DE8">
            <w:pPr>
              <w:rPr>
                <w:rFonts w:ascii="宋体" w:hAnsi="宋体"/>
                <w:color w:val="auto"/>
                <w:szCs w:val="21"/>
                <w:highlight w:val="none"/>
              </w:rPr>
            </w:pPr>
          </w:p>
        </w:tc>
        <w:tc>
          <w:tcPr>
            <w:tcW w:w="1080" w:type="dxa"/>
            <w:vMerge w:val="continue"/>
          </w:tcPr>
          <w:p w14:paraId="6FC193D3">
            <w:pPr>
              <w:rPr>
                <w:rFonts w:ascii="宋体" w:hAnsi="宋体"/>
                <w:color w:val="auto"/>
                <w:szCs w:val="21"/>
                <w:highlight w:val="none"/>
              </w:rPr>
            </w:pPr>
          </w:p>
        </w:tc>
        <w:tc>
          <w:tcPr>
            <w:tcW w:w="1080" w:type="dxa"/>
            <w:vMerge w:val="continue"/>
          </w:tcPr>
          <w:p w14:paraId="0C1CF43B">
            <w:pPr>
              <w:rPr>
                <w:rFonts w:ascii="宋体" w:hAnsi="宋体"/>
                <w:color w:val="auto"/>
                <w:szCs w:val="21"/>
                <w:highlight w:val="none"/>
              </w:rPr>
            </w:pPr>
          </w:p>
        </w:tc>
        <w:tc>
          <w:tcPr>
            <w:tcW w:w="1440" w:type="dxa"/>
            <w:vAlign w:val="center"/>
          </w:tcPr>
          <w:p w14:paraId="1E737CD4">
            <w:pPr>
              <w:jc w:val="center"/>
              <w:rPr>
                <w:rFonts w:ascii="宋体" w:hAnsi="宋体"/>
                <w:color w:val="auto"/>
                <w:szCs w:val="21"/>
                <w:highlight w:val="none"/>
              </w:rPr>
            </w:pPr>
            <w:r>
              <w:rPr>
                <w:rFonts w:hint="eastAsia" w:ascii="宋体" w:hAnsi="宋体"/>
                <w:color w:val="auto"/>
                <w:szCs w:val="21"/>
                <w:highlight w:val="none"/>
              </w:rPr>
              <w:t>证书名称</w:t>
            </w:r>
          </w:p>
        </w:tc>
        <w:tc>
          <w:tcPr>
            <w:tcW w:w="1620" w:type="dxa"/>
            <w:vAlign w:val="center"/>
          </w:tcPr>
          <w:p w14:paraId="6730DD43">
            <w:pPr>
              <w:jc w:val="center"/>
              <w:rPr>
                <w:rFonts w:ascii="宋体" w:hAnsi="宋体"/>
                <w:color w:val="auto"/>
                <w:szCs w:val="21"/>
                <w:highlight w:val="none"/>
              </w:rPr>
            </w:pPr>
            <w:r>
              <w:rPr>
                <w:rFonts w:hint="eastAsia" w:ascii="宋体" w:hAnsi="宋体"/>
                <w:color w:val="auto"/>
                <w:szCs w:val="21"/>
                <w:highlight w:val="none"/>
              </w:rPr>
              <w:t>级别</w:t>
            </w:r>
          </w:p>
        </w:tc>
        <w:tc>
          <w:tcPr>
            <w:tcW w:w="1458" w:type="dxa"/>
            <w:vAlign w:val="center"/>
          </w:tcPr>
          <w:p w14:paraId="6E25F5F8">
            <w:pPr>
              <w:jc w:val="center"/>
              <w:rPr>
                <w:rFonts w:ascii="宋体" w:hAnsi="宋体"/>
                <w:color w:val="auto"/>
                <w:szCs w:val="21"/>
                <w:highlight w:val="none"/>
              </w:rPr>
            </w:pPr>
            <w:r>
              <w:rPr>
                <w:rFonts w:hint="eastAsia" w:ascii="宋体" w:hAnsi="宋体"/>
                <w:color w:val="auto"/>
                <w:szCs w:val="21"/>
                <w:highlight w:val="none"/>
              </w:rPr>
              <w:t>证号</w:t>
            </w:r>
          </w:p>
        </w:tc>
        <w:tc>
          <w:tcPr>
            <w:tcW w:w="1505" w:type="dxa"/>
            <w:vMerge w:val="continue"/>
          </w:tcPr>
          <w:p w14:paraId="7B27D5B7">
            <w:pPr>
              <w:rPr>
                <w:rFonts w:ascii="宋体" w:hAnsi="宋体"/>
                <w:color w:val="auto"/>
                <w:szCs w:val="21"/>
                <w:highlight w:val="none"/>
              </w:rPr>
            </w:pPr>
          </w:p>
        </w:tc>
      </w:tr>
      <w:tr w14:paraId="590A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tcPr>
          <w:p w14:paraId="542856ED">
            <w:pPr>
              <w:rPr>
                <w:rFonts w:ascii="宋体" w:hAnsi="宋体"/>
                <w:color w:val="auto"/>
                <w:szCs w:val="21"/>
                <w:highlight w:val="none"/>
              </w:rPr>
            </w:pPr>
          </w:p>
        </w:tc>
        <w:tc>
          <w:tcPr>
            <w:tcW w:w="1080" w:type="dxa"/>
          </w:tcPr>
          <w:p w14:paraId="65B54435">
            <w:pPr>
              <w:rPr>
                <w:rFonts w:ascii="宋体" w:hAnsi="宋体"/>
                <w:color w:val="auto"/>
                <w:szCs w:val="21"/>
                <w:highlight w:val="none"/>
              </w:rPr>
            </w:pPr>
          </w:p>
        </w:tc>
        <w:tc>
          <w:tcPr>
            <w:tcW w:w="1080" w:type="dxa"/>
          </w:tcPr>
          <w:p w14:paraId="38A17D13">
            <w:pPr>
              <w:rPr>
                <w:rFonts w:ascii="宋体" w:hAnsi="宋体"/>
                <w:color w:val="auto"/>
                <w:szCs w:val="21"/>
                <w:highlight w:val="none"/>
              </w:rPr>
            </w:pPr>
          </w:p>
        </w:tc>
        <w:tc>
          <w:tcPr>
            <w:tcW w:w="1440" w:type="dxa"/>
          </w:tcPr>
          <w:p w14:paraId="582AE39B">
            <w:pPr>
              <w:rPr>
                <w:rFonts w:ascii="宋体" w:hAnsi="宋体"/>
                <w:color w:val="auto"/>
                <w:szCs w:val="21"/>
                <w:highlight w:val="none"/>
              </w:rPr>
            </w:pPr>
          </w:p>
        </w:tc>
        <w:tc>
          <w:tcPr>
            <w:tcW w:w="1620" w:type="dxa"/>
          </w:tcPr>
          <w:p w14:paraId="55A7B950">
            <w:pPr>
              <w:rPr>
                <w:rFonts w:ascii="宋体" w:hAnsi="宋体"/>
                <w:color w:val="auto"/>
                <w:szCs w:val="21"/>
                <w:highlight w:val="none"/>
              </w:rPr>
            </w:pPr>
          </w:p>
        </w:tc>
        <w:tc>
          <w:tcPr>
            <w:tcW w:w="1458" w:type="dxa"/>
          </w:tcPr>
          <w:p w14:paraId="7F836F53">
            <w:pPr>
              <w:rPr>
                <w:rFonts w:ascii="宋体" w:hAnsi="宋体"/>
                <w:color w:val="auto"/>
                <w:szCs w:val="21"/>
                <w:highlight w:val="none"/>
              </w:rPr>
            </w:pPr>
          </w:p>
        </w:tc>
        <w:tc>
          <w:tcPr>
            <w:tcW w:w="1505" w:type="dxa"/>
          </w:tcPr>
          <w:p w14:paraId="5D76AFCC">
            <w:pPr>
              <w:rPr>
                <w:rFonts w:ascii="宋体" w:hAnsi="宋体"/>
                <w:color w:val="auto"/>
                <w:szCs w:val="21"/>
                <w:highlight w:val="none"/>
              </w:rPr>
            </w:pPr>
          </w:p>
        </w:tc>
      </w:tr>
      <w:tr w14:paraId="3318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0" w:type="dxa"/>
          </w:tcPr>
          <w:p w14:paraId="2D9495F2">
            <w:pPr>
              <w:rPr>
                <w:rFonts w:ascii="宋体" w:hAnsi="宋体"/>
                <w:color w:val="auto"/>
                <w:szCs w:val="21"/>
                <w:highlight w:val="none"/>
              </w:rPr>
            </w:pPr>
          </w:p>
        </w:tc>
        <w:tc>
          <w:tcPr>
            <w:tcW w:w="1080" w:type="dxa"/>
          </w:tcPr>
          <w:p w14:paraId="77525CD1">
            <w:pPr>
              <w:rPr>
                <w:rFonts w:ascii="宋体" w:hAnsi="宋体"/>
                <w:color w:val="auto"/>
                <w:szCs w:val="21"/>
                <w:highlight w:val="none"/>
              </w:rPr>
            </w:pPr>
          </w:p>
        </w:tc>
        <w:tc>
          <w:tcPr>
            <w:tcW w:w="1080" w:type="dxa"/>
          </w:tcPr>
          <w:p w14:paraId="130175AE">
            <w:pPr>
              <w:rPr>
                <w:rFonts w:ascii="宋体" w:hAnsi="宋体"/>
                <w:color w:val="auto"/>
                <w:szCs w:val="21"/>
                <w:highlight w:val="none"/>
              </w:rPr>
            </w:pPr>
          </w:p>
        </w:tc>
        <w:tc>
          <w:tcPr>
            <w:tcW w:w="1440" w:type="dxa"/>
          </w:tcPr>
          <w:p w14:paraId="7F6BE577">
            <w:pPr>
              <w:rPr>
                <w:rFonts w:ascii="宋体" w:hAnsi="宋体"/>
                <w:color w:val="auto"/>
                <w:szCs w:val="21"/>
                <w:highlight w:val="none"/>
              </w:rPr>
            </w:pPr>
          </w:p>
        </w:tc>
        <w:tc>
          <w:tcPr>
            <w:tcW w:w="1620" w:type="dxa"/>
          </w:tcPr>
          <w:p w14:paraId="678348DC">
            <w:pPr>
              <w:rPr>
                <w:rFonts w:ascii="宋体" w:hAnsi="宋体"/>
                <w:color w:val="auto"/>
                <w:szCs w:val="21"/>
                <w:highlight w:val="none"/>
              </w:rPr>
            </w:pPr>
          </w:p>
        </w:tc>
        <w:tc>
          <w:tcPr>
            <w:tcW w:w="1458" w:type="dxa"/>
          </w:tcPr>
          <w:p w14:paraId="2B004BD0">
            <w:pPr>
              <w:rPr>
                <w:rFonts w:ascii="宋体" w:hAnsi="宋体"/>
                <w:color w:val="auto"/>
                <w:szCs w:val="21"/>
                <w:highlight w:val="none"/>
              </w:rPr>
            </w:pPr>
          </w:p>
        </w:tc>
        <w:tc>
          <w:tcPr>
            <w:tcW w:w="1505" w:type="dxa"/>
          </w:tcPr>
          <w:p w14:paraId="738270E1">
            <w:pPr>
              <w:rPr>
                <w:rFonts w:ascii="宋体" w:hAnsi="宋体"/>
                <w:color w:val="auto"/>
                <w:szCs w:val="21"/>
                <w:highlight w:val="none"/>
              </w:rPr>
            </w:pPr>
          </w:p>
        </w:tc>
      </w:tr>
      <w:tr w14:paraId="381F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0" w:type="dxa"/>
          </w:tcPr>
          <w:p w14:paraId="189A949C">
            <w:pPr>
              <w:rPr>
                <w:rFonts w:ascii="宋体" w:hAnsi="宋体"/>
                <w:color w:val="auto"/>
                <w:szCs w:val="21"/>
                <w:highlight w:val="none"/>
              </w:rPr>
            </w:pPr>
          </w:p>
        </w:tc>
        <w:tc>
          <w:tcPr>
            <w:tcW w:w="1080" w:type="dxa"/>
          </w:tcPr>
          <w:p w14:paraId="6AD2F2ED">
            <w:pPr>
              <w:rPr>
                <w:rFonts w:ascii="宋体" w:hAnsi="宋体"/>
                <w:color w:val="auto"/>
                <w:szCs w:val="21"/>
                <w:highlight w:val="none"/>
              </w:rPr>
            </w:pPr>
          </w:p>
        </w:tc>
        <w:tc>
          <w:tcPr>
            <w:tcW w:w="1080" w:type="dxa"/>
          </w:tcPr>
          <w:p w14:paraId="004B0C88">
            <w:pPr>
              <w:rPr>
                <w:rFonts w:ascii="宋体" w:hAnsi="宋体"/>
                <w:color w:val="auto"/>
                <w:szCs w:val="21"/>
                <w:highlight w:val="none"/>
              </w:rPr>
            </w:pPr>
          </w:p>
        </w:tc>
        <w:tc>
          <w:tcPr>
            <w:tcW w:w="1440" w:type="dxa"/>
          </w:tcPr>
          <w:p w14:paraId="1F0AC9AF">
            <w:pPr>
              <w:rPr>
                <w:rFonts w:ascii="宋体" w:hAnsi="宋体"/>
                <w:color w:val="auto"/>
                <w:szCs w:val="21"/>
                <w:highlight w:val="none"/>
              </w:rPr>
            </w:pPr>
          </w:p>
        </w:tc>
        <w:tc>
          <w:tcPr>
            <w:tcW w:w="1620" w:type="dxa"/>
          </w:tcPr>
          <w:p w14:paraId="68FA91FA">
            <w:pPr>
              <w:rPr>
                <w:rFonts w:ascii="宋体" w:hAnsi="宋体"/>
                <w:color w:val="auto"/>
                <w:szCs w:val="21"/>
                <w:highlight w:val="none"/>
              </w:rPr>
            </w:pPr>
          </w:p>
        </w:tc>
        <w:tc>
          <w:tcPr>
            <w:tcW w:w="1458" w:type="dxa"/>
          </w:tcPr>
          <w:p w14:paraId="5662E1C7">
            <w:pPr>
              <w:rPr>
                <w:rFonts w:ascii="宋体" w:hAnsi="宋体"/>
                <w:color w:val="auto"/>
                <w:szCs w:val="21"/>
                <w:highlight w:val="none"/>
              </w:rPr>
            </w:pPr>
          </w:p>
        </w:tc>
        <w:tc>
          <w:tcPr>
            <w:tcW w:w="1505" w:type="dxa"/>
          </w:tcPr>
          <w:p w14:paraId="7DDB01BC">
            <w:pPr>
              <w:rPr>
                <w:rFonts w:ascii="宋体" w:hAnsi="宋体"/>
                <w:color w:val="auto"/>
                <w:szCs w:val="21"/>
                <w:highlight w:val="none"/>
              </w:rPr>
            </w:pPr>
          </w:p>
        </w:tc>
      </w:tr>
      <w:tr w14:paraId="4ED6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tcPr>
          <w:p w14:paraId="3AA8C607">
            <w:pPr>
              <w:rPr>
                <w:rFonts w:ascii="宋体" w:hAnsi="宋体"/>
                <w:color w:val="auto"/>
                <w:szCs w:val="21"/>
                <w:highlight w:val="none"/>
              </w:rPr>
            </w:pPr>
          </w:p>
        </w:tc>
        <w:tc>
          <w:tcPr>
            <w:tcW w:w="1080" w:type="dxa"/>
          </w:tcPr>
          <w:p w14:paraId="6C1DB6D5">
            <w:pPr>
              <w:rPr>
                <w:rFonts w:ascii="宋体" w:hAnsi="宋体"/>
                <w:color w:val="auto"/>
                <w:szCs w:val="21"/>
                <w:highlight w:val="none"/>
              </w:rPr>
            </w:pPr>
          </w:p>
        </w:tc>
        <w:tc>
          <w:tcPr>
            <w:tcW w:w="1080" w:type="dxa"/>
          </w:tcPr>
          <w:p w14:paraId="0EC55F94">
            <w:pPr>
              <w:rPr>
                <w:rFonts w:ascii="宋体" w:hAnsi="宋体"/>
                <w:color w:val="auto"/>
                <w:szCs w:val="21"/>
                <w:highlight w:val="none"/>
              </w:rPr>
            </w:pPr>
          </w:p>
        </w:tc>
        <w:tc>
          <w:tcPr>
            <w:tcW w:w="1440" w:type="dxa"/>
          </w:tcPr>
          <w:p w14:paraId="4CC816B1">
            <w:pPr>
              <w:rPr>
                <w:rFonts w:ascii="宋体" w:hAnsi="宋体"/>
                <w:color w:val="auto"/>
                <w:szCs w:val="21"/>
                <w:highlight w:val="none"/>
              </w:rPr>
            </w:pPr>
          </w:p>
        </w:tc>
        <w:tc>
          <w:tcPr>
            <w:tcW w:w="1620" w:type="dxa"/>
          </w:tcPr>
          <w:p w14:paraId="49340B91">
            <w:pPr>
              <w:rPr>
                <w:rFonts w:ascii="宋体" w:hAnsi="宋体"/>
                <w:color w:val="auto"/>
                <w:szCs w:val="21"/>
                <w:highlight w:val="none"/>
              </w:rPr>
            </w:pPr>
          </w:p>
        </w:tc>
        <w:tc>
          <w:tcPr>
            <w:tcW w:w="1458" w:type="dxa"/>
          </w:tcPr>
          <w:p w14:paraId="35840F9D">
            <w:pPr>
              <w:rPr>
                <w:rFonts w:ascii="宋体" w:hAnsi="宋体"/>
                <w:color w:val="auto"/>
                <w:szCs w:val="21"/>
                <w:highlight w:val="none"/>
              </w:rPr>
            </w:pPr>
          </w:p>
        </w:tc>
        <w:tc>
          <w:tcPr>
            <w:tcW w:w="1505" w:type="dxa"/>
          </w:tcPr>
          <w:p w14:paraId="28B46A77">
            <w:pPr>
              <w:rPr>
                <w:rFonts w:ascii="宋体" w:hAnsi="宋体"/>
                <w:color w:val="auto"/>
                <w:szCs w:val="21"/>
                <w:highlight w:val="none"/>
              </w:rPr>
            </w:pPr>
          </w:p>
        </w:tc>
      </w:tr>
      <w:tr w14:paraId="2BF8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tcPr>
          <w:p w14:paraId="0168DD1E">
            <w:pPr>
              <w:rPr>
                <w:rFonts w:ascii="宋体" w:hAnsi="宋体"/>
                <w:color w:val="auto"/>
                <w:szCs w:val="21"/>
                <w:highlight w:val="none"/>
              </w:rPr>
            </w:pPr>
          </w:p>
        </w:tc>
        <w:tc>
          <w:tcPr>
            <w:tcW w:w="1080" w:type="dxa"/>
          </w:tcPr>
          <w:p w14:paraId="1F9CAF8B">
            <w:pPr>
              <w:rPr>
                <w:rFonts w:ascii="宋体" w:hAnsi="宋体"/>
                <w:color w:val="auto"/>
                <w:szCs w:val="21"/>
                <w:highlight w:val="none"/>
              </w:rPr>
            </w:pPr>
          </w:p>
        </w:tc>
        <w:tc>
          <w:tcPr>
            <w:tcW w:w="1080" w:type="dxa"/>
          </w:tcPr>
          <w:p w14:paraId="18082364">
            <w:pPr>
              <w:rPr>
                <w:rFonts w:ascii="宋体" w:hAnsi="宋体"/>
                <w:color w:val="auto"/>
                <w:szCs w:val="21"/>
                <w:highlight w:val="none"/>
              </w:rPr>
            </w:pPr>
          </w:p>
        </w:tc>
        <w:tc>
          <w:tcPr>
            <w:tcW w:w="1440" w:type="dxa"/>
          </w:tcPr>
          <w:p w14:paraId="0B6F048D">
            <w:pPr>
              <w:rPr>
                <w:rFonts w:ascii="宋体" w:hAnsi="宋体"/>
                <w:color w:val="auto"/>
                <w:szCs w:val="21"/>
                <w:highlight w:val="none"/>
              </w:rPr>
            </w:pPr>
          </w:p>
        </w:tc>
        <w:tc>
          <w:tcPr>
            <w:tcW w:w="1620" w:type="dxa"/>
          </w:tcPr>
          <w:p w14:paraId="5D9023E7">
            <w:pPr>
              <w:rPr>
                <w:rFonts w:ascii="宋体" w:hAnsi="宋体"/>
                <w:color w:val="auto"/>
                <w:szCs w:val="21"/>
                <w:highlight w:val="none"/>
              </w:rPr>
            </w:pPr>
          </w:p>
        </w:tc>
        <w:tc>
          <w:tcPr>
            <w:tcW w:w="1458" w:type="dxa"/>
          </w:tcPr>
          <w:p w14:paraId="7BE466E8">
            <w:pPr>
              <w:rPr>
                <w:rFonts w:ascii="宋体" w:hAnsi="宋体"/>
                <w:color w:val="auto"/>
                <w:szCs w:val="21"/>
                <w:highlight w:val="none"/>
              </w:rPr>
            </w:pPr>
          </w:p>
        </w:tc>
        <w:tc>
          <w:tcPr>
            <w:tcW w:w="1505" w:type="dxa"/>
          </w:tcPr>
          <w:p w14:paraId="482DC301">
            <w:pPr>
              <w:rPr>
                <w:rFonts w:ascii="宋体" w:hAnsi="宋体"/>
                <w:color w:val="auto"/>
                <w:szCs w:val="21"/>
                <w:highlight w:val="none"/>
              </w:rPr>
            </w:pPr>
          </w:p>
        </w:tc>
      </w:tr>
      <w:tr w14:paraId="3084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0" w:type="dxa"/>
          </w:tcPr>
          <w:p w14:paraId="529C7C7B">
            <w:pPr>
              <w:rPr>
                <w:rFonts w:ascii="宋体" w:hAnsi="宋体"/>
                <w:color w:val="auto"/>
                <w:szCs w:val="21"/>
                <w:highlight w:val="none"/>
              </w:rPr>
            </w:pPr>
          </w:p>
        </w:tc>
        <w:tc>
          <w:tcPr>
            <w:tcW w:w="1080" w:type="dxa"/>
          </w:tcPr>
          <w:p w14:paraId="7CBC5CDA">
            <w:pPr>
              <w:rPr>
                <w:rFonts w:ascii="宋体" w:hAnsi="宋体"/>
                <w:color w:val="auto"/>
                <w:szCs w:val="21"/>
                <w:highlight w:val="none"/>
              </w:rPr>
            </w:pPr>
          </w:p>
        </w:tc>
        <w:tc>
          <w:tcPr>
            <w:tcW w:w="1080" w:type="dxa"/>
          </w:tcPr>
          <w:p w14:paraId="6F12B991">
            <w:pPr>
              <w:rPr>
                <w:rFonts w:ascii="宋体" w:hAnsi="宋体"/>
                <w:color w:val="auto"/>
                <w:szCs w:val="21"/>
                <w:highlight w:val="none"/>
              </w:rPr>
            </w:pPr>
          </w:p>
        </w:tc>
        <w:tc>
          <w:tcPr>
            <w:tcW w:w="1440" w:type="dxa"/>
          </w:tcPr>
          <w:p w14:paraId="01B7BD8B">
            <w:pPr>
              <w:rPr>
                <w:rFonts w:ascii="宋体" w:hAnsi="宋体"/>
                <w:color w:val="auto"/>
                <w:szCs w:val="21"/>
                <w:highlight w:val="none"/>
              </w:rPr>
            </w:pPr>
          </w:p>
        </w:tc>
        <w:tc>
          <w:tcPr>
            <w:tcW w:w="1620" w:type="dxa"/>
          </w:tcPr>
          <w:p w14:paraId="6650F528">
            <w:pPr>
              <w:rPr>
                <w:rFonts w:ascii="宋体" w:hAnsi="宋体"/>
                <w:color w:val="auto"/>
                <w:szCs w:val="21"/>
                <w:highlight w:val="none"/>
              </w:rPr>
            </w:pPr>
          </w:p>
        </w:tc>
        <w:tc>
          <w:tcPr>
            <w:tcW w:w="1458" w:type="dxa"/>
          </w:tcPr>
          <w:p w14:paraId="77D9D358">
            <w:pPr>
              <w:rPr>
                <w:rFonts w:ascii="宋体" w:hAnsi="宋体"/>
                <w:color w:val="auto"/>
                <w:szCs w:val="21"/>
                <w:highlight w:val="none"/>
              </w:rPr>
            </w:pPr>
          </w:p>
        </w:tc>
        <w:tc>
          <w:tcPr>
            <w:tcW w:w="1505" w:type="dxa"/>
          </w:tcPr>
          <w:p w14:paraId="68AEE651">
            <w:pPr>
              <w:rPr>
                <w:rFonts w:ascii="宋体" w:hAnsi="宋体"/>
                <w:color w:val="auto"/>
                <w:szCs w:val="21"/>
                <w:highlight w:val="none"/>
              </w:rPr>
            </w:pPr>
          </w:p>
        </w:tc>
      </w:tr>
      <w:tr w14:paraId="08BD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0" w:type="dxa"/>
          </w:tcPr>
          <w:p w14:paraId="3D8C62CF">
            <w:pPr>
              <w:rPr>
                <w:rFonts w:ascii="宋体" w:hAnsi="宋体"/>
                <w:color w:val="auto"/>
                <w:szCs w:val="21"/>
                <w:highlight w:val="none"/>
              </w:rPr>
            </w:pPr>
          </w:p>
        </w:tc>
        <w:tc>
          <w:tcPr>
            <w:tcW w:w="1080" w:type="dxa"/>
          </w:tcPr>
          <w:p w14:paraId="77331796">
            <w:pPr>
              <w:rPr>
                <w:rFonts w:ascii="宋体" w:hAnsi="宋体"/>
                <w:color w:val="auto"/>
                <w:szCs w:val="21"/>
                <w:highlight w:val="none"/>
              </w:rPr>
            </w:pPr>
          </w:p>
        </w:tc>
        <w:tc>
          <w:tcPr>
            <w:tcW w:w="1080" w:type="dxa"/>
          </w:tcPr>
          <w:p w14:paraId="09120DFA">
            <w:pPr>
              <w:rPr>
                <w:rFonts w:ascii="宋体" w:hAnsi="宋体"/>
                <w:color w:val="auto"/>
                <w:szCs w:val="21"/>
                <w:highlight w:val="none"/>
              </w:rPr>
            </w:pPr>
          </w:p>
        </w:tc>
        <w:tc>
          <w:tcPr>
            <w:tcW w:w="1440" w:type="dxa"/>
          </w:tcPr>
          <w:p w14:paraId="2C0FDB80">
            <w:pPr>
              <w:rPr>
                <w:rFonts w:ascii="宋体" w:hAnsi="宋体"/>
                <w:color w:val="auto"/>
                <w:szCs w:val="21"/>
                <w:highlight w:val="none"/>
              </w:rPr>
            </w:pPr>
          </w:p>
        </w:tc>
        <w:tc>
          <w:tcPr>
            <w:tcW w:w="1620" w:type="dxa"/>
          </w:tcPr>
          <w:p w14:paraId="70304E17">
            <w:pPr>
              <w:rPr>
                <w:rFonts w:ascii="宋体" w:hAnsi="宋体"/>
                <w:color w:val="auto"/>
                <w:szCs w:val="21"/>
                <w:highlight w:val="none"/>
              </w:rPr>
            </w:pPr>
          </w:p>
        </w:tc>
        <w:tc>
          <w:tcPr>
            <w:tcW w:w="1458" w:type="dxa"/>
          </w:tcPr>
          <w:p w14:paraId="22259DEE">
            <w:pPr>
              <w:rPr>
                <w:rFonts w:ascii="宋体" w:hAnsi="宋体"/>
                <w:color w:val="auto"/>
                <w:szCs w:val="21"/>
                <w:highlight w:val="none"/>
              </w:rPr>
            </w:pPr>
          </w:p>
        </w:tc>
        <w:tc>
          <w:tcPr>
            <w:tcW w:w="1505" w:type="dxa"/>
          </w:tcPr>
          <w:p w14:paraId="3BDCE2A9">
            <w:pPr>
              <w:rPr>
                <w:rFonts w:ascii="宋体" w:hAnsi="宋体"/>
                <w:color w:val="auto"/>
                <w:szCs w:val="21"/>
                <w:highlight w:val="none"/>
              </w:rPr>
            </w:pPr>
          </w:p>
        </w:tc>
      </w:tr>
      <w:tr w14:paraId="6B6F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tcPr>
          <w:p w14:paraId="2F1B6752">
            <w:pPr>
              <w:rPr>
                <w:rFonts w:ascii="宋体" w:hAnsi="宋体"/>
                <w:color w:val="auto"/>
                <w:szCs w:val="21"/>
                <w:highlight w:val="none"/>
              </w:rPr>
            </w:pPr>
          </w:p>
        </w:tc>
        <w:tc>
          <w:tcPr>
            <w:tcW w:w="1080" w:type="dxa"/>
          </w:tcPr>
          <w:p w14:paraId="697E2875">
            <w:pPr>
              <w:rPr>
                <w:rFonts w:ascii="宋体" w:hAnsi="宋体"/>
                <w:color w:val="auto"/>
                <w:szCs w:val="21"/>
                <w:highlight w:val="none"/>
              </w:rPr>
            </w:pPr>
          </w:p>
        </w:tc>
        <w:tc>
          <w:tcPr>
            <w:tcW w:w="1080" w:type="dxa"/>
          </w:tcPr>
          <w:p w14:paraId="67D738FA">
            <w:pPr>
              <w:rPr>
                <w:rFonts w:ascii="宋体" w:hAnsi="宋体"/>
                <w:color w:val="auto"/>
                <w:szCs w:val="21"/>
                <w:highlight w:val="none"/>
              </w:rPr>
            </w:pPr>
          </w:p>
        </w:tc>
        <w:tc>
          <w:tcPr>
            <w:tcW w:w="1440" w:type="dxa"/>
          </w:tcPr>
          <w:p w14:paraId="09D628E5">
            <w:pPr>
              <w:rPr>
                <w:rFonts w:ascii="宋体" w:hAnsi="宋体"/>
                <w:color w:val="auto"/>
                <w:szCs w:val="21"/>
                <w:highlight w:val="none"/>
              </w:rPr>
            </w:pPr>
          </w:p>
        </w:tc>
        <w:tc>
          <w:tcPr>
            <w:tcW w:w="1620" w:type="dxa"/>
          </w:tcPr>
          <w:p w14:paraId="3C5836EE">
            <w:pPr>
              <w:rPr>
                <w:rFonts w:ascii="宋体" w:hAnsi="宋体"/>
                <w:color w:val="auto"/>
                <w:szCs w:val="21"/>
                <w:highlight w:val="none"/>
              </w:rPr>
            </w:pPr>
          </w:p>
        </w:tc>
        <w:tc>
          <w:tcPr>
            <w:tcW w:w="1458" w:type="dxa"/>
          </w:tcPr>
          <w:p w14:paraId="1A1A19BE">
            <w:pPr>
              <w:rPr>
                <w:rFonts w:ascii="宋体" w:hAnsi="宋体"/>
                <w:color w:val="auto"/>
                <w:szCs w:val="21"/>
                <w:highlight w:val="none"/>
              </w:rPr>
            </w:pPr>
          </w:p>
        </w:tc>
        <w:tc>
          <w:tcPr>
            <w:tcW w:w="1505" w:type="dxa"/>
          </w:tcPr>
          <w:p w14:paraId="4C134FE6">
            <w:pPr>
              <w:rPr>
                <w:rFonts w:ascii="宋体" w:hAnsi="宋体"/>
                <w:color w:val="auto"/>
                <w:szCs w:val="21"/>
                <w:highlight w:val="none"/>
              </w:rPr>
            </w:pPr>
          </w:p>
        </w:tc>
      </w:tr>
      <w:tr w14:paraId="3AA6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0" w:type="dxa"/>
          </w:tcPr>
          <w:p w14:paraId="572D14AD">
            <w:pPr>
              <w:rPr>
                <w:rFonts w:ascii="宋体" w:hAnsi="宋体"/>
                <w:color w:val="auto"/>
                <w:szCs w:val="21"/>
                <w:highlight w:val="none"/>
              </w:rPr>
            </w:pPr>
          </w:p>
        </w:tc>
        <w:tc>
          <w:tcPr>
            <w:tcW w:w="1080" w:type="dxa"/>
          </w:tcPr>
          <w:p w14:paraId="1C24CA9E">
            <w:pPr>
              <w:rPr>
                <w:rFonts w:ascii="宋体" w:hAnsi="宋体"/>
                <w:color w:val="auto"/>
                <w:szCs w:val="21"/>
                <w:highlight w:val="none"/>
              </w:rPr>
            </w:pPr>
          </w:p>
        </w:tc>
        <w:tc>
          <w:tcPr>
            <w:tcW w:w="1080" w:type="dxa"/>
          </w:tcPr>
          <w:p w14:paraId="5CF17E78">
            <w:pPr>
              <w:rPr>
                <w:rFonts w:ascii="宋体" w:hAnsi="宋体"/>
                <w:color w:val="auto"/>
                <w:szCs w:val="21"/>
                <w:highlight w:val="none"/>
              </w:rPr>
            </w:pPr>
          </w:p>
        </w:tc>
        <w:tc>
          <w:tcPr>
            <w:tcW w:w="1440" w:type="dxa"/>
          </w:tcPr>
          <w:p w14:paraId="427F9636">
            <w:pPr>
              <w:rPr>
                <w:rFonts w:ascii="宋体" w:hAnsi="宋体"/>
                <w:color w:val="auto"/>
                <w:szCs w:val="21"/>
                <w:highlight w:val="none"/>
              </w:rPr>
            </w:pPr>
          </w:p>
        </w:tc>
        <w:tc>
          <w:tcPr>
            <w:tcW w:w="1620" w:type="dxa"/>
          </w:tcPr>
          <w:p w14:paraId="3E107804">
            <w:pPr>
              <w:rPr>
                <w:rFonts w:ascii="宋体" w:hAnsi="宋体"/>
                <w:color w:val="auto"/>
                <w:szCs w:val="21"/>
                <w:highlight w:val="none"/>
              </w:rPr>
            </w:pPr>
          </w:p>
        </w:tc>
        <w:tc>
          <w:tcPr>
            <w:tcW w:w="1458" w:type="dxa"/>
          </w:tcPr>
          <w:p w14:paraId="701C5457">
            <w:pPr>
              <w:rPr>
                <w:rFonts w:ascii="宋体" w:hAnsi="宋体"/>
                <w:color w:val="auto"/>
                <w:szCs w:val="21"/>
                <w:highlight w:val="none"/>
              </w:rPr>
            </w:pPr>
          </w:p>
        </w:tc>
        <w:tc>
          <w:tcPr>
            <w:tcW w:w="1505" w:type="dxa"/>
          </w:tcPr>
          <w:p w14:paraId="04B66705">
            <w:pPr>
              <w:rPr>
                <w:rFonts w:ascii="宋体" w:hAnsi="宋体"/>
                <w:color w:val="auto"/>
                <w:szCs w:val="21"/>
                <w:highlight w:val="none"/>
              </w:rPr>
            </w:pPr>
          </w:p>
        </w:tc>
      </w:tr>
      <w:tr w14:paraId="449D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0" w:type="dxa"/>
          </w:tcPr>
          <w:p w14:paraId="6A51BCA3">
            <w:pPr>
              <w:rPr>
                <w:rFonts w:ascii="宋体" w:hAnsi="宋体"/>
                <w:color w:val="auto"/>
                <w:szCs w:val="21"/>
                <w:highlight w:val="none"/>
              </w:rPr>
            </w:pPr>
          </w:p>
        </w:tc>
        <w:tc>
          <w:tcPr>
            <w:tcW w:w="1080" w:type="dxa"/>
          </w:tcPr>
          <w:p w14:paraId="099FB9D9">
            <w:pPr>
              <w:rPr>
                <w:rFonts w:ascii="宋体" w:hAnsi="宋体"/>
                <w:color w:val="auto"/>
                <w:szCs w:val="21"/>
                <w:highlight w:val="none"/>
              </w:rPr>
            </w:pPr>
          </w:p>
        </w:tc>
        <w:tc>
          <w:tcPr>
            <w:tcW w:w="1080" w:type="dxa"/>
          </w:tcPr>
          <w:p w14:paraId="20F559A2">
            <w:pPr>
              <w:rPr>
                <w:rFonts w:ascii="宋体" w:hAnsi="宋体"/>
                <w:color w:val="auto"/>
                <w:szCs w:val="21"/>
                <w:highlight w:val="none"/>
              </w:rPr>
            </w:pPr>
          </w:p>
        </w:tc>
        <w:tc>
          <w:tcPr>
            <w:tcW w:w="1440" w:type="dxa"/>
          </w:tcPr>
          <w:p w14:paraId="4C4CDDC8">
            <w:pPr>
              <w:rPr>
                <w:rFonts w:ascii="宋体" w:hAnsi="宋体"/>
                <w:color w:val="auto"/>
                <w:szCs w:val="21"/>
                <w:highlight w:val="none"/>
              </w:rPr>
            </w:pPr>
          </w:p>
        </w:tc>
        <w:tc>
          <w:tcPr>
            <w:tcW w:w="1620" w:type="dxa"/>
          </w:tcPr>
          <w:p w14:paraId="02B05903">
            <w:pPr>
              <w:rPr>
                <w:rFonts w:ascii="宋体" w:hAnsi="宋体"/>
                <w:color w:val="auto"/>
                <w:szCs w:val="21"/>
                <w:highlight w:val="none"/>
              </w:rPr>
            </w:pPr>
          </w:p>
        </w:tc>
        <w:tc>
          <w:tcPr>
            <w:tcW w:w="1458" w:type="dxa"/>
          </w:tcPr>
          <w:p w14:paraId="150B268A">
            <w:pPr>
              <w:rPr>
                <w:rFonts w:ascii="宋体" w:hAnsi="宋体"/>
                <w:color w:val="auto"/>
                <w:szCs w:val="21"/>
                <w:highlight w:val="none"/>
              </w:rPr>
            </w:pPr>
          </w:p>
        </w:tc>
        <w:tc>
          <w:tcPr>
            <w:tcW w:w="1505" w:type="dxa"/>
          </w:tcPr>
          <w:p w14:paraId="494BE78B">
            <w:pPr>
              <w:rPr>
                <w:rFonts w:ascii="宋体" w:hAnsi="宋体"/>
                <w:color w:val="auto"/>
                <w:szCs w:val="21"/>
                <w:highlight w:val="none"/>
              </w:rPr>
            </w:pPr>
          </w:p>
        </w:tc>
      </w:tr>
      <w:tr w14:paraId="17F7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0" w:type="dxa"/>
          </w:tcPr>
          <w:p w14:paraId="2CE95EFE">
            <w:pPr>
              <w:rPr>
                <w:rFonts w:ascii="宋体" w:hAnsi="宋体"/>
                <w:color w:val="auto"/>
                <w:szCs w:val="21"/>
                <w:highlight w:val="none"/>
              </w:rPr>
            </w:pPr>
          </w:p>
        </w:tc>
        <w:tc>
          <w:tcPr>
            <w:tcW w:w="1080" w:type="dxa"/>
          </w:tcPr>
          <w:p w14:paraId="2D34A89D">
            <w:pPr>
              <w:rPr>
                <w:rFonts w:ascii="宋体" w:hAnsi="宋体"/>
                <w:color w:val="auto"/>
                <w:szCs w:val="21"/>
                <w:highlight w:val="none"/>
              </w:rPr>
            </w:pPr>
          </w:p>
        </w:tc>
        <w:tc>
          <w:tcPr>
            <w:tcW w:w="1080" w:type="dxa"/>
          </w:tcPr>
          <w:p w14:paraId="405494BE">
            <w:pPr>
              <w:rPr>
                <w:rFonts w:ascii="宋体" w:hAnsi="宋体"/>
                <w:color w:val="auto"/>
                <w:szCs w:val="21"/>
                <w:highlight w:val="none"/>
              </w:rPr>
            </w:pPr>
          </w:p>
        </w:tc>
        <w:tc>
          <w:tcPr>
            <w:tcW w:w="1440" w:type="dxa"/>
          </w:tcPr>
          <w:p w14:paraId="2DB55958">
            <w:pPr>
              <w:rPr>
                <w:rFonts w:ascii="宋体" w:hAnsi="宋体"/>
                <w:color w:val="auto"/>
                <w:szCs w:val="21"/>
                <w:highlight w:val="none"/>
              </w:rPr>
            </w:pPr>
          </w:p>
        </w:tc>
        <w:tc>
          <w:tcPr>
            <w:tcW w:w="1620" w:type="dxa"/>
          </w:tcPr>
          <w:p w14:paraId="12E5DB6B">
            <w:pPr>
              <w:rPr>
                <w:rFonts w:ascii="宋体" w:hAnsi="宋体"/>
                <w:color w:val="auto"/>
                <w:szCs w:val="21"/>
                <w:highlight w:val="none"/>
              </w:rPr>
            </w:pPr>
          </w:p>
        </w:tc>
        <w:tc>
          <w:tcPr>
            <w:tcW w:w="1458" w:type="dxa"/>
          </w:tcPr>
          <w:p w14:paraId="38F50C8F">
            <w:pPr>
              <w:rPr>
                <w:rFonts w:ascii="宋体" w:hAnsi="宋体"/>
                <w:color w:val="auto"/>
                <w:szCs w:val="21"/>
                <w:highlight w:val="none"/>
              </w:rPr>
            </w:pPr>
          </w:p>
        </w:tc>
        <w:tc>
          <w:tcPr>
            <w:tcW w:w="1505" w:type="dxa"/>
          </w:tcPr>
          <w:p w14:paraId="1022A1F9">
            <w:pPr>
              <w:rPr>
                <w:rFonts w:ascii="宋体" w:hAnsi="宋体"/>
                <w:color w:val="auto"/>
                <w:szCs w:val="21"/>
                <w:highlight w:val="none"/>
              </w:rPr>
            </w:pPr>
          </w:p>
        </w:tc>
      </w:tr>
      <w:tr w14:paraId="0BCE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0" w:type="dxa"/>
          </w:tcPr>
          <w:p w14:paraId="207D96A7">
            <w:pPr>
              <w:rPr>
                <w:rFonts w:ascii="宋体" w:hAnsi="宋体"/>
                <w:color w:val="auto"/>
                <w:szCs w:val="21"/>
                <w:highlight w:val="none"/>
              </w:rPr>
            </w:pPr>
          </w:p>
        </w:tc>
        <w:tc>
          <w:tcPr>
            <w:tcW w:w="1080" w:type="dxa"/>
          </w:tcPr>
          <w:p w14:paraId="738BE0C9">
            <w:pPr>
              <w:rPr>
                <w:rFonts w:ascii="宋体" w:hAnsi="宋体"/>
                <w:color w:val="auto"/>
                <w:szCs w:val="21"/>
                <w:highlight w:val="none"/>
              </w:rPr>
            </w:pPr>
          </w:p>
        </w:tc>
        <w:tc>
          <w:tcPr>
            <w:tcW w:w="1080" w:type="dxa"/>
          </w:tcPr>
          <w:p w14:paraId="1E7EBF70">
            <w:pPr>
              <w:rPr>
                <w:rFonts w:ascii="宋体" w:hAnsi="宋体"/>
                <w:color w:val="auto"/>
                <w:szCs w:val="21"/>
                <w:highlight w:val="none"/>
              </w:rPr>
            </w:pPr>
          </w:p>
        </w:tc>
        <w:tc>
          <w:tcPr>
            <w:tcW w:w="1440" w:type="dxa"/>
          </w:tcPr>
          <w:p w14:paraId="1106DABD">
            <w:pPr>
              <w:rPr>
                <w:rFonts w:ascii="宋体" w:hAnsi="宋体"/>
                <w:color w:val="auto"/>
                <w:szCs w:val="21"/>
                <w:highlight w:val="none"/>
              </w:rPr>
            </w:pPr>
          </w:p>
        </w:tc>
        <w:tc>
          <w:tcPr>
            <w:tcW w:w="1620" w:type="dxa"/>
          </w:tcPr>
          <w:p w14:paraId="3A01388D">
            <w:pPr>
              <w:rPr>
                <w:rFonts w:ascii="宋体" w:hAnsi="宋体"/>
                <w:color w:val="auto"/>
                <w:szCs w:val="21"/>
                <w:highlight w:val="none"/>
              </w:rPr>
            </w:pPr>
          </w:p>
        </w:tc>
        <w:tc>
          <w:tcPr>
            <w:tcW w:w="1458" w:type="dxa"/>
          </w:tcPr>
          <w:p w14:paraId="31DBCF0C">
            <w:pPr>
              <w:rPr>
                <w:rFonts w:ascii="宋体" w:hAnsi="宋体"/>
                <w:color w:val="auto"/>
                <w:szCs w:val="21"/>
                <w:highlight w:val="none"/>
              </w:rPr>
            </w:pPr>
          </w:p>
        </w:tc>
        <w:tc>
          <w:tcPr>
            <w:tcW w:w="1505" w:type="dxa"/>
          </w:tcPr>
          <w:p w14:paraId="1FB58E09">
            <w:pPr>
              <w:rPr>
                <w:rFonts w:ascii="宋体" w:hAnsi="宋体"/>
                <w:color w:val="auto"/>
                <w:szCs w:val="21"/>
                <w:highlight w:val="none"/>
              </w:rPr>
            </w:pPr>
          </w:p>
        </w:tc>
      </w:tr>
    </w:tbl>
    <w:p w14:paraId="1A80E4E5">
      <w:pPr>
        <w:rPr>
          <w:rFonts w:ascii="宋体" w:hAnsi="宋体"/>
          <w:color w:val="auto"/>
          <w:sz w:val="24"/>
          <w:szCs w:val="20"/>
          <w:highlight w:val="none"/>
        </w:rPr>
      </w:pPr>
      <w:r>
        <w:rPr>
          <w:rFonts w:hint="eastAsia" w:ascii="宋体" w:hAnsi="宋体"/>
          <w:color w:val="auto"/>
          <w:szCs w:val="21"/>
          <w:highlight w:val="none"/>
        </w:rPr>
        <w:t>注：本表后附各人员</w:t>
      </w:r>
      <w:r>
        <w:rPr>
          <w:rFonts w:hint="eastAsia"/>
          <w:color w:val="auto"/>
          <w:szCs w:val="21"/>
          <w:highlight w:val="none"/>
        </w:rPr>
        <w:t>相关资料</w:t>
      </w:r>
      <w:r>
        <w:rPr>
          <w:rFonts w:hint="eastAsia" w:ascii="宋体" w:hAnsi="宋体"/>
          <w:color w:val="auto"/>
          <w:szCs w:val="21"/>
          <w:highlight w:val="none"/>
        </w:rPr>
        <w:t>复印件。</w:t>
      </w:r>
    </w:p>
    <w:p w14:paraId="45E406D7">
      <w:pPr>
        <w:snapToGrid w:val="0"/>
        <w:spacing w:line="360" w:lineRule="auto"/>
        <w:ind w:firstLine="480"/>
        <w:rPr>
          <w:rFonts w:ascii="宋体" w:hAnsi="宋体"/>
          <w:color w:val="auto"/>
          <w:sz w:val="24"/>
          <w:highlight w:val="none"/>
        </w:rPr>
      </w:pPr>
    </w:p>
    <w:p w14:paraId="24A1F0D5">
      <w:pPr>
        <w:snapToGrid w:val="0"/>
        <w:spacing w:line="360" w:lineRule="auto"/>
        <w:rPr>
          <w:rFonts w:ascii="宋体" w:hAnsi="宋体"/>
          <w:color w:val="auto"/>
          <w:sz w:val="24"/>
          <w:highlight w:val="none"/>
        </w:rPr>
      </w:pPr>
      <w:r>
        <w:rPr>
          <w:rFonts w:hint="eastAsia" w:ascii="宋体" w:hAnsi="宋体"/>
          <w:color w:val="auto"/>
          <w:sz w:val="24"/>
          <w:highlight w:val="none"/>
        </w:rPr>
        <w:t>法定代表人或授权委托人签名：</w:t>
      </w:r>
      <w:r>
        <w:rPr>
          <w:rFonts w:hint="eastAsia" w:ascii="宋体" w:hAnsi="宋体"/>
          <w:color w:val="auto"/>
          <w:spacing w:val="20"/>
          <w:sz w:val="24"/>
          <w:highlight w:val="none"/>
          <w:u w:val="single"/>
        </w:rPr>
        <w:t xml:space="preserve">            </w:t>
      </w:r>
    </w:p>
    <w:p w14:paraId="535F7B12">
      <w:pPr>
        <w:snapToGrid w:val="0"/>
        <w:spacing w:line="360" w:lineRule="auto"/>
        <w:jc w:val="left"/>
        <w:rPr>
          <w:rFonts w:ascii="宋体" w:hAnsi="宋体"/>
          <w:color w:val="auto"/>
          <w:spacing w:val="20"/>
          <w:sz w:val="24"/>
          <w:highlight w:val="none"/>
        </w:rPr>
      </w:pPr>
      <w:r>
        <w:rPr>
          <w:rFonts w:hint="eastAsia" w:ascii="宋体" w:hAnsi="宋体"/>
          <w:color w:val="auto"/>
          <w:spacing w:val="20"/>
          <w:sz w:val="24"/>
          <w:highlight w:val="none"/>
        </w:rPr>
        <w:t>供应商全称（盖章）：</w:t>
      </w:r>
      <w:r>
        <w:rPr>
          <w:rFonts w:hint="eastAsia" w:ascii="宋体" w:hAnsi="宋体"/>
          <w:color w:val="auto"/>
          <w:spacing w:val="20"/>
          <w:sz w:val="24"/>
          <w:highlight w:val="none"/>
          <w:u w:val="single"/>
        </w:rPr>
        <w:t xml:space="preserve">                    </w:t>
      </w:r>
    </w:p>
    <w:p w14:paraId="273A937B">
      <w:pPr>
        <w:snapToGrid w:val="0"/>
        <w:spacing w:line="360" w:lineRule="auto"/>
        <w:jc w:val="left"/>
        <w:rPr>
          <w:rFonts w:ascii="宋体" w:hAnsi="宋体"/>
          <w:color w:val="auto"/>
          <w:spacing w:val="20"/>
          <w:sz w:val="24"/>
          <w:highlight w:val="none"/>
          <w:u w:val="singl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3EF3DFCC">
      <w:pPr>
        <w:snapToGrid w:val="0"/>
        <w:ind w:firstLine="470" w:firstLineChars="196"/>
        <w:jc w:val="left"/>
        <w:rPr>
          <w:rFonts w:ascii="宋体" w:hAnsi="宋体"/>
          <w:color w:val="auto"/>
          <w:sz w:val="24"/>
          <w:highlight w:val="none"/>
        </w:rPr>
      </w:pPr>
    </w:p>
    <w:p w14:paraId="65DF17F0">
      <w:pPr>
        <w:rPr>
          <w:rFonts w:ascii="宋体" w:hAnsi="宋体" w:cs="宋体"/>
          <w:b/>
          <w:bCs/>
          <w:color w:val="auto"/>
          <w:sz w:val="24"/>
          <w:szCs w:val="32"/>
          <w:highlight w:val="none"/>
        </w:rPr>
      </w:pPr>
    </w:p>
    <w:bookmarkEnd w:id="111"/>
    <w:p w14:paraId="0635A22D">
      <w:pPr>
        <w:widowControl/>
        <w:spacing w:line="560" w:lineRule="exact"/>
        <w:ind w:firstLine="4080" w:firstLineChars="1700"/>
        <w:rPr>
          <w:rFonts w:ascii="宋体" w:hAnsi="宋体"/>
          <w:color w:val="auto"/>
          <w:sz w:val="24"/>
          <w:highlight w:val="none"/>
        </w:rPr>
      </w:pPr>
    </w:p>
    <w:p w14:paraId="7EEEFFDF">
      <w:pPr>
        <w:pStyle w:val="3"/>
        <w:keepNext w:val="0"/>
        <w:keepLines w:val="0"/>
        <w:pageBreakBefore/>
        <w:spacing w:line="415" w:lineRule="auto"/>
        <w:rPr>
          <w:rFonts w:hint="eastAsia" w:ascii="宋体" w:hAnsi="宋体" w:eastAsia="宋体" w:cs="宋体"/>
          <w:b w:val="0"/>
          <w:bCs w:val="0"/>
          <w:color w:val="auto"/>
          <w:sz w:val="24"/>
          <w:szCs w:val="24"/>
          <w:highlight w:val="none"/>
        </w:rPr>
      </w:pPr>
      <w:bookmarkStart w:id="121" w:name="_Toc10587"/>
      <w:bookmarkStart w:id="122" w:name="_Toc285"/>
      <w:bookmarkStart w:id="123" w:name="_Toc12866"/>
      <w:r>
        <w:rPr>
          <w:rFonts w:hint="eastAsia" w:ascii="宋体" w:hAnsi="宋体" w:eastAsia="宋体" w:cs="宋体"/>
          <w:b w:val="0"/>
          <w:bCs w:val="0"/>
          <w:color w:val="auto"/>
          <w:sz w:val="24"/>
          <w:szCs w:val="24"/>
          <w:highlight w:val="none"/>
        </w:rPr>
        <w:t>附件十</w:t>
      </w:r>
      <w:r>
        <w:rPr>
          <w:rFonts w:hint="eastAsia" w:ascii="宋体" w:hAnsi="宋体" w:eastAsia="宋体" w:cs="宋体"/>
          <w:b w:val="0"/>
          <w:bCs w:val="0"/>
          <w:color w:val="auto"/>
          <w:sz w:val="24"/>
          <w:szCs w:val="24"/>
          <w:highlight w:val="none"/>
          <w:lang w:val="en-US" w:eastAsia="zh-CN"/>
        </w:rPr>
        <w:t>五</w:t>
      </w:r>
      <w:r>
        <w:rPr>
          <w:rFonts w:hint="eastAsia" w:ascii="宋体" w:hAnsi="宋体" w:eastAsia="宋体" w:cs="宋体"/>
          <w:b w:val="0"/>
          <w:bCs w:val="0"/>
          <w:color w:val="auto"/>
          <w:sz w:val="24"/>
          <w:szCs w:val="24"/>
          <w:highlight w:val="none"/>
        </w:rPr>
        <w:t>：同类项目业绩</w:t>
      </w:r>
      <w:bookmarkEnd w:id="121"/>
      <w:bookmarkEnd w:id="122"/>
      <w:bookmarkEnd w:id="123"/>
    </w:p>
    <w:p w14:paraId="70C5C205">
      <w:pPr>
        <w:widowControl/>
        <w:jc w:val="left"/>
        <w:rPr>
          <w:rFonts w:ascii="宋体" w:hAnsi="宋体" w:cs="宋体"/>
          <w:color w:val="auto"/>
          <w:kern w:val="0"/>
          <w:sz w:val="24"/>
          <w:szCs w:val="20"/>
          <w:highlight w:val="none"/>
        </w:rPr>
      </w:pPr>
    </w:p>
    <w:p w14:paraId="52F2B759">
      <w:pPr>
        <w:widowControl/>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同类项目业绩</w:t>
      </w:r>
    </w:p>
    <w:p w14:paraId="6698CE22">
      <w:pPr>
        <w:outlineLvl w:val="9"/>
        <w:rPr>
          <w:color w:val="auto"/>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312"/>
        <w:gridCol w:w="1312"/>
        <w:gridCol w:w="1312"/>
        <w:gridCol w:w="1312"/>
        <w:gridCol w:w="1312"/>
        <w:gridCol w:w="1313"/>
      </w:tblGrid>
      <w:tr w14:paraId="49B6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312" w:type="dxa"/>
            <w:vAlign w:val="center"/>
          </w:tcPr>
          <w:p w14:paraId="74E115FA">
            <w:pPr>
              <w:jc w:val="center"/>
              <w:rPr>
                <w:rFonts w:ascii="宋体" w:hAnsi="宋体" w:cs="宋体"/>
                <w:color w:val="auto"/>
                <w:sz w:val="24"/>
                <w:highlight w:val="none"/>
                <w:lang w:val="zh-CN"/>
              </w:rPr>
            </w:pPr>
            <w:r>
              <w:rPr>
                <w:rFonts w:hint="eastAsia" w:ascii="宋体" w:hAnsi="宋体" w:cs="宋体"/>
                <w:color w:val="auto"/>
                <w:sz w:val="24"/>
                <w:highlight w:val="none"/>
                <w:lang w:val="zh-CN"/>
              </w:rPr>
              <w:t>项目名称</w:t>
            </w:r>
          </w:p>
        </w:tc>
        <w:tc>
          <w:tcPr>
            <w:tcW w:w="1312" w:type="dxa"/>
            <w:vAlign w:val="center"/>
          </w:tcPr>
          <w:p w14:paraId="53F45D01">
            <w:pPr>
              <w:jc w:val="center"/>
              <w:rPr>
                <w:rFonts w:ascii="宋体" w:hAnsi="宋体" w:cs="宋体"/>
                <w:color w:val="auto"/>
                <w:sz w:val="24"/>
                <w:highlight w:val="none"/>
                <w:lang w:val="zh-CN"/>
              </w:rPr>
            </w:pPr>
            <w:r>
              <w:rPr>
                <w:rFonts w:hint="eastAsia" w:ascii="宋体" w:hAnsi="宋体" w:cs="宋体"/>
                <w:color w:val="auto"/>
                <w:sz w:val="24"/>
                <w:highlight w:val="none"/>
                <w:lang w:val="zh-CN"/>
              </w:rPr>
              <w:t>项目</w:t>
            </w:r>
          </w:p>
          <w:p w14:paraId="1C50C4EF">
            <w:pPr>
              <w:jc w:val="center"/>
              <w:rPr>
                <w:rFonts w:ascii="宋体" w:hAnsi="宋体" w:cs="宋体"/>
                <w:color w:val="auto"/>
                <w:sz w:val="24"/>
                <w:highlight w:val="none"/>
                <w:lang w:val="zh-CN"/>
              </w:rPr>
            </w:pPr>
            <w:r>
              <w:rPr>
                <w:rFonts w:hint="eastAsia" w:ascii="宋体" w:hAnsi="宋体" w:cs="宋体"/>
                <w:color w:val="auto"/>
                <w:sz w:val="24"/>
                <w:highlight w:val="none"/>
                <w:lang w:val="zh-CN"/>
              </w:rPr>
              <w:t>类型</w:t>
            </w:r>
          </w:p>
        </w:tc>
        <w:tc>
          <w:tcPr>
            <w:tcW w:w="1312" w:type="dxa"/>
            <w:vAlign w:val="center"/>
          </w:tcPr>
          <w:p w14:paraId="46DEDD50">
            <w:pPr>
              <w:jc w:val="center"/>
              <w:rPr>
                <w:rFonts w:ascii="宋体" w:hAnsi="宋体" w:cs="宋体"/>
                <w:color w:val="auto"/>
                <w:sz w:val="24"/>
                <w:highlight w:val="none"/>
                <w:lang w:val="zh-CN"/>
              </w:rPr>
            </w:pPr>
            <w:r>
              <w:rPr>
                <w:rFonts w:hint="eastAsia" w:ascii="宋体" w:hAnsi="宋体" w:cs="宋体"/>
                <w:color w:val="auto"/>
                <w:sz w:val="24"/>
                <w:highlight w:val="none"/>
                <w:lang w:val="zh-CN"/>
              </w:rPr>
              <w:t>简要描述</w:t>
            </w:r>
          </w:p>
        </w:tc>
        <w:tc>
          <w:tcPr>
            <w:tcW w:w="1312" w:type="dxa"/>
            <w:vAlign w:val="center"/>
          </w:tcPr>
          <w:p w14:paraId="08017E85">
            <w:pPr>
              <w:jc w:val="center"/>
              <w:rPr>
                <w:rFonts w:ascii="宋体" w:hAnsi="宋体" w:cs="宋体"/>
                <w:color w:val="auto"/>
                <w:sz w:val="24"/>
                <w:highlight w:val="none"/>
                <w:lang w:val="zh-CN"/>
              </w:rPr>
            </w:pPr>
            <w:r>
              <w:rPr>
                <w:rFonts w:hint="eastAsia" w:ascii="宋体" w:hAnsi="宋体" w:cs="宋体"/>
                <w:color w:val="auto"/>
                <w:sz w:val="24"/>
                <w:highlight w:val="none"/>
                <w:lang w:val="zh-CN"/>
              </w:rPr>
              <w:t>项目</w:t>
            </w:r>
          </w:p>
          <w:p w14:paraId="5BCBCC15">
            <w:pPr>
              <w:jc w:val="center"/>
              <w:rPr>
                <w:rFonts w:ascii="宋体" w:hAnsi="宋体" w:cs="宋体"/>
                <w:color w:val="auto"/>
                <w:sz w:val="24"/>
                <w:highlight w:val="none"/>
                <w:lang w:val="zh-CN"/>
              </w:rPr>
            </w:pPr>
            <w:r>
              <w:rPr>
                <w:rFonts w:hint="eastAsia" w:ascii="宋体" w:hAnsi="宋体" w:cs="宋体"/>
                <w:color w:val="auto"/>
                <w:sz w:val="24"/>
                <w:highlight w:val="none"/>
                <w:lang w:val="zh-CN"/>
              </w:rPr>
              <w:t>金额</w:t>
            </w:r>
          </w:p>
          <w:p w14:paraId="08D1871F">
            <w:pPr>
              <w:jc w:val="center"/>
              <w:rPr>
                <w:rFonts w:ascii="宋体" w:hAnsi="宋体" w:cs="宋体"/>
                <w:color w:val="auto"/>
                <w:sz w:val="24"/>
                <w:highlight w:val="none"/>
                <w:lang w:val="zh-CN"/>
              </w:rPr>
            </w:pPr>
            <w:r>
              <w:rPr>
                <w:rFonts w:hint="eastAsia" w:ascii="宋体" w:hAnsi="宋体" w:cs="宋体"/>
                <w:color w:val="auto"/>
                <w:sz w:val="24"/>
                <w:highlight w:val="none"/>
                <w:lang w:val="zh-CN"/>
              </w:rPr>
              <w:t>（万元）</w:t>
            </w:r>
          </w:p>
        </w:tc>
        <w:tc>
          <w:tcPr>
            <w:tcW w:w="1312" w:type="dxa"/>
            <w:vAlign w:val="center"/>
          </w:tcPr>
          <w:p w14:paraId="3B2C81DA">
            <w:pPr>
              <w:jc w:val="center"/>
              <w:rPr>
                <w:rFonts w:ascii="宋体" w:hAnsi="宋体" w:cs="宋体"/>
                <w:color w:val="auto"/>
                <w:sz w:val="24"/>
                <w:highlight w:val="none"/>
                <w:lang w:val="zh-CN"/>
              </w:rPr>
            </w:pPr>
            <w:r>
              <w:rPr>
                <w:rFonts w:hint="eastAsia" w:ascii="宋体" w:hAnsi="宋体" w:cs="宋体"/>
                <w:color w:val="auto"/>
                <w:sz w:val="24"/>
                <w:highlight w:val="none"/>
                <w:lang w:val="zh-CN"/>
              </w:rPr>
              <w:t>实施时间</w:t>
            </w:r>
          </w:p>
        </w:tc>
        <w:tc>
          <w:tcPr>
            <w:tcW w:w="1312" w:type="dxa"/>
            <w:vAlign w:val="center"/>
          </w:tcPr>
          <w:p w14:paraId="030AD013">
            <w:pPr>
              <w:jc w:val="center"/>
              <w:rPr>
                <w:rFonts w:ascii="宋体" w:hAnsi="宋体" w:cs="宋体"/>
                <w:color w:val="auto"/>
                <w:sz w:val="24"/>
                <w:highlight w:val="none"/>
                <w:lang w:val="zh-CN"/>
              </w:rPr>
            </w:pPr>
            <w:r>
              <w:rPr>
                <w:rFonts w:hint="eastAsia" w:ascii="宋体" w:hAnsi="宋体" w:cs="宋体"/>
                <w:color w:val="auto"/>
                <w:sz w:val="24"/>
                <w:highlight w:val="none"/>
                <w:lang w:val="zh-CN"/>
              </w:rPr>
              <w:t>项目单位、联系人及电话</w:t>
            </w:r>
          </w:p>
        </w:tc>
        <w:tc>
          <w:tcPr>
            <w:tcW w:w="1313" w:type="dxa"/>
            <w:vAlign w:val="center"/>
          </w:tcPr>
          <w:p w14:paraId="4F318134">
            <w:pPr>
              <w:jc w:val="center"/>
              <w:rPr>
                <w:rFonts w:ascii="宋体" w:hAnsi="宋体" w:cs="宋体"/>
                <w:color w:val="auto"/>
                <w:sz w:val="24"/>
                <w:highlight w:val="none"/>
                <w:lang w:val="zh-CN"/>
              </w:rPr>
            </w:pPr>
            <w:r>
              <w:rPr>
                <w:rFonts w:hint="eastAsia" w:ascii="宋体" w:hAnsi="宋体" w:cs="宋体"/>
                <w:color w:val="auto"/>
                <w:sz w:val="24"/>
                <w:highlight w:val="none"/>
                <w:lang w:val="zh-CN"/>
              </w:rPr>
              <w:t>项目完成情况</w:t>
            </w:r>
          </w:p>
        </w:tc>
      </w:tr>
      <w:tr w14:paraId="6D17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312" w:type="dxa"/>
            <w:vAlign w:val="center"/>
          </w:tcPr>
          <w:p w14:paraId="72885C1F">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3D6F956D">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3ACAF783">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311260C4">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7E2752AF">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56ABA5E2">
            <w:pPr>
              <w:autoSpaceDE w:val="0"/>
              <w:autoSpaceDN w:val="0"/>
              <w:adjustRightInd w:val="0"/>
              <w:spacing w:line="360" w:lineRule="auto"/>
              <w:jc w:val="center"/>
              <w:rPr>
                <w:rFonts w:ascii="宋体" w:hAnsi="宋体" w:cs="宋体"/>
                <w:color w:val="auto"/>
                <w:sz w:val="24"/>
                <w:highlight w:val="none"/>
                <w:lang w:val="zh-CN"/>
              </w:rPr>
            </w:pPr>
          </w:p>
        </w:tc>
        <w:tc>
          <w:tcPr>
            <w:tcW w:w="1313" w:type="dxa"/>
            <w:vAlign w:val="center"/>
          </w:tcPr>
          <w:p w14:paraId="3781F46C">
            <w:pPr>
              <w:autoSpaceDE w:val="0"/>
              <w:autoSpaceDN w:val="0"/>
              <w:adjustRightInd w:val="0"/>
              <w:spacing w:line="360" w:lineRule="auto"/>
              <w:jc w:val="center"/>
              <w:rPr>
                <w:rFonts w:ascii="宋体" w:hAnsi="宋体" w:cs="宋体"/>
                <w:color w:val="auto"/>
                <w:sz w:val="24"/>
                <w:highlight w:val="none"/>
                <w:lang w:val="zh-CN"/>
              </w:rPr>
            </w:pPr>
          </w:p>
        </w:tc>
      </w:tr>
      <w:tr w14:paraId="6CCA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312" w:type="dxa"/>
            <w:vAlign w:val="center"/>
          </w:tcPr>
          <w:p w14:paraId="3CA8A844">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100CE25C">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6255FAD4">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3F87E15B">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163DDFE8">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2254C222">
            <w:pPr>
              <w:autoSpaceDE w:val="0"/>
              <w:autoSpaceDN w:val="0"/>
              <w:adjustRightInd w:val="0"/>
              <w:spacing w:line="360" w:lineRule="auto"/>
              <w:jc w:val="center"/>
              <w:rPr>
                <w:rFonts w:ascii="宋体" w:hAnsi="宋体" w:cs="宋体"/>
                <w:color w:val="auto"/>
                <w:sz w:val="24"/>
                <w:highlight w:val="none"/>
                <w:lang w:val="zh-CN"/>
              </w:rPr>
            </w:pPr>
          </w:p>
        </w:tc>
        <w:tc>
          <w:tcPr>
            <w:tcW w:w="1313" w:type="dxa"/>
            <w:vAlign w:val="center"/>
          </w:tcPr>
          <w:p w14:paraId="25E34FDE">
            <w:pPr>
              <w:autoSpaceDE w:val="0"/>
              <w:autoSpaceDN w:val="0"/>
              <w:adjustRightInd w:val="0"/>
              <w:spacing w:line="360" w:lineRule="auto"/>
              <w:jc w:val="center"/>
              <w:rPr>
                <w:rFonts w:ascii="宋体" w:hAnsi="宋体" w:cs="宋体"/>
                <w:color w:val="auto"/>
                <w:sz w:val="24"/>
                <w:highlight w:val="none"/>
                <w:lang w:val="zh-CN"/>
              </w:rPr>
            </w:pPr>
          </w:p>
        </w:tc>
      </w:tr>
      <w:tr w14:paraId="4814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312" w:type="dxa"/>
            <w:vAlign w:val="center"/>
          </w:tcPr>
          <w:p w14:paraId="58208A1C">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59F87166">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3AA5B0D6">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1DCCC95E">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42443A4B">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6218F6C7">
            <w:pPr>
              <w:autoSpaceDE w:val="0"/>
              <w:autoSpaceDN w:val="0"/>
              <w:adjustRightInd w:val="0"/>
              <w:spacing w:line="360" w:lineRule="auto"/>
              <w:jc w:val="center"/>
              <w:rPr>
                <w:rFonts w:ascii="宋体" w:hAnsi="宋体" w:cs="宋体"/>
                <w:color w:val="auto"/>
                <w:sz w:val="24"/>
                <w:highlight w:val="none"/>
                <w:lang w:val="zh-CN"/>
              </w:rPr>
            </w:pPr>
          </w:p>
        </w:tc>
        <w:tc>
          <w:tcPr>
            <w:tcW w:w="1313" w:type="dxa"/>
            <w:vAlign w:val="center"/>
          </w:tcPr>
          <w:p w14:paraId="1B1E8FC7">
            <w:pPr>
              <w:autoSpaceDE w:val="0"/>
              <w:autoSpaceDN w:val="0"/>
              <w:adjustRightInd w:val="0"/>
              <w:spacing w:line="360" w:lineRule="auto"/>
              <w:jc w:val="center"/>
              <w:rPr>
                <w:rFonts w:ascii="宋体" w:hAnsi="宋体" w:cs="宋体"/>
                <w:color w:val="auto"/>
                <w:sz w:val="24"/>
                <w:highlight w:val="none"/>
                <w:lang w:val="zh-CN"/>
              </w:rPr>
            </w:pPr>
          </w:p>
        </w:tc>
      </w:tr>
      <w:tr w14:paraId="2CE1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312" w:type="dxa"/>
            <w:vAlign w:val="center"/>
          </w:tcPr>
          <w:p w14:paraId="107CBBF2">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3F9B9C2A">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3DEA83B5">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444B1DCB">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004EC32C">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5DDC20B4">
            <w:pPr>
              <w:autoSpaceDE w:val="0"/>
              <w:autoSpaceDN w:val="0"/>
              <w:adjustRightInd w:val="0"/>
              <w:spacing w:line="360" w:lineRule="auto"/>
              <w:jc w:val="center"/>
              <w:rPr>
                <w:rFonts w:ascii="宋体" w:hAnsi="宋体" w:cs="宋体"/>
                <w:color w:val="auto"/>
                <w:sz w:val="24"/>
                <w:highlight w:val="none"/>
                <w:lang w:val="zh-CN"/>
              </w:rPr>
            </w:pPr>
          </w:p>
        </w:tc>
        <w:tc>
          <w:tcPr>
            <w:tcW w:w="1313" w:type="dxa"/>
            <w:vAlign w:val="center"/>
          </w:tcPr>
          <w:p w14:paraId="35D456C7">
            <w:pPr>
              <w:autoSpaceDE w:val="0"/>
              <w:autoSpaceDN w:val="0"/>
              <w:adjustRightInd w:val="0"/>
              <w:spacing w:line="360" w:lineRule="auto"/>
              <w:jc w:val="center"/>
              <w:rPr>
                <w:rFonts w:ascii="宋体" w:hAnsi="宋体" w:cs="宋体"/>
                <w:color w:val="auto"/>
                <w:sz w:val="24"/>
                <w:highlight w:val="none"/>
                <w:lang w:val="zh-CN"/>
              </w:rPr>
            </w:pPr>
          </w:p>
        </w:tc>
      </w:tr>
      <w:tr w14:paraId="49FE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312" w:type="dxa"/>
            <w:vAlign w:val="center"/>
          </w:tcPr>
          <w:p w14:paraId="51535ED2">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45C6BEFA">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089516F2">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22944FEB">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6FCB6F06">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164457FC">
            <w:pPr>
              <w:autoSpaceDE w:val="0"/>
              <w:autoSpaceDN w:val="0"/>
              <w:adjustRightInd w:val="0"/>
              <w:spacing w:line="360" w:lineRule="auto"/>
              <w:jc w:val="center"/>
              <w:rPr>
                <w:rFonts w:ascii="宋体" w:hAnsi="宋体" w:cs="宋体"/>
                <w:color w:val="auto"/>
                <w:sz w:val="24"/>
                <w:highlight w:val="none"/>
                <w:lang w:val="zh-CN"/>
              </w:rPr>
            </w:pPr>
          </w:p>
        </w:tc>
        <w:tc>
          <w:tcPr>
            <w:tcW w:w="1313" w:type="dxa"/>
            <w:vAlign w:val="center"/>
          </w:tcPr>
          <w:p w14:paraId="275C78C4">
            <w:pPr>
              <w:autoSpaceDE w:val="0"/>
              <w:autoSpaceDN w:val="0"/>
              <w:adjustRightInd w:val="0"/>
              <w:spacing w:line="360" w:lineRule="auto"/>
              <w:jc w:val="center"/>
              <w:rPr>
                <w:rFonts w:ascii="宋体" w:hAnsi="宋体" w:cs="宋体"/>
                <w:color w:val="auto"/>
                <w:sz w:val="24"/>
                <w:highlight w:val="none"/>
                <w:lang w:val="zh-CN"/>
              </w:rPr>
            </w:pPr>
          </w:p>
        </w:tc>
      </w:tr>
      <w:tr w14:paraId="1184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312" w:type="dxa"/>
            <w:vAlign w:val="center"/>
          </w:tcPr>
          <w:p w14:paraId="73EFF1D5">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73F7E432">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530EE625">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0E241519">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57F65DDA">
            <w:pPr>
              <w:autoSpaceDE w:val="0"/>
              <w:autoSpaceDN w:val="0"/>
              <w:adjustRightInd w:val="0"/>
              <w:spacing w:line="360" w:lineRule="auto"/>
              <w:jc w:val="center"/>
              <w:rPr>
                <w:rFonts w:ascii="宋体" w:hAnsi="宋体" w:cs="宋体"/>
                <w:color w:val="auto"/>
                <w:sz w:val="24"/>
                <w:highlight w:val="none"/>
                <w:lang w:val="zh-CN"/>
              </w:rPr>
            </w:pPr>
          </w:p>
        </w:tc>
        <w:tc>
          <w:tcPr>
            <w:tcW w:w="1312" w:type="dxa"/>
            <w:vAlign w:val="center"/>
          </w:tcPr>
          <w:p w14:paraId="2183CD81">
            <w:pPr>
              <w:autoSpaceDE w:val="0"/>
              <w:autoSpaceDN w:val="0"/>
              <w:adjustRightInd w:val="0"/>
              <w:spacing w:line="360" w:lineRule="auto"/>
              <w:jc w:val="center"/>
              <w:rPr>
                <w:rFonts w:ascii="宋体" w:hAnsi="宋体" w:cs="宋体"/>
                <w:color w:val="auto"/>
                <w:sz w:val="24"/>
                <w:highlight w:val="none"/>
                <w:lang w:val="zh-CN"/>
              </w:rPr>
            </w:pPr>
          </w:p>
        </w:tc>
        <w:tc>
          <w:tcPr>
            <w:tcW w:w="1313" w:type="dxa"/>
            <w:vAlign w:val="center"/>
          </w:tcPr>
          <w:p w14:paraId="083023E9">
            <w:pPr>
              <w:autoSpaceDE w:val="0"/>
              <w:autoSpaceDN w:val="0"/>
              <w:adjustRightInd w:val="0"/>
              <w:spacing w:line="360" w:lineRule="auto"/>
              <w:jc w:val="center"/>
              <w:rPr>
                <w:rFonts w:ascii="宋体" w:hAnsi="宋体" w:cs="宋体"/>
                <w:color w:val="auto"/>
                <w:sz w:val="24"/>
                <w:highlight w:val="none"/>
                <w:lang w:val="zh-CN"/>
              </w:rPr>
            </w:pPr>
          </w:p>
        </w:tc>
      </w:tr>
    </w:tbl>
    <w:p w14:paraId="34D6EC06">
      <w:pPr>
        <w:snapToGrid w:val="0"/>
        <w:spacing w:line="360" w:lineRule="auto"/>
        <w:rPr>
          <w:rFonts w:ascii="宋体" w:hAnsi="宋体" w:cs="宋体"/>
          <w:b/>
          <w:color w:val="auto"/>
          <w:szCs w:val="21"/>
          <w:highlight w:val="none"/>
        </w:rPr>
      </w:pPr>
    </w:p>
    <w:p w14:paraId="7AA50250">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注：1、各供应商可以根据各自业绩量准备充分的表格，此页后须附证明材料。</w:t>
      </w:r>
    </w:p>
    <w:p w14:paraId="1514462D">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    2、供应商须真实仔细地填写本表格。</w:t>
      </w:r>
    </w:p>
    <w:p w14:paraId="25659078">
      <w:pPr>
        <w:widowControl/>
        <w:jc w:val="left"/>
        <w:rPr>
          <w:rFonts w:ascii="宋体" w:hAnsi="宋体" w:cs="宋体"/>
          <w:color w:val="auto"/>
          <w:kern w:val="0"/>
          <w:sz w:val="24"/>
          <w:szCs w:val="20"/>
          <w:highlight w:val="none"/>
        </w:rPr>
      </w:pPr>
    </w:p>
    <w:p w14:paraId="790C0D70">
      <w:pPr>
        <w:widowControl/>
        <w:jc w:val="left"/>
        <w:rPr>
          <w:rFonts w:ascii="宋体" w:hAnsi="宋体" w:cs="宋体"/>
          <w:color w:val="auto"/>
          <w:kern w:val="0"/>
          <w:sz w:val="24"/>
          <w:szCs w:val="20"/>
          <w:highlight w:val="none"/>
        </w:rPr>
      </w:pPr>
    </w:p>
    <w:p w14:paraId="27A98398">
      <w:pPr>
        <w:widowControl/>
        <w:jc w:val="left"/>
        <w:rPr>
          <w:rFonts w:ascii="宋体" w:hAnsi="宋体" w:cs="宋体"/>
          <w:color w:val="auto"/>
          <w:kern w:val="0"/>
          <w:sz w:val="24"/>
          <w:szCs w:val="20"/>
          <w:highlight w:val="none"/>
        </w:rPr>
      </w:pPr>
    </w:p>
    <w:p w14:paraId="2B9BE38B">
      <w:pPr>
        <w:pStyle w:val="10"/>
        <w:overflowPunct w:val="0"/>
        <w:spacing w:line="360" w:lineRule="auto"/>
        <w:ind w:right="420" w:firstLine="3300" w:firstLineChars="1375"/>
        <w:rPr>
          <w:rFonts w:ascii="宋体" w:hAnsi="宋体" w:cs="宋体"/>
          <w:color w:val="auto"/>
          <w:sz w:val="24"/>
          <w:szCs w:val="24"/>
          <w:highlight w:val="none"/>
        </w:rPr>
      </w:pPr>
      <w:r>
        <w:rPr>
          <w:rFonts w:hint="eastAsia" w:ascii="宋体" w:hAnsi="宋体" w:cs="宋体"/>
          <w:color w:val="auto"/>
          <w:sz w:val="24"/>
          <w:szCs w:val="24"/>
          <w:highlight w:val="none"/>
        </w:rPr>
        <w:t>供应商（单位盖章）：</w:t>
      </w:r>
    </w:p>
    <w:p w14:paraId="7BBABD9B">
      <w:pPr>
        <w:pStyle w:val="10"/>
        <w:overflowPunct w:val="0"/>
        <w:spacing w:line="360" w:lineRule="auto"/>
        <w:ind w:right="420" w:firstLine="3360" w:firstLineChars="1400"/>
        <w:rPr>
          <w:rFonts w:ascii="宋体" w:hAnsi="宋体" w:cs="宋体"/>
          <w:color w:val="auto"/>
          <w:sz w:val="24"/>
          <w:szCs w:val="24"/>
          <w:highlight w:val="none"/>
        </w:rPr>
      </w:pPr>
      <w:r>
        <w:rPr>
          <w:rFonts w:hint="eastAsia" w:ascii="宋体" w:hAnsi="宋体" w:cs="宋体"/>
          <w:color w:val="auto"/>
          <w:sz w:val="24"/>
          <w:szCs w:val="24"/>
          <w:highlight w:val="none"/>
        </w:rPr>
        <w:t xml:space="preserve">法定代表人或委托代理人（签字或盖章）：                         </w:t>
      </w:r>
    </w:p>
    <w:p w14:paraId="7CADB3C6">
      <w:pPr>
        <w:spacing w:beforeLines="50" w:line="360" w:lineRule="auto"/>
        <w:ind w:right="-21" w:rightChars="-10" w:firstLine="470" w:firstLineChars="196"/>
        <w:jc w:val="right"/>
        <w:rPr>
          <w:rFonts w:ascii="宋体" w:hAnsi="宋体" w:cs="宋体"/>
          <w:color w:val="auto"/>
          <w:sz w:val="24"/>
          <w:highlight w:val="none"/>
        </w:rPr>
      </w:pPr>
      <w:r>
        <w:rPr>
          <w:rFonts w:hint="eastAsia" w:ascii="宋体" w:hAnsi="宋体" w:cs="宋体"/>
          <w:color w:val="auto"/>
          <w:sz w:val="24"/>
          <w:highlight w:val="none"/>
        </w:rPr>
        <w:t>年  月  日</w:t>
      </w:r>
    </w:p>
    <w:p w14:paraId="1F6CAE8D">
      <w:pPr>
        <w:widowControl/>
        <w:jc w:val="left"/>
        <w:rPr>
          <w:rFonts w:ascii="宋体" w:hAnsi="宋体" w:cs="宋体"/>
          <w:color w:val="auto"/>
          <w:kern w:val="0"/>
          <w:sz w:val="24"/>
          <w:szCs w:val="20"/>
          <w:highlight w:val="none"/>
        </w:rPr>
      </w:pPr>
    </w:p>
    <w:p w14:paraId="505BC35C">
      <w:pPr>
        <w:rPr>
          <w:rFonts w:ascii="宋体" w:hAnsi="宋体" w:cs="宋体"/>
          <w:bCs/>
          <w:color w:val="auto"/>
          <w:sz w:val="24"/>
          <w:szCs w:val="32"/>
          <w:highlight w:val="none"/>
        </w:rPr>
      </w:pPr>
    </w:p>
    <w:p w14:paraId="5F2BEEC9">
      <w:pPr>
        <w:pageBreakBefore/>
        <w:spacing w:before="260" w:after="260" w:line="415" w:lineRule="auto"/>
        <w:outlineLvl w:val="1"/>
        <w:rPr>
          <w:rFonts w:ascii="宋体" w:hAnsi="宋体" w:cs="宋体"/>
          <w:bCs/>
          <w:color w:val="auto"/>
          <w:sz w:val="24"/>
          <w:highlight w:val="none"/>
        </w:rPr>
      </w:pPr>
      <w:bookmarkStart w:id="124" w:name="_Toc496598995"/>
      <w:bookmarkStart w:id="125" w:name="_Toc16236"/>
      <w:bookmarkStart w:id="126" w:name="_Toc10688"/>
      <w:r>
        <w:rPr>
          <w:rFonts w:hint="eastAsia" w:ascii="宋体" w:hAnsi="宋体" w:cs="宋体"/>
          <w:bCs/>
          <w:color w:val="auto"/>
          <w:sz w:val="24"/>
          <w:highlight w:val="none"/>
        </w:rPr>
        <w:t>附件十</w:t>
      </w:r>
      <w:r>
        <w:rPr>
          <w:rFonts w:hint="eastAsia" w:ascii="宋体" w:hAnsi="宋体" w:cs="宋体"/>
          <w:bCs/>
          <w:color w:val="auto"/>
          <w:sz w:val="24"/>
          <w:highlight w:val="none"/>
          <w:lang w:val="en-US" w:eastAsia="zh-CN"/>
        </w:rPr>
        <w:t>六</w:t>
      </w:r>
      <w:r>
        <w:rPr>
          <w:rFonts w:hint="eastAsia" w:ascii="宋体" w:hAnsi="宋体" w:cs="宋体"/>
          <w:bCs/>
          <w:color w:val="auto"/>
          <w:sz w:val="24"/>
          <w:highlight w:val="none"/>
        </w:rPr>
        <w:t>:</w:t>
      </w:r>
      <w:bookmarkEnd w:id="124"/>
      <w:r>
        <w:rPr>
          <w:rFonts w:hint="eastAsia" w:ascii="宋体" w:hAnsi="宋体" w:cs="宋体"/>
          <w:bCs/>
          <w:color w:val="auto"/>
          <w:sz w:val="24"/>
          <w:highlight w:val="none"/>
        </w:rPr>
        <w:t>磋商函</w:t>
      </w:r>
      <w:bookmarkEnd w:id="125"/>
      <w:bookmarkEnd w:id="126"/>
    </w:p>
    <w:p w14:paraId="72A7BBE8">
      <w:pPr>
        <w:snapToGrid w:val="0"/>
        <w:spacing w:beforeLines="50" w:after="50" w:line="480" w:lineRule="auto"/>
        <w:jc w:val="center"/>
        <w:rPr>
          <w:rFonts w:ascii="宋体" w:hAnsi="宋体" w:cs="宋体"/>
          <w:b/>
          <w:color w:val="auto"/>
          <w:sz w:val="40"/>
          <w:szCs w:val="40"/>
          <w:highlight w:val="none"/>
        </w:rPr>
      </w:pPr>
      <w:r>
        <w:rPr>
          <w:rFonts w:hint="eastAsia" w:ascii="宋体" w:hAnsi="宋体" w:cs="宋体"/>
          <w:b/>
          <w:color w:val="auto"/>
          <w:sz w:val="40"/>
          <w:szCs w:val="40"/>
          <w:highlight w:val="none"/>
        </w:rPr>
        <w:t>磋 商 函</w:t>
      </w:r>
    </w:p>
    <w:p w14:paraId="037A898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（招标采购单位名称）：</w:t>
      </w:r>
    </w:p>
    <w:p w14:paraId="5FAD72FF">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根据贵方为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项目的磋商公告/磋商邀请书</w:t>
      </w:r>
    </w:p>
    <w:p w14:paraId="5843D97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（全名）经正式授权并代表供应商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（供应商名称）提交电子磋商响应文件。</w:t>
      </w:r>
    </w:p>
    <w:p w14:paraId="78808FF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据此函，签字代表宣布同意如下：</w:t>
      </w:r>
    </w:p>
    <w:p w14:paraId="5D2D02A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1.供应商已详细审查全部“磋商文件”，包括修改文件（如有的话）以及全部参考资料和有关附件，已经了解我方对于磋商文件、采购过程、采购结果有依法进行询问、质疑、投诉的权利及相关渠道和要求。</w:t>
      </w:r>
    </w:p>
    <w:p w14:paraId="6AC49E5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2.供应商在磋商之前已经与贵方进行了充分的沟通，完全理解并接受磋商文件的各项规定和要求，对磋商文件的合理性、合法性不再有异议。</w:t>
      </w:r>
    </w:p>
    <w:p w14:paraId="4CC6938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3.本磋商响应文件有效期自开标日起 ______天。</w:t>
      </w:r>
    </w:p>
    <w:p w14:paraId="137681C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4.如中标，本磋商响应文件至本项目合同履行完毕止均保持有效，本供应商将按“磋商文件”及政府采购法律、法规的规定履行合同责任和义务。</w:t>
      </w:r>
    </w:p>
    <w:p w14:paraId="7A2B127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5.供应商同意按照贵方要求提供与磋商有关的一切数据或资料。</w:t>
      </w:r>
    </w:p>
    <w:p w14:paraId="775AA19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6.与本磋商有关的一切正式往来信函请寄：</w:t>
      </w:r>
    </w:p>
    <w:p w14:paraId="316F382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地址：__________</w:t>
      </w:r>
      <w:r>
        <w:rPr>
          <w:rFonts w:hint="eastAsia" w:ascii="宋体" w:hAnsi="宋体" w:cs="宋体"/>
          <w:color w:val="auto"/>
          <w:sz w:val="24"/>
          <w:highlight w:val="none"/>
          <w:u w:val="single"/>
        </w:rPr>
        <w:t xml:space="preserve">        _</w:t>
      </w:r>
      <w:r>
        <w:rPr>
          <w:rFonts w:hint="eastAsia" w:ascii="宋体" w:hAnsi="宋体" w:cs="宋体"/>
          <w:color w:val="auto"/>
          <w:sz w:val="24"/>
          <w:highlight w:val="none"/>
        </w:rPr>
        <w:t>____邮编：__________   电话：______________</w:t>
      </w:r>
    </w:p>
    <w:p w14:paraId="0591B5F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传真：______________供应商代表姓名 ___________  职务：______</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_______</w:t>
      </w:r>
    </w:p>
    <w:p w14:paraId="16B7F680">
      <w:pPr>
        <w:snapToGrid w:val="0"/>
        <w:spacing w:line="360" w:lineRule="auto"/>
        <w:rPr>
          <w:rFonts w:ascii="宋体" w:hAnsi="宋体" w:cs="宋体"/>
          <w:color w:val="auto"/>
          <w:sz w:val="24"/>
          <w:highlight w:val="none"/>
        </w:rPr>
      </w:pPr>
    </w:p>
    <w:p w14:paraId="2DCC6E0A">
      <w:pPr>
        <w:snapToGrid w:val="0"/>
        <w:spacing w:line="360" w:lineRule="auto"/>
        <w:rPr>
          <w:rFonts w:ascii="宋体" w:hAnsi="宋体" w:cs="宋体"/>
          <w:color w:val="auto"/>
          <w:sz w:val="24"/>
          <w:highlight w:val="none"/>
        </w:rPr>
      </w:pPr>
    </w:p>
    <w:p w14:paraId="70E00D5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供应商名称(公章):___________________</w:t>
      </w:r>
    </w:p>
    <w:p w14:paraId="0B79967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委托代理人签字:___________ </w:t>
      </w:r>
    </w:p>
    <w:p w14:paraId="72EC0B1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日期:_____年___月___日</w:t>
      </w:r>
    </w:p>
    <w:p w14:paraId="45B56108">
      <w:pPr>
        <w:snapToGrid w:val="0"/>
        <w:spacing w:before="156" w:after="156" w:line="360" w:lineRule="auto"/>
        <w:rPr>
          <w:rFonts w:ascii="宋体" w:hAnsi="宋体" w:cs="宋体"/>
          <w:color w:val="auto"/>
          <w:sz w:val="24"/>
          <w:highlight w:val="none"/>
        </w:rPr>
      </w:pPr>
    </w:p>
    <w:p w14:paraId="3EE1EF8E">
      <w:pPr>
        <w:snapToGrid w:val="0"/>
        <w:spacing w:before="50" w:afterLines="50"/>
        <w:jc w:val="left"/>
        <w:rPr>
          <w:rFonts w:ascii="宋体" w:hAnsi="宋体" w:cs="宋体"/>
          <w:b/>
          <w:color w:val="auto"/>
          <w:sz w:val="24"/>
          <w:highlight w:val="none"/>
        </w:rPr>
      </w:pPr>
    </w:p>
    <w:p w14:paraId="33B80426">
      <w:pPr>
        <w:snapToGrid w:val="0"/>
        <w:spacing w:before="50" w:afterLines="50"/>
        <w:jc w:val="left"/>
        <w:rPr>
          <w:rFonts w:ascii="宋体" w:hAnsi="宋体" w:cs="宋体"/>
          <w:b/>
          <w:color w:val="auto"/>
          <w:sz w:val="24"/>
          <w:highlight w:val="none"/>
        </w:rPr>
      </w:pPr>
    </w:p>
    <w:p w14:paraId="4DA2B616">
      <w:pPr>
        <w:snapToGrid w:val="0"/>
        <w:spacing w:before="50" w:afterLines="50"/>
        <w:jc w:val="left"/>
        <w:rPr>
          <w:rFonts w:ascii="宋体" w:hAnsi="宋体" w:cs="宋体"/>
          <w:b/>
          <w:color w:val="auto"/>
          <w:sz w:val="24"/>
          <w:highlight w:val="none"/>
        </w:rPr>
      </w:pPr>
    </w:p>
    <w:p w14:paraId="4DC76991">
      <w:pPr>
        <w:keepNext/>
        <w:keepLines/>
        <w:pageBreakBefore/>
        <w:widowControl w:val="0"/>
        <w:kinsoku/>
        <w:wordWrap/>
        <w:overflowPunct/>
        <w:topLinePunct w:val="0"/>
        <w:autoSpaceDE/>
        <w:autoSpaceDN/>
        <w:bidi w:val="0"/>
        <w:adjustRightInd/>
        <w:snapToGrid/>
        <w:spacing w:before="260" w:after="260" w:line="360" w:lineRule="auto"/>
        <w:textAlignment w:val="auto"/>
        <w:outlineLvl w:val="1"/>
        <w:rPr>
          <w:rFonts w:ascii="宋体" w:hAnsi="宋体"/>
          <w:bCs/>
          <w:color w:val="auto"/>
          <w:sz w:val="24"/>
          <w:highlight w:val="none"/>
        </w:rPr>
      </w:pPr>
      <w:bookmarkStart w:id="127" w:name="_Toc26482"/>
      <w:bookmarkStart w:id="128" w:name="_Toc14942623"/>
      <w:bookmarkStart w:id="129" w:name="_Toc12413"/>
      <w:bookmarkStart w:id="130" w:name="_Toc10921"/>
      <w:bookmarkStart w:id="131" w:name="_Toc27321"/>
      <w:bookmarkStart w:id="132" w:name="_Toc1663"/>
      <w:bookmarkStart w:id="133" w:name="_Toc496598998"/>
      <w:bookmarkStart w:id="134" w:name="_Toc2590"/>
      <w:r>
        <w:rPr>
          <w:rFonts w:hint="eastAsia" w:ascii="宋体" w:hAnsi="宋体"/>
          <w:bCs/>
          <w:color w:val="auto"/>
          <w:sz w:val="24"/>
          <w:highlight w:val="none"/>
        </w:rPr>
        <w:t>附件十</w:t>
      </w:r>
      <w:r>
        <w:rPr>
          <w:rFonts w:hint="eastAsia" w:ascii="宋体" w:hAnsi="宋体"/>
          <w:bCs/>
          <w:color w:val="auto"/>
          <w:sz w:val="24"/>
          <w:highlight w:val="none"/>
          <w:lang w:eastAsia="zh-CN"/>
        </w:rPr>
        <w:t>七</w:t>
      </w:r>
      <w:r>
        <w:rPr>
          <w:rFonts w:hint="eastAsia" w:ascii="宋体" w:hAnsi="宋体"/>
          <w:bCs/>
          <w:color w:val="auto"/>
          <w:sz w:val="24"/>
          <w:highlight w:val="none"/>
        </w:rPr>
        <w:t>：</w:t>
      </w:r>
      <w:bookmarkEnd w:id="127"/>
      <w:bookmarkEnd w:id="128"/>
      <w:bookmarkEnd w:id="129"/>
      <w:r>
        <w:rPr>
          <w:rFonts w:hint="eastAsia" w:ascii="宋体" w:hAnsi="宋体"/>
          <w:bCs/>
          <w:color w:val="auto"/>
          <w:sz w:val="24"/>
          <w:highlight w:val="none"/>
        </w:rPr>
        <w:t>初次报价表</w:t>
      </w:r>
      <w:bookmarkEnd w:id="130"/>
      <w:bookmarkEnd w:id="131"/>
    </w:p>
    <w:p w14:paraId="7D8F4992">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初次报价表</w:t>
      </w:r>
    </w:p>
    <w:p w14:paraId="5439811F">
      <w:pPr>
        <w:spacing w:line="360" w:lineRule="auto"/>
        <w:rPr>
          <w:rFonts w:ascii="宋体" w:hAnsi="宋体"/>
          <w:b/>
          <w:color w:val="auto"/>
          <w:sz w:val="24"/>
          <w:highlight w:val="none"/>
        </w:rPr>
      </w:pPr>
      <w:r>
        <w:rPr>
          <w:rFonts w:hint="eastAsia" w:ascii="宋体" w:hAnsi="宋体"/>
          <w:b/>
          <w:color w:val="auto"/>
          <w:sz w:val="24"/>
          <w:highlight w:val="none"/>
        </w:rPr>
        <w:t xml:space="preserve">招标编号：                             </w:t>
      </w:r>
    </w:p>
    <w:p w14:paraId="38872E7A">
      <w:pPr>
        <w:spacing w:line="360" w:lineRule="auto"/>
        <w:rPr>
          <w:rFonts w:ascii="宋体" w:hAnsi="宋体"/>
          <w:b/>
          <w:color w:val="auto"/>
          <w:sz w:val="24"/>
          <w:highlight w:val="none"/>
        </w:rPr>
      </w:pPr>
      <w:r>
        <w:rPr>
          <w:rFonts w:hint="eastAsia" w:ascii="宋体" w:hAnsi="宋体"/>
          <w:b/>
          <w:color w:val="auto"/>
          <w:sz w:val="24"/>
          <w:highlight w:val="none"/>
        </w:rPr>
        <w:t>供应商名称：                                          单位：元</w:t>
      </w:r>
    </w:p>
    <w:tbl>
      <w:tblPr>
        <w:tblStyle w:val="38"/>
        <w:tblW w:w="98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6"/>
        <w:gridCol w:w="4668"/>
        <w:gridCol w:w="2152"/>
        <w:gridCol w:w="1863"/>
      </w:tblGrid>
      <w:tr w14:paraId="08FE2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156" w:type="dxa"/>
            <w:tcBorders>
              <w:top w:val="single" w:color="auto" w:sz="4" w:space="0"/>
              <w:left w:val="single" w:color="auto" w:sz="4" w:space="0"/>
              <w:bottom w:val="single" w:color="auto" w:sz="4" w:space="0"/>
              <w:right w:val="single" w:color="auto" w:sz="4" w:space="0"/>
            </w:tcBorders>
            <w:vAlign w:val="center"/>
          </w:tcPr>
          <w:p w14:paraId="5CB95B08">
            <w:pPr>
              <w:snapToGrid w:val="0"/>
              <w:spacing w:before="50" w:after="50"/>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序号</w:t>
            </w:r>
          </w:p>
        </w:tc>
        <w:tc>
          <w:tcPr>
            <w:tcW w:w="4668" w:type="dxa"/>
            <w:tcBorders>
              <w:top w:val="single" w:color="auto" w:sz="4" w:space="0"/>
              <w:left w:val="single" w:color="auto" w:sz="4" w:space="0"/>
              <w:bottom w:val="single" w:color="auto" w:sz="4" w:space="0"/>
              <w:right w:val="single" w:color="auto" w:sz="4" w:space="0"/>
            </w:tcBorders>
            <w:vAlign w:val="center"/>
          </w:tcPr>
          <w:p w14:paraId="2FA35552">
            <w:pPr>
              <w:snapToGrid w:val="0"/>
              <w:spacing w:before="50" w:after="50"/>
              <w:jc w:val="center"/>
              <w:rPr>
                <w:rFonts w:ascii="宋体" w:hAnsi="宋体" w:cs="宋体"/>
                <w:b/>
                <w:color w:val="auto"/>
                <w:sz w:val="24"/>
                <w:highlight w:val="none"/>
              </w:rPr>
            </w:pPr>
            <w:r>
              <w:rPr>
                <w:rFonts w:hint="eastAsia" w:ascii="宋体" w:hAnsi="宋体" w:cs="宋体"/>
                <w:b/>
                <w:color w:val="auto"/>
                <w:sz w:val="24"/>
                <w:highlight w:val="none"/>
              </w:rPr>
              <w:t>采购内容</w:t>
            </w:r>
          </w:p>
        </w:tc>
        <w:tc>
          <w:tcPr>
            <w:tcW w:w="2152" w:type="dxa"/>
            <w:tcBorders>
              <w:top w:val="single" w:color="auto" w:sz="4" w:space="0"/>
              <w:left w:val="single" w:color="auto" w:sz="4" w:space="0"/>
              <w:bottom w:val="single" w:color="auto" w:sz="4" w:space="0"/>
              <w:right w:val="single" w:color="auto" w:sz="4" w:space="0"/>
            </w:tcBorders>
            <w:vAlign w:val="center"/>
          </w:tcPr>
          <w:p w14:paraId="2AE4F94E">
            <w:pPr>
              <w:snapToGrid w:val="0"/>
              <w:spacing w:before="50" w:after="50"/>
              <w:jc w:val="center"/>
              <w:rPr>
                <w:rFonts w:ascii="宋体" w:hAnsi="宋体" w:cs="宋体"/>
                <w:b/>
                <w:color w:val="auto"/>
                <w:sz w:val="24"/>
                <w:highlight w:val="none"/>
              </w:rPr>
            </w:pPr>
            <w:r>
              <w:rPr>
                <w:rFonts w:hint="eastAsia" w:ascii="宋体" w:hAnsi="宋体" w:cs="宋体"/>
                <w:b/>
                <w:bCs/>
                <w:color w:val="auto"/>
                <w:sz w:val="24"/>
                <w:highlight w:val="none"/>
              </w:rPr>
              <w:t>让利</w:t>
            </w:r>
            <w:r>
              <w:rPr>
                <w:rFonts w:ascii="宋体" w:hAnsi="宋体" w:cs="宋体"/>
                <w:b/>
                <w:color w:val="auto"/>
                <w:sz w:val="24"/>
                <w:highlight w:val="none"/>
              </w:rPr>
              <w:t>下浮率（%）</w:t>
            </w:r>
          </w:p>
        </w:tc>
        <w:tc>
          <w:tcPr>
            <w:tcW w:w="1863" w:type="dxa"/>
            <w:tcBorders>
              <w:top w:val="single" w:color="auto" w:sz="4" w:space="0"/>
              <w:left w:val="single" w:color="auto" w:sz="4" w:space="0"/>
              <w:bottom w:val="single" w:color="auto" w:sz="4" w:space="0"/>
              <w:right w:val="single" w:color="auto" w:sz="4" w:space="0"/>
            </w:tcBorders>
            <w:vAlign w:val="center"/>
          </w:tcPr>
          <w:p w14:paraId="12D4512A">
            <w:pPr>
              <w:snapToGrid w:val="0"/>
              <w:spacing w:before="50" w:after="50"/>
              <w:jc w:val="center"/>
              <w:rPr>
                <w:rFonts w:ascii="宋体" w:hAnsi="宋体" w:cs="宋体"/>
                <w:b/>
                <w:color w:val="auto"/>
                <w:sz w:val="24"/>
                <w:highlight w:val="none"/>
              </w:rPr>
            </w:pPr>
            <w:r>
              <w:rPr>
                <w:rFonts w:hint="eastAsia" w:ascii="宋体" w:hAnsi="宋体" w:cs="宋体"/>
                <w:b/>
                <w:bCs/>
                <w:color w:val="auto"/>
                <w:sz w:val="24"/>
                <w:highlight w:val="none"/>
              </w:rPr>
              <w:t>磋商报价（元）</w:t>
            </w:r>
          </w:p>
        </w:tc>
      </w:tr>
      <w:tr w14:paraId="5BD56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7" w:hRule="atLeast"/>
          <w:jc w:val="center"/>
        </w:trPr>
        <w:tc>
          <w:tcPr>
            <w:tcW w:w="1156" w:type="dxa"/>
            <w:tcBorders>
              <w:top w:val="single" w:color="auto" w:sz="4" w:space="0"/>
              <w:left w:val="single" w:color="auto" w:sz="4" w:space="0"/>
              <w:bottom w:val="single" w:color="auto" w:sz="4" w:space="0"/>
              <w:right w:val="single" w:color="auto" w:sz="4" w:space="0"/>
            </w:tcBorders>
            <w:vAlign w:val="center"/>
          </w:tcPr>
          <w:p w14:paraId="6CD4859A">
            <w:pPr>
              <w:snapToGrid w:val="0"/>
              <w:spacing w:before="50" w:after="5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4668" w:type="dxa"/>
            <w:tcBorders>
              <w:top w:val="single" w:color="auto" w:sz="4" w:space="0"/>
              <w:left w:val="single" w:color="auto" w:sz="4" w:space="0"/>
              <w:bottom w:val="single" w:color="auto" w:sz="4" w:space="0"/>
              <w:right w:val="single" w:color="auto" w:sz="4" w:space="0"/>
            </w:tcBorders>
            <w:vAlign w:val="center"/>
          </w:tcPr>
          <w:p w14:paraId="263F9106">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lang w:eastAsia="zh-CN"/>
              </w:rPr>
              <w:t>东阳市肛肠外科医院4000kVA双电源配电工程采购项目</w:t>
            </w:r>
          </w:p>
        </w:tc>
        <w:tc>
          <w:tcPr>
            <w:tcW w:w="2152" w:type="dxa"/>
            <w:tcBorders>
              <w:top w:val="single" w:color="auto" w:sz="4" w:space="0"/>
              <w:left w:val="single" w:color="auto" w:sz="4" w:space="0"/>
              <w:bottom w:val="single" w:color="auto" w:sz="4" w:space="0"/>
              <w:right w:val="single" w:color="auto" w:sz="4" w:space="0"/>
            </w:tcBorders>
            <w:vAlign w:val="center"/>
          </w:tcPr>
          <w:p w14:paraId="78C6FB56">
            <w:pPr>
              <w:snapToGrid w:val="0"/>
              <w:spacing w:before="50" w:after="50"/>
              <w:jc w:val="center"/>
              <w:rPr>
                <w:rFonts w:ascii="宋体" w:hAnsi="宋体" w:cs="宋体"/>
                <w:b/>
                <w:color w:val="auto"/>
                <w:sz w:val="24"/>
                <w:highlight w:val="none"/>
              </w:rPr>
            </w:pPr>
          </w:p>
        </w:tc>
        <w:tc>
          <w:tcPr>
            <w:tcW w:w="1863" w:type="dxa"/>
            <w:tcBorders>
              <w:top w:val="single" w:color="auto" w:sz="4" w:space="0"/>
              <w:left w:val="single" w:color="auto" w:sz="4" w:space="0"/>
              <w:bottom w:val="single" w:color="auto" w:sz="4" w:space="0"/>
              <w:right w:val="single" w:color="auto" w:sz="4" w:space="0"/>
            </w:tcBorders>
            <w:vAlign w:val="center"/>
          </w:tcPr>
          <w:p w14:paraId="5061CFD9">
            <w:pPr>
              <w:snapToGrid w:val="0"/>
              <w:spacing w:before="50" w:after="50"/>
              <w:jc w:val="center"/>
              <w:rPr>
                <w:rFonts w:ascii="宋体" w:hAnsi="宋体" w:cs="宋体"/>
                <w:color w:val="auto"/>
                <w:sz w:val="24"/>
                <w:highlight w:val="none"/>
              </w:rPr>
            </w:pPr>
          </w:p>
        </w:tc>
      </w:tr>
      <w:tr w14:paraId="36248A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9839" w:type="dxa"/>
            <w:gridSpan w:val="4"/>
            <w:tcBorders>
              <w:top w:val="single" w:color="auto" w:sz="4" w:space="0"/>
              <w:left w:val="single" w:color="auto" w:sz="4" w:space="0"/>
              <w:bottom w:val="single" w:color="auto" w:sz="4" w:space="0"/>
              <w:right w:val="single" w:color="auto" w:sz="4" w:space="0"/>
            </w:tcBorders>
            <w:vAlign w:val="center"/>
          </w:tcPr>
          <w:p w14:paraId="1DDB984E">
            <w:pPr>
              <w:snapToGrid w:val="0"/>
              <w:spacing w:before="50" w:after="50"/>
              <w:rPr>
                <w:rFonts w:ascii="宋体" w:hAnsi="宋体" w:cs="宋体"/>
                <w:color w:val="auto"/>
                <w:sz w:val="24"/>
                <w:highlight w:val="none"/>
              </w:rPr>
            </w:pPr>
            <w:r>
              <w:rPr>
                <w:rFonts w:hint="eastAsia" w:ascii="宋体" w:hAnsi="宋体" w:cs="宋体"/>
                <w:color w:val="auto"/>
                <w:sz w:val="24"/>
                <w:highlight w:val="none"/>
              </w:rPr>
              <w:t>磋商报价大写（人民币）：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rPr>
              <w:t xml:space="preserve">                     </w:t>
            </w:r>
          </w:p>
        </w:tc>
      </w:tr>
    </w:tbl>
    <w:p w14:paraId="1F4F963D">
      <w:pPr>
        <w:spacing w:line="360" w:lineRule="auto"/>
        <w:jc w:val="left"/>
        <w:rPr>
          <w:rFonts w:ascii="宋体" w:hAnsi="宋体"/>
          <w:color w:val="auto"/>
          <w:sz w:val="24"/>
          <w:highlight w:val="none"/>
        </w:rPr>
      </w:pPr>
    </w:p>
    <w:p w14:paraId="79FDB29B">
      <w:pPr>
        <w:spacing w:line="360" w:lineRule="auto"/>
        <w:jc w:val="left"/>
        <w:rPr>
          <w:rFonts w:ascii="宋体" w:hAnsi="宋体"/>
          <w:color w:val="auto"/>
          <w:sz w:val="24"/>
          <w:highlight w:val="none"/>
        </w:rPr>
      </w:pPr>
      <w:r>
        <w:rPr>
          <w:rFonts w:ascii="宋体" w:hAnsi="宋体"/>
          <w:color w:val="auto"/>
          <w:sz w:val="24"/>
          <w:highlight w:val="none"/>
        </w:rPr>
        <w:t>注：</w:t>
      </w:r>
      <w:r>
        <w:rPr>
          <w:rFonts w:hint="eastAsia" w:ascii="宋体" w:hAnsi="宋体"/>
          <w:color w:val="auto"/>
          <w:sz w:val="24"/>
          <w:highlight w:val="none"/>
        </w:rPr>
        <w:t>▲1、磋商报价一栏必须填写，否则其磋商作无效标处理。</w:t>
      </w:r>
    </w:p>
    <w:p w14:paraId="01A41E36">
      <w:pPr>
        <w:spacing w:line="360" w:lineRule="auto"/>
        <w:ind w:firstLine="480" w:firstLineChars="200"/>
        <w:jc w:val="left"/>
        <w:rPr>
          <w:rFonts w:hint="eastAsia" w:ascii="宋体" w:hAnsi="宋体" w:cs="Arial"/>
          <w:bCs/>
          <w:color w:val="auto"/>
          <w:sz w:val="24"/>
          <w:highlight w:val="none"/>
        </w:rPr>
      </w:pPr>
      <w:r>
        <w:rPr>
          <w:rFonts w:hint="eastAsia" w:ascii="宋体" w:hAnsi="宋体"/>
          <w:color w:val="auto"/>
          <w:sz w:val="24"/>
          <w:highlight w:val="none"/>
        </w:rPr>
        <w:t>▲2、磋商报价一经涂改，应在涂改处加盖单位公章或者由法定代表人或授权委托人签字或盖章，否则其磋商作无效标处理</w:t>
      </w:r>
      <w:r>
        <w:rPr>
          <w:rFonts w:hint="eastAsia" w:ascii="宋体" w:hAnsi="宋体" w:cs="Arial"/>
          <w:bCs/>
          <w:color w:val="auto"/>
          <w:sz w:val="24"/>
          <w:highlight w:val="none"/>
        </w:rPr>
        <w:t>；</w:t>
      </w:r>
    </w:p>
    <w:p w14:paraId="4E875D5A">
      <w:pPr>
        <w:numPr>
          <w:ilvl w:val="0"/>
          <w:numId w:val="0"/>
        </w:numPr>
        <w:spacing w:line="360" w:lineRule="auto"/>
        <w:ind w:firstLine="482" w:firstLineChars="200"/>
        <w:jc w:val="left"/>
      </w:pPr>
      <w:r>
        <w:rPr>
          <w:rFonts w:hint="eastAsia" w:ascii="宋体" w:hAnsi="宋体" w:cs="Times New Roman"/>
          <w:b/>
          <w:bCs/>
          <w:color w:val="auto"/>
          <w:sz w:val="24"/>
          <w:highlight w:val="none"/>
          <w:lang w:val="en-US" w:eastAsia="zh-CN"/>
        </w:rPr>
        <w:t>3、</w:t>
      </w:r>
      <w:r>
        <w:rPr>
          <w:rFonts w:hint="eastAsia" w:ascii="宋体" w:hAnsi="宋体" w:eastAsia="宋体" w:cs="Times New Roman"/>
          <w:b/>
          <w:bCs/>
          <w:color w:val="auto"/>
          <w:sz w:val="24"/>
          <w:highlight w:val="none"/>
        </w:rPr>
        <w:t>磋商报价=</w:t>
      </w:r>
      <w:r>
        <w:rPr>
          <w:rFonts w:hint="eastAsia" w:ascii="宋体" w:hAnsi="宋体" w:eastAsia="宋体" w:cs="Times New Roman"/>
          <w:b/>
          <w:bCs/>
          <w:color w:val="auto"/>
          <w:sz w:val="24"/>
          <w:highlight w:val="none"/>
          <w:lang w:eastAsia="zh-CN"/>
        </w:rPr>
        <w:t>最高限价</w:t>
      </w:r>
      <w:r>
        <w:rPr>
          <w:rFonts w:hint="eastAsia" w:ascii="宋体" w:hAnsi="宋体" w:eastAsia="宋体" w:cs="Times New Roman"/>
          <w:b/>
          <w:bCs/>
          <w:color w:val="auto"/>
          <w:sz w:val="24"/>
          <w:highlight w:val="none"/>
        </w:rPr>
        <w:t>*（1-让利下浮率）</w:t>
      </w:r>
      <w:r>
        <w:rPr>
          <w:rFonts w:hint="eastAsia" w:ascii="宋体" w:hAnsi="宋体" w:cs="Times New Roman"/>
          <w:b/>
          <w:bCs/>
          <w:color w:val="auto"/>
          <w:sz w:val="24"/>
          <w:highlight w:val="none"/>
          <w:lang w:val="en-US" w:eastAsia="zh-CN"/>
        </w:rPr>
        <w:t xml:space="preserve">。   </w:t>
      </w:r>
    </w:p>
    <w:p w14:paraId="54F3C900">
      <w:pPr>
        <w:spacing w:line="360" w:lineRule="auto"/>
        <w:ind w:firstLine="480" w:firstLineChars="200"/>
        <w:jc w:val="left"/>
        <w:rPr>
          <w:rFonts w:ascii="宋体" w:hAnsi="宋体"/>
          <w:color w:val="auto"/>
          <w:sz w:val="24"/>
          <w:highlight w:val="none"/>
        </w:rPr>
      </w:pPr>
      <w:r>
        <w:rPr>
          <w:rFonts w:hint="eastAsia" w:ascii="宋体" w:hAnsi="宋体" w:cs="Times New Roman"/>
          <w:color w:val="auto"/>
          <w:sz w:val="24"/>
          <w:highlight w:val="none"/>
          <w:lang w:val="en-US" w:eastAsia="zh-CN"/>
        </w:rPr>
        <w:t>4</w:t>
      </w:r>
      <w:r>
        <w:rPr>
          <w:rFonts w:hint="eastAsia" w:ascii="宋体" w:hAnsi="宋体" w:eastAsia="宋体" w:cs="Times New Roman"/>
          <w:color w:val="auto"/>
          <w:sz w:val="24"/>
          <w:highlight w:val="none"/>
        </w:rPr>
        <w:t>、</w:t>
      </w:r>
      <w:r>
        <w:rPr>
          <w:rFonts w:hint="eastAsia" w:ascii="宋体" w:hAnsi="宋体"/>
          <w:color w:val="auto"/>
          <w:sz w:val="24"/>
          <w:highlight w:val="none"/>
        </w:rPr>
        <w:t>磋商报价包括项目所需的施工、货物、材料、安装、备品备件、障碍物迁移与场地准备、工程保险、检测费、办公及其他物品购置费、移交、人员培训、税费、调试等本项目相关的一切费用及税金。</w:t>
      </w:r>
    </w:p>
    <w:p w14:paraId="1DB55E5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、本表格式不允许修改，否则作无效标处理。</w:t>
      </w:r>
    </w:p>
    <w:p w14:paraId="048DBA45">
      <w:pPr>
        <w:snapToGrid w:val="0"/>
        <w:spacing w:line="360" w:lineRule="auto"/>
        <w:ind w:firstLine="480" w:firstLineChars="200"/>
        <w:jc w:val="lef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6</w:t>
      </w:r>
      <w:r>
        <w:rPr>
          <w:rFonts w:hint="eastAsia" w:ascii="宋体" w:hAnsi="宋体"/>
          <w:color w:val="auto"/>
          <w:sz w:val="24"/>
          <w:highlight w:val="none"/>
        </w:rPr>
        <w:t>、</w:t>
      </w:r>
      <w:r>
        <w:rPr>
          <w:rFonts w:hint="eastAsia" w:ascii="宋体" w:hAnsi="宋体"/>
          <w:color w:val="auto"/>
          <w:sz w:val="24"/>
          <w:highlight w:val="none"/>
          <w:lang w:val="en-US" w:eastAsia="zh-CN"/>
        </w:rPr>
        <w:t>磋商报价只作为报价分计算，合同签订以让利下浮率为准。</w:t>
      </w:r>
    </w:p>
    <w:p w14:paraId="1ACE9CD9">
      <w:pPr>
        <w:snapToGrid w:val="0"/>
        <w:spacing w:line="360" w:lineRule="auto"/>
        <w:ind w:firstLine="480" w:firstLineChars="200"/>
        <w:jc w:val="left"/>
        <w:rPr>
          <w:rFonts w:ascii="宋体" w:hAnsi="宋体"/>
          <w:color w:val="auto"/>
          <w:sz w:val="24"/>
          <w:highlight w:val="none"/>
        </w:rPr>
      </w:pPr>
    </w:p>
    <w:p w14:paraId="337C0DFF">
      <w:pPr>
        <w:snapToGrid w:val="0"/>
        <w:spacing w:before="50" w:after="50"/>
        <w:ind w:left="-2" w:leftChars="-1" w:right="-817" w:rightChars="-389" w:firstLine="360" w:firstLineChars="150"/>
        <w:rPr>
          <w:rFonts w:ascii="宋体" w:hAnsi="宋体"/>
          <w:color w:val="auto"/>
          <w:sz w:val="24"/>
          <w:highlight w:val="none"/>
        </w:rPr>
      </w:pPr>
      <w:r>
        <w:rPr>
          <w:rFonts w:hint="eastAsia" w:ascii="宋体" w:hAnsi="宋体"/>
          <w:color w:val="auto"/>
          <w:sz w:val="24"/>
          <w:highlight w:val="none"/>
        </w:rPr>
        <w:t>法定代表人或委托代理人（签字或盖章）：</w:t>
      </w:r>
    </w:p>
    <w:p w14:paraId="2A47A5E8">
      <w:pPr>
        <w:snapToGrid w:val="0"/>
        <w:spacing w:before="50" w:after="50"/>
        <w:ind w:left="-2" w:leftChars="-1" w:right="-817" w:rightChars="-389" w:firstLine="360" w:firstLineChars="150"/>
        <w:rPr>
          <w:rFonts w:ascii="宋体" w:hAnsi="宋体"/>
          <w:color w:val="auto"/>
          <w:sz w:val="24"/>
          <w:highlight w:val="none"/>
        </w:rPr>
      </w:pPr>
    </w:p>
    <w:p w14:paraId="3BBC2467">
      <w:pPr>
        <w:snapToGrid w:val="0"/>
        <w:spacing w:before="50" w:after="50"/>
        <w:ind w:right="-817" w:rightChars="-389" w:firstLine="360" w:firstLineChars="150"/>
        <w:rPr>
          <w:rFonts w:ascii="宋体" w:hAnsi="宋体"/>
          <w:color w:val="auto"/>
          <w:sz w:val="24"/>
          <w:highlight w:val="none"/>
        </w:rPr>
      </w:pPr>
      <w:r>
        <w:rPr>
          <w:rFonts w:hint="eastAsia" w:ascii="宋体" w:hAnsi="宋体"/>
          <w:color w:val="auto"/>
          <w:sz w:val="24"/>
          <w:highlight w:val="none"/>
        </w:rPr>
        <w:t xml:space="preserve">供应商名称（盖章）：                                         </w:t>
      </w:r>
    </w:p>
    <w:p w14:paraId="21469E6E">
      <w:pPr>
        <w:snapToGrid w:val="0"/>
        <w:spacing w:before="50" w:after="50"/>
        <w:ind w:right="-817" w:rightChars="-389"/>
        <w:rPr>
          <w:rFonts w:ascii="宋体" w:hAnsi="宋体"/>
          <w:color w:val="auto"/>
          <w:sz w:val="24"/>
          <w:highlight w:val="none"/>
        </w:rPr>
      </w:pPr>
    </w:p>
    <w:p w14:paraId="0DFD91D0">
      <w:pPr>
        <w:spacing w:line="380" w:lineRule="exact"/>
        <w:ind w:firstLine="6240" w:firstLineChars="2600"/>
        <w:rPr>
          <w:rFonts w:ascii="宋体" w:hAnsi="宋体"/>
          <w:b/>
          <w:color w:val="auto"/>
          <w:sz w:val="24"/>
          <w:highlight w:val="none"/>
        </w:rPr>
      </w:pPr>
      <w:r>
        <w:rPr>
          <w:rFonts w:hint="eastAsia" w:ascii="宋体" w:hAnsi="宋体"/>
          <w:color w:val="auto"/>
          <w:sz w:val="24"/>
          <w:highlight w:val="none"/>
        </w:rPr>
        <w:t>日期：    年   月   日</w:t>
      </w:r>
    </w:p>
    <w:p w14:paraId="7331468E">
      <w:pPr>
        <w:outlineLvl w:val="9"/>
        <w:rPr>
          <w:color w:val="auto"/>
          <w:sz w:val="24"/>
          <w:szCs w:val="24"/>
          <w:highlight w:val="none"/>
        </w:rPr>
      </w:pPr>
    </w:p>
    <w:p w14:paraId="5B952213">
      <w:pPr>
        <w:outlineLvl w:val="9"/>
        <w:rPr>
          <w:color w:val="auto"/>
          <w:highlight w:val="none"/>
        </w:rPr>
      </w:pPr>
    </w:p>
    <w:bookmarkEnd w:id="132"/>
    <w:bookmarkEnd w:id="133"/>
    <w:bookmarkEnd w:id="134"/>
    <w:p w14:paraId="08B61C27">
      <w:pPr>
        <w:spacing w:before="260" w:after="260" w:line="360" w:lineRule="auto"/>
        <w:outlineLvl w:val="9"/>
        <w:rPr>
          <w:rFonts w:ascii="宋体" w:hAnsi="宋体"/>
          <w:bCs/>
          <w:color w:val="auto"/>
          <w:sz w:val="24"/>
          <w:highlight w:val="none"/>
        </w:rPr>
      </w:pPr>
      <w:bookmarkStart w:id="135" w:name="_Toc496599000"/>
    </w:p>
    <w:p w14:paraId="70F10371">
      <w:pPr>
        <w:pageBreakBefore/>
        <w:spacing w:before="260" w:after="260" w:line="360" w:lineRule="auto"/>
        <w:outlineLvl w:val="1"/>
        <w:rPr>
          <w:rFonts w:ascii="宋体" w:hAnsi="宋体"/>
          <w:bCs/>
          <w:color w:val="auto"/>
          <w:sz w:val="24"/>
          <w:highlight w:val="none"/>
        </w:rPr>
      </w:pPr>
      <w:bookmarkStart w:id="136" w:name="_Toc29095"/>
      <w:bookmarkStart w:id="137" w:name="_Toc22501"/>
      <w:r>
        <w:rPr>
          <w:rFonts w:hint="eastAsia" w:ascii="宋体" w:hAnsi="宋体"/>
          <w:bCs/>
          <w:color w:val="auto"/>
          <w:sz w:val="24"/>
          <w:highlight w:val="none"/>
        </w:rPr>
        <w:t>附件</w:t>
      </w:r>
      <w:r>
        <w:rPr>
          <w:rFonts w:hint="eastAsia" w:ascii="宋体" w:hAnsi="宋体"/>
          <w:bCs/>
          <w:color w:val="auto"/>
          <w:sz w:val="24"/>
          <w:highlight w:val="none"/>
          <w:lang w:val="en-US" w:eastAsia="zh-CN"/>
        </w:rPr>
        <w:t>十八</w:t>
      </w:r>
      <w:r>
        <w:rPr>
          <w:rFonts w:hint="eastAsia" w:ascii="宋体" w:hAnsi="宋体"/>
          <w:bCs/>
          <w:color w:val="auto"/>
          <w:sz w:val="24"/>
          <w:highlight w:val="none"/>
        </w:rPr>
        <w:t>：最终报价表</w:t>
      </w:r>
      <w:bookmarkEnd w:id="136"/>
      <w:bookmarkEnd w:id="137"/>
    </w:p>
    <w:p w14:paraId="1CAE3D10">
      <w:pPr>
        <w:spacing w:line="360" w:lineRule="auto"/>
        <w:jc w:val="center"/>
        <w:rPr>
          <w:rFonts w:ascii="宋体" w:hAnsi="宋体"/>
          <w:b/>
          <w:color w:val="auto"/>
          <w:sz w:val="24"/>
          <w:highlight w:val="none"/>
        </w:rPr>
      </w:pPr>
      <w:r>
        <w:rPr>
          <w:rFonts w:hint="eastAsia" w:ascii="宋体" w:hAnsi="宋体"/>
          <w:b/>
          <w:color w:val="auto"/>
          <w:sz w:val="24"/>
          <w:highlight w:val="none"/>
        </w:rPr>
        <w:t>最终报价表</w:t>
      </w:r>
    </w:p>
    <w:p w14:paraId="6474676D">
      <w:pPr>
        <w:spacing w:line="360" w:lineRule="auto"/>
        <w:rPr>
          <w:rFonts w:ascii="宋体" w:hAnsi="宋体"/>
          <w:b/>
          <w:color w:val="auto"/>
          <w:sz w:val="24"/>
          <w:highlight w:val="none"/>
        </w:rPr>
      </w:pPr>
      <w:r>
        <w:rPr>
          <w:rFonts w:hint="eastAsia" w:ascii="宋体" w:hAnsi="宋体"/>
          <w:b/>
          <w:color w:val="auto"/>
          <w:sz w:val="24"/>
          <w:highlight w:val="none"/>
        </w:rPr>
        <w:t xml:space="preserve">招标编号：                             </w:t>
      </w:r>
    </w:p>
    <w:p w14:paraId="4FD804D7">
      <w:pPr>
        <w:spacing w:line="360" w:lineRule="auto"/>
        <w:rPr>
          <w:rFonts w:ascii="宋体" w:hAnsi="宋体"/>
          <w:b/>
          <w:color w:val="auto"/>
          <w:sz w:val="24"/>
          <w:highlight w:val="none"/>
        </w:rPr>
      </w:pPr>
      <w:r>
        <w:rPr>
          <w:rFonts w:hint="eastAsia" w:ascii="宋体" w:hAnsi="宋体"/>
          <w:b/>
          <w:color w:val="auto"/>
          <w:sz w:val="24"/>
          <w:highlight w:val="none"/>
        </w:rPr>
        <w:t>供应商名称：                                          单位：元</w:t>
      </w:r>
    </w:p>
    <w:tbl>
      <w:tblPr>
        <w:tblStyle w:val="38"/>
        <w:tblW w:w="98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6"/>
        <w:gridCol w:w="4668"/>
        <w:gridCol w:w="2152"/>
        <w:gridCol w:w="1863"/>
      </w:tblGrid>
      <w:tr w14:paraId="028BA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156" w:type="dxa"/>
            <w:tcBorders>
              <w:top w:val="single" w:color="auto" w:sz="4" w:space="0"/>
              <w:left w:val="single" w:color="auto" w:sz="4" w:space="0"/>
              <w:bottom w:val="single" w:color="auto" w:sz="4" w:space="0"/>
              <w:right w:val="single" w:color="auto" w:sz="4" w:space="0"/>
            </w:tcBorders>
            <w:vAlign w:val="center"/>
          </w:tcPr>
          <w:p w14:paraId="1D493497">
            <w:pPr>
              <w:snapToGrid w:val="0"/>
              <w:spacing w:before="50" w:after="50"/>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序号</w:t>
            </w:r>
          </w:p>
        </w:tc>
        <w:tc>
          <w:tcPr>
            <w:tcW w:w="4668" w:type="dxa"/>
            <w:tcBorders>
              <w:top w:val="single" w:color="auto" w:sz="4" w:space="0"/>
              <w:left w:val="single" w:color="auto" w:sz="4" w:space="0"/>
              <w:bottom w:val="single" w:color="auto" w:sz="4" w:space="0"/>
              <w:right w:val="single" w:color="auto" w:sz="4" w:space="0"/>
            </w:tcBorders>
            <w:vAlign w:val="center"/>
          </w:tcPr>
          <w:p w14:paraId="3562C7AB">
            <w:pPr>
              <w:snapToGrid w:val="0"/>
              <w:spacing w:before="50" w:after="50"/>
              <w:jc w:val="center"/>
              <w:rPr>
                <w:rFonts w:ascii="宋体" w:hAnsi="宋体" w:cs="宋体"/>
                <w:b/>
                <w:color w:val="auto"/>
                <w:sz w:val="24"/>
                <w:highlight w:val="none"/>
              </w:rPr>
            </w:pPr>
            <w:r>
              <w:rPr>
                <w:rFonts w:hint="eastAsia" w:ascii="宋体" w:hAnsi="宋体" w:cs="宋体"/>
                <w:b/>
                <w:color w:val="auto"/>
                <w:sz w:val="24"/>
                <w:highlight w:val="none"/>
              </w:rPr>
              <w:t>采购内容</w:t>
            </w:r>
          </w:p>
        </w:tc>
        <w:tc>
          <w:tcPr>
            <w:tcW w:w="2152" w:type="dxa"/>
            <w:tcBorders>
              <w:top w:val="single" w:color="auto" w:sz="4" w:space="0"/>
              <w:left w:val="single" w:color="auto" w:sz="4" w:space="0"/>
              <w:bottom w:val="single" w:color="auto" w:sz="4" w:space="0"/>
              <w:right w:val="single" w:color="auto" w:sz="4" w:space="0"/>
            </w:tcBorders>
            <w:vAlign w:val="center"/>
          </w:tcPr>
          <w:p w14:paraId="7796AA29">
            <w:pPr>
              <w:snapToGrid w:val="0"/>
              <w:spacing w:before="50" w:after="50"/>
              <w:jc w:val="center"/>
              <w:rPr>
                <w:rFonts w:ascii="宋体" w:hAnsi="宋体" w:cs="宋体"/>
                <w:b/>
                <w:color w:val="auto"/>
                <w:sz w:val="24"/>
                <w:highlight w:val="none"/>
              </w:rPr>
            </w:pPr>
            <w:r>
              <w:rPr>
                <w:rFonts w:hint="eastAsia" w:ascii="宋体" w:hAnsi="宋体" w:cs="宋体"/>
                <w:b/>
                <w:bCs/>
                <w:color w:val="auto"/>
                <w:sz w:val="24"/>
                <w:highlight w:val="none"/>
              </w:rPr>
              <w:t>让利</w:t>
            </w:r>
            <w:r>
              <w:rPr>
                <w:rFonts w:ascii="宋体" w:hAnsi="宋体" w:cs="宋体"/>
                <w:b/>
                <w:color w:val="auto"/>
                <w:sz w:val="24"/>
                <w:highlight w:val="none"/>
              </w:rPr>
              <w:t>下浮率（%）</w:t>
            </w:r>
          </w:p>
        </w:tc>
        <w:tc>
          <w:tcPr>
            <w:tcW w:w="1863" w:type="dxa"/>
            <w:tcBorders>
              <w:top w:val="single" w:color="auto" w:sz="4" w:space="0"/>
              <w:left w:val="single" w:color="auto" w:sz="4" w:space="0"/>
              <w:bottom w:val="single" w:color="auto" w:sz="4" w:space="0"/>
              <w:right w:val="single" w:color="auto" w:sz="4" w:space="0"/>
            </w:tcBorders>
            <w:vAlign w:val="center"/>
          </w:tcPr>
          <w:p w14:paraId="5D6813BC">
            <w:pPr>
              <w:snapToGrid w:val="0"/>
              <w:spacing w:before="50" w:after="50"/>
              <w:jc w:val="center"/>
              <w:rPr>
                <w:rFonts w:ascii="宋体" w:hAnsi="宋体" w:cs="宋体"/>
                <w:b/>
                <w:color w:val="auto"/>
                <w:sz w:val="24"/>
                <w:highlight w:val="none"/>
              </w:rPr>
            </w:pPr>
            <w:r>
              <w:rPr>
                <w:rFonts w:hint="eastAsia" w:ascii="宋体" w:hAnsi="宋体" w:cs="宋体"/>
                <w:b/>
                <w:bCs/>
                <w:color w:val="auto"/>
                <w:sz w:val="24"/>
                <w:highlight w:val="none"/>
              </w:rPr>
              <w:t>磋商报价（元）</w:t>
            </w:r>
          </w:p>
        </w:tc>
      </w:tr>
      <w:tr w14:paraId="5F190A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7" w:hRule="atLeast"/>
          <w:jc w:val="center"/>
        </w:trPr>
        <w:tc>
          <w:tcPr>
            <w:tcW w:w="1156" w:type="dxa"/>
            <w:tcBorders>
              <w:top w:val="single" w:color="auto" w:sz="4" w:space="0"/>
              <w:left w:val="single" w:color="auto" w:sz="4" w:space="0"/>
              <w:bottom w:val="single" w:color="auto" w:sz="4" w:space="0"/>
              <w:right w:val="single" w:color="auto" w:sz="4" w:space="0"/>
            </w:tcBorders>
            <w:vAlign w:val="center"/>
          </w:tcPr>
          <w:p w14:paraId="0F219312">
            <w:pPr>
              <w:snapToGrid w:val="0"/>
              <w:spacing w:before="50" w:after="5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4668" w:type="dxa"/>
            <w:tcBorders>
              <w:top w:val="single" w:color="auto" w:sz="4" w:space="0"/>
              <w:left w:val="single" w:color="auto" w:sz="4" w:space="0"/>
              <w:bottom w:val="single" w:color="auto" w:sz="4" w:space="0"/>
              <w:right w:val="single" w:color="auto" w:sz="4" w:space="0"/>
            </w:tcBorders>
            <w:vAlign w:val="center"/>
          </w:tcPr>
          <w:p w14:paraId="76B968C9">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lang w:eastAsia="zh-CN"/>
              </w:rPr>
              <w:t>东阳市肛肠外科医院4000kVA双电源配电工程采购项目</w:t>
            </w:r>
          </w:p>
        </w:tc>
        <w:tc>
          <w:tcPr>
            <w:tcW w:w="2152" w:type="dxa"/>
            <w:tcBorders>
              <w:top w:val="single" w:color="auto" w:sz="4" w:space="0"/>
              <w:left w:val="single" w:color="auto" w:sz="4" w:space="0"/>
              <w:bottom w:val="single" w:color="auto" w:sz="4" w:space="0"/>
              <w:right w:val="single" w:color="auto" w:sz="4" w:space="0"/>
            </w:tcBorders>
            <w:vAlign w:val="center"/>
          </w:tcPr>
          <w:p w14:paraId="29EDE11D">
            <w:pPr>
              <w:snapToGrid w:val="0"/>
              <w:spacing w:before="50" w:after="50"/>
              <w:jc w:val="center"/>
              <w:rPr>
                <w:rFonts w:ascii="宋体" w:hAnsi="宋体" w:cs="宋体"/>
                <w:b/>
                <w:color w:val="auto"/>
                <w:sz w:val="24"/>
                <w:highlight w:val="none"/>
              </w:rPr>
            </w:pPr>
          </w:p>
        </w:tc>
        <w:tc>
          <w:tcPr>
            <w:tcW w:w="1863" w:type="dxa"/>
            <w:tcBorders>
              <w:top w:val="single" w:color="auto" w:sz="4" w:space="0"/>
              <w:left w:val="single" w:color="auto" w:sz="4" w:space="0"/>
              <w:bottom w:val="single" w:color="auto" w:sz="4" w:space="0"/>
              <w:right w:val="single" w:color="auto" w:sz="4" w:space="0"/>
            </w:tcBorders>
            <w:vAlign w:val="center"/>
          </w:tcPr>
          <w:p w14:paraId="28F3FE41">
            <w:pPr>
              <w:snapToGrid w:val="0"/>
              <w:spacing w:before="50" w:after="50"/>
              <w:jc w:val="center"/>
              <w:rPr>
                <w:rFonts w:ascii="宋体" w:hAnsi="宋体" w:cs="宋体"/>
                <w:color w:val="auto"/>
                <w:sz w:val="24"/>
                <w:highlight w:val="none"/>
              </w:rPr>
            </w:pPr>
          </w:p>
        </w:tc>
      </w:tr>
      <w:tr w14:paraId="2071C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9839" w:type="dxa"/>
            <w:gridSpan w:val="4"/>
            <w:tcBorders>
              <w:top w:val="single" w:color="auto" w:sz="4" w:space="0"/>
              <w:left w:val="single" w:color="auto" w:sz="4" w:space="0"/>
              <w:bottom w:val="single" w:color="auto" w:sz="4" w:space="0"/>
              <w:right w:val="single" w:color="auto" w:sz="4" w:space="0"/>
            </w:tcBorders>
            <w:vAlign w:val="center"/>
          </w:tcPr>
          <w:p w14:paraId="4EC13703">
            <w:pPr>
              <w:snapToGrid w:val="0"/>
              <w:spacing w:before="50" w:after="50"/>
              <w:rPr>
                <w:rFonts w:ascii="宋体" w:hAnsi="宋体" w:cs="宋体"/>
                <w:color w:val="auto"/>
                <w:sz w:val="24"/>
                <w:highlight w:val="none"/>
              </w:rPr>
            </w:pPr>
            <w:r>
              <w:rPr>
                <w:rFonts w:hint="eastAsia" w:ascii="宋体" w:hAnsi="宋体" w:cs="宋体"/>
                <w:color w:val="auto"/>
                <w:sz w:val="24"/>
                <w:highlight w:val="none"/>
              </w:rPr>
              <w:t>磋商报价大写（人民币）：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rPr>
              <w:t xml:space="preserve">                     </w:t>
            </w:r>
          </w:p>
        </w:tc>
      </w:tr>
    </w:tbl>
    <w:p w14:paraId="1A479E28">
      <w:pPr>
        <w:spacing w:line="360" w:lineRule="auto"/>
        <w:jc w:val="left"/>
        <w:rPr>
          <w:rFonts w:ascii="宋体" w:hAnsi="宋体"/>
          <w:color w:val="auto"/>
          <w:sz w:val="24"/>
          <w:highlight w:val="none"/>
        </w:rPr>
      </w:pPr>
    </w:p>
    <w:p w14:paraId="3253084B">
      <w:pPr>
        <w:spacing w:line="360" w:lineRule="auto"/>
        <w:jc w:val="left"/>
        <w:rPr>
          <w:rFonts w:ascii="宋体" w:hAnsi="宋体"/>
          <w:color w:val="auto"/>
          <w:sz w:val="24"/>
          <w:highlight w:val="none"/>
        </w:rPr>
      </w:pPr>
      <w:r>
        <w:rPr>
          <w:rFonts w:ascii="宋体" w:hAnsi="宋体"/>
          <w:color w:val="auto"/>
          <w:sz w:val="24"/>
          <w:highlight w:val="none"/>
        </w:rPr>
        <w:t>注：</w:t>
      </w:r>
      <w:r>
        <w:rPr>
          <w:rFonts w:hint="eastAsia" w:ascii="宋体" w:hAnsi="宋体"/>
          <w:color w:val="auto"/>
          <w:sz w:val="24"/>
          <w:highlight w:val="none"/>
        </w:rPr>
        <w:t>▲1、磋商报价一栏必须填写，否则其磋商作无效标处理。</w:t>
      </w:r>
    </w:p>
    <w:p w14:paraId="599615F5">
      <w:pPr>
        <w:spacing w:line="360" w:lineRule="auto"/>
        <w:ind w:firstLine="480" w:firstLineChars="200"/>
        <w:jc w:val="left"/>
        <w:rPr>
          <w:rFonts w:hint="eastAsia" w:ascii="宋体" w:hAnsi="宋体" w:cs="Arial"/>
          <w:bCs/>
          <w:color w:val="auto"/>
          <w:sz w:val="24"/>
          <w:highlight w:val="none"/>
        </w:rPr>
      </w:pPr>
      <w:r>
        <w:rPr>
          <w:rFonts w:hint="eastAsia" w:ascii="宋体" w:hAnsi="宋体"/>
          <w:color w:val="auto"/>
          <w:sz w:val="24"/>
          <w:highlight w:val="none"/>
        </w:rPr>
        <w:t>▲2、磋商报价一经涂改，应在涂改处加盖单位公章或者由法定代表人或授权委托人签字或盖章，否则其磋商作无效标处理</w:t>
      </w:r>
      <w:r>
        <w:rPr>
          <w:rFonts w:hint="eastAsia" w:ascii="宋体" w:hAnsi="宋体" w:cs="Arial"/>
          <w:bCs/>
          <w:color w:val="auto"/>
          <w:sz w:val="24"/>
          <w:highlight w:val="none"/>
        </w:rPr>
        <w:t>；</w:t>
      </w:r>
    </w:p>
    <w:p w14:paraId="246FBB66">
      <w:pPr>
        <w:numPr>
          <w:ilvl w:val="0"/>
          <w:numId w:val="0"/>
        </w:numPr>
        <w:spacing w:line="360" w:lineRule="auto"/>
        <w:ind w:firstLine="482" w:firstLineChars="200"/>
        <w:jc w:val="left"/>
      </w:pPr>
      <w:r>
        <w:rPr>
          <w:rFonts w:hint="eastAsia" w:ascii="宋体" w:hAnsi="宋体" w:cs="Times New Roman"/>
          <w:b/>
          <w:bCs/>
          <w:color w:val="auto"/>
          <w:sz w:val="24"/>
          <w:highlight w:val="none"/>
          <w:lang w:val="en-US" w:eastAsia="zh-CN"/>
        </w:rPr>
        <w:t>3、</w:t>
      </w:r>
      <w:r>
        <w:rPr>
          <w:rFonts w:hint="eastAsia" w:ascii="宋体" w:hAnsi="宋体" w:eastAsia="宋体" w:cs="Times New Roman"/>
          <w:b/>
          <w:bCs/>
          <w:color w:val="auto"/>
          <w:sz w:val="24"/>
          <w:highlight w:val="none"/>
        </w:rPr>
        <w:t>磋商报价=</w:t>
      </w:r>
      <w:r>
        <w:rPr>
          <w:rFonts w:hint="eastAsia" w:ascii="宋体" w:hAnsi="宋体" w:eastAsia="宋体" w:cs="Times New Roman"/>
          <w:b/>
          <w:bCs/>
          <w:color w:val="auto"/>
          <w:sz w:val="24"/>
          <w:highlight w:val="none"/>
          <w:lang w:eastAsia="zh-CN"/>
        </w:rPr>
        <w:t>最高限价</w:t>
      </w:r>
      <w:r>
        <w:rPr>
          <w:rFonts w:hint="eastAsia" w:ascii="宋体" w:hAnsi="宋体" w:eastAsia="宋体" w:cs="Times New Roman"/>
          <w:b/>
          <w:bCs/>
          <w:color w:val="auto"/>
          <w:sz w:val="24"/>
          <w:highlight w:val="none"/>
        </w:rPr>
        <w:t>*（1-让利下浮率）</w:t>
      </w:r>
      <w:r>
        <w:rPr>
          <w:rFonts w:hint="eastAsia" w:ascii="宋体" w:hAnsi="宋体" w:cs="Times New Roman"/>
          <w:b/>
          <w:bCs/>
          <w:color w:val="auto"/>
          <w:sz w:val="24"/>
          <w:highlight w:val="none"/>
          <w:lang w:val="en-US" w:eastAsia="zh-CN"/>
        </w:rPr>
        <w:t xml:space="preserve">。   </w:t>
      </w:r>
    </w:p>
    <w:p w14:paraId="76A8802B">
      <w:pPr>
        <w:spacing w:line="360" w:lineRule="auto"/>
        <w:ind w:firstLine="480" w:firstLineChars="200"/>
        <w:jc w:val="left"/>
        <w:rPr>
          <w:rFonts w:ascii="宋体" w:hAnsi="宋体"/>
          <w:color w:val="auto"/>
          <w:sz w:val="24"/>
          <w:highlight w:val="none"/>
        </w:rPr>
      </w:pPr>
      <w:r>
        <w:rPr>
          <w:rFonts w:hint="eastAsia" w:ascii="宋体" w:hAnsi="宋体" w:cs="Times New Roman"/>
          <w:color w:val="auto"/>
          <w:sz w:val="24"/>
          <w:highlight w:val="none"/>
          <w:lang w:val="en-US" w:eastAsia="zh-CN"/>
        </w:rPr>
        <w:t>4</w:t>
      </w:r>
      <w:r>
        <w:rPr>
          <w:rFonts w:hint="eastAsia" w:ascii="宋体" w:hAnsi="宋体" w:eastAsia="宋体" w:cs="Times New Roman"/>
          <w:color w:val="auto"/>
          <w:sz w:val="24"/>
          <w:highlight w:val="none"/>
        </w:rPr>
        <w:t>、</w:t>
      </w:r>
      <w:r>
        <w:rPr>
          <w:rFonts w:hint="eastAsia" w:ascii="宋体" w:hAnsi="宋体"/>
          <w:color w:val="auto"/>
          <w:sz w:val="24"/>
          <w:highlight w:val="none"/>
        </w:rPr>
        <w:t>磋商报价包括项目所需的施工、货物、材料、安装、备品备件、障碍物迁移与场地准备、工程保险、检测费、办公及其他物品购置费、移交、人员培训、税费、调试等本项目相关的一切费用及税金。</w:t>
      </w:r>
    </w:p>
    <w:p w14:paraId="0BC14FB8">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、本表格式不允许修改，否则作无效标处理。</w:t>
      </w:r>
    </w:p>
    <w:p w14:paraId="222E5526">
      <w:pPr>
        <w:snapToGrid w:val="0"/>
        <w:spacing w:line="360" w:lineRule="auto"/>
        <w:ind w:firstLine="480" w:firstLineChars="200"/>
        <w:jc w:val="lef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6</w:t>
      </w:r>
      <w:r>
        <w:rPr>
          <w:rFonts w:hint="eastAsia" w:ascii="宋体" w:hAnsi="宋体"/>
          <w:color w:val="auto"/>
          <w:sz w:val="24"/>
          <w:highlight w:val="none"/>
        </w:rPr>
        <w:t>、</w:t>
      </w:r>
      <w:r>
        <w:rPr>
          <w:rFonts w:hint="eastAsia" w:ascii="宋体" w:hAnsi="宋体"/>
          <w:color w:val="auto"/>
          <w:sz w:val="24"/>
          <w:highlight w:val="none"/>
          <w:lang w:val="en-US" w:eastAsia="zh-CN"/>
        </w:rPr>
        <w:t>磋商报价只作为报价分计算，合同签订以让利下浮率为准。</w:t>
      </w:r>
    </w:p>
    <w:p w14:paraId="19C2EAB9">
      <w:pPr>
        <w:snapToGrid w:val="0"/>
        <w:spacing w:line="360" w:lineRule="auto"/>
        <w:ind w:firstLine="480" w:firstLineChars="200"/>
        <w:jc w:val="left"/>
        <w:rPr>
          <w:rFonts w:ascii="宋体" w:hAnsi="宋体"/>
          <w:color w:val="auto"/>
          <w:sz w:val="24"/>
          <w:highlight w:val="none"/>
        </w:rPr>
      </w:pPr>
    </w:p>
    <w:p w14:paraId="74FE6E3D">
      <w:pPr>
        <w:snapToGrid w:val="0"/>
        <w:spacing w:line="360" w:lineRule="auto"/>
        <w:ind w:firstLine="480" w:firstLineChars="200"/>
        <w:jc w:val="left"/>
        <w:rPr>
          <w:rFonts w:ascii="宋体" w:hAnsi="宋体"/>
          <w:color w:val="auto"/>
          <w:sz w:val="24"/>
          <w:highlight w:val="none"/>
        </w:rPr>
      </w:pPr>
    </w:p>
    <w:p w14:paraId="0760207A">
      <w:pPr>
        <w:snapToGrid w:val="0"/>
        <w:spacing w:before="50" w:after="50"/>
        <w:ind w:left="-2" w:leftChars="-1" w:right="-817" w:rightChars="-389" w:firstLine="360" w:firstLineChars="150"/>
        <w:rPr>
          <w:rFonts w:ascii="宋体" w:hAnsi="宋体"/>
          <w:color w:val="auto"/>
          <w:sz w:val="24"/>
          <w:highlight w:val="none"/>
        </w:rPr>
      </w:pPr>
      <w:r>
        <w:rPr>
          <w:rFonts w:hint="eastAsia" w:ascii="宋体" w:hAnsi="宋体"/>
          <w:color w:val="auto"/>
          <w:sz w:val="24"/>
          <w:highlight w:val="none"/>
        </w:rPr>
        <w:t>法定代表人或委托代理人（签字或盖章）：</w:t>
      </w:r>
    </w:p>
    <w:p w14:paraId="5868873E">
      <w:pPr>
        <w:snapToGrid w:val="0"/>
        <w:spacing w:before="50" w:after="50"/>
        <w:ind w:left="-2" w:leftChars="-1" w:right="-817" w:rightChars="-389" w:firstLine="360" w:firstLineChars="150"/>
        <w:rPr>
          <w:rFonts w:ascii="宋体" w:hAnsi="宋体"/>
          <w:color w:val="auto"/>
          <w:sz w:val="24"/>
          <w:highlight w:val="none"/>
        </w:rPr>
      </w:pPr>
    </w:p>
    <w:p w14:paraId="48CDFB0A">
      <w:pPr>
        <w:snapToGrid w:val="0"/>
        <w:spacing w:before="50" w:after="50"/>
        <w:ind w:right="-817" w:rightChars="-389" w:firstLine="360" w:firstLineChars="150"/>
        <w:rPr>
          <w:rFonts w:ascii="宋体" w:hAnsi="宋体"/>
          <w:color w:val="auto"/>
          <w:sz w:val="24"/>
          <w:highlight w:val="none"/>
        </w:rPr>
      </w:pPr>
      <w:r>
        <w:rPr>
          <w:rFonts w:hint="eastAsia" w:ascii="宋体" w:hAnsi="宋体"/>
          <w:color w:val="auto"/>
          <w:sz w:val="24"/>
          <w:highlight w:val="none"/>
        </w:rPr>
        <w:t xml:space="preserve">供应商名称（盖章）：                                         </w:t>
      </w:r>
    </w:p>
    <w:p w14:paraId="4FDD6AFB">
      <w:pPr>
        <w:snapToGrid w:val="0"/>
        <w:spacing w:before="50" w:after="50"/>
        <w:ind w:right="-817" w:rightChars="-389"/>
        <w:rPr>
          <w:rFonts w:ascii="宋体" w:hAnsi="宋体"/>
          <w:color w:val="auto"/>
          <w:sz w:val="24"/>
          <w:highlight w:val="none"/>
        </w:rPr>
      </w:pPr>
    </w:p>
    <w:p w14:paraId="67EF0B62">
      <w:pPr>
        <w:spacing w:line="380" w:lineRule="exact"/>
        <w:ind w:firstLine="6240" w:firstLineChars="2600"/>
        <w:rPr>
          <w:rFonts w:ascii="宋体" w:hAnsi="宋体"/>
          <w:b/>
          <w:color w:val="auto"/>
          <w:sz w:val="24"/>
          <w:highlight w:val="none"/>
        </w:rPr>
      </w:pPr>
      <w:r>
        <w:rPr>
          <w:rFonts w:hint="eastAsia" w:ascii="宋体" w:hAnsi="宋体"/>
          <w:color w:val="auto"/>
          <w:sz w:val="24"/>
          <w:highlight w:val="none"/>
        </w:rPr>
        <w:t>日期：    年   月   日</w:t>
      </w:r>
    </w:p>
    <w:p w14:paraId="379EF752">
      <w:pPr>
        <w:outlineLvl w:val="9"/>
        <w:rPr>
          <w:color w:val="auto"/>
          <w:sz w:val="24"/>
          <w:szCs w:val="24"/>
          <w:highlight w:val="none"/>
        </w:rPr>
      </w:pPr>
    </w:p>
    <w:bookmarkEnd w:id="135"/>
    <w:p w14:paraId="58968E1C">
      <w:pPr>
        <w:pageBreakBefore/>
        <w:spacing w:before="260" w:after="260" w:line="415" w:lineRule="auto"/>
        <w:outlineLvl w:val="1"/>
        <w:rPr>
          <w:rFonts w:ascii="宋体" w:hAnsi="宋体" w:cs="宋体"/>
          <w:bCs/>
          <w:color w:val="auto"/>
          <w:sz w:val="24"/>
          <w:highlight w:val="none"/>
        </w:rPr>
      </w:pPr>
      <w:bookmarkStart w:id="138" w:name="_Toc496599001"/>
      <w:bookmarkStart w:id="139" w:name="_Toc7943"/>
      <w:bookmarkStart w:id="140" w:name="_Toc32449"/>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十九</w:t>
      </w:r>
      <w:r>
        <w:rPr>
          <w:rFonts w:hint="eastAsia" w:ascii="宋体" w:hAnsi="宋体" w:cs="宋体"/>
          <w:bCs/>
          <w:color w:val="auto"/>
          <w:sz w:val="24"/>
          <w:highlight w:val="none"/>
        </w:rPr>
        <w:t>：</w:t>
      </w:r>
      <w:bookmarkEnd w:id="138"/>
      <w:r>
        <w:rPr>
          <w:rFonts w:hint="eastAsia" w:ascii="宋体" w:hAnsi="宋体" w:cs="宋体"/>
          <w:bCs/>
          <w:color w:val="auto"/>
          <w:sz w:val="24"/>
          <w:highlight w:val="none"/>
        </w:rPr>
        <w:t>东阳市采购项目验收方案（投标时无需提供）</w:t>
      </w:r>
      <w:bookmarkEnd w:id="139"/>
      <w:bookmarkEnd w:id="140"/>
    </w:p>
    <w:p w14:paraId="46F8F9E6">
      <w:pPr>
        <w:spacing w:after="120"/>
        <w:jc w:val="center"/>
        <w:rPr>
          <w:rFonts w:ascii="宋体" w:hAnsi="宋体" w:cs="宋体"/>
          <w:b/>
          <w:color w:val="auto"/>
          <w:sz w:val="24"/>
          <w:highlight w:val="none"/>
        </w:rPr>
      </w:pPr>
      <w:r>
        <w:rPr>
          <w:rFonts w:hint="eastAsia" w:ascii="宋体" w:hAnsi="宋体" w:cs="宋体"/>
          <w:b/>
          <w:color w:val="auto"/>
          <w:sz w:val="24"/>
          <w:highlight w:val="none"/>
        </w:rPr>
        <w:t>东阳市采购项目验收方案</w:t>
      </w:r>
    </w:p>
    <w:p w14:paraId="4371296E">
      <w:pPr>
        <w:spacing w:beforeLines="50" w:afterLines="5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根据《政府采购法》及东阳市政府采购办东财预〔2009〕98号《关于加强政府采购管理工作的补充规定》等有关文件规定，为做好</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采购项目的验收管理工作，特制定本项目验收方案，具体如下。</w:t>
      </w:r>
    </w:p>
    <w:p w14:paraId="16DDBDC6">
      <w:pPr>
        <w:spacing w:after="120"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一、验收项目说明</w:t>
      </w:r>
    </w:p>
    <w:p w14:paraId="2C6F301A">
      <w:pPr>
        <w:spacing w:after="120"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 xml:space="preserve">1、招标编号：               </w:t>
      </w:r>
    </w:p>
    <w:p w14:paraId="7EDC5448">
      <w:pPr>
        <w:spacing w:after="120"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2、采购内容：</w:t>
      </w:r>
    </w:p>
    <w:p w14:paraId="3777BE7A">
      <w:pPr>
        <w:spacing w:after="120" w:line="360" w:lineRule="auto"/>
        <w:rPr>
          <w:rFonts w:ascii="宋体" w:hAnsi="宋体" w:cs="宋体"/>
          <w:b/>
          <w:color w:val="auto"/>
          <w:sz w:val="24"/>
          <w:highlight w:val="none"/>
        </w:rPr>
      </w:pPr>
    </w:p>
    <w:p w14:paraId="1085DA32">
      <w:pPr>
        <w:spacing w:after="120"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二、验收小组人员</w:t>
      </w:r>
    </w:p>
    <w:p w14:paraId="6718A35F">
      <w:pPr>
        <w:spacing w:after="120"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1、本次验收由</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rPr>
        <w:t>组织。</w:t>
      </w:r>
    </w:p>
    <w:p w14:paraId="1AB861A6">
      <w:pPr>
        <w:spacing w:after="120" w:line="360" w:lineRule="auto"/>
        <w:ind w:firstLine="472" w:firstLineChars="196"/>
        <w:rPr>
          <w:rFonts w:ascii="宋体" w:hAnsi="宋体" w:cs="宋体"/>
          <w:b/>
          <w:color w:val="auto"/>
          <w:sz w:val="24"/>
          <w:highlight w:val="none"/>
          <w:u w:val="single"/>
        </w:rPr>
      </w:pPr>
      <w:r>
        <w:rPr>
          <w:rFonts w:hint="eastAsia" w:ascii="宋体" w:hAnsi="宋体" w:cs="宋体"/>
          <w:b/>
          <w:color w:val="auto"/>
          <w:sz w:val="24"/>
          <w:highlight w:val="none"/>
        </w:rPr>
        <w:t>2、验收小组成员名单：</w:t>
      </w:r>
      <w:r>
        <w:rPr>
          <w:rFonts w:hint="eastAsia" w:ascii="宋体" w:hAnsi="宋体" w:cs="宋体"/>
          <w:b/>
          <w:color w:val="auto"/>
          <w:sz w:val="24"/>
          <w:highlight w:val="none"/>
          <w:u w:val="single"/>
        </w:rPr>
        <w:t xml:space="preserve">                                                       </w:t>
      </w:r>
    </w:p>
    <w:p w14:paraId="1EDD68C2">
      <w:pPr>
        <w:spacing w:after="120"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3、验收小组成员签名：</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 xml:space="preserve">                                                                        </w:t>
      </w:r>
    </w:p>
    <w:p w14:paraId="35642245">
      <w:pPr>
        <w:spacing w:after="120"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三、验收方法与内容</w:t>
      </w:r>
    </w:p>
    <w:p w14:paraId="561C1258">
      <w:pPr>
        <w:spacing w:after="120" w:line="360" w:lineRule="auto"/>
        <w:rPr>
          <w:rFonts w:ascii="宋体" w:hAnsi="宋体" w:cs="宋体"/>
          <w:b/>
          <w:color w:val="auto"/>
          <w:sz w:val="24"/>
          <w:highlight w:val="none"/>
        </w:rPr>
      </w:pPr>
    </w:p>
    <w:p w14:paraId="0C088AAA">
      <w:pPr>
        <w:spacing w:after="120"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四、验收时间</w:t>
      </w:r>
    </w:p>
    <w:p w14:paraId="5DEAAB71">
      <w:pPr>
        <w:spacing w:after="120" w:line="360" w:lineRule="auto"/>
        <w:rPr>
          <w:rFonts w:ascii="宋体" w:hAnsi="宋体" w:cs="宋体"/>
          <w:b/>
          <w:color w:val="auto"/>
          <w:sz w:val="24"/>
          <w:highlight w:val="none"/>
        </w:rPr>
      </w:pPr>
    </w:p>
    <w:p w14:paraId="6B97A60D">
      <w:pPr>
        <w:spacing w:after="120"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五、验收地点</w:t>
      </w:r>
    </w:p>
    <w:p w14:paraId="0E099C6A">
      <w:pPr>
        <w:spacing w:after="120" w:line="360" w:lineRule="auto"/>
        <w:rPr>
          <w:rFonts w:ascii="宋体" w:hAnsi="宋体" w:cs="宋体"/>
          <w:b/>
          <w:color w:val="auto"/>
          <w:sz w:val="24"/>
          <w:highlight w:val="none"/>
        </w:rPr>
      </w:pPr>
    </w:p>
    <w:p w14:paraId="17C66196">
      <w:pPr>
        <w:spacing w:after="120"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六、验收程序</w:t>
      </w:r>
    </w:p>
    <w:p w14:paraId="7C1B78F8">
      <w:pPr>
        <w:spacing w:after="120" w:line="360" w:lineRule="auto"/>
        <w:ind w:left="479" w:leftChars="228" w:firstLine="470" w:firstLineChars="195"/>
        <w:rPr>
          <w:rFonts w:ascii="宋体" w:hAnsi="宋体" w:cs="宋体"/>
          <w:b/>
          <w:color w:val="auto"/>
          <w:sz w:val="24"/>
          <w:highlight w:val="none"/>
        </w:rPr>
      </w:pPr>
    </w:p>
    <w:p w14:paraId="672B5B07">
      <w:pPr>
        <w:spacing w:after="120" w:line="360" w:lineRule="auto"/>
        <w:ind w:left="479" w:leftChars="228" w:firstLine="470" w:firstLineChars="195"/>
        <w:rPr>
          <w:rFonts w:ascii="宋体" w:hAnsi="宋体" w:cs="宋体"/>
          <w:b/>
          <w:color w:val="auto"/>
          <w:sz w:val="24"/>
          <w:highlight w:val="none"/>
        </w:rPr>
      </w:pPr>
    </w:p>
    <w:p w14:paraId="2FA53DD2">
      <w:pPr>
        <w:spacing w:after="120" w:line="360" w:lineRule="auto"/>
        <w:ind w:right="-6"/>
        <w:rPr>
          <w:rFonts w:ascii="宋体" w:hAnsi="宋体" w:cs="宋体"/>
          <w:b/>
          <w:color w:val="auto"/>
          <w:sz w:val="24"/>
          <w:highlight w:val="none"/>
        </w:rPr>
      </w:pPr>
      <w:r>
        <w:rPr>
          <w:rFonts w:hint="eastAsia" w:ascii="宋体" w:hAnsi="宋体" w:cs="宋体"/>
          <w:b/>
          <w:color w:val="auto"/>
          <w:sz w:val="24"/>
          <w:highlight w:val="none"/>
        </w:rPr>
        <w:t xml:space="preserve">                                            采购单位（盖章）：</w:t>
      </w:r>
    </w:p>
    <w:p w14:paraId="6307F396">
      <w:pPr>
        <w:spacing w:after="120" w:line="360" w:lineRule="auto"/>
        <w:ind w:right="960" w:firstLine="470" w:firstLineChars="196"/>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7F9721D6">
      <w:pPr>
        <w:rPr>
          <w:rFonts w:hint="eastAsia" w:ascii="宋体" w:hAnsi="宋体" w:cs="宋体"/>
          <w:color w:val="auto"/>
          <w:sz w:val="24"/>
          <w:highlight w:val="none"/>
        </w:rPr>
      </w:pPr>
      <w:r>
        <w:rPr>
          <w:rFonts w:hint="eastAsia" w:ascii="宋体" w:hAnsi="宋体" w:cs="宋体"/>
          <w:color w:val="auto"/>
          <w:sz w:val="24"/>
          <w:highlight w:val="none"/>
        </w:rPr>
        <w:br w:type="page"/>
      </w:r>
    </w:p>
    <w:p w14:paraId="7B4D1D61">
      <w:pPr>
        <w:pStyle w:val="47"/>
        <w:jc w:val="left"/>
        <w:rPr>
          <w:rFonts w:hint="eastAsia"/>
          <w:b/>
          <w:bCs/>
          <w:sz w:val="28"/>
          <w:szCs w:val="28"/>
          <w:lang w:eastAsia="zh-CN"/>
        </w:rPr>
      </w:pPr>
      <w:r>
        <w:rPr>
          <w:rFonts w:hint="eastAsia"/>
          <w:b/>
          <w:bCs/>
          <w:sz w:val="28"/>
          <w:szCs w:val="28"/>
          <w:lang w:eastAsia="zh-CN"/>
        </w:rPr>
        <w:t>附件二十：预算审核编制说明及工程量清单</w:t>
      </w:r>
    </w:p>
    <w:p w14:paraId="4B7C01E2">
      <w:pPr>
        <w:rPr>
          <w:rFonts w:hint="eastAsia"/>
          <w:lang w:eastAsia="zh-CN"/>
        </w:rPr>
      </w:pPr>
    </w:p>
    <w:p w14:paraId="36483613">
      <w:r>
        <w:drawing>
          <wp:inline distT="0" distB="0" distL="114300" distR="114300">
            <wp:extent cx="5133975" cy="72199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133975" cy="7219950"/>
                    </a:xfrm>
                    <a:prstGeom prst="rect">
                      <a:avLst/>
                    </a:prstGeom>
                    <a:noFill/>
                    <a:ln>
                      <a:noFill/>
                    </a:ln>
                  </pic:spPr>
                </pic:pic>
              </a:graphicData>
            </a:graphic>
          </wp:inline>
        </w:drawing>
      </w:r>
      <w:r>
        <w:drawing>
          <wp:inline distT="0" distB="0" distL="114300" distR="114300">
            <wp:extent cx="5172075" cy="7229475"/>
            <wp:effectExtent l="0" t="0" r="9525" b="952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3"/>
                    <a:stretch>
                      <a:fillRect/>
                    </a:stretch>
                  </pic:blipFill>
                  <pic:spPr>
                    <a:xfrm>
                      <a:off x="0" y="0"/>
                      <a:ext cx="5172075" cy="7229475"/>
                    </a:xfrm>
                    <a:prstGeom prst="rect">
                      <a:avLst/>
                    </a:prstGeom>
                    <a:noFill/>
                    <a:ln>
                      <a:noFill/>
                    </a:ln>
                  </pic:spPr>
                </pic:pic>
              </a:graphicData>
            </a:graphic>
          </wp:inline>
        </w:drawing>
      </w:r>
    </w:p>
    <w:p w14:paraId="65544896">
      <w:pPr>
        <w:pStyle w:val="37"/>
        <w:ind w:left="0" w:leftChars="0" w:firstLine="0" w:firstLineChars="0"/>
        <w:rPr>
          <w:rFonts w:hint="default" w:ascii="宋体" w:hAnsi="宋体" w:eastAsia="宋体" w:cs="宋体"/>
          <w:b w:val="0"/>
          <w:sz w:val="24"/>
          <w:lang w:val="en-US" w:eastAsia="zh-CN"/>
        </w:rPr>
      </w:pPr>
      <w:r>
        <w:rPr>
          <w:b/>
          <w:sz w:val="28"/>
        </w:rPr>
        <w:t>（详见公告附件）</w:t>
      </w:r>
    </w:p>
    <w:p w14:paraId="12587B44"/>
    <w:p w14:paraId="15ECEE90">
      <w:pPr>
        <w:rPr>
          <w:rFonts w:hint="eastAsia"/>
          <w:lang w:eastAsia="zh-CN"/>
        </w:rPr>
      </w:pPr>
      <w:r>
        <w:rPr>
          <w:rFonts w:hint="eastAsia"/>
          <w:lang w:eastAsia="zh-CN"/>
        </w:rPr>
        <w:br w:type="page"/>
      </w:r>
    </w:p>
    <w:p w14:paraId="4C5471E4">
      <w:pPr>
        <w:rPr>
          <w:b/>
          <w:sz w:val="28"/>
        </w:rPr>
      </w:pPr>
      <w:r>
        <w:rPr>
          <w:rFonts w:hint="eastAsia"/>
          <w:b/>
          <w:bCs/>
          <w:sz w:val="28"/>
          <w:szCs w:val="28"/>
          <w:lang w:eastAsia="zh-CN"/>
        </w:rPr>
        <w:t>附件二十一：图纸</w:t>
      </w:r>
    </w:p>
    <w:p w14:paraId="52B76E9B">
      <w:pPr>
        <w:pStyle w:val="47"/>
        <w:jc w:val="left"/>
        <w:rPr>
          <w:rFonts w:hint="eastAsia" w:eastAsia="宋体"/>
          <w:b/>
          <w:bCs/>
          <w:sz w:val="28"/>
          <w:szCs w:val="28"/>
          <w:lang w:eastAsia="zh-CN"/>
        </w:rPr>
      </w:pPr>
    </w:p>
    <w:p w14:paraId="7A016677">
      <w:pPr>
        <w:rPr>
          <w:rFonts w:hint="eastAsia"/>
          <w:lang w:eastAsia="zh-CN"/>
        </w:rPr>
      </w:pPr>
    </w:p>
    <w:tbl>
      <w:tblPr>
        <w:tblStyle w:val="39"/>
        <w:tblW w:w="0" w:type="auto"/>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748"/>
        <w:gridCol w:w="5846"/>
      </w:tblGrid>
      <w:tr w14:paraId="6FE5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65" w:type="dxa"/>
            <w:noWrap w:val="0"/>
            <w:vAlign w:val="top"/>
          </w:tcPr>
          <w:p w14:paraId="6065B17B">
            <w:pPr>
              <w:jc w:val="center"/>
              <w:rPr>
                <w:sz w:val="24"/>
                <w:highlight w:val="none"/>
              </w:rPr>
            </w:pPr>
            <w:r>
              <w:rPr>
                <w:rFonts w:hint="eastAsia"/>
                <w:sz w:val="24"/>
                <w:highlight w:val="none"/>
              </w:rPr>
              <w:t>序号</w:t>
            </w:r>
          </w:p>
        </w:tc>
        <w:tc>
          <w:tcPr>
            <w:tcW w:w="1748" w:type="dxa"/>
            <w:noWrap w:val="0"/>
            <w:vAlign w:val="top"/>
          </w:tcPr>
          <w:p w14:paraId="03283158">
            <w:pPr>
              <w:jc w:val="center"/>
              <w:rPr>
                <w:sz w:val="24"/>
                <w:highlight w:val="none"/>
              </w:rPr>
            </w:pPr>
            <w:r>
              <w:rPr>
                <w:rFonts w:hint="eastAsia"/>
                <w:sz w:val="24"/>
                <w:highlight w:val="none"/>
              </w:rPr>
              <w:t>图号</w:t>
            </w:r>
          </w:p>
        </w:tc>
        <w:tc>
          <w:tcPr>
            <w:tcW w:w="5846" w:type="dxa"/>
            <w:noWrap w:val="0"/>
            <w:vAlign w:val="top"/>
          </w:tcPr>
          <w:p w14:paraId="79636220">
            <w:pPr>
              <w:jc w:val="center"/>
              <w:rPr>
                <w:sz w:val="24"/>
                <w:highlight w:val="none"/>
              </w:rPr>
            </w:pPr>
            <w:r>
              <w:rPr>
                <w:rFonts w:hint="eastAsia"/>
                <w:sz w:val="24"/>
                <w:highlight w:val="none"/>
              </w:rPr>
              <w:t>图名</w:t>
            </w:r>
          </w:p>
        </w:tc>
      </w:tr>
      <w:tr w14:paraId="23F7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65" w:type="dxa"/>
            <w:noWrap w:val="0"/>
            <w:vAlign w:val="center"/>
          </w:tcPr>
          <w:p w14:paraId="08199E45">
            <w:pPr>
              <w:jc w:val="left"/>
              <w:rPr>
                <w:rFonts w:hint="eastAsia"/>
                <w:b w:val="0"/>
                <w:bCs w:val="0"/>
                <w:sz w:val="24"/>
                <w:highlight w:val="none"/>
              </w:rPr>
            </w:pPr>
            <w:r>
              <w:rPr>
                <w:rFonts w:hint="eastAsia"/>
                <w:b w:val="0"/>
                <w:bCs w:val="0"/>
                <w:sz w:val="24"/>
                <w:highlight w:val="none"/>
              </w:rPr>
              <w:t>1</w:t>
            </w:r>
          </w:p>
        </w:tc>
        <w:tc>
          <w:tcPr>
            <w:tcW w:w="1748" w:type="dxa"/>
            <w:noWrap w:val="0"/>
            <w:vAlign w:val="center"/>
          </w:tcPr>
          <w:p w14:paraId="32373F68">
            <w:pPr>
              <w:jc w:val="left"/>
              <w:rPr>
                <w:rFonts w:hint="default" w:eastAsia="宋体"/>
                <w:b w:val="0"/>
                <w:bCs w:val="0"/>
                <w:sz w:val="24"/>
                <w:highlight w:val="none"/>
                <w:lang w:val="en-US" w:eastAsia="zh-CN"/>
              </w:rPr>
            </w:pPr>
            <w:r>
              <w:rPr>
                <w:rFonts w:hint="eastAsia"/>
                <w:b w:val="0"/>
                <w:bCs w:val="0"/>
                <w:sz w:val="24"/>
                <w:highlight w:val="none"/>
                <w:lang w:val="en-US" w:eastAsia="zh-CN"/>
              </w:rPr>
              <w:t>HFLYS-01</w:t>
            </w:r>
          </w:p>
        </w:tc>
        <w:tc>
          <w:tcPr>
            <w:tcW w:w="5846" w:type="dxa"/>
            <w:noWrap w:val="0"/>
            <w:vAlign w:val="top"/>
          </w:tcPr>
          <w:p w14:paraId="3C8E09E1">
            <w:pPr>
              <w:jc w:val="left"/>
              <w:rPr>
                <w:rFonts w:hint="default"/>
                <w:b w:val="0"/>
                <w:bCs w:val="0"/>
                <w:sz w:val="24"/>
                <w:highlight w:val="none"/>
                <w:lang w:val="en-US" w:eastAsia="zh-CN"/>
              </w:rPr>
            </w:pPr>
            <w:r>
              <w:rPr>
                <w:rFonts w:hint="eastAsia"/>
                <w:b w:val="0"/>
                <w:bCs w:val="0"/>
                <w:sz w:val="24"/>
                <w:highlight w:val="none"/>
                <w:lang w:val="en-US" w:eastAsia="zh-CN"/>
              </w:rPr>
              <w:t>设计说明</w:t>
            </w:r>
          </w:p>
        </w:tc>
      </w:tr>
      <w:tr w14:paraId="3292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65" w:type="dxa"/>
            <w:noWrap w:val="0"/>
            <w:vAlign w:val="center"/>
          </w:tcPr>
          <w:p w14:paraId="0C25001A">
            <w:pPr>
              <w:jc w:val="left"/>
              <w:rPr>
                <w:rFonts w:hint="eastAsia"/>
                <w:b w:val="0"/>
                <w:bCs w:val="0"/>
                <w:sz w:val="24"/>
                <w:highlight w:val="none"/>
              </w:rPr>
            </w:pPr>
            <w:r>
              <w:rPr>
                <w:rFonts w:hint="eastAsia"/>
                <w:b w:val="0"/>
                <w:bCs w:val="0"/>
                <w:sz w:val="24"/>
                <w:highlight w:val="none"/>
              </w:rPr>
              <w:t>2</w:t>
            </w:r>
          </w:p>
        </w:tc>
        <w:tc>
          <w:tcPr>
            <w:tcW w:w="1748" w:type="dxa"/>
            <w:noWrap w:val="0"/>
            <w:vAlign w:val="center"/>
          </w:tcPr>
          <w:p w14:paraId="67C12517">
            <w:pPr>
              <w:jc w:val="left"/>
              <w:rPr>
                <w:rFonts w:hint="default"/>
                <w:b w:val="0"/>
                <w:bCs w:val="0"/>
                <w:sz w:val="24"/>
                <w:highlight w:val="none"/>
                <w:lang w:val="en-US"/>
              </w:rPr>
            </w:pPr>
            <w:r>
              <w:rPr>
                <w:rFonts w:hint="eastAsia"/>
                <w:b w:val="0"/>
                <w:bCs w:val="0"/>
                <w:sz w:val="24"/>
                <w:highlight w:val="none"/>
                <w:lang w:val="en-US" w:eastAsia="zh-CN"/>
              </w:rPr>
              <w:t>HFLYS-02</w:t>
            </w:r>
          </w:p>
        </w:tc>
        <w:tc>
          <w:tcPr>
            <w:tcW w:w="5846" w:type="dxa"/>
            <w:noWrap w:val="0"/>
            <w:vAlign w:val="top"/>
          </w:tcPr>
          <w:p w14:paraId="7B8E6E13">
            <w:pPr>
              <w:jc w:val="left"/>
              <w:rPr>
                <w:rFonts w:hint="default"/>
                <w:b w:val="0"/>
                <w:bCs w:val="0"/>
                <w:sz w:val="24"/>
                <w:highlight w:val="none"/>
                <w:lang w:val="en-US" w:eastAsia="zh-CN"/>
              </w:rPr>
            </w:pPr>
            <w:r>
              <w:rPr>
                <w:rFonts w:hint="eastAsia"/>
                <w:b w:val="0"/>
                <w:bCs w:val="0"/>
                <w:sz w:val="24"/>
                <w:highlight w:val="none"/>
                <w:lang w:val="en-US" w:eastAsia="zh-CN"/>
              </w:rPr>
              <w:t>材料清册</w:t>
            </w:r>
          </w:p>
        </w:tc>
      </w:tr>
      <w:tr w14:paraId="16B2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65" w:type="dxa"/>
            <w:noWrap w:val="0"/>
            <w:vAlign w:val="center"/>
          </w:tcPr>
          <w:p w14:paraId="166EB0F6">
            <w:pPr>
              <w:jc w:val="left"/>
              <w:rPr>
                <w:rFonts w:hint="eastAsia"/>
                <w:b w:val="0"/>
                <w:bCs w:val="0"/>
                <w:sz w:val="24"/>
                <w:highlight w:val="none"/>
              </w:rPr>
            </w:pPr>
            <w:r>
              <w:rPr>
                <w:rFonts w:hint="eastAsia"/>
                <w:b w:val="0"/>
                <w:bCs w:val="0"/>
                <w:sz w:val="24"/>
                <w:highlight w:val="none"/>
              </w:rPr>
              <w:t>3</w:t>
            </w:r>
          </w:p>
        </w:tc>
        <w:tc>
          <w:tcPr>
            <w:tcW w:w="1748" w:type="dxa"/>
            <w:noWrap w:val="0"/>
            <w:vAlign w:val="center"/>
          </w:tcPr>
          <w:p w14:paraId="4BF3D8D6">
            <w:pPr>
              <w:jc w:val="left"/>
              <w:rPr>
                <w:rFonts w:hint="default"/>
                <w:b w:val="0"/>
                <w:bCs w:val="0"/>
                <w:sz w:val="24"/>
                <w:highlight w:val="none"/>
                <w:lang w:val="en-US"/>
              </w:rPr>
            </w:pPr>
            <w:r>
              <w:rPr>
                <w:rFonts w:hint="eastAsia"/>
                <w:b w:val="0"/>
                <w:bCs w:val="0"/>
                <w:sz w:val="24"/>
                <w:highlight w:val="none"/>
                <w:lang w:val="en-US" w:eastAsia="zh-CN"/>
              </w:rPr>
              <w:t>HFLYS-03</w:t>
            </w:r>
          </w:p>
        </w:tc>
        <w:tc>
          <w:tcPr>
            <w:tcW w:w="5846" w:type="dxa"/>
            <w:noWrap w:val="0"/>
            <w:vAlign w:val="top"/>
          </w:tcPr>
          <w:p w14:paraId="6981A620">
            <w:pPr>
              <w:jc w:val="left"/>
              <w:rPr>
                <w:rFonts w:hint="default"/>
                <w:b w:val="0"/>
                <w:bCs w:val="0"/>
                <w:sz w:val="24"/>
                <w:highlight w:val="none"/>
                <w:lang w:val="en-US" w:eastAsia="zh-CN"/>
              </w:rPr>
            </w:pPr>
            <w:r>
              <w:rPr>
                <w:rFonts w:hint="eastAsia"/>
                <w:b w:val="0"/>
                <w:bCs w:val="0"/>
                <w:sz w:val="24"/>
                <w:highlight w:val="none"/>
                <w:lang w:val="en-US" w:eastAsia="zh-CN"/>
              </w:rPr>
              <w:t>线路走向示意图</w:t>
            </w:r>
          </w:p>
        </w:tc>
      </w:tr>
      <w:tr w14:paraId="345B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65" w:type="dxa"/>
            <w:noWrap w:val="0"/>
            <w:vAlign w:val="center"/>
          </w:tcPr>
          <w:p w14:paraId="221E1ECF">
            <w:pPr>
              <w:jc w:val="left"/>
              <w:rPr>
                <w:rFonts w:hint="eastAsia"/>
                <w:b w:val="0"/>
                <w:bCs w:val="0"/>
                <w:sz w:val="24"/>
                <w:highlight w:val="none"/>
              </w:rPr>
            </w:pPr>
            <w:r>
              <w:rPr>
                <w:rFonts w:hint="eastAsia"/>
                <w:b w:val="0"/>
                <w:bCs w:val="0"/>
                <w:sz w:val="24"/>
                <w:highlight w:val="none"/>
              </w:rPr>
              <w:t>4</w:t>
            </w:r>
          </w:p>
        </w:tc>
        <w:tc>
          <w:tcPr>
            <w:tcW w:w="1748" w:type="dxa"/>
            <w:noWrap w:val="0"/>
            <w:vAlign w:val="center"/>
          </w:tcPr>
          <w:p w14:paraId="75C7478D">
            <w:pPr>
              <w:jc w:val="left"/>
              <w:rPr>
                <w:rFonts w:hint="default"/>
                <w:b w:val="0"/>
                <w:bCs w:val="0"/>
                <w:sz w:val="24"/>
                <w:highlight w:val="none"/>
                <w:lang w:val="en-US"/>
              </w:rPr>
            </w:pPr>
            <w:r>
              <w:rPr>
                <w:rFonts w:hint="eastAsia"/>
                <w:b w:val="0"/>
                <w:bCs w:val="0"/>
                <w:sz w:val="24"/>
                <w:highlight w:val="none"/>
                <w:lang w:val="en-US" w:eastAsia="zh-CN"/>
              </w:rPr>
              <w:t>HFLYS-04</w:t>
            </w:r>
          </w:p>
        </w:tc>
        <w:tc>
          <w:tcPr>
            <w:tcW w:w="5846" w:type="dxa"/>
            <w:noWrap w:val="0"/>
            <w:vAlign w:val="top"/>
          </w:tcPr>
          <w:p w14:paraId="0E8DE052">
            <w:pPr>
              <w:jc w:val="left"/>
              <w:rPr>
                <w:rFonts w:hint="default"/>
                <w:b w:val="0"/>
                <w:bCs w:val="0"/>
                <w:sz w:val="24"/>
                <w:highlight w:val="none"/>
                <w:lang w:val="en-US" w:eastAsia="zh-CN"/>
              </w:rPr>
            </w:pPr>
            <w:r>
              <w:rPr>
                <w:rFonts w:hint="eastAsia"/>
                <w:b w:val="0"/>
                <w:bCs w:val="0"/>
                <w:sz w:val="24"/>
                <w:highlight w:val="none"/>
                <w:lang w:val="en-US" w:eastAsia="zh-CN"/>
              </w:rPr>
              <w:t>管道走向示意图</w:t>
            </w:r>
          </w:p>
        </w:tc>
      </w:tr>
      <w:tr w14:paraId="1AE2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65" w:type="dxa"/>
            <w:noWrap w:val="0"/>
            <w:vAlign w:val="center"/>
          </w:tcPr>
          <w:p w14:paraId="50F721BB">
            <w:pPr>
              <w:jc w:val="left"/>
              <w:rPr>
                <w:rFonts w:hint="eastAsia"/>
                <w:b w:val="0"/>
                <w:bCs w:val="0"/>
                <w:sz w:val="24"/>
                <w:highlight w:val="none"/>
              </w:rPr>
            </w:pPr>
            <w:r>
              <w:rPr>
                <w:rFonts w:hint="eastAsia"/>
                <w:b w:val="0"/>
                <w:bCs w:val="0"/>
                <w:sz w:val="24"/>
                <w:highlight w:val="none"/>
              </w:rPr>
              <w:t>5</w:t>
            </w:r>
          </w:p>
        </w:tc>
        <w:tc>
          <w:tcPr>
            <w:tcW w:w="1748" w:type="dxa"/>
            <w:noWrap w:val="0"/>
            <w:vAlign w:val="center"/>
          </w:tcPr>
          <w:p w14:paraId="7DA5C683">
            <w:pPr>
              <w:jc w:val="left"/>
              <w:rPr>
                <w:rFonts w:hint="default"/>
                <w:b w:val="0"/>
                <w:bCs w:val="0"/>
                <w:sz w:val="24"/>
                <w:highlight w:val="none"/>
                <w:lang w:val="en-US" w:eastAsia="zh-CN"/>
              </w:rPr>
            </w:pPr>
            <w:r>
              <w:rPr>
                <w:rFonts w:hint="eastAsia"/>
                <w:b w:val="0"/>
                <w:bCs w:val="0"/>
                <w:sz w:val="24"/>
                <w:highlight w:val="none"/>
                <w:lang w:val="en-US" w:eastAsia="zh-CN"/>
              </w:rPr>
              <w:t>HFLYS-05</w:t>
            </w:r>
          </w:p>
        </w:tc>
        <w:tc>
          <w:tcPr>
            <w:tcW w:w="5846" w:type="dxa"/>
            <w:noWrap w:val="0"/>
            <w:vAlign w:val="top"/>
          </w:tcPr>
          <w:p w14:paraId="7E6D167E">
            <w:pPr>
              <w:jc w:val="left"/>
              <w:rPr>
                <w:rFonts w:hint="default"/>
                <w:b w:val="0"/>
                <w:bCs w:val="0"/>
                <w:sz w:val="24"/>
                <w:highlight w:val="none"/>
                <w:lang w:val="en-US" w:eastAsia="zh-CN"/>
              </w:rPr>
            </w:pPr>
            <w:r>
              <w:rPr>
                <w:rFonts w:hint="eastAsia"/>
                <w:b w:val="0"/>
                <w:bCs w:val="0"/>
                <w:sz w:val="24"/>
                <w:highlight w:val="none"/>
                <w:lang w:val="en-US" w:eastAsia="zh-CN"/>
              </w:rPr>
              <w:t>非开挖拉管示意图</w:t>
            </w:r>
          </w:p>
        </w:tc>
      </w:tr>
      <w:tr w14:paraId="5A2D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65" w:type="dxa"/>
            <w:noWrap w:val="0"/>
            <w:vAlign w:val="center"/>
          </w:tcPr>
          <w:p w14:paraId="5F3B2302">
            <w:pPr>
              <w:jc w:val="left"/>
              <w:rPr>
                <w:rFonts w:hint="eastAsia"/>
                <w:b w:val="0"/>
                <w:bCs w:val="0"/>
                <w:sz w:val="24"/>
                <w:highlight w:val="none"/>
              </w:rPr>
            </w:pPr>
            <w:r>
              <w:rPr>
                <w:rFonts w:hint="eastAsia"/>
                <w:b w:val="0"/>
                <w:bCs w:val="0"/>
                <w:sz w:val="24"/>
                <w:highlight w:val="none"/>
              </w:rPr>
              <w:t>6</w:t>
            </w:r>
          </w:p>
        </w:tc>
        <w:tc>
          <w:tcPr>
            <w:tcW w:w="1748" w:type="dxa"/>
            <w:noWrap w:val="0"/>
            <w:vAlign w:val="center"/>
          </w:tcPr>
          <w:p w14:paraId="3163ADD4">
            <w:pPr>
              <w:jc w:val="left"/>
              <w:rPr>
                <w:rFonts w:hint="default"/>
                <w:b w:val="0"/>
                <w:bCs w:val="0"/>
                <w:sz w:val="24"/>
                <w:highlight w:val="none"/>
                <w:lang w:val="en-US" w:eastAsia="zh-CN"/>
              </w:rPr>
            </w:pPr>
            <w:r>
              <w:rPr>
                <w:rFonts w:hint="eastAsia"/>
                <w:b w:val="0"/>
                <w:bCs w:val="0"/>
                <w:sz w:val="24"/>
                <w:highlight w:val="none"/>
                <w:lang w:val="en-US" w:eastAsia="zh-CN"/>
              </w:rPr>
              <w:t>HFLYS-06</w:t>
            </w:r>
          </w:p>
        </w:tc>
        <w:tc>
          <w:tcPr>
            <w:tcW w:w="5846" w:type="dxa"/>
            <w:noWrap w:val="0"/>
            <w:vAlign w:val="top"/>
          </w:tcPr>
          <w:p w14:paraId="02B1A4CA">
            <w:pPr>
              <w:jc w:val="left"/>
              <w:rPr>
                <w:rFonts w:hint="default"/>
                <w:b w:val="0"/>
                <w:bCs w:val="0"/>
                <w:sz w:val="24"/>
                <w:highlight w:val="none"/>
                <w:lang w:val="en-US" w:eastAsia="zh-CN"/>
              </w:rPr>
            </w:pPr>
            <w:r>
              <w:rPr>
                <w:rFonts w:hint="eastAsia"/>
                <w:b w:val="0"/>
                <w:bCs w:val="0"/>
                <w:sz w:val="24"/>
                <w:highlight w:val="none"/>
                <w:lang w:val="en-US" w:eastAsia="zh-CN"/>
              </w:rPr>
              <w:t>CPVC管道施工图</w:t>
            </w:r>
          </w:p>
        </w:tc>
      </w:tr>
      <w:tr w14:paraId="637D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65" w:type="dxa"/>
            <w:noWrap w:val="0"/>
            <w:vAlign w:val="center"/>
          </w:tcPr>
          <w:p w14:paraId="170427B0">
            <w:pPr>
              <w:jc w:val="left"/>
              <w:rPr>
                <w:rFonts w:hint="eastAsia" w:eastAsia="宋体"/>
                <w:b w:val="0"/>
                <w:bCs w:val="0"/>
                <w:sz w:val="24"/>
                <w:highlight w:val="none"/>
                <w:lang w:val="en-US" w:eastAsia="zh-CN"/>
              </w:rPr>
            </w:pPr>
            <w:r>
              <w:rPr>
                <w:rFonts w:hint="eastAsia"/>
                <w:b w:val="0"/>
                <w:bCs w:val="0"/>
                <w:sz w:val="24"/>
                <w:highlight w:val="none"/>
                <w:lang w:val="en-US" w:eastAsia="zh-CN"/>
              </w:rPr>
              <w:t>7</w:t>
            </w:r>
          </w:p>
        </w:tc>
        <w:tc>
          <w:tcPr>
            <w:tcW w:w="1748" w:type="dxa"/>
            <w:noWrap w:val="0"/>
            <w:vAlign w:val="center"/>
          </w:tcPr>
          <w:p w14:paraId="4DF6059F">
            <w:pPr>
              <w:jc w:val="left"/>
              <w:rPr>
                <w:rFonts w:hint="default"/>
                <w:b w:val="0"/>
                <w:bCs w:val="0"/>
                <w:sz w:val="24"/>
                <w:highlight w:val="none"/>
                <w:lang w:val="en-US" w:eastAsia="zh-CN"/>
              </w:rPr>
            </w:pPr>
            <w:r>
              <w:rPr>
                <w:rFonts w:hint="eastAsia"/>
                <w:b w:val="0"/>
                <w:bCs w:val="0"/>
                <w:sz w:val="24"/>
                <w:highlight w:val="none"/>
                <w:lang w:val="en-US" w:eastAsia="zh-CN"/>
              </w:rPr>
              <w:t>HFLYS-07</w:t>
            </w:r>
          </w:p>
        </w:tc>
        <w:tc>
          <w:tcPr>
            <w:tcW w:w="5846" w:type="dxa"/>
            <w:noWrap w:val="0"/>
            <w:vAlign w:val="top"/>
          </w:tcPr>
          <w:p w14:paraId="7F440202">
            <w:pPr>
              <w:jc w:val="left"/>
              <w:rPr>
                <w:rFonts w:hint="default"/>
                <w:b w:val="0"/>
                <w:bCs w:val="0"/>
                <w:sz w:val="24"/>
                <w:highlight w:val="none"/>
                <w:lang w:val="en-US" w:eastAsia="zh-CN"/>
              </w:rPr>
            </w:pPr>
            <w:r>
              <w:rPr>
                <w:rFonts w:hint="eastAsia"/>
                <w:b w:val="0"/>
                <w:bCs w:val="0"/>
                <w:sz w:val="24"/>
                <w:highlight w:val="none"/>
                <w:lang w:val="en-US" w:eastAsia="zh-CN"/>
              </w:rPr>
              <w:t>窨井制作图</w:t>
            </w:r>
          </w:p>
        </w:tc>
      </w:tr>
      <w:tr w14:paraId="15F0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65" w:type="dxa"/>
            <w:noWrap w:val="0"/>
            <w:vAlign w:val="center"/>
          </w:tcPr>
          <w:p w14:paraId="10C3515B">
            <w:pPr>
              <w:jc w:val="left"/>
              <w:rPr>
                <w:rFonts w:hint="eastAsia" w:eastAsia="宋体"/>
                <w:b w:val="0"/>
                <w:bCs w:val="0"/>
                <w:sz w:val="24"/>
                <w:highlight w:val="none"/>
                <w:lang w:val="en-US" w:eastAsia="zh-CN"/>
              </w:rPr>
            </w:pPr>
            <w:r>
              <w:rPr>
                <w:rFonts w:hint="eastAsia"/>
                <w:b w:val="0"/>
                <w:bCs w:val="0"/>
                <w:sz w:val="24"/>
                <w:highlight w:val="none"/>
                <w:lang w:val="en-US" w:eastAsia="zh-CN"/>
              </w:rPr>
              <w:t>8</w:t>
            </w:r>
          </w:p>
        </w:tc>
        <w:tc>
          <w:tcPr>
            <w:tcW w:w="1748" w:type="dxa"/>
            <w:noWrap w:val="0"/>
            <w:vAlign w:val="center"/>
          </w:tcPr>
          <w:p w14:paraId="6674BF54">
            <w:pPr>
              <w:jc w:val="left"/>
              <w:rPr>
                <w:rFonts w:hint="default"/>
                <w:b w:val="0"/>
                <w:bCs w:val="0"/>
                <w:sz w:val="24"/>
                <w:highlight w:val="none"/>
                <w:lang w:val="en-US" w:eastAsia="zh-CN"/>
              </w:rPr>
            </w:pPr>
            <w:r>
              <w:rPr>
                <w:rFonts w:hint="eastAsia"/>
                <w:b w:val="0"/>
                <w:bCs w:val="0"/>
                <w:sz w:val="24"/>
                <w:highlight w:val="none"/>
                <w:lang w:val="en-US" w:eastAsia="zh-CN"/>
              </w:rPr>
              <w:t>HFLYS-08</w:t>
            </w:r>
          </w:p>
        </w:tc>
        <w:tc>
          <w:tcPr>
            <w:tcW w:w="5846" w:type="dxa"/>
            <w:noWrap w:val="0"/>
            <w:vAlign w:val="top"/>
          </w:tcPr>
          <w:p w14:paraId="46E61BA7">
            <w:pPr>
              <w:jc w:val="left"/>
              <w:rPr>
                <w:rFonts w:hint="default"/>
                <w:b w:val="0"/>
                <w:bCs w:val="0"/>
                <w:sz w:val="24"/>
                <w:highlight w:val="none"/>
                <w:lang w:val="en-US" w:eastAsia="zh-CN"/>
              </w:rPr>
            </w:pPr>
            <w:r>
              <w:rPr>
                <w:rFonts w:hint="eastAsia"/>
                <w:b w:val="0"/>
                <w:bCs w:val="0"/>
                <w:sz w:val="24"/>
                <w:highlight w:val="none"/>
                <w:lang w:val="en-US" w:eastAsia="zh-CN"/>
              </w:rPr>
              <w:t>盖板制作图</w:t>
            </w:r>
          </w:p>
        </w:tc>
      </w:tr>
      <w:tr w14:paraId="4BD7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65" w:type="dxa"/>
            <w:noWrap w:val="0"/>
            <w:vAlign w:val="center"/>
          </w:tcPr>
          <w:p w14:paraId="52DE5911">
            <w:pPr>
              <w:jc w:val="left"/>
              <w:rPr>
                <w:rFonts w:hint="eastAsia" w:eastAsia="宋体"/>
                <w:b w:val="0"/>
                <w:bCs w:val="0"/>
                <w:sz w:val="24"/>
                <w:highlight w:val="none"/>
                <w:lang w:val="en-US" w:eastAsia="zh-CN"/>
              </w:rPr>
            </w:pPr>
            <w:r>
              <w:rPr>
                <w:rFonts w:hint="eastAsia"/>
                <w:b w:val="0"/>
                <w:bCs w:val="0"/>
                <w:sz w:val="24"/>
                <w:highlight w:val="none"/>
                <w:lang w:val="en-US" w:eastAsia="zh-CN"/>
              </w:rPr>
              <w:t>9</w:t>
            </w:r>
          </w:p>
        </w:tc>
        <w:tc>
          <w:tcPr>
            <w:tcW w:w="1748" w:type="dxa"/>
            <w:noWrap w:val="0"/>
            <w:vAlign w:val="center"/>
          </w:tcPr>
          <w:p w14:paraId="75506BC6">
            <w:pPr>
              <w:jc w:val="left"/>
              <w:rPr>
                <w:rFonts w:hint="default"/>
                <w:b w:val="0"/>
                <w:bCs w:val="0"/>
                <w:sz w:val="24"/>
                <w:highlight w:val="none"/>
                <w:lang w:val="en-US" w:eastAsia="zh-CN"/>
              </w:rPr>
            </w:pPr>
            <w:r>
              <w:rPr>
                <w:rFonts w:hint="eastAsia"/>
                <w:b w:val="0"/>
                <w:bCs w:val="0"/>
                <w:sz w:val="24"/>
                <w:highlight w:val="none"/>
                <w:lang w:val="en-US" w:eastAsia="zh-CN"/>
              </w:rPr>
              <w:t>HFLYS-09</w:t>
            </w:r>
          </w:p>
        </w:tc>
        <w:tc>
          <w:tcPr>
            <w:tcW w:w="5846" w:type="dxa"/>
            <w:noWrap w:val="0"/>
            <w:vAlign w:val="top"/>
          </w:tcPr>
          <w:p w14:paraId="556CDDB7">
            <w:pPr>
              <w:jc w:val="left"/>
              <w:rPr>
                <w:rFonts w:hint="default"/>
                <w:b w:val="0"/>
                <w:bCs w:val="0"/>
                <w:sz w:val="24"/>
                <w:highlight w:val="none"/>
                <w:lang w:val="en-US" w:eastAsia="zh-CN"/>
              </w:rPr>
            </w:pPr>
            <w:r>
              <w:rPr>
                <w:rFonts w:hint="eastAsia"/>
                <w:b w:val="0"/>
                <w:bCs w:val="0"/>
                <w:sz w:val="24"/>
                <w:highlight w:val="none"/>
                <w:lang w:val="en-US" w:eastAsia="zh-CN"/>
              </w:rPr>
              <w:t>电力电缆标识牌</w:t>
            </w:r>
          </w:p>
        </w:tc>
      </w:tr>
      <w:tr w14:paraId="700A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65" w:type="dxa"/>
            <w:noWrap w:val="0"/>
            <w:vAlign w:val="center"/>
          </w:tcPr>
          <w:p w14:paraId="479DE467">
            <w:pPr>
              <w:jc w:val="left"/>
              <w:rPr>
                <w:rFonts w:hint="default" w:eastAsia="宋体"/>
                <w:b w:val="0"/>
                <w:bCs w:val="0"/>
                <w:sz w:val="24"/>
                <w:highlight w:val="none"/>
                <w:lang w:val="en-US" w:eastAsia="zh-CN"/>
              </w:rPr>
            </w:pPr>
            <w:r>
              <w:rPr>
                <w:rFonts w:hint="eastAsia"/>
                <w:b w:val="0"/>
                <w:bCs w:val="0"/>
                <w:sz w:val="24"/>
                <w:highlight w:val="none"/>
                <w:lang w:val="en-US" w:eastAsia="zh-CN"/>
              </w:rPr>
              <w:t>10</w:t>
            </w:r>
          </w:p>
        </w:tc>
        <w:tc>
          <w:tcPr>
            <w:tcW w:w="1748" w:type="dxa"/>
            <w:noWrap w:val="0"/>
            <w:vAlign w:val="center"/>
          </w:tcPr>
          <w:p w14:paraId="2CE7578C">
            <w:pPr>
              <w:jc w:val="left"/>
              <w:rPr>
                <w:rFonts w:hint="default"/>
                <w:b w:val="0"/>
                <w:bCs w:val="0"/>
                <w:sz w:val="24"/>
                <w:highlight w:val="none"/>
                <w:lang w:val="en-US" w:eastAsia="zh-CN"/>
              </w:rPr>
            </w:pPr>
            <w:r>
              <w:rPr>
                <w:rFonts w:hint="eastAsia"/>
                <w:b w:val="0"/>
                <w:bCs w:val="0"/>
                <w:sz w:val="24"/>
                <w:highlight w:val="none"/>
                <w:lang w:val="en-US" w:eastAsia="zh-CN"/>
              </w:rPr>
              <w:t>HFLYS-10</w:t>
            </w:r>
          </w:p>
        </w:tc>
        <w:tc>
          <w:tcPr>
            <w:tcW w:w="5846" w:type="dxa"/>
            <w:noWrap w:val="0"/>
            <w:vAlign w:val="top"/>
          </w:tcPr>
          <w:p w14:paraId="6039FD6A">
            <w:pPr>
              <w:jc w:val="left"/>
              <w:rPr>
                <w:rFonts w:hint="default"/>
                <w:b w:val="0"/>
                <w:bCs w:val="0"/>
                <w:sz w:val="24"/>
                <w:highlight w:val="none"/>
                <w:lang w:val="en-US" w:eastAsia="zh-CN"/>
              </w:rPr>
            </w:pPr>
            <w:r>
              <w:rPr>
                <w:rFonts w:hint="eastAsia"/>
                <w:b w:val="0"/>
                <w:bCs w:val="0"/>
                <w:sz w:val="24"/>
                <w:highlight w:val="none"/>
                <w:lang w:val="en-US" w:eastAsia="zh-CN"/>
              </w:rPr>
              <w:t>电缆标示牌加工示意图</w:t>
            </w:r>
          </w:p>
        </w:tc>
      </w:tr>
    </w:tbl>
    <w:p w14:paraId="2C917D35">
      <w:pPr>
        <w:pStyle w:val="47"/>
        <w:rPr>
          <w:rFonts w:hint="eastAsia"/>
          <w:lang w:eastAsia="zh-CN"/>
        </w:rPr>
      </w:pPr>
    </w:p>
    <w:p w14:paraId="4831B1B6">
      <w:pPr>
        <w:rPr>
          <w:b/>
          <w:sz w:val="28"/>
        </w:rPr>
      </w:pPr>
      <w:r>
        <w:rPr>
          <w:b/>
          <w:sz w:val="28"/>
        </w:rPr>
        <w:t>（详见公告附件）</w:t>
      </w:r>
    </w:p>
    <w:p w14:paraId="69E4A45F">
      <w:pPr>
        <w:rPr>
          <w:rFonts w:hint="eastAsia"/>
          <w:lang w:eastAsia="zh-CN"/>
        </w:rPr>
      </w:pPr>
    </w:p>
    <w:sectPr>
      <w:headerReference r:id="rId8" w:type="first"/>
      <w:footerReference r:id="rId10" w:type="first"/>
      <w:headerReference r:id="rId7" w:type="default"/>
      <w:footerReference r:id="rId9" w:type="default"/>
      <w:pgSz w:w="11906" w:h="16838"/>
      <w:pgMar w:top="851" w:right="1247" w:bottom="1021" w:left="1247" w:header="851" w:footer="907"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panose1 w:val="020B0504020202030204"/>
    <w:charset w:val="00"/>
    <w:family w:val="swiss"/>
    <w:pitch w:val="default"/>
    <w:sig w:usb0="00000007" w:usb1="00000000" w:usb2="00000000" w:usb3="00000000" w:csb0="00000093"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auto"/>
    <w:pitch w:val="default"/>
    <w:sig w:usb0="00000000" w:usb1="00000000" w:usb2="00000000" w:usb3="00000000" w:csb0="2000009F" w:csb1="DFD70000"/>
  </w:font>
  <w:font w:name="幼圆">
    <w:altName w:val="宋体"/>
    <w:panose1 w:val="02010509060101010101"/>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 w:name="KSOF3D47F291">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1B4D2">
    <w:pPr>
      <w:pStyle w:val="25"/>
      <w:jc w:val="center"/>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C89A55">
                          <w:pPr>
                            <w:pStyle w:val="2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FC89A55">
                    <w:pPr>
                      <w:pStyle w:val="25"/>
                    </w:pPr>
                    <w:r>
                      <w:fldChar w:fldCharType="begin"/>
                    </w:r>
                    <w:r>
                      <w:instrText xml:space="preserve"> PAGE  \* MERGEFORMAT </w:instrText>
                    </w:r>
                    <w:r>
                      <w:fldChar w:fldCharType="separate"/>
                    </w:r>
                    <w:r>
                      <w:t>22</w:t>
                    </w:r>
                    <w:r>
                      <w:fldChar w:fldCharType="end"/>
                    </w:r>
                  </w:p>
                </w:txbxContent>
              </v:textbox>
            </v:shape>
          </w:pict>
        </mc:Fallback>
      </mc:AlternateContent>
    </w:r>
  </w:p>
  <w:p w14:paraId="3195FE9C">
    <w:pPr>
      <w:jc w:val="right"/>
      <w:rPr>
        <w:rFonts w:hint="eastAsia" w:ascii="宋体" w:hAnsi="宋体" w:eastAsia="宋体" w:cs="宋体"/>
        <w:lang w:eastAsia="zh-CN"/>
      </w:rPr>
    </w:pPr>
    <w:r>
      <w:rPr>
        <w:rFonts w:hint="eastAsia" w:ascii="宋体" w:hAnsi="宋体" w:cs="宋体"/>
        <w:lang w:eastAsia="zh-CN"/>
      </w:rPr>
      <w:t>大地工程咨询有限公司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5557B">
    <w:pP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C949A6">
                          <w:pPr>
                            <w:pStyle w:val="2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7C949A6">
                    <w:pPr>
                      <w:pStyle w:val="25"/>
                    </w:pPr>
                    <w:r>
                      <w:fldChar w:fldCharType="begin"/>
                    </w:r>
                    <w:r>
                      <w:instrText xml:space="preserve"> PAGE  \* MERGEFORMAT </w:instrText>
                    </w:r>
                    <w:r>
                      <w:fldChar w:fldCharType="separate"/>
                    </w:r>
                    <w:r>
                      <w:t>6</w:t>
                    </w:r>
                    <w:r>
                      <w:fldChar w:fldCharType="end"/>
                    </w:r>
                  </w:p>
                </w:txbxContent>
              </v:textbox>
            </v:shape>
          </w:pict>
        </mc:Fallback>
      </mc:AlternateContent>
    </w:r>
    <w:r>
      <w:rPr>
        <w:rFonts w:hint="eastAsia" w:ascii="仿宋_GB2312" w:eastAsia="仿宋_GB2312"/>
        <w:kern w:val="0"/>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05B49">
    <w:pPr>
      <w:pStyle w:val="25"/>
      <w:ind w:firstLine="4320" w:firstLineChars="240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3397CAF">
                          <w:pPr>
                            <w:pStyle w:val="25"/>
                            <w:rPr>
                              <w:rStyle w:val="43"/>
                            </w:rPr>
                          </w:pPr>
                          <w:r>
                            <w:fldChar w:fldCharType="begin"/>
                          </w:r>
                          <w:r>
                            <w:rPr>
                              <w:rStyle w:val="43"/>
                            </w:rPr>
                            <w:instrText xml:space="preserve">PAGE  </w:instrText>
                          </w:r>
                          <w:r>
                            <w:fldChar w:fldCharType="separate"/>
                          </w:r>
                          <w:r>
                            <w:rPr>
                              <w:rStyle w:val="43"/>
                            </w:rPr>
                            <w:t>4</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zfcFQ5wEAAMgD&#10;AAAOAAAAAAAAAAEAIAAAAB4BAABkcnMvZTJvRG9jLnhtbFBLBQYAAAAABgAGAFkBAAB3BQAAAAA=&#10;">
              <v:fill on="f" focussize="0,0"/>
              <v:stroke on="f"/>
              <v:imagedata o:title=""/>
              <o:lock v:ext="edit" aspectratio="f"/>
              <v:textbox inset="0mm,0mm,0mm,0mm" style="mso-fit-shape-to-text:t;">
                <w:txbxContent>
                  <w:p w14:paraId="73397CAF">
                    <w:pPr>
                      <w:pStyle w:val="25"/>
                      <w:rPr>
                        <w:rStyle w:val="43"/>
                      </w:rPr>
                    </w:pPr>
                    <w:r>
                      <w:fldChar w:fldCharType="begin"/>
                    </w:r>
                    <w:r>
                      <w:rPr>
                        <w:rStyle w:val="43"/>
                      </w:rPr>
                      <w:instrText xml:space="preserve">PAGE  </w:instrText>
                    </w:r>
                    <w:r>
                      <w:fldChar w:fldCharType="separate"/>
                    </w:r>
                    <w:r>
                      <w:rPr>
                        <w:rStyle w:val="43"/>
                      </w:rPr>
                      <w:t>4</w:t>
                    </w:r>
                    <w:r>
                      <w:fldChar w:fldCharType="end"/>
                    </w:r>
                  </w:p>
                </w:txbxContent>
              </v:textbox>
            </v:shape>
          </w:pict>
        </mc:Fallback>
      </mc:AlternateContent>
    </w:r>
    <w:r>
      <w:rPr>
        <w:rFonts w:hint="eastAsia"/>
      </w:rPr>
      <w:t xml:space="preserve">  </w:t>
    </w:r>
    <w:r>
      <w:t xml:space="preserve">   </w: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E7908">
    <w:pP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877B0A">
                          <w:pPr>
                            <w:pStyle w:val="2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ghS4xAgAAY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IUuMQIAAGMEAAAOAAAAAAAAAAEAIAAAAB8BAABkcnMvZTJvRG9jLnhtbFBLBQYA&#10;AAAABgAGAFkBAADCBQAAAAA=&#10;">
              <v:fill on="f" focussize="0,0"/>
              <v:stroke on="f" weight="0.5pt"/>
              <v:imagedata o:title=""/>
              <o:lock v:ext="edit" aspectratio="f"/>
              <v:textbox inset="0mm,0mm,0mm,0mm" style="mso-fit-shape-to-text:t;">
                <w:txbxContent>
                  <w:p w14:paraId="77877B0A">
                    <w:pPr>
                      <w:pStyle w:val="25"/>
                    </w:pPr>
                    <w:r>
                      <w:fldChar w:fldCharType="begin"/>
                    </w:r>
                    <w:r>
                      <w:instrText xml:space="preserve"> PAGE  \* MERGEFORMAT </w:instrText>
                    </w:r>
                    <w:r>
                      <w:fldChar w:fldCharType="separate"/>
                    </w:r>
                    <w:r>
                      <w:t>6</w:t>
                    </w:r>
                    <w:r>
                      <w:fldChar w:fldCharType="end"/>
                    </w:r>
                  </w:p>
                </w:txbxContent>
              </v:textbox>
            </v:shape>
          </w:pict>
        </mc:Fallback>
      </mc:AlternateContent>
    </w:r>
    <w:r>
      <w:rPr>
        <w:rFonts w:hint="eastAsia" w:ascii="仿宋_GB2312" w:eastAsia="仿宋_GB2312"/>
        <w:kern w:val="0"/>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24FF6">
    <w:pPr>
      <w:pStyle w:val="28"/>
      <w:jc w:val="left"/>
      <w:rPr>
        <w:rFonts w:hint="eastAsia" w:eastAsia="宋体"/>
        <w:sz w:val="16"/>
        <w:szCs w:val="16"/>
        <w:lang w:eastAsia="zh-CN"/>
      </w:rPr>
    </w:pPr>
    <w:r>
      <w:rPr>
        <w:rFonts w:hint="eastAsia"/>
        <w:sz w:val="16"/>
        <w:szCs w:val="16"/>
        <w:lang w:eastAsia="zh-CN"/>
      </w:rPr>
      <w:t>东阳市肛肠外科医院4000kVA双电源配电工程采购项目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C0B2C">
    <w:pPr>
      <w:pStyle w:val="28"/>
      <w:jc w:val="both"/>
    </w:pPr>
    <w:r>
      <w:rPr>
        <w:rFonts w:hint="eastAsia"/>
      </w:rPr>
      <w:t>东阳市2022年度开发区节约集约利用评价项目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F90FF">
    <w:pPr>
      <w:pStyle w:val="28"/>
      <w:rPr>
        <w:rFonts w:hint="eastAsia" w:eastAsia="宋体" w:cs="Arial"/>
        <w:color w:val="000000"/>
        <w:sz w:val="16"/>
        <w:szCs w:val="16"/>
        <w:lang w:eastAsia="zh-CN"/>
      </w:rPr>
    </w:pPr>
    <w:r>
      <w:rPr>
        <w:rFonts w:hint="eastAsia" w:cs="Arial"/>
        <w:color w:val="000000"/>
        <w:sz w:val="16"/>
        <w:szCs w:val="16"/>
        <w:lang w:eastAsia="zh-CN"/>
      </w:rPr>
      <w:t>东阳市肛肠外科医院4000kVA双电源配电工程采购项目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ED552">
    <w:pPr>
      <w:pStyle w:val="28"/>
      <w:rPr>
        <w:rFonts w:hint="eastAsia" w:eastAsia="宋体" w:cs="Arial"/>
        <w:color w:val="000000"/>
        <w:sz w:val="16"/>
        <w:szCs w:val="16"/>
        <w:lang w:eastAsia="zh-CN"/>
      </w:rPr>
    </w:pPr>
    <w:r>
      <w:rPr>
        <w:rFonts w:hint="eastAsia" w:cs="Arial"/>
        <w:color w:val="000000"/>
        <w:sz w:val="16"/>
        <w:szCs w:val="16"/>
        <w:lang w:eastAsia="zh-CN"/>
      </w:rPr>
      <w:t>东阳市肛肠外科医院4000kVA双电源配电工程采购项目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4D00F9"/>
    <w:multiLevelType w:val="singleLevel"/>
    <w:tmpl w:val="BC4D00F9"/>
    <w:lvl w:ilvl="0" w:tentative="0">
      <w:start w:val="1"/>
      <w:numFmt w:val="decimal"/>
      <w:suff w:val="nothing"/>
      <w:lvlText w:val="%1、"/>
      <w:lvlJc w:val="left"/>
    </w:lvl>
  </w:abstractNum>
  <w:abstractNum w:abstractNumId="1">
    <w:nsid w:val="C6D025FC"/>
    <w:multiLevelType w:val="singleLevel"/>
    <w:tmpl w:val="C6D025FC"/>
    <w:lvl w:ilvl="0" w:tentative="0">
      <w:start w:val="1"/>
      <w:numFmt w:val="decimal"/>
      <w:lvlText w:val="%1."/>
      <w:lvlJc w:val="left"/>
      <w:pPr>
        <w:tabs>
          <w:tab w:val="left" w:pos="312"/>
        </w:tabs>
      </w:pPr>
    </w:lvl>
  </w:abstractNum>
  <w:abstractNum w:abstractNumId="2">
    <w:nsid w:val="CE787872"/>
    <w:multiLevelType w:val="singleLevel"/>
    <w:tmpl w:val="CE787872"/>
    <w:lvl w:ilvl="0" w:tentative="0">
      <w:start w:val="4"/>
      <w:numFmt w:val="chineseCounting"/>
      <w:suff w:val="nothing"/>
      <w:lvlText w:val="（%1）"/>
      <w:lvlJc w:val="left"/>
      <w:rPr>
        <w:rFonts w:hint="eastAsia"/>
      </w:rPr>
    </w:lvl>
  </w:abstractNum>
  <w:abstractNum w:abstractNumId="3">
    <w:nsid w:val="D0B8FC64"/>
    <w:multiLevelType w:val="singleLevel"/>
    <w:tmpl w:val="D0B8FC64"/>
    <w:lvl w:ilvl="0" w:tentative="0">
      <w:start w:val="6"/>
      <w:numFmt w:val="decimal"/>
      <w:suff w:val="nothing"/>
      <w:lvlText w:val="%1、"/>
      <w:lvlJc w:val="left"/>
    </w:lvl>
  </w:abstractNum>
  <w:abstractNum w:abstractNumId="4">
    <w:nsid w:val="FA5E8E8B"/>
    <w:multiLevelType w:val="singleLevel"/>
    <w:tmpl w:val="FA5E8E8B"/>
    <w:lvl w:ilvl="0" w:tentative="0">
      <w:start w:val="1"/>
      <w:numFmt w:val="chineseCounting"/>
      <w:suff w:val="nothing"/>
      <w:lvlText w:val="%1、"/>
      <w:lvlJc w:val="left"/>
      <w:rPr>
        <w:rFonts w:hint="eastAsia"/>
      </w:rPr>
    </w:lvl>
  </w:abstractNum>
  <w:abstractNum w:abstractNumId="5">
    <w:nsid w:val="2A646790"/>
    <w:multiLevelType w:val="multilevel"/>
    <w:tmpl w:val="2A646790"/>
    <w:lvl w:ilvl="0" w:tentative="0">
      <w:start w:val="1"/>
      <w:numFmt w:val="decimal"/>
      <w:lvlText w:val="%1."/>
      <w:lvlJc w:val="left"/>
      <w:pPr>
        <w:tabs>
          <w:tab w:val="left" w:pos="1224"/>
        </w:tabs>
        <w:ind w:left="1224" w:hanging="1224"/>
      </w:pPr>
      <w:rPr>
        <w:rFonts w:hint="eastAsia"/>
      </w:rPr>
    </w:lvl>
    <w:lvl w:ilvl="1" w:tentative="0">
      <w:start w:val="1"/>
      <w:numFmt w:val="decimal"/>
      <w:lvlText w:val="%1.%2"/>
      <w:lvlJc w:val="left"/>
      <w:pPr>
        <w:tabs>
          <w:tab w:val="left" w:pos="1224"/>
        </w:tabs>
        <w:ind w:left="1224" w:hanging="1224"/>
      </w:pPr>
      <w:rPr>
        <w:rFonts w:hint="eastAsia"/>
        <w:sz w:val="24"/>
        <w:szCs w:val="24"/>
      </w:rPr>
    </w:lvl>
    <w:lvl w:ilvl="2" w:tentative="0">
      <w:start w:val="1"/>
      <w:numFmt w:val="decimal"/>
      <w:pStyle w:val="63"/>
      <w:lvlText w:val="%1.%2.%3"/>
      <w:lvlJc w:val="left"/>
      <w:pPr>
        <w:tabs>
          <w:tab w:val="left" w:pos="1224"/>
        </w:tabs>
        <w:ind w:left="1224" w:hanging="1224"/>
      </w:pPr>
      <w:rPr>
        <w:rFonts w:hint="default" w:ascii="Arial Narrow" w:hAnsi="Arial Narrow" w:eastAsia="仿宋_GB2312"/>
        <w:sz w:val="24"/>
        <w:szCs w:val="24"/>
      </w:rPr>
    </w:lvl>
    <w:lvl w:ilvl="3" w:tentative="0">
      <w:start w:val="1"/>
      <w:numFmt w:val="decimal"/>
      <w:lvlText w:val="%1.%2.%3.%4."/>
      <w:lvlJc w:val="left"/>
      <w:pPr>
        <w:tabs>
          <w:tab w:val="left" w:pos="1225"/>
        </w:tabs>
        <w:ind w:left="1225" w:hanging="1225"/>
      </w:pPr>
      <w:rPr>
        <w:rFonts w:hint="eastAsia"/>
        <w:sz w:val="24"/>
        <w:szCs w:val="24"/>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5BA933FE"/>
    <w:multiLevelType w:val="multilevel"/>
    <w:tmpl w:val="5BA933F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pStyle w:val="118"/>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5D410D0D"/>
    <w:multiLevelType w:val="singleLevel"/>
    <w:tmpl w:val="5D410D0D"/>
    <w:lvl w:ilvl="0" w:tentative="0">
      <w:start w:val="5"/>
      <w:numFmt w:val="chineseCounting"/>
      <w:suff w:val="space"/>
      <w:lvlText w:val="第%1章"/>
      <w:lvlJc w:val="left"/>
      <w:rPr>
        <w:rFonts w:hint="eastAsia"/>
      </w:rPr>
    </w:lvl>
  </w:abstractNum>
  <w:abstractNum w:abstractNumId="8">
    <w:nsid w:val="612C0E64"/>
    <w:multiLevelType w:val="multilevel"/>
    <w:tmpl w:val="612C0E64"/>
    <w:lvl w:ilvl="0" w:tentative="0">
      <w:start w:val="1"/>
      <w:numFmt w:val="decimal"/>
      <w:lvlText w:val="%1."/>
      <w:lvlJc w:val="left"/>
      <w:pPr>
        <w:tabs>
          <w:tab w:val="left" w:pos="1244"/>
        </w:tabs>
        <w:ind w:left="1244" w:hanging="420"/>
      </w:pPr>
      <w:rPr>
        <w:rFonts w:hint="eastAsia"/>
      </w:rPr>
    </w:lvl>
    <w:lvl w:ilvl="1" w:tentative="0">
      <w:start w:val="1"/>
      <w:numFmt w:val="lowerLetter"/>
      <w:lvlText w:val="%2)"/>
      <w:lvlJc w:val="left"/>
      <w:pPr>
        <w:tabs>
          <w:tab w:val="left" w:pos="824"/>
        </w:tabs>
        <w:ind w:left="824" w:hanging="420"/>
      </w:pPr>
    </w:lvl>
    <w:lvl w:ilvl="2" w:tentative="0">
      <w:start w:val="1"/>
      <w:numFmt w:val="lowerRoman"/>
      <w:lvlText w:val="%3."/>
      <w:lvlJc w:val="right"/>
      <w:pPr>
        <w:tabs>
          <w:tab w:val="left" w:pos="1244"/>
        </w:tabs>
        <w:ind w:left="1244" w:hanging="420"/>
      </w:pPr>
    </w:lvl>
    <w:lvl w:ilvl="3" w:tentative="0">
      <w:start w:val="1"/>
      <w:numFmt w:val="decimal"/>
      <w:lvlText w:val="%4."/>
      <w:lvlJc w:val="left"/>
      <w:pPr>
        <w:tabs>
          <w:tab w:val="left" w:pos="1664"/>
        </w:tabs>
        <w:ind w:left="1664" w:hanging="420"/>
      </w:pPr>
    </w:lvl>
    <w:lvl w:ilvl="4" w:tentative="0">
      <w:start w:val="1"/>
      <w:numFmt w:val="lowerLetter"/>
      <w:lvlText w:val="%5)"/>
      <w:lvlJc w:val="left"/>
      <w:pPr>
        <w:tabs>
          <w:tab w:val="left" w:pos="2084"/>
        </w:tabs>
        <w:ind w:left="2084" w:hanging="420"/>
      </w:pPr>
    </w:lvl>
    <w:lvl w:ilvl="5" w:tentative="0">
      <w:start w:val="1"/>
      <w:numFmt w:val="lowerRoman"/>
      <w:lvlText w:val="%6."/>
      <w:lvlJc w:val="right"/>
      <w:pPr>
        <w:tabs>
          <w:tab w:val="left" w:pos="2504"/>
        </w:tabs>
        <w:ind w:left="2504" w:hanging="420"/>
      </w:pPr>
    </w:lvl>
    <w:lvl w:ilvl="6" w:tentative="0">
      <w:start w:val="1"/>
      <w:numFmt w:val="decimal"/>
      <w:lvlText w:val="%7."/>
      <w:lvlJc w:val="left"/>
      <w:pPr>
        <w:tabs>
          <w:tab w:val="left" w:pos="2924"/>
        </w:tabs>
        <w:ind w:left="2924" w:hanging="420"/>
      </w:pPr>
    </w:lvl>
    <w:lvl w:ilvl="7" w:tentative="0">
      <w:start w:val="1"/>
      <w:numFmt w:val="lowerLetter"/>
      <w:lvlText w:val="%8)"/>
      <w:lvlJc w:val="left"/>
      <w:pPr>
        <w:tabs>
          <w:tab w:val="left" w:pos="3344"/>
        </w:tabs>
        <w:ind w:left="3344" w:hanging="420"/>
      </w:pPr>
    </w:lvl>
    <w:lvl w:ilvl="8" w:tentative="0">
      <w:start w:val="1"/>
      <w:numFmt w:val="lowerRoman"/>
      <w:lvlText w:val="%9."/>
      <w:lvlJc w:val="right"/>
      <w:pPr>
        <w:tabs>
          <w:tab w:val="left" w:pos="3764"/>
        </w:tabs>
        <w:ind w:left="3764" w:hanging="420"/>
      </w:pPr>
    </w:lvl>
  </w:abstractNum>
  <w:abstractNum w:abstractNumId="9">
    <w:nsid w:val="64DE61C4"/>
    <w:multiLevelType w:val="multilevel"/>
    <w:tmpl w:val="64DE61C4"/>
    <w:lvl w:ilvl="0" w:tentative="0">
      <w:start w:val="1"/>
      <w:numFmt w:val="decimal"/>
      <w:pStyle w:val="9"/>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7DB0FA47"/>
    <w:multiLevelType w:val="singleLevel"/>
    <w:tmpl w:val="7DB0FA47"/>
    <w:lvl w:ilvl="0" w:tentative="0">
      <w:start w:val="4"/>
      <w:numFmt w:val="decimal"/>
      <w:suff w:val="nothing"/>
      <w:lvlText w:val="%1、"/>
      <w:lvlJc w:val="left"/>
    </w:lvl>
  </w:abstractNum>
  <w:abstractNum w:abstractNumId="11">
    <w:nsid w:val="7E234718"/>
    <w:multiLevelType w:val="multilevel"/>
    <w:tmpl w:val="7E23471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5"/>
  </w:num>
  <w:num w:numId="3">
    <w:abstractNumId w:val="6"/>
  </w:num>
  <w:num w:numId="4">
    <w:abstractNumId w:val="4"/>
  </w:num>
  <w:num w:numId="5">
    <w:abstractNumId w:val="3"/>
  </w:num>
  <w:num w:numId="6">
    <w:abstractNumId w:val="11"/>
  </w:num>
  <w:num w:numId="7">
    <w:abstractNumId w:val="1"/>
  </w:num>
  <w:num w:numId="8">
    <w:abstractNumId w:val="10"/>
  </w:num>
  <w:num w:numId="9">
    <w:abstractNumId w:val="2"/>
  </w:num>
  <w:num w:numId="10">
    <w:abstractNumId w:val="7"/>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YzBjZDhjYTFkZDY5YTQwMDUwZTQyMGEzNDE5MTgifQ=="/>
  </w:docVars>
  <w:rsids>
    <w:rsidRoot w:val="00DE79CC"/>
    <w:rsid w:val="0000006C"/>
    <w:rsid w:val="00000158"/>
    <w:rsid w:val="0000017A"/>
    <w:rsid w:val="00000345"/>
    <w:rsid w:val="0000047D"/>
    <w:rsid w:val="00000F83"/>
    <w:rsid w:val="000013EE"/>
    <w:rsid w:val="00001B93"/>
    <w:rsid w:val="00001E25"/>
    <w:rsid w:val="00001E64"/>
    <w:rsid w:val="00002A93"/>
    <w:rsid w:val="0000318B"/>
    <w:rsid w:val="000038C7"/>
    <w:rsid w:val="00003E13"/>
    <w:rsid w:val="00003F42"/>
    <w:rsid w:val="00004CDD"/>
    <w:rsid w:val="00004E27"/>
    <w:rsid w:val="00005219"/>
    <w:rsid w:val="000058C1"/>
    <w:rsid w:val="000058F6"/>
    <w:rsid w:val="00005CEE"/>
    <w:rsid w:val="00006144"/>
    <w:rsid w:val="000072CA"/>
    <w:rsid w:val="00007837"/>
    <w:rsid w:val="00007965"/>
    <w:rsid w:val="00007AF4"/>
    <w:rsid w:val="00007F1A"/>
    <w:rsid w:val="000107D0"/>
    <w:rsid w:val="00010A81"/>
    <w:rsid w:val="000114AC"/>
    <w:rsid w:val="00011A08"/>
    <w:rsid w:val="00011DC3"/>
    <w:rsid w:val="00011DCD"/>
    <w:rsid w:val="00012744"/>
    <w:rsid w:val="00012FAE"/>
    <w:rsid w:val="00013108"/>
    <w:rsid w:val="000131C4"/>
    <w:rsid w:val="0001341F"/>
    <w:rsid w:val="000156C7"/>
    <w:rsid w:val="00015DCC"/>
    <w:rsid w:val="000163EB"/>
    <w:rsid w:val="000165AD"/>
    <w:rsid w:val="000202F3"/>
    <w:rsid w:val="000203B3"/>
    <w:rsid w:val="00020413"/>
    <w:rsid w:val="000208BD"/>
    <w:rsid w:val="000209DC"/>
    <w:rsid w:val="000209E4"/>
    <w:rsid w:val="000219BD"/>
    <w:rsid w:val="00021ACA"/>
    <w:rsid w:val="0002216D"/>
    <w:rsid w:val="00022380"/>
    <w:rsid w:val="0002246D"/>
    <w:rsid w:val="00022CAD"/>
    <w:rsid w:val="00022CB5"/>
    <w:rsid w:val="00024090"/>
    <w:rsid w:val="000247CA"/>
    <w:rsid w:val="000251DC"/>
    <w:rsid w:val="000264B4"/>
    <w:rsid w:val="00026993"/>
    <w:rsid w:val="00026EAB"/>
    <w:rsid w:val="00027031"/>
    <w:rsid w:val="00027134"/>
    <w:rsid w:val="00027A01"/>
    <w:rsid w:val="00030A35"/>
    <w:rsid w:val="00030D38"/>
    <w:rsid w:val="00031012"/>
    <w:rsid w:val="0003172E"/>
    <w:rsid w:val="00031765"/>
    <w:rsid w:val="00032701"/>
    <w:rsid w:val="00034343"/>
    <w:rsid w:val="00034360"/>
    <w:rsid w:val="000344E1"/>
    <w:rsid w:val="00034675"/>
    <w:rsid w:val="00035843"/>
    <w:rsid w:val="00036337"/>
    <w:rsid w:val="00036686"/>
    <w:rsid w:val="00036A0E"/>
    <w:rsid w:val="000373E9"/>
    <w:rsid w:val="00037B61"/>
    <w:rsid w:val="00040F9B"/>
    <w:rsid w:val="000414E0"/>
    <w:rsid w:val="00041A99"/>
    <w:rsid w:val="00041C40"/>
    <w:rsid w:val="0004282D"/>
    <w:rsid w:val="000428CF"/>
    <w:rsid w:val="00043778"/>
    <w:rsid w:val="00044217"/>
    <w:rsid w:val="00044368"/>
    <w:rsid w:val="00044D8B"/>
    <w:rsid w:val="00046899"/>
    <w:rsid w:val="0004693E"/>
    <w:rsid w:val="0004713C"/>
    <w:rsid w:val="00047408"/>
    <w:rsid w:val="0005003E"/>
    <w:rsid w:val="00050E6F"/>
    <w:rsid w:val="00050ECE"/>
    <w:rsid w:val="0005120C"/>
    <w:rsid w:val="0005138C"/>
    <w:rsid w:val="00051F29"/>
    <w:rsid w:val="00052350"/>
    <w:rsid w:val="000524B5"/>
    <w:rsid w:val="00052BAF"/>
    <w:rsid w:val="00052DBB"/>
    <w:rsid w:val="00053218"/>
    <w:rsid w:val="00053700"/>
    <w:rsid w:val="000544D4"/>
    <w:rsid w:val="000547EE"/>
    <w:rsid w:val="000550B0"/>
    <w:rsid w:val="000553DC"/>
    <w:rsid w:val="00055FBE"/>
    <w:rsid w:val="0005654D"/>
    <w:rsid w:val="00056B0D"/>
    <w:rsid w:val="00056C73"/>
    <w:rsid w:val="00056E9B"/>
    <w:rsid w:val="00056ECC"/>
    <w:rsid w:val="00057AD2"/>
    <w:rsid w:val="00057F20"/>
    <w:rsid w:val="00060214"/>
    <w:rsid w:val="00060D89"/>
    <w:rsid w:val="00061041"/>
    <w:rsid w:val="00061153"/>
    <w:rsid w:val="000611F3"/>
    <w:rsid w:val="000618B9"/>
    <w:rsid w:val="00062941"/>
    <w:rsid w:val="000632B6"/>
    <w:rsid w:val="000634DB"/>
    <w:rsid w:val="00063936"/>
    <w:rsid w:val="00063CB5"/>
    <w:rsid w:val="00063F87"/>
    <w:rsid w:val="000641AE"/>
    <w:rsid w:val="0006464C"/>
    <w:rsid w:val="00064686"/>
    <w:rsid w:val="000646B9"/>
    <w:rsid w:val="00064917"/>
    <w:rsid w:val="00064CA8"/>
    <w:rsid w:val="00065A2B"/>
    <w:rsid w:val="0006660C"/>
    <w:rsid w:val="00066907"/>
    <w:rsid w:val="00066EB7"/>
    <w:rsid w:val="000670FA"/>
    <w:rsid w:val="00067114"/>
    <w:rsid w:val="0006732C"/>
    <w:rsid w:val="000677AD"/>
    <w:rsid w:val="000677CE"/>
    <w:rsid w:val="00067C76"/>
    <w:rsid w:val="0007091A"/>
    <w:rsid w:val="00070EA9"/>
    <w:rsid w:val="00071493"/>
    <w:rsid w:val="00071843"/>
    <w:rsid w:val="00071A27"/>
    <w:rsid w:val="00071E0D"/>
    <w:rsid w:val="00071E15"/>
    <w:rsid w:val="00072720"/>
    <w:rsid w:val="00073C15"/>
    <w:rsid w:val="00073DE6"/>
    <w:rsid w:val="0007498C"/>
    <w:rsid w:val="00074ED8"/>
    <w:rsid w:val="00075147"/>
    <w:rsid w:val="00075B60"/>
    <w:rsid w:val="00075D67"/>
    <w:rsid w:val="00075D84"/>
    <w:rsid w:val="0007638D"/>
    <w:rsid w:val="00076A1A"/>
    <w:rsid w:val="00076AF9"/>
    <w:rsid w:val="000770B5"/>
    <w:rsid w:val="000772C1"/>
    <w:rsid w:val="0007755A"/>
    <w:rsid w:val="00077AC3"/>
    <w:rsid w:val="00077E8A"/>
    <w:rsid w:val="0008006D"/>
    <w:rsid w:val="00080BD8"/>
    <w:rsid w:val="0008112A"/>
    <w:rsid w:val="0008194F"/>
    <w:rsid w:val="00081A3D"/>
    <w:rsid w:val="00081CB9"/>
    <w:rsid w:val="00082C7E"/>
    <w:rsid w:val="000832EC"/>
    <w:rsid w:val="000844A2"/>
    <w:rsid w:val="00084D41"/>
    <w:rsid w:val="00085177"/>
    <w:rsid w:val="00085420"/>
    <w:rsid w:val="0008636A"/>
    <w:rsid w:val="00087087"/>
    <w:rsid w:val="000875C3"/>
    <w:rsid w:val="000878D0"/>
    <w:rsid w:val="00090010"/>
    <w:rsid w:val="0009091C"/>
    <w:rsid w:val="00090BC3"/>
    <w:rsid w:val="00090F65"/>
    <w:rsid w:val="00092342"/>
    <w:rsid w:val="00092F7D"/>
    <w:rsid w:val="0009377D"/>
    <w:rsid w:val="000937FF"/>
    <w:rsid w:val="00094045"/>
    <w:rsid w:val="00094086"/>
    <w:rsid w:val="000943F9"/>
    <w:rsid w:val="000950BD"/>
    <w:rsid w:val="00095470"/>
    <w:rsid w:val="00095BFC"/>
    <w:rsid w:val="0009627F"/>
    <w:rsid w:val="000965F5"/>
    <w:rsid w:val="0009662A"/>
    <w:rsid w:val="00096E5A"/>
    <w:rsid w:val="00097153"/>
    <w:rsid w:val="00097339"/>
    <w:rsid w:val="000974F2"/>
    <w:rsid w:val="00097B41"/>
    <w:rsid w:val="00097B7A"/>
    <w:rsid w:val="000A0218"/>
    <w:rsid w:val="000A02FA"/>
    <w:rsid w:val="000A0919"/>
    <w:rsid w:val="000A10C4"/>
    <w:rsid w:val="000A137A"/>
    <w:rsid w:val="000A1F2A"/>
    <w:rsid w:val="000A1FB5"/>
    <w:rsid w:val="000A27BD"/>
    <w:rsid w:val="000A337D"/>
    <w:rsid w:val="000A3AFC"/>
    <w:rsid w:val="000A3BAB"/>
    <w:rsid w:val="000A3FF2"/>
    <w:rsid w:val="000A4262"/>
    <w:rsid w:val="000A4632"/>
    <w:rsid w:val="000A46EB"/>
    <w:rsid w:val="000A493D"/>
    <w:rsid w:val="000A503C"/>
    <w:rsid w:val="000A5040"/>
    <w:rsid w:val="000A510B"/>
    <w:rsid w:val="000A57BD"/>
    <w:rsid w:val="000A5834"/>
    <w:rsid w:val="000A6F50"/>
    <w:rsid w:val="000A7334"/>
    <w:rsid w:val="000A7768"/>
    <w:rsid w:val="000A7E56"/>
    <w:rsid w:val="000B0313"/>
    <w:rsid w:val="000B047A"/>
    <w:rsid w:val="000B07AD"/>
    <w:rsid w:val="000B15AC"/>
    <w:rsid w:val="000B242E"/>
    <w:rsid w:val="000B2615"/>
    <w:rsid w:val="000B2CB3"/>
    <w:rsid w:val="000B32DF"/>
    <w:rsid w:val="000B3F05"/>
    <w:rsid w:val="000B41F3"/>
    <w:rsid w:val="000B4255"/>
    <w:rsid w:val="000B4979"/>
    <w:rsid w:val="000B4F4D"/>
    <w:rsid w:val="000B517A"/>
    <w:rsid w:val="000B54FD"/>
    <w:rsid w:val="000B6339"/>
    <w:rsid w:val="000B663D"/>
    <w:rsid w:val="000B6738"/>
    <w:rsid w:val="000B6F98"/>
    <w:rsid w:val="000B7885"/>
    <w:rsid w:val="000C032B"/>
    <w:rsid w:val="000C15D3"/>
    <w:rsid w:val="000C211C"/>
    <w:rsid w:val="000C2C5F"/>
    <w:rsid w:val="000C2D42"/>
    <w:rsid w:val="000C37AB"/>
    <w:rsid w:val="000C4473"/>
    <w:rsid w:val="000C4525"/>
    <w:rsid w:val="000C5216"/>
    <w:rsid w:val="000C541A"/>
    <w:rsid w:val="000C575F"/>
    <w:rsid w:val="000C6F54"/>
    <w:rsid w:val="000C781B"/>
    <w:rsid w:val="000C789B"/>
    <w:rsid w:val="000C7D89"/>
    <w:rsid w:val="000C7F30"/>
    <w:rsid w:val="000D0457"/>
    <w:rsid w:val="000D08C4"/>
    <w:rsid w:val="000D18BE"/>
    <w:rsid w:val="000D1E86"/>
    <w:rsid w:val="000D3209"/>
    <w:rsid w:val="000D3657"/>
    <w:rsid w:val="000D3916"/>
    <w:rsid w:val="000D3D2A"/>
    <w:rsid w:val="000D4240"/>
    <w:rsid w:val="000D4886"/>
    <w:rsid w:val="000D4AA5"/>
    <w:rsid w:val="000D52FB"/>
    <w:rsid w:val="000D62AD"/>
    <w:rsid w:val="000D6BEE"/>
    <w:rsid w:val="000D6ED2"/>
    <w:rsid w:val="000D7583"/>
    <w:rsid w:val="000D78BE"/>
    <w:rsid w:val="000E006E"/>
    <w:rsid w:val="000E0224"/>
    <w:rsid w:val="000E0782"/>
    <w:rsid w:val="000E115A"/>
    <w:rsid w:val="000E1635"/>
    <w:rsid w:val="000E1F8E"/>
    <w:rsid w:val="000E2BCF"/>
    <w:rsid w:val="000E2FDF"/>
    <w:rsid w:val="000E3CA5"/>
    <w:rsid w:val="000E4595"/>
    <w:rsid w:val="000E4940"/>
    <w:rsid w:val="000E534C"/>
    <w:rsid w:val="000E6114"/>
    <w:rsid w:val="000E61C8"/>
    <w:rsid w:val="000E6560"/>
    <w:rsid w:val="000E6B96"/>
    <w:rsid w:val="000E736F"/>
    <w:rsid w:val="000E76C2"/>
    <w:rsid w:val="000E7933"/>
    <w:rsid w:val="000E7E37"/>
    <w:rsid w:val="000F0003"/>
    <w:rsid w:val="000F1FF1"/>
    <w:rsid w:val="000F22A3"/>
    <w:rsid w:val="000F2869"/>
    <w:rsid w:val="000F2AF3"/>
    <w:rsid w:val="000F2FE2"/>
    <w:rsid w:val="000F35B1"/>
    <w:rsid w:val="000F3DB5"/>
    <w:rsid w:val="000F4830"/>
    <w:rsid w:val="000F4FC7"/>
    <w:rsid w:val="000F544F"/>
    <w:rsid w:val="000F5708"/>
    <w:rsid w:val="000F5966"/>
    <w:rsid w:val="000F5FF7"/>
    <w:rsid w:val="000F6242"/>
    <w:rsid w:val="000F6B92"/>
    <w:rsid w:val="000F7DE2"/>
    <w:rsid w:val="0010027E"/>
    <w:rsid w:val="0010129D"/>
    <w:rsid w:val="0010178F"/>
    <w:rsid w:val="001017B1"/>
    <w:rsid w:val="0010197C"/>
    <w:rsid w:val="00101CF6"/>
    <w:rsid w:val="00101D6A"/>
    <w:rsid w:val="00102080"/>
    <w:rsid w:val="00102358"/>
    <w:rsid w:val="0010277E"/>
    <w:rsid w:val="001027EB"/>
    <w:rsid w:val="00102C71"/>
    <w:rsid w:val="00102F65"/>
    <w:rsid w:val="001030C6"/>
    <w:rsid w:val="00103374"/>
    <w:rsid w:val="001034A5"/>
    <w:rsid w:val="001035FB"/>
    <w:rsid w:val="00103A8F"/>
    <w:rsid w:val="001040BF"/>
    <w:rsid w:val="00104588"/>
    <w:rsid w:val="00105B30"/>
    <w:rsid w:val="00106504"/>
    <w:rsid w:val="001078AF"/>
    <w:rsid w:val="00107DA0"/>
    <w:rsid w:val="00110349"/>
    <w:rsid w:val="00110575"/>
    <w:rsid w:val="0011078E"/>
    <w:rsid w:val="00110971"/>
    <w:rsid w:val="00111B72"/>
    <w:rsid w:val="001139DC"/>
    <w:rsid w:val="00114AD1"/>
    <w:rsid w:val="00115269"/>
    <w:rsid w:val="001153A9"/>
    <w:rsid w:val="00115A7B"/>
    <w:rsid w:val="001160AD"/>
    <w:rsid w:val="0011681F"/>
    <w:rsid w:val="001168AD"/>
    <w:rsid w:val="001173A4"/>
    <w:rsid w:val="001179A2"/>
    <w:rsid w:val="00117C09"/>
    <w:rsid w:val="00117E1F"/>
    <w:rsid w:val="00121F83"/>
    <w:rsid w:val="00122B38"/>
    <w:rsid w:val="0012341E"/>
    <w:rsid w:val="00123BA6"/>
    <w:rsid w:val="00124CD9"/>
    <w:rsid w:val="001254B6"/>
    <w:rsid w:val="00125C0D"/>
    <w:rsid w:val="00126294"/>
    <w:rsid w:val="0012652D"/>
    <w:rsid w:val="00126704"/>
    <w:rsid w:val="00127C05"/>
    <w:rsid w:val="001302F8"/>
    <w:rsid w:val="00131BE0"/>
    <w:rsid w:val="001324DF"/>
    <w:rsid w:val="00132E59"/>
    <w:rsid w:val="001339D0"/>
    <w:rsid w:val="001340B5"/>
    <w:rsid w:val="001348CC"/>
    <w:rsid w:val="001349A6"/>
    <w:rsid w:val="00134A43"/>
    <w:rsid w:val="00134A81"/>
    <w:rsid w:val="00134A97"/>
    <w:rsid w:val="00134B12"/>
    <w:rsid w:val="00135923"/>
    <w:rsid w:val="00135E77"/>
    <w:rsid w:val="00135F13"/>
    <w:rsid w:val="00136561"/>
    <w:rsid w:val="00136CB1"/>
    <w:rsid w:val="00136CEF"/>
    <w:rsid w:val="00136E5E"/>
    <w:rsid w:val="00137157"/>
    <w:rsid w:val="00137485"/>
    <w:rsid w:val="00140A89"/>
    <w:rsid w:val="0014116B"/>
    <w:rsid w:val="001413FD"/>
    <w:rsid w:val="00141E29"/>
    <w:rsid w:val="00142AD7"/>
    <w:rsid w:val="00142BCD"/>
    <w:rsid w:val="00142C3B"/>
    <w:rsid w:val="0014366A"/>
    <w:rsid w:val="001438C9"/>
    <w:rsid w:val="00146232"/>
    <w:rsid w:val="00146398"/>
    <w:rsid w:val="001464BF"/>
    <w:rsid w:val="00146945"/>
    <w:rsid w:val="001476B6"/>
    <w:rsid w:val="001508E3"/>
    <w:rsid w:val="001518E1"/>
    <w:rsid w:val="001528E6"/>
    <w:rsid w:val="00152D0F"/>
    <w:rsid w:val="00153087"/>
    <w:rsid w:val="001533C4"/>
    <w:rsid w:val="00153539"/>
    <w:rsid w:val="001539F9"/>
    <w:rsid w:val="00153BDB"/>
    <w:rsid w:val="00154642"/>
    <w:rsid w:val="00154A42"/>
    <w:rsid w:val="00154A4E"/>
    <w:rsid w:val="00154BFD"/>
    <w:rsid w:val="00154D3A"/>
    <w:rsid w:val="0015574B"/>
    <w:rsid w:val="00155B0F"/>
    <w:rsid w:val="001560E5"/>
    <w:rsid w:val="00156274"/>
    <w:rsid w:val="00160037"/>
    <w:rsid w:val="00162646"/>
    <w:rsid w:val="0016325A"/>
    <w:rsid w:val="00163337"/>
    <w:rsid w:val="0016355A"/>
    <w:rsid w:val="00163DF4"/>
    <w:rsid w:val="00163E9B"/>
    <w:rsid w:val="001647ED"/>
    <w:rsid w:val="001654E7"/>
    <w:rsid w:val="00165CFF"/>
    <w:rsid w:val="00166A89"/>
    <w:rsid w:val="001674F5"/>
    <w:rsid w:val="00167A3C"/>
    <w:rsid w:val="00167D97"/>
    <w:rsid w:val="00167E89"/>
    <w:rsid w:val="0017029C"/>
    <w:rsid w:val="001709BA"/>
    <w:rsid w:val="00170A41"/>
    <w:rsid w:val="00170C94"/>
    <w:rsid w:val="00170E65"/>
    <w:rsid w:val="0017111A"/>
    <w:rsid w:val="00171981"/>
    <w:rsid w:val="0017231F"/>
    <w:rsid w:val="00172A3E"/>
    <w:rsid w:val="00172D51"/>
    <w:rsid w:val="001733F6"/>
    <w:rsid w:val="00174601"/>
    <w:rsid w:val="0017468F"/>
    <w:rsid w:val="001751FD"/>
    <w:rsid w:val="00175D02"/>
    <w:rsid w:val="00175D9D"/>
    <w:rsid w:val="001763CF"/>
    <w:rsid w:val="001765BD"/>
    <w:rsid w:val="0017666D"/>
    <w:rsid w:val="001805BD"/>
    <w:rsid w:val="00180FEA"/>
    <w:rsid w:val="001810F2"/>
    <w:rsid w:val="00181DAD"/>
    <w:rsid w:val="00181DC0"/>
    <w:rsid w:val="00181FA4"/>
    <w:rsid w:val="0018213E"/>
    <w:rsid w:val="00182BD6"/>
    <w:rsid w:val="0018418A"/>
    <w:rsid w:val="00184AA5"/>
    <w:rsid w:val="00186A27"/>
    <w:rsid w:val="001875A9"/>
    <w:rsid w:val="0018798C"/>
    <w:rsid w:val="00187E5E"/>
    <w:rsid w:val="00190092"/>
    <w:rsid w:val="0019063E"/>
    <w:rsid w:val="00190965"/>
    <w:rsid w:val="001911CB"/>
    <w:rsid w:val="00191541"/>
    <w:rsid w:val="001915C3"/>
    <w:rsid w:val="0019171E"/>
    <w:rsid w:val="00191939"/>
    <w:rsid w:val="00193259"/>
    <w:rsid w:val="001932C6"/>
    <w:rsid w:val="00193731"/>
    <w:rsid w:val="001941DE"/>
    <w:rsid w:val="00194A53"/>
    <w:rsid w:val="00195507"/>
    <w:rsid w:val="00195FD6"/>
    <w:rsid w:val="00196CA4"/>
    <w:rsid w:val="00196D4C"/>
    <w:rsid w:val="001971BC"/>
    <w:rsid w:val="00197321"/>
    <w:rsid w:val="001976BF"/>
    <w:rsid w:val="00197C88"/>
    <w:rsid w:val="001A0902"/>
    <w:rsid w:val="001A0F6F"/>
    <w:rsid w:val="001A122D"/>
    <w:rsid w:val="001A1EE0"/>
    <w:rsid w:val="001A2210"/>
    <w:rsid w:val="001A329E"/>
    <w:rsid w:val="001A3501"/>
    <w:rsid w:val="001A367B"/>
    <w:rsid w:val="001A368A"/>
    <w:rsid w:val="001A3AC4"/>
    <w:rsid w:val="001A4241"/>
    <w:rsid w:val="001A4489"/>
    <w:rsid w:val="001A4A0A"/>
    <w:rsid w:val="001A4C3B"/>
    <w:rsid w:val="001A55FA"/>
    <w:rsid w:val="001A56BD"/>
    <w:rsid w:val="001A6D75"/>
    <w:rsid w:val="001B03A2"/>
    <w:rsid w:val="001B0AA8"/>
    <w:rsid w:val="001B0DAE"/>
    <w:rsid w:val="001B1098"/>
    <w:rsid w:val="001B1BFD"/>
    <w:rsid w:val="001B1E10"/>
    <w:rsid w:val="001B2498"/>
    <w:rsid w:val="001B30F8"/>
    <w:rsid w:val="001B361E"/>
    <w:rsid w:val="001B3F5C"/>
    <w:rsid w:val="001B412E"/>
    <w:rsid w:val="001B4150"/>
    <w:rsid w:val="001B4E86"/>
    <w:rsid w:val="001B509E"/>
    <w:rsid w:val="001B50EA"/>
    <w:rsid w:val="001B58DF"/>
    <w:rsid w:val="001B62D7"/>
    <w:rsid w:val="001B62DC"/>
    <w:rsid w:val="001B67C3"/>
    <w:rsid w:val="001B69A0"/>
    <w:rsid w:val="001B70A7"/>
    <w:rsid w:val="001B74D6"/>
    <w:rsid w:val="001B7622"/>
    <w:rsid w:val="001B7B0B"/>
    <w:rsid w:val="001C0362"/>
    <w:rsid w:val="001C0843"/>
    <w:rsid w:val="001C126A"/>
    <w:rsid w:val="001C16F3"/>
    <w:rsid w:val="001C2606"/>
    <w:rsid w:val="001C2B37"/>
    <w:rsid w:val="001C3467"/>
    <w:rsid w:val="001C370A"/>
    <w:rsid w:val="001C46CD"/>
    <w:rsid w:val="001C4823"/>
    <w:rsid w:val="001C4DCF"/>
    <w:rsid w:val="001C4E27"/>
    <w:rsid w:val="001C53CF"/>
    <w:rsid w:val="001C5CE5"/>
    <w:rsid w:val="001C627B"/>
    <w:rsid w:val="001C644A"/>
    <w:rsid w:val="001C65B8"/>
    <w:rsid w:val="001C6690"/>
    <w:rsid w:val="001C6823"/>
    <w:rsid w:val="001C6AF5"/>
    <w:rsid w:val="001C7E2A"/>
    <w:rsid w:val="001D0253"/>
    <w:rsid w:val="001D05C6"/>
    <w:rsid w:val="001D0B86"/>
    <w:rsid w:val="001D0D76"/>
    <w:rsid w:val="001D145F"/>
    <w:rsid w:val="001D1598"/>
    <w:rsid w:val="001D1A30"/>
    <w:rsid w:val="001D1CE9"/>
    <w:rsid w:val="001D24AD"/>
    <w:rsid w:val="001D26DB"/>
    <w:rsid w:val="001D2E43"/>
    <w:rsid w:val="001D3748"/>
    <w:rsid w:val="001D3EBF"/>
    <w:rsid w:val="001D4391"/>
    <w:rsid w:val="001D442D"/>
    <w:rsid w:val="001D5A33"/>
    <w:rsid w:val="001D5EC5"/>
    <w:rsid w:val="001D6D2C"/>
    <w:rsid w:val="001D7CD1"/>
    <w:rsid w:val="001E0A2C"/>
    <w:rsid w:val="001E1AB3"/>
    <w:rsid w:val="001E1BD5"/>
    <w:rsid w:val="001E21DC"/>
    <w:rsid w:val="001E2530"/>
    <w:rsid w:val="001E25F3"/>
    <w:rsid w:val="001E4657"/>
    <w:rsid w:val="001E473B"/>
    <w:rsid w:val="001E5577"/>
    <w:rsid w:val="001E5803"/>
    <w:rsid w:val="001E5B59"/>
    <w:rsid w:val="001E5C79"/>
    <w:rsid w:val="001E65DC"/>
    <w:rsid w:val="001E6A47"/>
    <w:rsid w:val="001E6C3F"/>
    <w:rsid w:val="001E6D40"/>
    <w:rsid w:val="001E6D6A"/>
    <w:rsid w:val="001E6ECD"/>
    <w:rsid w:val="001E71CF"/>
    <w:rsid w:val="001E740D"/>
    <w:rsid w:val="001E75EF"/>
    <w:rsid w:val="001F0748"/>
    <w:rsid w:val="001F07BA"/>
    <w:rsid w:val="001F0D39"/>
    <w:rsid w:val="001F1A90"/>
    <w:rsid w:val="001F2673"/>
    <w:rsid w:val="001F2935"/>
    <w:rsid w:val="001F2D3A"/>
    <w:rsid w:val="001F2E97"/>
    <w:rsid w:val="001F2F2D"/>
    <w:rsid w:val="001F3219"/>
    <w:rsid w:val="001F34CD"/>
    <w:rsid w:val="001F3D5D"/>
    <w:rsid w:val="001F43B8"/>
    <w:rsid w:val="001F459C"/>
    <w:rsid w:val="001F45BE"/>
    <w:rsid w:val="001F4C68"/>
    <w:rsid w:val="001F5C57"/>
    <w:rsid w:val="001F6487"/>
    <w:rsid w:val="001F6754"/>
    <w:rsid w:val="001F7F0E"/>
    <w:rsid w:val="0020017E"/>
    <w:rsid w:val="0020072E"/>
    <w:rsid w:val="002011B8"/>
    <w:rsid w:val="00201541"/>
    <w:rsid w:val="00201CDF"/>
    <w:rsid w:val="00201FB6"/>
    <w:rsid w:val="002027DA"/>
    <w:rsid w:val="00203033"/>
    <w:rsid w:val="00203913"/>
    <w:rsid w:val="00203F4F"/>
    <w:rsid w:val="002043B4"/>
    <w:rsid w:val="00204524"/>
    <w:rsid w:val="002046DC"/>
    <w:rsid w:val="00204C7A"/>
    <w:rsid w:val="00204C84"/>
    <w:rsid w:val="00205FB7"/>
    <w:rsid w:val="002061F2"/>
    <w:rsid w:val="00206288"/>
    <w:rsid w:val="00206983"/>
    <w:rsid w:val="00206985"/>
    <w:rsid w:val="00206B08"/>
    <w:rsid w:val="00206F66"/>
    <w:rsid w:val="0020738E"/>
    <w:rsid w:val="002114ED"/>
    <w:rsid w:val="002118B6"/>
    <w:rsid w:val="00212835"/>
    <w:rsid w:val="00212E6B"/>
    <w:rsid w:val="002136FD"/>
    <w:rsid w:val="00213974"/>
    <w:rsid w:val="00213A50"/>
    <w:rsid w:val="00214086"/>
    <w:rsid w:val="002147E8"/>
    <w:rsid w:val="00215773"/>
    <w:rsid w:val="00215CAF"/>
    <w:rsid w:val="00215CF1"/>
    <w:rsid w:val="002173FC"/>
    <w:rsid w:val="00221222"/>
    <w:rsid w:val="0022167D"/>
    <w:rsid w:val="002223E8"/>
    <w:rsid w:val="00222613"/>
    <w:rsid w:val="00222B6C"/>
    <w:rsid w:val="00224186"/>
    <w:rsid w:val="00224B68"/>
    <w:rsid w:val="00224D5D"/>
    <w:rsid w:val="00226A58"/>
    <w:rsid w:val="00227287"/>
    <w:rsid w:val="00227330"/>
    <w:rsid w:val="00227B80"/>
    <w:rsid w:val="002302CE"/>
    <w:rsid w:val="002307EF"/>
    <w:rsid w:val="00231201"/>
    <w:rsid w:val="002321BF"/>
    <w:rsid w:val="00232485"/>
    <w:rsid w:val="00232C3C"/>
    <w:rsid w:val="00232CB6"/>
    <w:rsid w:val="00232D9B"/>
    <w:rsid w:val="00232E77"/>
    <w:rsid w:val="002331CF"/>
    <w:rsid w:val="00233652"/>
    <w:rsid w:val="00233746"/>
    <w:rsid w:val="00233796"/>
    <w:rsid w:val="002345C6"/>
    <w:rsid w:val="00234C3A"/>
    <w:rsid w:val="00237485"/>
    <w:rsid w:val="00240DCF"/>
    <w:rsid w:val="002410C9"/>
    <w:rsid w:val="00241257"/>
    <w:rsid w:val="002416CE"/>
    <w:rsid w:val="002426BC"/>
    <w:rsid w:val="00243BC4"/>
    <w:rsid w:val="00243E59"/>
    <w:rsid w:val="00243E6F"/>
    <w:rsid w:val="00243EF9"/>
    <w:rsid w:val="00244ED9"/>
    <w:rsid w:val="0024565A"/>
    <w:rsid w:val="002463B2"/>
    <w:rsid w:val="00246500"/>
    <w:rsid w:val="0024728D"/>
    <w:rsid w:val="002478ED"/>
    <w:rsid w:val="00250ACB"/>
    <w:rsid w:val="00251AFF"/>
    <w:rsid w:val="00251B1E"/>
    <w:rsid w:val="00251C97"/>
    <w:rsid w:val="002523EA"/>
    <w:rsid w:val="00252ADD"/>
    <w:rsid w:val="00252D79"/>
    <w:rsid w:val="00253490"/>
    <w:rsid w:val="00253578"/>
    <w:rsid w:val="00253D5E"/>
    <w:rsid w:val="00254603"/>
    <w:rsid w:val="00254D7E"/>
    <w:rsid w:val="00254EDC"/>
    <w:rsid w:val="00254EF3"/>
    <w:rsid w:val="00255042"/>
    <w:rsid w:val="002556AA"/>
    <w:rsid w:val="0025594F"/>
    <w:rsid w:val="00255D1B"/>
    <w:rsid w:val="00255D41"/>
    <w:rsid w:val="00256514"/>
    <w:rsid w:val="00256E1C"/>
    <w:rsid w:val="0025706D"/>
    <w:rsid w:val="002571A6"/>
    <w:rsid w:val="002571C7"/>
    <w:rsid w:val="00257815"/>
    <w:rsid w:val="0026068A"/>
    <w:rsid w:val="002606F1"/>
    <w:rsid w:val="00261681"/>
    <w:rsid w:val="00261A17"/>
    <w:rsid w:val="00261A2A"/>
    <w:rsid w:val="0026218E"/>
    <w:rsid w:val="00262ACA"/>
    <w:rsid w:val="00262F6B"/>
    <w:rsid w:val="002631FE"/>
    <w:rsid w:val="00263375"/>
    <w:rsid w:val="00264578"/>
    <w:rsid w:val="00264789"/>
    <w:rsid w:val="002649A0"/>
    <w:rsid w:val="00264E43"/>
    <w:rsid w:val="00264F6C"/>
    <w:rsid w:val="00264FFA"/>
    <w:rsid w:val="00265220"/>
    <w:rsid w:val="0026542F"/>
    <w:rsid w:val="00265534"/>
    <w:rsid w:val="00265564"/>
    <w:rsid w:val="0026576A"/>
    <w:rsid w:val="002659E6"/>
    <w:rsid w:val="00266B58"/>
    <w:rsid w:val="00266DA6"/>
    <w:rsid w:val="00267256"/>
    <w:rsid w:val="00267878"/>
    <w:rsid w:val="00267BE0"/>
    <w:rsid w:val="0027097B"/>
    <w:rsid w:val="00270EE7"/>
    <w:rsid w:val="0027115D"/>
    <w:rsid w:val="002717DF"/>
    <w:rsid w:val="00272E7D"/>
    <w:rsid w:val="002732A1"/>
    <w:rsid w:val="00273957"/>
    <w:rsid w:val="0027398E"/>
    <w:rsid w:val="00274212"/>
    <w:rsid w:val="002745B3"/>
    <w:rsid w:val="00274A41"/>
    <w:rsid w:val="0027501E"/>
    <w:rsid w:val="002754C1"/>
    <w:rsid w:val="002754E1"/>
    <w:rsid w:val="002757D2"/>
    <w:rsid w:val="0027581A"/>
    <w:rsid w:val="00275AB7"/>
    <w:rsid w:val="0027616F"/>
    <w:rsid w:val="002763BE"/>
    <w:rsid w:val="00277110"/>
    <w:rsid w:val="0027730D"/>
    <w:rsid w:val="00277352"/>
    <w:rsid w:val="00277527"/>
    <w:rsid w:val="0027775F"/>
    <w:rsid w:val="00277CF6"/>
    <w:rsid w:val="00277F90"/>
    <w:rsid w:val="0028040B"/>
    <w:rsid w:val="002806C9"/>
    <w:rsid w:val="0028076C"/>
    <w:rsid w:val="00280DFA"/>
    <w:rsid w:val="002815EB"/>
    <w:rsid w:val="0028176B"/>
    <w:rsid w:val="00281C87"/>
    <w:rsid w:val="002825DC"/>
    <w:rsid w:val="002826A9"/>
    <w:rsid w:val="00282D0A"/>
    <w:rsid w:val="00282FFF"/>
    <w:rsid w:val="00283A19"/>
    <w:rsid w:val="00283E87"/>
    <w:rsid w:val="002842B0"/>
    <w:rsid w:val="00284C34"/>
    <w:rsid w:val="00284C62"/>
    <w:rsid w:val="00285CB2"/>
    <w:rsid w:val="00285F10"/>
    <w:rsid w:val="0028622B"/>
    <w:rsid w:val="0028634A"/>
    <w:rsid w:val="00286366"/>
    <w:rsid w:val="002864A6"/>
    <w:rsid w:val="0028664C"/>
    <w:rsid w:val="002877F4"/>
    <w:rsid w:val="00290906"/>
    <w:rsid w:val="0029106A"/>
    <w:rsid w:val="00291945"/>
    <w:rsid w:val="00291BBB"/>
    <w:rsid w:val="00291FB1"/>
    <w:rsid w:val="00292CE6"/>
    <w:rsid w:val="00293775"/>
    <w:rsid w:val="00293A03"/>
    <w:rsid w:val="00293F43"/>
    <w:rsid w:val="00294010"/>
    <w:rsid w:val="002948EE"/>
    <w:rsid w:val="00295550"/>
    <w:rsid w:val="002955DA"/>
    <w:rsid w:val="00295FE4"/>
    <w:rsid w:val="002966FE"/>
    <w:rsid w:val="00296B8B"/>
    <w:rsid w:val="00296E65"/>
    <w:rsid w:val="002971E8"/>
    <w:rsid w:val="00297D26"/>
    <w:rsid w:val="002A02EB"/>
    <w:rsid w:val="002A0507"/>
    <w:rsid w:val="002A06E4"/>
    <w:rsid w:val="002A112C"/>
    <w:rsid w:val="002A142A"/>
    <w:rsid w:val="002A1A2C"/>
    <w:rsid w:val="002A1D2B"/>
    <w:rsid w:val="002A21DD"/>
    <w:rsid w:val="002A2353"/>
    <w:rsid w:val="002A2E8F"/>
    <w:rsid w:val="002A325C"/>
    <w:rsid w:val="002A3552"/>
    <w:rsid w:val="002A383F"/>
    <w:rsid w:val="002A3849"/>
    <w:rsid w:val="002A401B"/>
    <w:rsid w:val="002A4E68"/>
    <w:rsid w:val="002A566C"/>
    <w:rsid w:val="002A5C27"/>
    <w:rsid w:val="002A5C5D"/>
    <w:rsid w:val="002A5EDA"/>
    <w:rsid w:val="002A61F9"/>
    <w:rsid w:val="002A69E5"/>
    <w:rsid w:val="002A6BE0"/>
    <w:rsid w:val="002B0329"/>
    <w:rsid w:val="002B03DA"/>
    <w:rsid w:val="002B05AA"/>
    <w:rsid w:val="002B1EC1"/>
    <w:rsid w:val="002B2421"/>
    <w:rsid w:val="002B2CF4"/>
    <w:rsid w:val="002B364C"/>
    <w:rsid w:val="002B3AE7"/>
    <w:rsid w:val="002B42BC"/>
    <w:rsid w:val="002B4466"/>
    <w:rsid w:val="002B4762"/>
    <w:rsid w:val="002B4DAD"/>
    <w:rsid w:val="002B4EEB"/>
    <w:rsid w:val="002B5D76"/>
    <w:rsid w:val="002B5F04"/>
    <w:rsid w:val="002B6793"/>
    <w:rsid w:val="002B6ABE"/>
    <w:rsid w:val="002B718A"/>
    <w:rsid w:val="002B72FB"/>
    <w:rsid w:val="002B76EB"/>
    <w:rsid w:val="002C041E"/>
    <w:rsid w:val="002C09BB"/>
    <w:rsid w:val="002C15B9"/>
    <w:rsid w:val="002C1F39"/>
    <w:rsid w:val="002C1F3E"/>
    <w:rsid w:val="002C256C"/>
    <w:rsid w:val="002C339E"/>
    <w:rsid w:val="002C3546"/>
    <w:rsid w:val="002C4413"/>
    <w:rsid w:val="002C4CD0"/>
    <w:rsid w:val="002C5364"/>
    <w:rsid w:val="002C58A8"/>
    <w:rsid w:val="002C5B87"/>
    <w:rsid w:val="002C5D35"/>
    <w:rsid w:val="002C6739"/>
    <w:rsid w:val="002C6934"/>
    <w:rsid w:val="002C6A1A"/>
    <w:rsid w:val="002C6E3B"/>
    <w:rsid w:val="002C6F6F"/>
    <w:rsid w:val="002C6FEF"/>
    <w:rsid w:val="002C746A"/>
    <w:rsid w:val="002C790C"/>
    <w:rsid w:val="002D0343"/>
    <w:rsid w:val="002D0861"/>
    <w:rsid w:val="002D08EF"/>
    <w:rsid w:val="002D10F5"/>
    <w:rsid w:val="002D166B"/>
    <w:rsid w:val="002D1F29"/>
    <w:rsid w:val="002D290B"/>
    <w:rsid w:val="002D30FD"/>
    <w:rsid w:val="002D31FD"/>
    <w:rsid w:val="002D32B3"/>
    <w:rsid w:val="002D372F"/>
    <w:rsid w:val="002D37A4"/>
    <w:rsid w:val="002D3843"/>
    <w:rsid w:val="002D3A14"/>
    <w:rsid w:val="002D4129"/>
    <w:rsid w:val="002D474E"/>
    <w:rsid w:val="002D6565"/>
    <w:rsid w:val="002D665D"/>
    <w:rsid w:val="002D69B5"/>
    <w:rsid w:val="002D6AA7"/>
    <w:rsid w:val="002D7BD4"/>
    <w:rsid w:val="002E03D1"/>
    <w:rsid w:val="002E1866"/>
    <w:rsid w:val="002E2AC2"/>
    <w:rsid w:val="002E3086"/>
    <w:rsid w:val="002E38CE"/>
    <w:rsid w:val="002E3B80"/>
    <w:rsid w:val="002E3FD4"/>
    <w:rsid w:val="002E4DC2"/>
    <w:rsid w:val="002E5295"/>
    <w:rsid w:val="002E547B"/>
    <w:rsid w:val="002E5662"/>
    <w:rsid w:val="002E56F4"/>
    <w:rsid w:val="002E58E6"/>
    <w:rsid w:val="002E5A32"/>
    <w:rsid w:val="002E5C2E"/>
    <w:rsid w:val="002E5F11"/>
    <w:rsid w:val="002E6CAE"/>
    <w:rsid w:val="002E6CE8"/>
    <w:rsid w:val="002E6D6E"/>
    <w:rsid w:val="002E7B53"/>
    <w:rsid w:val="002F1458"/>
    <w:rsid w:val="002F25A1"/>
    <w:rsid w:val="002F2FA5"/>
    <w:rsid w:val="002F304B"/>
    <w:rsid w:val="002F356B"/>
    <w:rsid w:val="002F3C31"/>
    <w:rsid w:val="002F408C"/>
    <w:rsid w:val="002F43F9"/>
    <w:rsid w:val="002F472D"/>
    <w:rsid w:val="002F544B"/>
    <w:rsid w:val="002F70D6"/>
    <w:rsid w:val="002F78FD"/>
    <w:rsid w:val="00300245"/>
    <w:rsid w:val="0030071B"/>
    <w:rsid w:val="00300D5B"/>
    <w:rsid w:val="00301226"/>
    <w:rsid w:val="00301614"/>
    <w:rsid w:val="00301662"/>
    <w:rsid w:val="00302312"/>
    <w:rsid w:val="0030238A"/>
    <w:rsid w:val="00302695"/>
    <w:rsid w:val="003026C0"/>
    <w:rsid w:val="0030340B"/>
    <w:rsid w:val="00303BC6"/>
    <w:rsid w:val="003059A6"/>
    <w:rsid w:val="00305AC8"/>
    <w:rsid w:val="003068E4"/>
    <w:rsid w:val="00306CDD"/>
    <w:rsid w:val="003077FB"/>
    <w:rsid w:val="0030793C"/>
    <w:rsid w:val="003104EC"/>
    <w:rsid w:val="00311A9F"/>
    <w:rsid w:val="00312175"/>
    <w:rsid w:val="00312DC0"/>
    <w:rsid w:val="003134CB"/>
    <w:rsid w:val="00313B56"/>
    <w:rsid w:val="00313BE2"/>
    <w:rsid w:val="003146DD"/>
    <w:rsid w:val="0031477F"/>
    <w:rsid w:val="00314E9A"/>
    <w:rsid w:val="00315228"/>
    <w:rsid w:val="0031544D"/>
    <w:rsid w:val="003155E2"/>
    <w:rsid w:val="00315D37"/>
    <w:rsid w:val="0031610A"/>
    <w:rsid w:val="0031612E"/>
    <w:rsid w:val="00316E18"/>
    <w:rsid w:val="003204BD"/>
    <w:rsid w:val="003206AC"/>
    <w:rsid w:val="00320DE2"/>
    <w:rsid w:val="00321074"/>
    <w:rsid w:val="00321DE2"/>
    <w:rsid w:val="00322005"/>
    <w:rsid w:val="0032219D"/>
    <w:rsid w:val="003223DB"/>
    <w:rsid w:val="00322940"/>
    <w:rsid w:val="00322AAE"/>
    <w:rsid w:val="00323CCF"/>
    <w:rsid w:val="00323E26"/>
    <w:rsid w:val="00323F30"/>
    <w:rsid w:val="00324353"/>
    <w:rsid w:val="003244D8"/>
    <w:rsid w:val="00324A44"/>
    <w:rsid w:val="00324AAD"/>
    <w:rsid w:val="00324B5E"/>
    <w:rsid w:val="00325134"/>
    <w:rsid w:val="00325445"/>
    <w:rsid w:val="00325706"/>
    <w:rsid w:val="00325D64"/>
    <w:rsid w:val="00327C3C"/>
    <w:rsid w:val="00330627"/>
    <w:rsid w:val="00330E4F"/>
    <w:rsid w:val="003310FD"/>
    <w:rsid w:val="00331BAC"/>
    <w:rsid w:val="003321D8"/>
    <w:rsid w:val="00332656"/>
    <w:rsid w:val="003326B4"/>
    <w:rsid w:val="00332794"/>
    <w:rsid w:val="00332D6E"/>
    <w:rsid w:val="00332F5A"/>
    <w:rsid w:val="00333396"/>
    <w:rsid w:val="00333E85"/>
    <w:rsid w:val="0033466D"/>
    <w:rsid w:val="003349E5"/>
    <w:rsid w:val="003366B9"/>
    <w:rsid w:val="00336A5F"/>
    <w:rsid w:val="00336B53"/>
    <w:rsid w:val="00336FFA"/>
    <w:rsid w:val="003375B4"/>
    <w:rsid w:val="0033761A"/>
    <w:rsid w:val="00337883"/>
    <w:rsid w:val="00337954"/>
    <w:rsid w:val="00337A4B"/>
    <w:rsid w:val="00337B2B"/>
    <w:rsid w:val="003408BA"/>
    <w:rsid w:val="003408F8"/>
    <w:rsid w:val="00340C73"/>
    <w:rsid w:val="00340EAE"/>
    <w:rsid w:val="00341A39"/>
    <w:rsid w:val="003424E9"/>
    <w:rsid w:val="0034294F"/>
    <w:rsid w:val="00342A25"/>
    <w:rsid w:val="00343004"/>
    <w:rsid w:val="0034327E"/>
    <w:rsid w:val="00343359"/>
    <w:rsid w:val="003443DB"/>
    <w:rsid w:val="00344A40"/>
    <w:rsid w:val="00344B1B"/>
    <w:rsid w:val="0034529D"/>
    <w:rsid w:val="00345AC7"/>
    <w:rsid w:val="00346428"/>
    <w:rsid w:val="00347882"/>
    <w:rsid w:val="00347AD7"/>
    <w:rsid w:val="003501D3"/>
    <w:rsid w:val="0035047D"/>
    <w:rsid w:val="003539A8"/>
    <w:rsid w:val="00353ACD"/>
    <w:rsid w:val="00353C63"/>
    <w:rsid w:val="00353C97"/>
    <w:rsid w:val="00353CBB"/>
    <w:rsid w:val="00353E2B"/>
    <w:rsid w:val="003540F7"/>
    <w:rsid w:val="00354793"/>
    <w:rsid w:val="00354A02"/>
    <w:rsid w:val="00354BAF"/>
    <w:rsid w:val="00354E84"/>
    <w:rsid w:val="00355582"/>
    <w:rsid w:val="00355B83"/>
    <w:rsid w:val="00355D39"/>
    <w:rsid w:val="00356256"/>
    <w:rsid w:val="003562EE"/>
    <w:rsid w:val="00356C2F"/>
    <w:rsid w:val="00356FF4"/>
    <w:rsid w:val="00357007"/>
    <w:rsid w:val="00357083"/>
    <w:rsid w:val="003600B8"/>
    <w:rsid w:val="00361098"/>
    <w:rsid w:val="00361138"/>
    <w:rsid w:val="00361767"/>
    <w:rsid w:val="00361EB5"/>
    <w:rsid w:val="00362102"/>
    <w:rsid w:val="003628E7"/>
    <w:rsid w:val="0036298F"/>
    <w:rsid w:val="00362B48"/>
    <w:rsid w:val="00362DAE"/>
    <w:rsid w:val="00363905"/>
    <w:rsid w:val="003647E8"/>
    <w:rsid w:val="003648BA"/>
    <w:rsid w:val="00365389"/>
    <w:rsid w:val="00365443"/>
    <w:rsid w:val="0036552A"/>
    <w:rsid w:val="003657A8"/>
    <w:rsid w:val="003658A2"/>
    <w:rsid w:val="00365E40"/>
    <w:rsid w:val="00365E8F"/>
    <w:rsid w:val="00366460"/>
    <w:rsid w:val="003669F3"/>
    <w:rsid w:val="00366CCD"/>
    <w:rsid w:val="00366E6B"/>
    <w:rsid w:val="00367139"/>
    <w:rsid w:val="00370A09"/>
    <w:rsid w:val="003719AA"/>
    <w:rsid w:val="00371A95"/>
    <w:rsid w:val="00371D29"/>
    <w:rsid w:val="00372A9F"/>
    <w:rsid w:val="0037397A"/>
    <w:rsid w:val="00373995"/>
    <w:rsid w:val="00373B40"/>
    <w:rsid w:val="0037427D"/>
    <w:rsid w:val="0037474B"/>
    <w:rsid w:val="00374888"/>
    <w:rsid w:val="00375136"/>
    <w:rsid w:val="00375354"/>
    <w:rsid w:val="003759E4"/>
    <w:rsid w:val="0037606F"/>
    <w:rsid w:val="0037683E"/>
    <w:rsid w:val="00377174"/>
    <w:rsid w:val="00377FFD"/>
    <w:rsid w:val="003801DF"/>
    <w:rsid w:val="0038032E"/>
    <w:rsid w:val="0038045C"/>
    <w:rsid w:val="0038054E"/>
    <w:rsid w:val="0038099E"/>
    <w:rsid w:val="003810AD"/>
    <w:rsid w:val="0038126F"/>
    <w:rsid w:val="00381537"/>
    <w:rsid w:val="00381829"/>
    <w:rsid w:val="0038183C"/>
    <w:rsid w:val="003824A5"/>
    <w:rsid w:val="003833E5"/>
    <w:rsid w:val="0038349D"/>
    <w:rsid w:val="00383DBB"/>
    <w:rsid w:val="00383F08"/>
    <w:rsid w:val="00384B79"/>
    <w:rsid w:val="003856B9"/>
    <w:rsid w:val="003857FB"/>
    <w:rsid w:val="00385C09"/>
    <w:rsid w:val="0038761B"/>
    <w:rsid w:val="00387A95"/>
    <w:rsid w:val="003900C5"/>
    <w:rsid w:val="0039012B"/>
    <w:rsid w:val="00390408"/>
    <w:rsid w:val="00390F30"/>
    <w:rsid w:val="003916C1"/>
    <w:rsid w:val="00391B96"/>
    <w:rsid w:val="00391BC0"/>
    <w:rsid w:val="00391D48"/>
    <w:rsid w:val="00391E84"/>
    <w:rsid w:val="00392542"/>
    <w:rsid w:val="00392863"/>
    <w:rsid w:val="00392A03"/>
    <w:rsid w:val="003933D0"/>
    <w:rsid w:val="00394261"/>
    <w:rsid w:val="0039460F"/>
    <w:rsid w:val="00395ED4"/>
    <w:rsid w:val="00396338"/>
    <w:rsid w:val="00396529"/>
    <w:rsid w:val="003966AD"/>
    <w:rsid w:val="003967F6"/>
    <w:rsid w:val="00397570"/>
    <w:rsid w:val="00397B99"/>
    <w:rsid w:val="003A06D3"/>
    <w:rsid w:val="003A097E"/>
    <w:rsid w:val="003A0C26"/>
    <w:rsid w:val="003A0EA0"/>
    <w:rsid w:val="003A1471"/>
    <w:rsid w:val="003A1B9B"/>
    <w:rsid w:val="003A28A0"/>
    <w:rsid w:val="003A353C"/>
    <w:rsid w:val="003A3AB4"/>
    <w:rsid w:val="003A3FD1"/>
    <w:rsid w:val="003A3FF7"/>
    <w:rsid w:val="003A52A1"/>
    <w:rsid w:val="003A535E"/>
    <w:rsid w:val="003A638D"/>
    <w:rsid w:val="003A6743"/>
    <w:rsid w:val="003A7C27"/>
    <w:rsid w:val="003B03DC"/>
    <w:rsid w:val="003B0D92"/>
    <w:rsid w:val="003B16F1"/>
    <w:rsid w:val="003B1D58"/>
    <w:rsid w:val="003B2100"/>
    <w:rsid w:val="003B35C4"/>
    <w:rsid w:val="003B385C"/>
    <w:rsid w:val="003B3900"/>
    <w:rsid w:val="003B3E80"/>
    <w:rsid w:val="003B4298"/>
    <w:rsid w:val="003B509C"/>
    <w:rsid w:val="003B57E2"/>
    <w:rsid w:val="003B75A1"/>
    <w:rsid w:val="003B7B47"/>
    <w:rsid w:val="003C071E"/>
    <w:rsid w:val="003C1CBB"/>
    <w:rsid w:val="003C1CEB"/>
    <w:rsid w:val="003C2808"/>
    <w:rsid w:val="003C2AB6"/>
    <w:rsid w:val="003C2D90"/>
    <w:rsid w:val="003C3B3C"/>
    <w:rsid w:val="003C3BC2"/>
    <w:rsid w:val="003C3CC8"/>
    <w:rsid w:val="003C3D9E"/>
    <w:rsid w:val="003C3F07"/>
    <w:rsid w:val="003C46C9"/>
    <w:rsid w:val="003C57B6"/>
    <w:rsid w:val="003C5975"/>
    <w:rsid w:val="003C60BF"/>
    <w:rsid w:val="003C67BD"/>
    <w:rsid w:val="003C73EC"/>
    <w:rsid w:val="003C74A3"/>
    <w:rsid w:val="003D0E96"/>
    <w:rsid w:val="003D1464"/>
    <w:rsid w:val="003D19C8"/>
    <w:rsid w:val="003D1B5E"/>
    <w:rsid w:val="003D1D9C"/>
    <w:rsid w:val="003D2496"/>
    <w:rsid w:val="003D2561"/>
    <w:rsid w:val="003D301F"/>
    <w:rsid w:val="003D3A49"/>
    <w:rsid w:val="003D46A1"/>
    <w:rsid w:val="003D4C55"/>
    <w:rsid w:val="003D4E3C"/>
    <w:rsid w:val="003D51ED"/>
    <w:rsid w:val="003D5204"/>
    <w:rsid w:val="003D5BD0"/>
    <w:rsid w:val="003D605B"/>
    <w:rsid w:val="003D6324"/>
    <w:rsid w:val="003D6342"/>
    <w:rsid w:val="003D6EBB"/>
    <w:rsid w:val="003D72D8"/>
    <w:rsid w:val="003D73BF"/>
    <w:rsid w:val="003E0293"/>
    <w:rsid w:val="003E0413"/>
    <w:rsid w:val="003E0A0C"/>
    <w:rsid w:val="003E0B1F"/>
    <w:rsid w:val="003E18EC"/>
    <w:rsid w:val="003E213B"/>
    <w:rsid w:val="003E29DD"/>
    <w:rsid w:val="003E2A98"/>
    <w:rsid w:val="003E3C16"/>
    <w:rsid w:val="003E417A"/>
    <w:rsid w:val="003E46D5"/>
    <w:rsid w:val="003E507D"/>
    <w:rsid w:val="003E563C"/>
    <w:rsid w:val="003E56A6"/>
    <w:rsid w:val="003E70EA"/>
    <w:rsid w:val="003F0336"/>
    <w:rsid w:val="003F1BCA"/>
    <w:rsid w:val="003F1C3B"/>
    <w:rsid w:val="003F2182"/>
    <w:rsid w:val="003F2C0A"/>
    <w:rsid w:val="003F2E1D"/>
    <w:rsid w:val="003F2E3C"/>
    <w:rsid w:val="003F41DA"/>
    <w:rsid w:val="003F46FA"/>
    <w:rsid w:val="003F48E7"/>
    <w:rsid w:val="003F4D70"/>
    <w:rsid w:val="003F64D1"/>
    <w:rsid w:val="003F65D7"/>
    <w:rsid w:val="003F682E"/>
    <w:rsid w:val="003F7238"/>
    <w:rsid w:val="003F7425"/>
    <w:rsid w:val="003F7C95"/>
    <w:rsid w:val="0040004D"/>
    <w:rsid w:val="00400254"/>
    <w:rsid w:val="004018DB"/>
    <w:rsid w:val="004023F3"/>
    <w:rsid w:val="004026A1"/>
    <w:rsid w:val="00402BF3"/>
    <w:rsid w:val="0040321F"/>
    <w:rsid w:val="00403489"/>
    <w:rsid w:val="00403BD5"/>
    <w:rsid w:val="00403DBF"/>
    <w:rsid w:val="00403FA5"/>
    <w:rsid w:val="00404694"/>
    <w:rsid w:val="00404B2E"/>
    <w:rsid w:val="00404E3C"/>
    <w:rsid w:val="00404E5C"/>
    <w:rsid w:val="00404FC0"/>
    <w:rsid w:val="00405965"/>
    <w:rsid w:val="00405975"/>
    <w:rsid w:val="00405D25"/>
    <w:rsid w:val="0040698F"/>
    <w:rsid w:val="00407FFC"/>
    <w:rsid w:val="00410306"/>
    <w:rsid w:val="0041088B"/>
    <w:rsid w:val="004109FB"/>
    <w:rsid w:val="00411123"/>
    <w:rsid w:val="004113BF"/>
    <w:rsid w:val="00411E37"/>
    <w:rsid w:val="00411F81"/>
    <w:rsid w:val="004120A8"/>
    <w:rsid w:val="00412754"/>
    <w:rsid w:val="004148B8"/>
    <w:rsid w:val="00414B23"/>
    <w:rsid w:val="00415960"/>
    <w:rsid w:val="00415A0B"/>
    <w:rsid w:val="004161E3"/>
    <w:rsid w:val="00416917"/>
    <w:rsid w:val="004169DE"/>
    <w:rsid w:val="0041716B"/>
    <w:rsid w:val="004175F7"/>
    <w:rsid w:val="0042042A"/>
    <w:rsid w:val="00420972"/>
    <w:rsid w:val="00420984"/>
    <w:rsid w:val="00420B1B"/>
    <w:rsid w:val="00420C25"/>
    <w:rsid w:val="00420E34"/>
    <w:rsid w:val="00420ED4"/>
    <w:rsid w:val="0042104C"/>
    <w:rsid w:val="00421056"/>
    <w:rsid w:val="004212A2"/>
    <w:rsid w:val="00421BE8"/>
    <w:rsid w:val="00421FA1"/>
    <w:rsid w:val="0042225C"/>
    <w:rsid w:val="004226BF"/>
    <w:rsid w:val="00422B18"/>
    <w:rsid w:val="00423396"/>
    <w:rsid w:val="00423FAE"/>
    <w:rsid w:val="00424550"/>
    <w:rsid w:val="00424753"/>
    <w:rsid w:val="00424862"/>
    <w:rsid w:val="0042499F"/>
    <w:rsid w:val="00424AF3"/>
    <w:rsid w:val="00425119"/>
    <w:rsid w:val="00425E6E"/>
    <w:rsid w:val="00426836"/>
    <w:rsid w:val="0042690C"/>
    <w:rsid w:val="00427061"/>
    <w:rsid w:val="004277FA"/>
    <w:rsid w:val="00427941"/>
    <w:rsid w:val="00427B16"/>
    <w:rsid w:val="00427D7B"/>
    <w:rsid w:val="004305EF"/>
    <w:rsid w:val="00430B64"/>
    <w:rsid w:val="00430BEF"/>
    <w:rsid w:val="00430DA1"/>
    <w:rsid w:val="0043115B"/>
    <w:rsid w:val="00431AD9"/>
    <w:rsid w:val="00433808"/>
    <w:rsid w:val="00433EFF"/>
    <w:rsid w:val="004340E7"/>
    <w:rsid w:val="0043455A"/>
    <w:rsid w:val="00434FE9"/>
    <w:rsid w:val="0043538C"/>
    <w:rsid w:val="004359E7"/>
    <w:rsid w:val="00436439"/>
    <w:rsid w:val="00436756"/>
    <w:rsid w:val="00436D35"/>
    <w:rsid w:val="004372BF"/>
    <w:rsid w:val="0043777E"/>
    <w:rsid w:val="0044030B"/>
    <w:rsid w:val="0044053A"/>
    <w:rsid w:val="00441C06"/>
    <w:rsid w:val="00441DD5"/>
    <w:rsid w:val="00441F43"/>
    <w:rsid w:val="00442098"/>
    <w:rsid w:val="00442700"/>
    <w:rsid w:val="00442EF6"/>
    <w:rsid w:val="004434C8"/>
    <w:rsid w:val="004441F7"/>
    <w:rsid w:val="00444FF2"/>
    <w:rsid w:val="00445224"/>
    <w:rsid w:val="0044581A"/>
    <w:rsid w:val="0044650E"/>
    <w:rsid w:val="004465DA"/>
    <w:rsid w:val="004467F3"/>
    <w:rsid w:val="004504C3"/>
    <w:rsid w:val="00451431"/>
    <w:rsid w:val="00451565"/>
    <w:rsid w:val="004525D9"/>
    <w:rsid w:val="00452A25"/>
    <w:rsid w:val="00452D0C"/>
    <w:rsid w:val="00453B3C"/>
    <w:rsid w:val="004542CE"/>
    <w:rsid w:val="00454638"/>
    <w:rsid w:val="0045499A"/>
    <w:rsid w:val="00454E9E"/>
    <w:rsid w:val="00454FE9"/>
    <w:rsid w:val="0045535A"/>
    <w:rsid w:val="00455671"/>
    <w:rsid w:val="0045579C"/>
    <w:rsid w:val="00456E39"/>
    <w:rsid w:val="00461A62"/>
    <w:rsid w:val="004625E0"/>
    <w:rsid w:val="00462B5C"/>
    <w:rsid w:val="00462E3F"/>
    <w:rsid w:val="00463347"/>
    <w:rsid w:val="00463AC0"/>
    <w:rsid w:val="004640F4"/>
    <w:rsid w:val="00464663"/>
    <w:rsid w:val="00464C68"/>
    <w:rsid w:val="0046549B"/>
    <w:rsid w:val="00465A47"/>
    <w:rsid w:val="00466536"/>
    <w:rsid w:val="00466802"/>
    <w:rsid w:val="00466A86"/>
    <w:rsid w:val="00466E0C"/>
    <w:rsid w:val="0046722D"/>
    <w:rsid w:val="00467874"/>
    <w:rsid w:val="00467CDD"/>
    <w:rsid w:val="004703C9"/>
    <w:rsid w:val="00470C4C"/>
    <w:rsid w:val="00470CCD"/>
    <w:rsid w:val="00470EF5"/>
    <w:rsid w:val="00471935"/>
    <w:rsid w:val="00471F9D"/>
    <w:rsid w:val="004724A9"/>
    <w:rsid w:val="00473534"/>
    <w:rsid w:val="00473960"/>
    <w:rsid w:val="00473C1F"/>
    <w:rsid w:val="00473C27"/>
    <w:rsid w:val="0047481D"/>
    <w:rsid w:val="004749DB"/>
    <w:rsid w:val="00474A12"/>
    <w:rsid w:val="00474D0A"/>
    <w:rsid w:val="004753C0"/>
    <w:rsid w:val="00475554"/>
    <w:rsid w:val="00475D31"/>
    <w:rsid w:val="0047625F"/>
    <w:rsid w:val="00477030"/>
    <w:rsid w:val="00477B60"/>
    <w:rsid w:val="004816E5"/>
    <w:rsid w:val="0048236C"/>
    <w:rsid w:val="0048279B"/>
    <w:rsid w:val="004828BE"/>
    <w:rsid w:val="00482A1A"/>
    <w:rsid w:val="00482A7B"/>
    <w:rsid w:val="00482FAA"/>
    <w:rsid w:val="004835E9"/>
    <w:rsid w:val="00483A37"/>
    <w:rsid w:val="004850AA"/>
    <w:rsid w:val="004851BB"/>
    <w:rsid w:val="004866A8"/>
    <w:rsid w:val="00486D38"/>
    <w:rsid w:val="00487021"/>
    <w:rsid w:val="0048733C"/>
    <w:rsid w:val="00487607"/>
    <w:rsid w:val="00487BBC"/>
    <w:rsid w:val="00487BCE"/>
    <w:rsid w:val="0049045D"/>
    <w:rsid w:val="00490EBF"/>
    <w:rsid w:val="00491072"/>
    <w:rsid w:val="0049141C"/>
    <w:rsid w:val="004921A1"/>
    <w:rsid w:val="00492885"/>
    <w:rsid w:val="00492A8C"/>
    <w:rsid w:val="00493621"/>
    <w:rsid w:val="00493C02"/>
    <w:rsid w:val="00493C67"/>
    <w:rsid w:val="00493D19"/>
    <w:rsid w:val="004941D5"/>
    <w:rsid w:val="004942EB"/>
    <w:rsid w:val="004944E9"/>
    <w:rsid w:val="0049455F"/>
    <w:rsid w:val="004948D7"/>
    <w:rsid w:val="00494B09"/>
    <w:rsid w:val="00494D4A"/>
    <w:rsid w:val="00495493"/>
    <w:rsid w:val="00495495"/>
    <w:rsid w:val="00495E6E"/>
    <w:rsid w:val="004960FE"/>
    <w:rsid w:val="004964BD"/>
    <w:rsid w:val="00496B5F"/>
    <w:rsid w:val="004975A8"/>
    <w:rsid w:val="004A026F"/>
    <w:rsid w:val="004A0912"/>
    <w:rsid w:val="004A1186"/>
    <w:rsid w:val="004A3C5C"/>
    <w:rsid w:val="004A459F"/>
    <w:rsid w:val="004A4E6E"/>
    <w:rsid w:val="004A4EB0"/>
    <w:rsid w:val="004A51C6"/>
    <w:rsid w:val="004A55B6"/>
    <w:rsid w:val="004A589B"/>
    <w:rsid w:val="004A6BEF"/>
    <w:rsid w:val="004A72F7"/>
    <w:rsid w:val="004A740A"/>
    <w:rsid w:val="004A75D6"/>
    <w:rsid w:val="004A75ED"/>
    <w:rsid w:val="004A76F6"/>
    <w:rsid w:val="004A7D4B"/>
    <w:rsid w:val="004A7F63"/>
    <w:rsid w:val="004B068D"/>
    <w:rsid w:val="004B0E1A"/>
    <w:rsid w:val="004B11D1"/>
    <w:rsid w:val="004B15B6"/>
    <w:rsid w:val="004B1906"/>
    <w:rsid w:val="004B1A12"/>
    <w:rsid w:val="004B2298"/>
    <w:rsid w:val="004B2777"/>
    <w:rsid w:val="004B279C"/>
    <w:rsid w:val="004B3154"/>
    <w:rsid w:val="004B37A1"/>
    <w:rsid w:val="004B38A7"/>
    <w:rsid w:val="004B3DE1"/>
    <w:rsid w:val="004B61A4"/>
    <w:rsid w:val="004B7B40"/>
    <w:rsid w:val="004C0231"/>
    <w:rsid w:val="004C04DA"/>
    <w:rsid w:val="004C15B5"/>
    <w:rsid w:val="004C3479"/>
    <w:rsid w:val="004C35C5"/>
    <w:rsid w:val="004C38D6"/>
    <w:rsid w:val="004C3AA2"/>
    <w:rsid w:val="004C4965"/>
    <w:rsid w:val="004C52C3"/>
    <w:rsid w:val="004C5357"/>
    <w:rsid w:val="004C561C"/>
    <w:rsid w:val="004C579E"/>
    <w:rsid w:val="004C5F91"/>
    <w:rsid w:val="004C623B"/>
    <w:rsid w:val="004C6277"/>
    <w:rsid w:val="004C685A"/>
    <w:rsid w:val="004C6BA6"/>
    <w:rsid w:val="004C7CC4"/>
    <w:rsid w:val="004D044C"/>
    <w:rsid w:val="004D04AD"/>
    <w:rsid w:val="004D0C2C"/>
    <w:rsid w:val="004D21AC"/>
    <w:rsid w:val="004D2300"/>
    <w:rsid w:val="004D2308"/>
    <w:rsid w:val="004D44AD"/>
    <w:rsid w:val="004D4B88"/>
    <w:rsid w:val="004D4BEB"/>
    <w:rsid w:val="004D4FA1"/>
    <w:rsid w:val="004D5033"/>
    <w:rsid w:val="004D52CD"/>
    <w:rsid w:val="004D5DFA"/>
    <w:rsid w:val="004D6954"/>
    <w:rsid w:val="004D6F5F"/>
    <w:rsid w:val="004D7484"/>
    <w:rsid w:val="004D798F"/>
    <w:rsid w:val="004D79A9"/>
    <w:rsid w:val="004E03B0"/>
    <w:rsid w:val="004E06A0"/>
    <w:rsid w:val="004E11BE"/>
    <w:rsid w:val="004E1932"/>
    <w:rsid w:val="004E1AC1"/>
    <w:rsid w:val="004E1B64"/>
    <w:rsid w:val="004E1CDB"/>
    <w:rsid w:val="004E1D36"/>
    <w:rsid w:val="004E1DF4"/>
    <w:rsid w:val="004E2698"/>
    <w:rsid w:val="004E2A7F"/>
    <w:rsid w:val="004E3069"/>
    <w:rsid w:val="004E31C3"/>
    <w:rsid w:val="004E359D"/>
    <w:rsid w:val="004E3AB4"/>
    <w:rsid w:val="004E3AEA"/>
    <w:rsid w:val="004E3E38"/>
    <w:rsid w:val="004E40E5"/>
    <w:rsid w:val="004E45E9"/>
    <w:rsid w:val="004E4CC6"/>
    <w:rsid w:val="004E52F2"/>
    <w:rsid w:val="004E63BA"/>
    <w:rsid w:val="004F07BC"/>
    <w:rsid w:val="004F08D8"/>
    <w:rsid w:val="004F0EB3"/>
    <w:rsid w:val="004F12DB"/>
    <w:rsid w:val="004F13BF"/>
    <w:rsid w:val="004F19D1"/>
    <w:rsid w:val="004F1B7D"/>
    <w:rsid w:val="004F1BAE"/>
    <w:rsid w:val="004F1D71"/>
    <w:rsid w:val="004F3EAC"/>
    <w:rsid w:val="004F425C"/>
    <w:rsid w:val="004F4355"/>
    <w:rsid w:val="004F440D"/>
    <w:rsid w:val="004F4E92"/>
    <w:rsid w:val="004F5492"/>
    <w:rsid w:val="004F5C55"/>
    <w:rsid w:val="004F5D6C"/>
    <w:rsid w:val="004F6B49"/>
    <w:rsid w:val="004F73A8"/>
    <w:rsid w:val="004F73FB"/>
    <w:rsid w:val="005000AD"/>
    <w:rsid w:val="00500FE5"/>
    <w:rsid w:val="005022B1"/>
    <w:rsid w:val="005023FD"/>
    <w:rsid w:val="005025AA"/>
    <w:rsid w:val="00502CF2"/>
    <w:rsid w:val="00502F3F"/>
    <w:rsid w:val="00503958"/>
    <w:rsid w:val="00503D6D"/>
    <w:rsid w:val="00503D97"/>
    <w:rsid w:val="00503FB0"/>
    <w:rsid w:val="005041D1"/>
    <w:rsid w:val="00504741"/>
    <w:rsid w:val="00505393"/>
    <w:rsid w:val="00505EBD"/>
    <w:rsid w:val="0050626A"/>
    <w:rsid w:val="005105E6"/>
    <w:rsid w:val="00511006"/>
    <w:rsid w:val="0051136A"/>
    <w:rsid w:val="00511771"/>
    <w:rsid w:val="0051205D"/>
    <w:rsid w:val="00512702"/>
    <w:rsid w:val="00512C18"/>
    <w:rsid w:val="00514509"/>
    <w:rsid w:val="00514835"/>
    <w:rsid w:val="00516125"/>
    <w:rsid w:val="00516510"/>
    <w:rsid w:val="00516D7C"/>
    <w:rsid w:val="00516D8B"/>
    <w:rsid w:val="00517A8C"/>
    <w:rsid w:val="00517B88"/>
    <w:rsid w:val="00517EDF"/>
    <w:rsid w:val="00520111"/>
    <w:rsid w:val="005215EB"/>
    <w:rsid w:val="00522043"/>
    <w:rsid w:val="00522674"/>
    <w:rsid w:val="00522BAE"/>
    <w:rsid w:val="00522C84"/>
    <w:rsid w:val="005230F5"/>
    <w:rsid w:val="0052311E"/>
    <w:rsid w:val="005237B8"/>
    <w:rsid w:val="00524328"/>
    <w:rsid w:val="005243E0"/>
    <w:rsid w:val="005246B1"/>
    <w:rsid w:val="00524DC7"/>
    <w:rsid w:val="00524FFA"/>
    <w:rsid w:val="005253C9"/>
    <w:rsid w:val="0052549C"/>
    <w:rsid w:val="005255FC"/>
    <w:rsid w:val="00525670"/>
    <w:rsid w:val="005266AB"/>
    <w:rsid w:val="005275DF"/>
    <w:rsid w:val="00527DF8"/>
    <w:rsid w:val="00527F25"/>
    <w:rsid w:val="00530580"/>
    <w:rsid w:val="005306EB"/>
    <w:rsid w:val="00530850"/>
    <w:rsid w:val="005318B6"/>
    <w:rsid w:val="0053308A"/>
    <w:rsid w:val="00533152"/>
    <w:rsid w:val="005331B6"/>
    <w:rsid w:val="00533C14"/>
    <w:rsid w:val="00533C1D"/>
    <w:rsid w:val="00533E06"/>
    <w:rsid w:val="00533F7A"/>
    <w:rsid w:val="00534C3A"/>
    <w:rsid w:val="00534CF7"/>
    <w:rsid w:val="0053585A"/>
    <w:rsid w:val="00536F1B"/>
    <w:rsid w:val="005374F6"/>
    <w:rsid w:val="005402DD"/>
    <w:rsid w:val="00540714"/>
    <w:rsid w:val="00540C45"/>
    <w:rsid w:val="00540D8B"/>
    <w:rsid w:val="00541055"/>
    <w:rsid w:val="00541252"/>
    <w:rsid w:val="00541D75"/>
    <w:rsid w:val="005421CE"/>
    <w:rsid w:val="00542B61"/>
    <w:rsid w:val="00542D0C"/>
    <w:rsid w:val="0054395C"/>
    <w:rsid w:val="00543F24"/>
    <w:rsid w:val="005454EA"/>
    <w:rsid w:val="005456AD"/>
    <w:rsid w:val="00545787"/>
    <w:rsid w:val="00546268"/>
    <w:rsid w:val="00546953"/>
    <w:rsid w:val="00546B4D"/>
    <w:rsid w:val="00547129"/>
    <w:rsid w:val="0054796D"/>
    <w:rsid w:val="00550578"/>
    <w:rsid w:val="00550591"/>
    <w:rsid w:val="00550DEE"/>
    <w:rsid w:val="0055182B"/>
    <w:rsid w:val="005518A9"/>
    <w:rsid w:val="00551AB9"/>
    <w:rsid w:val="005520B3"/>
    <w:rsid w:val="005522D8"/>
    <w:rsid w:val="00552680"/>
    <w:rsid w:val="005526AF"/>
    <w:rsid w:val="0055291B"/>
    <w:rsid w:val="00552EA2"/>
    <w:rsid w:val="005531FA"/>
    <w:rsid w:val="00556089"/>
    <w:rsid w:val="005562C7"/>
    <w:rsid w:val="00556791"/>
    <w:rsid w:val="005567EF"/>
    <w:rsid w:val="00556818"/>
    <w:rsid w:val="00556CCB"/>
    <w:rsid w:val="005574ED"/>
    <w:rsid w:val="00557EC6"/>
    <w:rsid w:val="005601A6"/>
    <w:rsid w:val="00560A52"/>
    <w:rsid w:val="00561875"/>
    <w:rsid w:val="00561AC6"/>
    <w:rsid w:val="00561D97"/>
    <w:rsid w:val="00561DC6"/>
    <w:rsid w:val="005627F2"/>
    <w:rsid w:val="005628AC"/>
    <w:rsid w:val="00562938"/>
    <w:rsid w:val="00562D45"/>
    <w:rsid w:val="00563A00"/>
    <w:rsid w:val="00563D71"/>
    <w:rsid w:val="005647DE"/>
    <w:rsid w:val="00564DE7"/>
    <w:rsid w:val="005654E8"/>
    <w:rsid w:val="00565811"/>
    <w:rsid w:val="00565A20"/>
    <w:rsid w:val="00565A46"/>
    <w:rsid w:val="00565C0D"/>
    <w:rsid w:val="00565E35"/>
    <w:rsid w:val="00565FB0"/>
    <w:rsid w:val="00566314"/>
    <w:rsid w:val="005664ED"/>
    <w:rsid w:val="00566A86"/>
    <w:rsid w:val="00566FDB"/>
    <w:rsid w:val="00567227"/>
    <w:rsid w:val="00567FF5"/>
    <w:rsid w:val="00570014"/>
    <w:rsid w:val="00570375"/>
    <w:rsid w:val="005706A3"/>
    <w:rsid w:val="00570AD0"/>
    <w:rsid w:val="0057177B"/>
    <w:rsid w:val="0057195A"/>
    <w:rsid w:val="00571B41"/>
    <w:rsid w:val="00571EDC"/>
    <w:rsid w:val="00572160"/>
    <w:rsid w:val="00572F53"/>
    <w:rsid w:val="005731FE"/>
    <w:rsid w:val="00573340"/>
    <w:rsid w:val="005747E1"/>
    <w:rsid w:val="005748D4"/>
    <w:rsid w:val="00574B86"/>
    <w:rsid w:val="00575056"/>
    <w:rsid w:val="005750FD"/>
    <w:rsid w:val="00575C5C"/>
    <w:rsid w:val="005763E8"/>
    <w:rsid w:val="0057667C"/>
    <w:rsid w:val="005766A2"/>
    <w:rsid w:val="005768BC"/>
    <w:rsid w:val="00577B3E"/>
    <w:rsid w:val="00577B4B"/>
    <w:rsid w:val="00577E54"/>
    <w:rsid w:val="00580018"/>
    <w:rsid w:val="0058028D"/>
    <w:rsid w:val="00580DAB"/>
    <w:rsid w:val="00580E20"/>
    <w:rsid w:val="00580F9B"/>
    <w:rsid w:val="005810CB"/>
    <w:rsid w:val="005818E3"/>
    <w:rsid w:val="00581BD1"/>
    <w:rsid w:val="00582D7F"/>
    <w:rsid w:val="005830E1"/>
    <w:rsid w:val="005833C8"/>
    <w:rsid w:val="00583838"/>
    <w:rsid w:val="005849DB"/>
    <w:rsid w:val="0058504A"/>
    <w:rsid w:val="00585446"/>
    <w:rsid w:val="00585D72"/>
    <w:rsid w:val="0058764A"/>
    <w:rsid w:val="005877C9"/>
    <w:rsid w:val="00590372"/>
    <w:rsid w:val="0059054D"/>
    <w:rsid w:val="0059062C"/>
    <w:rsid w:val="00590F1F"/>
    <w:rsid w:val="005913F3"/>
    <w:rsid w:val="00591C2D"/>
    <w:rsid w:val="005926A8"/>
    <w:rsid w:val="005929B1"/>
    <w:rsid w:val="00593348"/>
    <w:rsid w:val="00593BE4"/>
    <w:rsid w:val="00593D89"/>
    <w:rsid w:val="00594B6C"/>
    <w:rsid w:val="0059634B"/>
    <w:rsid w:val="005968B2"/>
    <w:rsid w:val="00597CCA"/>
    <w:rsid w:val="005A028D"/>
    <w:rsid w:val="005A03CA"/>
    <w:rsid w:val="005A05F7"/>
    <w:rsid w:val="005A0B62"/>
    <w:rsid w:val="005A1455"/>
    <w:rsid w:val="005A1AA3"/>
    <w:rsid w:val="005A2328"/>
    <w:rsid w:val="005A2744"/>
    <w:rsid w:val="005A2D8D"/>
    <w:rsid w:val="005A3FD4"/>
    <w:rsid w:val="005A4319"/>
    <w:rsid w:val="005A4A1D"/>
    <w:rsid w:val="005A4CF4"/>
    <w:rsid w:val="005A5B9B"/>
    <w:rsid w:val="005A6953"/>
    <w:rsid w:val="005A6A3F"/>
    <w:rsid w:val="005A6A83"/>
    <w:rsid w:val="005A6CA1"/>
    <w:rsid w:val="005A70B5"/>
    <w:rsid w:val="005A75CF"/>
    <w:rsid w:val="005A7746"/>
    <w:rsid w:val="005B013B"/>
    <w:rsid w:val="005B01F7"/>
    <w:rsid w:val="005B1226"/>
    <w:rsid w:val="005B123A"/>
    <w:rsid w:val="005B184F"/>
    <w:rsid w:val="005B1EB2"/>
    <w:rsid w:val="005B261D"/>
    <w:rsid w:val="005B2946"/>
    <w:rsid w:val="005B2B11"/>
    <w:rsid w:val="005B3135"/>
    <w:rsid w:val="005B387C"/>
    <w:rsid w:val="005B3D63"/>
    <w:rsid w:val="005B4D12"/>
    <w:rsid w:val="005B5486"/>
    <w:rsid w:val="005B5B90"/>
    <w:rsid w:val="005B6041"/>
    <w:rsid w:val="005B734A"/>
    <w:rsid w:val="005B7906"/>
    <w:rsid w:val="005C02E8"/>
    <w:rsid w:val="005C0B03"/>
    <w:rsid w:val="005C18C6"/>
    <w:rsid w:val="005C3953"/>
    <w:rsid w:val="005C3C85"/>
    <w:rsid w:val="005C41CC"/>
    <w:rsid w:val="005C4E68"/>
    <w:rsid w:val="005C58EC"/>
    <w:rsid w:val="005C5973"/>
    <w:rsid w:val="005C5C2B"/>
    <w:rsid w:val="005C60A7"/>
    <w:rsid w:val="005C6394"/>
    <w:rsid w:val="005C697C"/>
    <w:rsid w:val="005C6AF0"/>
    <w:rsid w:val="005C7591"/>
    <w:rsid w:val="005C77B0"/>
    <w:rsid w:val="005C7D7E"/>
    <w:rsid w:val="005C7FDA"/>
    <w:rsid w:val="005D09C7"/>
    <w:rsid w:val="005D0EA8"/>
    <w:rsid w:val="005D1044"/>
    <w:rsid w:val="005D1D07"/>
    <w:rsid w:val="005D2640"/>
    <w:rsid w:val="005D3B00"/>
    <w:rsid w:val="005D3EC5"/>
    <w:rsid w:val="005D4805"/>
    <w:rsid w:val="005D482E"/>
    <w:rsid w:val="005D48C3"/>
    <w:rsid w:val="005D495A"/>
    <w:rsid w:val="005D4DE6"/>
    <w:rsid w:val="005D5850"/>
    <w:rsid w:val="005D64AB"/>
    <w:rsid w:val="005D6567"/>
    <w:rsid w:val="005D6BB4"/>
    <w:rsid w:val="005E01A0"/>
    <w:rsid w:val="005E044E"/>
    <w:rsid w:val="005E0D33"/>
    <w:rsid w:val="005E0FC9"/>
    <w:rsid w:val="005E2056"/>
    <w:rsid w:val="005E265D"/>
    <w:rsid w:val="005E2ED1"/>
    <w:rsid w:val="005E2FC7"/>
    <w:rsid w:val="005E4436"/>
    <w:rsid w:val="005E58A4"/>
    <w:rsid w:val="005E6084"/>
    <w:rsid w:val="005E608A"/>
    <w:rsid w:val="005E70EE"/>
    <w:rsid w:val="005F0373"/>
    <w:rsid w:val="005F07C8"/>
    <w:rsid w:val="005F19E6"/>
    <w:rsid w:val="005F1D2D"/>
    <w:rsid w:val="005F2037"/>
    <w:rsid w:val="005F2DFC"/>
    <w:rsid w:val="005F2EE0"/>
    <w:rsid w:val="005F3516"/>
    <w:rsid w:val="005F402C"/>
    <w:rsid w:val="005F40AA"/>
    <w:rsid w:val="005F48E4"/>
    <w:rsid w:val="005F5E99"/>
    <w:rsid w:val="005F6025"/>
    <w:rsid w:val="005F6421"/>
    <w:rsid w:val="005F6AC3"/>
    <w:rsid w:val="005F6B63"/>
    <w:rsid w:val="005F70A9"/>
    <w:rsid w:val="005F71A1"/>
    <w:rsid w:val="005F73FB"/>
    <w:rsid w:val="005F782D"/>
    <w:rsid w:val="005F795C"/>
    <w:rsid w:val="005F7CDF"/>
    <w:rsid w:val="00600942"/>
    <w:rsid w:val="00601A6A"/>
    <w:rsid w:val="00601E0E"/>
    <w:rsid w:val="0060208B"/>
    <w:rsid w:val="006021C4"/>
    <w:rsid w:val="00602C0A"/>
    <w:rsid w:val="00603134"/>
    <w:rsid w:val="0060329A"/>
    <w:rsid w:val="0060394F"/>
    <w:rsid w:val="00604372"/>
    <w:rsid w:val="00604FA4"/>
    <w:rsid w:val="00604FC4"/>
    <w:rsid w:val="00605139"/>
    <w:rsid w:val="00605605"/>
    <w:rsid w:val="00605990"/>
    <w:rsid w:val="00605A94"/>
    <w:rsid w:val="00605EF7"/>
    <w:rsid w:val="00605F17"/>
    <w:rsid w:val="00607343"/>
    <w:rsid w:val="006077E1"/>
    <w:rsid w:val="00610326"/>
    <w:rsid w:val="00610D9F"/>
    <w:rsid w:val="0061173A"/>
    <w:rsid w:val="0061191D"/>
    <w:rsid w:val="00611EF4"/>
    <w:rsid w:val="006121A6"/>
    <w:rsid w:val="00613928"/>
    <w:rsid w:val="00613E6A"/>
    <w:rsid w:val="006140FD"/>
    <w:rsid w:val="0061414A"/>
    <w:rsid w:val="0061417B"/>
    <w:rsid w:val="0061535D"/>
    <w:rsid w:val="00616551"/>
    <w:rsid w:val="00616E42"/>
    <w:rsid w:val="00616FDC"/>
    <w:rsid w:val="006178B9"/>
    <w:rsid w:val="00617A5E"/>
    <w:rsid w:val="00617DEC"/>
    <w:rsid w:val="00620AFE"/>
    <w:rsid w:val="00620C27"/>
    <w:rsid w:val="00621E45"/>
    <w:rsid w:val="00622258"/>
    <w:rsid w:val="00622434"/>
    <w:rsid w:val="00622C70"/>
    <w:rsid w:val="00622DAF"/>
    <w:rsid w:val="00622E11"/>
    <w:rsid w:val="00623275"/>
    <w:rsid w:val="006235C9"/>
    <w:rsid w:val="00623665"/>
    <w:rsid w:val="00623741"/>
    <w:rsid w:val="00623BA6"/>
    <w:rsid w:val="00623CB2"/>
    <w:rsid w:val="006240CB"/>
    <w:rsid w:val="00624B9C"/>
    <w:rsid w:val="00624F05"/>
    <w:rsid w:val="006252C2"/>
    <w:rsid w:val="00625357"/>
    <w:rsid w:val="0062636A"/>
    <w:rsid w:val="00626921"/>
    <w:rsid w:val="00626EBB"/>
    <w:rsid w:val="00626ECC"/>
    <w:rsid w:val="00627855"/>
    <w:rsid w:val="006311E0"/>
    <w:rsid w:val="006314AE"/>
    <w:rsid w:val="00631C4F"/>
    <w:rsid w:val="0063214E"/>
    <w:rsid w:val="00632253"/>
    <w:rsid w:val="006322B3"/>
    <w:rsid w:val="00632D87"/>
    <w:rsid w:val="00632E92"/>
    <w:rsid w:val="00633B60"/>
    <w:rsid w:val="00633B87"/>
    <w:rsid w:val="00633CFA"/>
    <w:rsid w:val="00634233"/>
    <w:rsid w:val="0063433E"/>
    <w:rsid w:val="00634546"/>
    <w:rsid w:val="006345AC"/>
    <w:rsid w:val="00634649"/>
    <w:rsid w:val="006347F1"/>
    <w:rsid w:val="006350F1"/>
    <w:rsid w:val="0063521C"/>
    <w:rsid w:val="00635B36"/>
    <w:rsid w:val="00635FA4"/>
    <w:rsid w:val="006363D5"/>
    <w:rsid w:val="00636BFF"/>
    <w:rsid w:val="00636CAD"/>
    <w:rsid w:val="00636D69"/>
    <w:rsid w:val="00637144"/>
    <w:rsid w:val="006376DF"/>
    <w:rsid w:val="00637C45"/>
    <w:rsid w:val="00640616"/>
    <w:rsid w:val="006406A4"/>
    <w:rsid w:val="00640833"/>
    <w:rsid w:val="006416F7"/>
    <w:rsid w:val="00641A2A"/>
    <w:rsid w:val="00641F04"/>
    <w:rsid w:val="00641F52"/>
    <w:rsid w:val="0064245C"/>
    <w:rsid w:val="00642535"/>
    <w:rsid w:val="00642C88"/>
    <w:rsid w:val="00644A2B"/>
    <w:rsid w:val="006453EA"/>
    <w:rsid w:val="00645440"/>
    <w:rsid w:val="00645C73"/>
    <w:rsid w:val="0064618B"/>
    <w:rsid w:val="006461F1"/>
    <w:rsid w:val="0064674D"/>
    <w:rsid w:val="00646AB7"/>
    <w:rsid w:val="0065014C"/>
    <w:rsid w:val="006507C6"/>
    <w:rsid w:val="00650E45"/>
    <w:rsid w:val="0065129A"/>
    <w:rsid w:val="0065184B"/>
    <w:rsid w:val="00651905"/>
    <w:rsid w:val="00652206"/>
    <w:rsid w:val="0065299F"/>
    <w:rsid w:val="00652B79"/>
    <w:rsid w:val="00652BA3"/>
    <w:rsid w:val="00653710"/>
    <w:rsid w:val="0065459D"/>
    <w:rsid w:val="00654E02"/>
    <w:rsid w:val="00655010"/>
    <w:rsid w:val="00655143"/>
    <w:rsid w:val="006555B0"/>
    <w:rsid w:val="006558E2"/>
    <w:rsid w:val="0065592B"/>
    <w:rsid w:val="006559D2"/>
    <w:rsid w:val="006559FD"/>
    <w:rsid w:val="00655CCD"/>
    <w:rsid w:val="00656451"/>
    <w:rsid w:val="00656AD9"/>
    <w:rsid w:val="00656AEE"/>
    <w:rsid w:val="00660363"/>
    <w:rsid w:val="006615E6"/>
    <w:rsid w:val="00661C86"/>
    <w:rsid w:val="00663E43"/>
    <w:rsid w:val="00664228"/>
    <w:rsid w:val="006642CD"/>
    <w:rsid w:val="0066435C"/>
    <w:rsid w:val="00664418"/>
    <w:rsid w:val="00664603"/>
    <w:rsid w:val="00664B93"/>
    <w:rsid w:val="00664E16"/>
    <w:rsid w:val="0066589A"/>
    <w:rsid w:val="00665D8E"/>
    <w:rsid w:val="0066644A"/>
    <w:rsid w:val="00666848"/>
    <w:rsid w:val="00667269"/>
    <w:rsid w:val="00667F8F"/>
    <w:rsid w:val="0067081B"/>
    <w:rsid w:val="0067100E"/>
    <w:rsid w:val="006712B8"/>
    <w:rsid w:val="0067137F"/>
    <w:rsid w:val="00671648"/>
    <w:rsid w:val="0067176F"/>
    <w:rsid w:val="0067283C"/>
    <w:rsid w:val="00672A63"/>
    <w:rsid w:val="00673F25"/>
    <w:rsid w:val="00675B7F"/>
    <w:rsid w:val="00675C43"/>
    <w:rsid w:val="00675F60"/>
    <w:rsid w:val="0067667B"/>
    <w:rsid w:val="00676C0B"/>
    <w:rsid w:val="00677230"/>
    <w:rsid w:val="006776B2"/>
    <w:rsid w:val="00681524"/>
    <w:rsid w:val="00681A79"/>
    <w:rsid w:val="00681DE1"/>
    <w:rsid w:val="00682633"/>
    <w:rsid w:val="006826BB"/>
    <w:rsid w:val="00682773"/>
    <w:rsid w:val="00682855"/>
    <w:rsid w:val="00682A65"/>
    <w:rsid w:val="006834ED"/>
    <w:rsid w:val="00683658"/>
    <w:rsid w:val="0068482F"/>
    <w:rsid w:val="00684E5A"/>
    <w:rsid w:val="006857D0"/>
    <w:rsid w:val="006861FB"/>
    <w:rsid w:val="006872F9"/>
    <w:rsid w:val="00687D6D"/>
    <w:rsid w:val="00687F43"/>
    <w:rsid w:val="0069048E"/>
    <w:rsid w:val="0069099C"/>
    <w:rsid w:val="00691432"/>
    <w:rsid w:val="00691944"/>
    <w:rsid w:val="00691A10"/>
    <w:rsid w:val="00691ACB"/>
    <w:rsid w:val="00692203"/>
    <w:rsid w:val="0069250D"/>
    <w:rsid w:val="00692A7B"/>
    <w:rsid w:val="00692E7C"/>
    <w:rsid w:val="00693765"/>
    <w:rsid w:val="00693E50"/>
    <w:rsid w:val="006942E9"/>
    <w:rsid w:val="006942EC"/>
    <w:rsid w:val="00694DB3"/>
    <w:rsid w:val="006952EF"/>
    <w:rsid w:val="0069572E"/>
    <w:rsid w:val="006960FF"/>
    <w:rsid w:val="0069631F"/>
    <w:rsid w:val="00696BC1"/>
    <w:rsid w:val="00696C20"/>
    <w:rsid w:val="00696E64"/>
    <w:rsid w:val="0069714B"/>
    <w:rsid w:val="00697CF8"/>
    <w:rsid w:val="00697DCD"/>
    <w:rsid w:val="006A06F1"/>
    <w:rsid w:val="006A0B80"/>
    <w:rsid w:val="006A0CCE"/>
    <w:rsid w:val="006A0E12"/>
    <w:rsid w:val="006A2881"/>
    <w:rsid w:val="006A2EFF"/>
    <w:rsid w:val="006A3B9B"/>
    <w:rsid w:val="006A4428"/>
    <w:rsid w:val="006A44B6"/>
    <w:rsid w:val="006A47B9"/>
    <w:rsid w:val="006A4906"/>
    <w:rsid w:val="006A4AB2"/>
    <w:rsid w:val="006A562C"/>
    <w:rsid w:val="006A5D76"/>
    <w:rsid w:val="006A5DD7"/>
    <w:rsid w:val="006A69B7"/>
    <w:rsid w:val="006A7AFE"/>
    <w:rsid w:val="006B004D"/>
    <w:rsid w:val="006B0E9E"/>
    <w:rsid w:val="006B0F2B"/>
    <w:rsid w:val="006B1901"/>
    <w:rsid w:val="006B1902"/>
    <w:rsid w:val="006B2175"/>
    <w:rsid w:val="006B2462"/>
    <w:rsid w:val="006B27AE"/>
    <w:rsid w:val="006B2AAC"/>
    <w:rsid w:val="006B2B88"/>
    <w:rsid w:val="006B2D63"/>
    <w:rsid w:val="006B333F"/>
    <w:rsid w:val="006B39A2"/>
    <w:rsid w:val="006B47F6"/>
    <w:rsid w:val="006B4E1B"/>
    <w:rsid w:val="006B506E"/>
    <w:rsid w:val="006B5101"/>
    <w:rsid w:val="006B55D5"/>
    <w:rsid w:val="006B5895"/>
    <w:rsid w:val="006B5EF9"/>
    <w:rsid w:val="006B6059"/>
    <w:rsid w:val="006B69F5"/>
    <w:rsid w:val="006B6C19"/>
    <w:rsid w:val="006B6CC8"/>
    <w:rsid w:val="006B6DCE"/>
    <w:rsid w:val="006B77CA"/>
    <w:rsid w:val="006B7B04"/>
    <w:rsid w:val="006C03DC"/>
    <w:rsid w:val="006C05A3"/>
    <w:rsid w:val="006C0A4F"/>
    <w:rsid w:val="006C0FF0"/>
    <w:rsid w:val="006C12DE"/>
    <w:rsid w:val="006C132C"/>
    <w:rsid w:val="006C2CB3"/>
    <w:rsid w:val="006C2E3F"/>
    <w:rsid w:val="006C30F6"/>
    <w:rsid w:val="006C3DDD"/>
    <w:rsid w:val="006C417F"/>
    <w:rsid w:val="006C431E"/>
    <w:rsid w:val="006C47AD"/>
    <w:rsid w:val="006C47BB"/>
    <w:rsid w:val="006C4EB1"/>
    <w:rsid w:val="006C5156"/>
    <w:rsid w:val="006C5362"/>
    <w:rsid w:val="006C58B8"/>
    <w:rsid w:val="006C58FC"/>
    <w:rsid w:val="006C59C8"/>
    <w:rsid w:val="006C5DD7"/>
    <w:rsid w:val="006C6481"/>
    <w:rsid w:val="006C659E"/>
    <w:rsid w:val="006C6802"/>
    <w:rsid w:val="006C6DCC"/>
    <w:rsid w:val="006C701D"/>
    <w:rsid w:val="006C735F"/>
    <w:rsid w:val="006C74DC"/>
    <w:rsid w:val="006C7A5E"/>
    <w:rsid w:val="006D0388"/>
    <w:rsid w:val="006D0944"/>
    <w:rsid w:val="006D0957"/>
    <w:rsid w:val="006D0B87"/>
    <w:rsid w:val="006D0D5D"/>
    <w:rsid w:val="006D1C16"/>
    <w:rsid w:val="006D1E45"/>
    <w:rsid w:val="006D2122"/>
    <w:rsid w:val="006D24EB"/>
    <w:rsid w:val="006D2E1A"/>
    <w:rsid w:val="006D2F8A"/>
    <w:rsid w:val="006D339B"/>
    <w:rsid w:val="006D34EB"/>
    <w:rsid w:val="006D37A8"/>
    <w:rsid w:val="006D3824"/>
    <w:rsid w:val="006D395C"/>
    <w:rsid w:val="006D39B5"/>
    <w:rsid w:val="006D3F4B"/>
    <w:rsid w:val="006D3F7C"/>
    <w:rsid w:val="006D5071"/>
    <w:rsid w:val="006D56C3"/>
    <w:rsid w:val="006D6CDF"/>
    <w:rsid w:val="006D6FAA"/>
    <w:rsid w:val="006D6FF9"/>
    <w:rsid w:val="006D7F31"/>
    <w:rsid w:val="006D7F9D"/>
    <w:rsid w:val="006E0DB6"/>
    <w:rsid w:val="006E0F47"/>
    <w:rsid w:val="006E12DB"/>
    <w:rsid w:val="006E15ED"/>
    <w:rsid w:val="006E2370"/>
    <w:rsid w:val="006E3017"/>
    <w:rsid w:val="006E3383"/>
    <w:rsid w:val="006E427D"/>
    <w:rsid w:val="006E517D"/>
    <w:rsid w:val="006E5222"/>
    <w:rsid w:val="006E581C"/>
    <w:rsid w:val="006E5EC2"/>
    <w:rsid w:val="006E64BA"/>
    <w:rsid w:val="006E6D9A"/>
    <w:rsid w:val="006E7C92"/>
    <w:rsid w:val="006F028B"/>
    <w:rsid w:val="006F1934"/>
    <w:rsid w:val="006F2030"/>
    <w:rsid w:val="006F2D15"/>
    <w:rsid w:val="006F2D96"/>
    <w:rsid w:val="006F3742"/>
    <w:rsid w:val="006F383E"/>
    <w:rsid w:val="006F3D9B"/>
    <w:rsid w:val="006F3F14"/>
    <w:rsid w:val="006F42AD"/>
    <w:rsid w:val="006F4571"/>
    <w:rsid w:val="006F49CD"/>
    <w:rsid w:val="006F4D43"/>
    <w:rsid w:val="006F50B4"/>
    <w:rsid w:val="006F57A4"/>
    <w:rsid w:val="0070005D"/>
    <w:rsid w:val="00700413"/>
    <w:rsid w:val="00700BD8"/>
    <w:rsid w:val="00700D9F"/>
    <w:rsid w:val="00701159"/>
    <w:rsid w:val="007016FA"/>
    <w:rsid w:val="0070224B"/>
    <w:rsid w:val="007023FC"/>
    <w:rsid w:val="00702D1D"/>
    <w:rsid w:val="00703599"/>
    <w:rsid w:val="00703B23"/>
    <w:rsid w:val="0070472D"/>
    <w:rsid w:val="00706C03"/>
    <w:rsid w:val="00706EA7"/>
    <w:rsid w:val="007070D6"/>
    <w:rsid w:val="0070716A"/>
    <w:rsid w:val="007103F8"/>
    <w:rsid w:val="007105BE"/>
    <w:rsid w:val="00710AEB"/>
    <w:rsid w:val="00710DB2"/>
    <w:rsid w:val="00710E2B"/>
    <w:rsid w:val="00711AA8"/>
    <w:rsid w:val="007123E0"/>
    <w:rsid w:val="00712F2C"/>
    <w:rsid w:val="00714056"/>
    <w:rsid w:val="00714175"/>
    <w:rsid w:val="0071429A"/>
    <w:rsid w:val="00714C14"/>
    <w:rsid w:val="00715DCB"/>
    <w:rsid w:val="00716C91"/>
    <w:rsid w:val="00716E11"/>
    <w:rsid w:val="00717C76"/>
    <w:rsid w:val="00720869"/>
    <w:rsid w:val="00720BB0"/>
    <w:rsid w:val="00720F60"/>
    <w:rsid w:val="00721884"/>
    <w:rsid w:val="00721D3F"/>
    <w:rsid w:val="007220E2"/>
    <w:rsid w:val="007226BD"/>
    <w:rsid w:val="00722BA5"/>
    <w:rsid w:val="00722E66"/>
    <w:rsid w:val="00722F39"/>
    <w:rsid w:val="00723271"/>
    <w:rsid w:val="0072349B"/>
    <w:rsid w:val="00724A6D"/>
    <w:rsid w:val="007252DE"/>
    <w:rsid w:val="00725416"/>
    <w:rsid w:val="00725962"/>
    <w:rsid w:val="007266A7"/>
    <w:rsid w:val="00726861"/>
    <w:rsid w:val="00726A1B"/>
    <w:rsid w:val="00726A53"/>
    <w:rsid w:val="00726EB0"/>
    <w:rsid w:val="00730B1C"/>
    <w:rsid w:val="00730E28"/>
    <w:rsid w:val="00730EEF"/>
    <w:rsid w:val="00732D6B"/>
    <w:rsid w:val="00733221"/>
    <w:rsid w:val="007335A0"/>
    <w:rsid w:val="0073390D"/>
    <w:rsid w:val="007339C6"/>
    <w:rsid w:val="00733C9D"/>
    <w:rsid w:val="00733F28"/>
    <w:rsid w:val="007345DF"/>
    <w:rsid w:val="00734C3B"/>
    <w:rsid w:val="0073506D"/>
    <w:rsid w:val="007365D0"/>
    <w:rsid w:val="00736B16"/>
    <w:rsid w:val="00737259"/>
    <w:rsid w:val="00737480"/>
    <w:rsid w:val="00740C9B"/>
    <w:rsid w:val="00741B97"/>
    <w:rsid w:val="00741D3C"/>
    <w:rsid w:val="0074407C"/>
    <w:rsid w:val="00744240"/>
    <w:rsid w:val="00744AFB"/>
    <w:rsid w:val="00744D57"/>
    <w:rsid w:val="00747175"/>
    <w:rsid w:val="0074756E"/>
    <w:rsid w:val="00747BE0"/>
    <w:rsid w:val="00747E8A"/>
    <w:rsid w:val="0075061C"/>
    <w:rsid w:val="007506FB"/>
    <w:rsid w:val="00750C9F"/>
    <w:rsid w:val="00750F66"/>
    <w:rsid w:val="00752396"/>
    <w:rsid w:val="007529D6"/>
    <w:rsid w:val="00752FE8"/>
    <w:rsid w:val="007530FF"/>
    <w:rsid w:val="00753188"/>
    <w:rsid w:val="00753486"/>
    <w:rsid w:val="00753D5A"/>
    <w:rsid w:val="00753E17"/>
    <w:rsid w:val="007543BA"/>
    <w:rsid w:val="007547AB"/>
    <w:rsid w:val="00754A75"/>
    <w:rsid w:val="00754B28"/>
    <w:rsid w:val="007555C7"/>
    <w:rsid w:val="00755AC0"/>
    <w:rsid w:val="00755CD4"/>
    <w:rsid w:val="00755EFA"/>
    <w:rsid w:val="007563B1"/>
    <w:rsid w:val="007567C7"/>
    <w:rsid w:val="0075730C"/>
    <w:rsid w:val="00757B9C"/>
    <w:rsid w:val="007610BF"/>
    <w:rsid w:val="00761769"/>
    <w:rsid w:val="007617A9"/>
    <w:rsid w:val="00761A28"/>
    <w:rsid w:val="00761E9F"/>
    <w:rsid w:val="00761F8C"/>
    <w:rsid w:val="0076233F"/>
    <w:rsid w:val="00763C7C"/>
    <w:rsid w:val="00764945"/>
    <w:rsid w:val="007649CE"/>
    <w:rsid w:val="00764B17"/>
    <w:rsid w:val="00764B79"/>
    <w:rsid w:val="00765665"/>
    <w:rsid w:val="007656EF"/>
    <w:rsid w:val="00765940"/>
    <w:rsid w:val="007661C9"/>
    <w:rsid w:val="0076625E"/>
    <w:rsid w:val="00766889"/>
    <w:rsid w:val="00766FF4"/>
    <w:rsid w:val="00767A4F"/>
    <w:rsid w:val="00767ABD"/>
    <w:rsid w:val="00767C67"/>
    <w:rsid w:val="00770901"/>
    <w:rsid w:val="00771DB6"/>
    <w:rsid w:val="0077233C"/>
    <w:rsid w:val="00772B77"/>
    <w:rsid w:val="00774961"/>
    <w:rsid w:val="00774F78"/>
    <w:rsid w:val="0077554F"/>
    <w:rsid w:val="00775CC6"/>
    <w:rsid w:val="00776372"/>
    <w:rsid w:val="00777AE6"/>
    <w:rsid w:val="00777B05"/>
    <w:rsid w:val="00780379"/>
    <w:rsid w:val="00780BE8"/>
    <w:rsid w:val="00780F4C"/>
    <w:rsid w:val="00781094"/>
    <w:rsid w:val="00781984"/>
    <w:rsid w:val="00781D16"/>
    <w:rsid w:val="007822C6"/>
    <w:rsid w:val="00782703"/>
    <w:rsid w:val="007827BB"/>
    <w:rsid w:val="007829BC"/>
    <w:rsid w:val="00782A7C"/>
    <w:rsid w:val="00782DF6"/>
    <w:rsid w:val="007834E6"/>
    <w:rsid w:val="007839BE"/>
    <w:rsid w:val="007839F6"/>
    <w:rsid w:val="00783DFB"/>
    <w:rsid w:val="00784856"/>
    <w:rsid w:val="00785058"/>
    <w:rsid w:val="007853A7"/>
    <w:rsid w:val="00785679"/>
    <w:rsid w:val="00786381"/>
    <w:rsid w:val="007866BB"/>
    <w:rsid w:val="00786E55"/>
    <w:rsid w:val="0078739E"/>
    <w:rsid w:val="00787E2A"/>
    <w:rsid w:val="00791553"/>
    <w:rsid w:val="00791F34"/>
    <w:rsid w:val="007921B7"/>
    <w:rsid w:val="00792449"/>
    <w:rsid w:val="00792480"/>
    <w:rsid w:val="007931B1"/>
    <w:rsid w:val="007933D2"/>
    <w:rsid w:val="00793ECE"/>
    <w:rsid w:val="00793FEB"/>
    <w:rsid w:val="0079509F"/>
    <w:rsid w:val="0079511B"/>
    <w:rsid w:val="00795122"/>
    <w:rsid w:val="007952CB"/>
    <w:rsid w:val="00795A35"/>
    <w:rsid w:val="00795BBC"/>
    <w:rsid w:val="00796116"/>
    <w:rsid w:val="007964A1"/>
    <w:rsid w:val="00796642"/>
    <w:rsid w:val="00796A17"/>
    <w:rsid w:val="00796E27"/>
    <w:rsid w:val="00796EA5"/>
    <w:rsid w:val="00797AAD"/>
    <w:rsid w:val="00797F53"/>
    <w:rsid w:val="007A0347"/>
    <w:rsid w:val="007A0661"/>
    <w:rsid w:val="007A0EEF"/>
    <w:rsid w:val="007A14B3"/>
    <w:rsid w:val="007A1658"/>
    <w:rsid w:val="007A1C14"/>
    <w:rsid w:val="007A1EC8"/>
    <w:rsid w:val="007A248E"/>
    <w:rsid w:val="007A28FC"/>
    <w:rsid w:val="007A2A2B"/>
    <w:rsid w:val="007A40B6"/>
    <w:rsid w:val="007A40CD"/>
    <w:rsid w:val="007A41A8"/>
    <w:rsid w:val="007A5873"/>
    <w:rsid w:val="007A7346"/>
    <w:rsid w:val="007B058D"/>
    <w:rsid w:val="007B1030"/>
    <w:rsid w:val="007B127F"/>
    <w:rsid w:val="007B187A"/>
    <w:rsid w:val="007B228E"/>
    <w:rsid w:val="007B288D"/>
    <w:rsid w:val="007B2CBF"/>
    <w:rsid w:val="007B3B3B"/>
    <w:rsid w:val="007B4508"/>
    <w:rsid w:val="007B477D"/>
    <w:rsid w:val="007B4805"/>
    <w:rsid w:val="007B4B95"/>
    <w:rsid w:val="007B5266"/>
    <w:rsid w:val="007B5C5E"/>
    <w:rsid w:val="007B640A"/>
    <w:rsid w:val="007B6C36"/>
    <w:rsid w:val="007B6FF7"/>
    <w:rsid w:val="007B79E3"/>
    <w:rsid w:val="007C0476"/>
    <w:rsid w:val="007C07C5"/>
    <w:rsid w:val="007C07E8"/>
    <w:rsid w:val="007C1C3E"/>
    <w:rsid w:val="007C1EAA"/>
    <w:rsid w:val="007C1F29"/>
    <w:rsid w:val="007C2997"/>
    <w:rsid w:val="007C2F7D"/>
    <w:rsid w:val="007C30B4"/>
    <w:rsid w:val="007C384E"/>
    <w:rsid w:val="007C3D75"/>
    <w:rsid w:val="007C415F"/>
    <w:rsid w:val="007C42C6"/>
    <w:rsid w:val="007C5333"/>
    <w:rsid w:val="007C53F9"/>
    <w:rsid w:val="007C57A6"/>
    <w:rsid w:val="007C5962"/>
    <w:rsid w:val="007C5B13"/>
    <w:rsid w:val="007C5E6E"/>
    <w:rsid w:val="007C66B9"/>
    <w:rsid w:val="007C67CA"/>
    <w:rsid w:val="007C6933"/>
    <w:rsid w:val="007C6C12"/>
    <w:rsid w:val="007C6E3B"/>
    <w:rsid w:val="007C7404"/>
    <w:rsid w:val="007C7787"/>
    <w:rsid w:val="007D040E"/>
    <w:rsid w:val="007D067A"/>
    <w:rsid w:val="007D07FF"/>
    <w:rsid w:val="007D1090"/>
    <w:rsid w:val="007D2BAF"/>
    <w:rsid w:val="007D2E02"/>
    <w:rsid w:val="007D315C"/>
    <w:rsid w:val="007D3322"/>
    <w:rsid w:val="007D3FFF"/>
    <w:rsid w:val="007D4599"/>
    <w:rsid w:val="007D53F7"/>
    <w:rsid w:val="007D583C"/>
    <w:rsid w:val="007D5BD6"/>
    <w:rsid w:val="007D6511"/>
    <w:rsid w:val="007D7243"/>
    <w:rsid w:val="007D72C2"/>
    <w:rsid w:val="007D778B"/>
    <w:rsid w:val="007D7B37"/>
    <w:rsid w:val="007D7C9C"/>
    <w:rsid w:val="007D7E4A"/>
    <w:rsid w:val="007E089C"/>
    <w:rsid w:val="007E0C87"/>
    <w:rsid w:val="007E2131"/>
    <w:rsid w:val="007E2241"/>
    <w:rsid w:val="007E246B"/>
    <w:rsid w:val="007E2854"/>
    <w:rsid w:val="007E2CBD"/>
    <w:rsid w:val="007E2CF0"/>
    <w:rsid w:val="007E330C"/>
    <w:rsid w:val="007E355A"/>
    <w:rsid w:val="007E36D9"/>
    <w:rsid w:val="007E3B17"/>
    <w:rsid w:val="007E3BD2"/>
    <w:rsid w:val="007E430D"/>
    <w:rsid w:val="007E46D5"/>
    <w:rsid w:val="007E47FE"/>
    <w:rsid w:val="007E4B24"/>
    <w:rsid w:val="007E5248"/>
    <w:rsid w:val="007E529A"/>
    <w:rsid w:val="007E5322"/>
    <w:rsid w:val="007E56E3"/>
    <w:rsid w:val="007E7DFB"/>
    <w:rsid w:val="007F018D"/>
    <w:rsid w:val="007F092A"/>
    <w:rsid w:val="007F136E"/>
    <w:rsid w:val="007F16AB"/>
    <w:rsid w:val="007F174C"/>
    <w:rsid w:val="007F19FF"/>
    <w:rsid w:val="007F1D68"/>
    <w:rsid w:val="007F1FBE"/>
    <w:rsid w:val="007F2421"/>
    <w:rsid w:val="007F26BE"/>
    <w:rsid w:val="007F287A"/>
    <w:rsid w:val="007F2AB5"/>
    <w:rsid w:val="007F38C3"/>
    <w:rsid w:val="007F3989"/>
    <w:rsid w:val="007F4049"/>
    <w:rsid w:val="007F4146"/>
    <w:rsid w:val="007F5134"/>
    <w:rsid w:val="007F57B2"/>
    <w:rsid w:val="007F58FD"/>
    <w:rsid w:val="007F5F0E"/>
    <w:rsid w:val="007F6142"/>
    <w:rsid w:val="007F6150"/>
    <w:rsid w:val="007F6F76"/>
    <w:rsid w:val="007F7A15"/>
    <w:rsid w:val="008001C4"/>
    <w:rsid w:val="008004AD"/>
    <w:rsid w:val="0080062D"/>
    <w:rsid w:val="00801749"/>
    <w:rsid w:val="00801EAC"/>
    <w:rsid w:val="00801F3E"/>
    <w:rsid w:val="008038F8"/>
    <w:rsid w:val="00805295"/>
    <w:rsid w:val="00805E21"/>
    <w:rsid w:val="00805E25"/>
    <w:rsid w:val="00805FFC"/>
    <w:rsid w:val="008068DB"/>
    <w:rsid w:val="00806FEE"/>
    <w:rsid w:val="008070D2"/>
    <w:rsid w:val="0080753A"/>
    <w:rsid w:val="00807AC2"/>
    <w:rsid w:val="00807B55"/>
    <w:rsid w:val="00807D4D"/>
    <w:rsid w:val="00807E15"/>
    <w:rsid w:val="00810604"/>
    <w:rsid w:val="008116E9"/>
    <w:rsid w:val="00811BCF"/>
    <w:rsid w:val="008120C6"/>
    <w:rsid w:val="00812824"/>
    <w:rsid w:val="00812839"/>
    <w:rsid w:val="008129D0"/>
    <w:rsid w:val="00812DEE"/>
    <w:rsid w:val="008131D6"/>
    <w:rsid w:val="00813B25"/>
    <w:rsid w:val="00814281"/>
    <w:rsid w:val="00814480"/>
    <w:rsid w:val="00814918"/>
    <w:rsid w:val="0081505B"/>
    <w:rsid w:val="008150E3"/>
    <w:rsid w:val="008158F0"/>
    <w:rsid w:val="00815DC4"/>
    <w:rsid w:val="00815E1E"/>
    <w:rsid w:val="00815FDA"/>
    <w:rsid w:val="008167A8"/>
    <w:rsid w:val="00816A4A"/>
    <w:rsid w:val="00816E3F"/>
    <w:rsid w:val="00817416"/>
    <w:rsid w:val="00817AA6"/>
    <w:rsid w:val="008211B6"/>
    <w:rsid w:val="0082188B"/>
    <w:rsid w:val="0082264E"/>
    <w:rsid w:val="00822CB5"/>
    <w:rsid w:val="00823681"/>
    <w:rsid w:val="0082373D"/>
    <w:rsid w:val="00823982"/>
    <w:rsid w:val="00823A70"/>
    <w:rsid w:val="00824E8F"/>
    <w:rsid w:val="008254A6"/>
    <w:rsid w:val="0082599E"/>
    <w:rsid w:val="00825A86"/>
    <w:rsid w:val="00826A06"/>
    <w:rsid w:val="00826A71"/>
    <w:rsid w:val="00826BB5"/>
    <w:rsid w:val="0082742D"/>
    <w:rsid w:val="00827549"/>
    <w:rsid w:val="0082767C"/>
    <w:rsid w:val="00827A5B"/>
    <w:rsid w:val="00827F03"/>
    <w:rsid w:val="00830506"/>
    <w:rsid w:val="00830606"/>
    <w:rsid w:val="00831798"/>
    <w:rsid w:val="00831A4B"/>
    <w:rsid w:val="00831BF3"/>
    <w:rsid w:val="00832180"/>
    <w:rsid w:val="00832563"/>
    <w:rsid w:val="00832BED"/>
    <w:rsid w:val="00833113"/>
    <w:rsid w:val="0083366D"/>
    <w:rsid w:val="00833E3F"/>
    <w:rsid w:val="00834967"/>
    <w:rsid w:val="008367A0"/>
    <w:rsid w:val="00837158"/>
    <w:rsid w:val="008374AB"/>
    <w:rsid w:val="00837542"/>
    <w:rsid w:val="00840597"/>
    <w:rsid w:val="0084059E"/>
    <w:rsid w:val="008405C9"/>
    <w:rsid w:val="00841692"/>
    <w:rsid w:val="00841762"/>
    <w:rsid w:val="00841E24"/>
    <w:rsid w:val="008431BA"/>
    <w:rsid w:val="00843218"/>
    <w:rsid w:val="008435CD"/>
    <w:rsid w:val="008439DF"/>
    <w:rsid w:val="00843D25"/>
    <w:rsid w:val="00843DA4"/>
    <w:rsid w:val="00843EBA"/>
    <w:rsid w:val="00844E6D"/>
    <w:rsid w:val="0084612D"/>
    <w:rsid w:val="008467EA"/>
    <w:rsid w:val="00846AF8"/>
    <w:rsid w:val="0084781A"/>
    <w:rsid w:val="00847E13"/>
    <w:rsid w:val="0085058F"/>
    <w:rsid w:val="008509FD"/>
    <w:rsid w:val="00851290"/>
    <w:rsid w:val="00851409"/>
    <w:rsid w:val="00851B44"/>
    <w:rsid w:val="00853F70"/>
    <w:rsid w:val="00854031"/>
    <w:rsid w:val="00854220"/>
    <w:rsid w:val="00855357"/>
    <w:rsid w:val="008553B4"/>
    <w:rsid w:val="00855522"/>
    <w:rsid w:val="008555A2"/>
    <w:rsid w:val="0085566D"/>
    <w:rsid w:val="008556A1"/>
    <w:rsid w:val="008557B0"/>
    <w:rsid w:val="00855A68"/>
    <w:rsid w:val="00855C45"/>
    <w:rsid w:val="00855ED9"/>
    <w:rsid w:val="008561C4"/>
    <w:rsid w:val="00856253"/>
    <w:rsid w:val="0085655E"/>
    <w:rsid w:val="00856725"/>
    <w:rsid w:val="00860977"/>
    <w:rsid w:val="00860A2B"/>
    <w:rsid w:val="008615A9"/>
    <w:rsid w:val="0086196C"/>
    <w:rsid w:val="00863BA5"/>
    <w:rsid w:val="00863E41"/>
    <w:rsid w:val="008641E8"/>
    <w:rsid w:val="00864C48"/>
    <w:rsid w:val="0086515C"/>
    <w:rsid w:val="00865F7E"/>
    <w:rsid w:val="008661CE"/>
    <w:rsid w:val="0086625E"/>
    <w:rsid w:val="0086658E"/>
    <w:rsid w:val="00866EC4"/>
    <w:rsid w:val="00867113"/>
    <w:rsid w:val="008675AD"/>
    <w:rsid w:val="00867CEA"/>
    <w:rsid w:val="0087050B"/>
    <w:rsid w:val="008706FB"/>
    <w:rsid w:val="00870763"/>
    <w:rsid w:val="0087169C"/>
    <w:rsid w:val="00871EEA"/>
    <w:rsid w:val="008729BC"/>
    <w:rsid w:val="00872D4D"/>
    <w:rsid w:val="008730BC"/>
    <w:rsid w:val="00873DC6"/>
    <w:rsid w:val="008741B2"/>
    <w:rsid w:val="0087441C"/>
    <w:rsid w:val="00874A07"/>
    <w:rsid w:val="00874C54"/>
    <w:rsid w:val="00875137"/>
    <w:rsid w:val="008765E1"/>
    <w:rsid w:val="008771B2"/>
    <w:rsid w:val="0087778C"/>
    <w:rsid w:val="008778AA"/>
    <w:rsid w:val="00877B50"/>
    <w:rsid w:val="00877D0D"/>
    <w:rsid w:val="00877FA1"/>
    <w:rsid w:val="0088036E"/>
    <w:rsid w:val="00880EB6"/>
    <w:rsid w:val="00880EEA"/>
    <w:rsid w:val="00880F04"/>
    <w:rsid w:val="008815C2"/>
    <w:rsid w:val="00881E08"/>
    <w:rsid w:val="008825A2"/>
    <w:rsid w:val="0088285C"/>
    <w:rsid w:val="0088330C"/>
    <w:rsid w:val="0088351A"/>
    <w:rsid w:val="00883CD0"/>
    <w:rsid w:val="00883D78"/>
    <w:rsid w:val="00884233"/>
    <w:rsid w:val="00884742"/>
    <w:rsid w:val="00884DDC"/>
    <w:rsid w:val="0088503D"/>
    <w:rsid w:val="00885AFE"/>
    <w:rsid w:val="00885C9D"/>
    <w:rsid w:val="00886934"/>
    <w:rsid w:val="00886DFC"/>
    <w:rsid w:val="00887019"/>
    <w:rsid w:val="00887825"/>
    <w:rsid w:val="00887F1F"/>
    <w:rsid w:val="00890511"/>
    <w:rsid w:val="0089062C"/>
    <w:rsid w:val="00890754"/>
    <w:rsid w:val="00890E93"/>
    <w:rsid w:val="00890F0E"/>
    <w:rsid w:val="0089129E"/>
    <w:rsid w:val="008925A5"/>
    <w:rsid w:val="0089269D"/>
    <w:rsid w:val="00892854"/>
    <w:rsid w:val="0089285E"/>
    <w:rsid w:val="00893330"/>
    <w:rsid w:val="00893A71"/>
    <w:rsid w:val="00893D03"/>
    <w:rsid w:val="008943AE"/>
    <w:rsid w:val="00894489"/>
    <w:rsid w:val="008944D0"/>
    <w:rsid w:val="00894509"/>
    <w:rsid w:val="00894629"/>
    <w:rsid w:val="00895109"/>
    <w:rsid w:val="00895AD6"/>
    <w:rsid w:val="00895D07"/>
    <w:rsid w:val="0089660F"/>
    <w:rsid w:val="00896BD1"/>
    <w:rsid w:val="00896D82"/>
    <w:rsid w:val="00897028"/>
    <w:rsid w:val="0089758A"/>
    <w:rsid w:val="008975F3"/>
    <w:rsid w:val="00897918"/>
    <w:rsid w:val="00897EAC"/>
    <w:rsid w:val="008A0539"/>
    <w:rsid w:val="008A0E52"/>
    <w:rsid w:val="008A1110"/>
    <w:rsid w:val="008A1168"/>
    <w:rsid w:val="008A128B"/>
    <w:rsid w:val="008A17F6"/>
    <w:rsid w:val="008A2357"/>
    <w:rsid w:val="008A2E95"/>
    <w:rsid w:val="008A34B9"/>
    <w:rsid w:val="008A45BA"/>
    <w:rsid w:val="008A4BFF"/>
    <w:rsid w:val="008A61D7"/>
    <w:rsid w:val="008A672B"/>
    <w:rsid w:val="008A7639"/>
    <w:rsid w:val="008A7A00"/>
    <w:rsid w:val="008A7C71"/>
    <w:rsid w:val="008A7C87"/>
    <w:rsid w:val="008B085E"/>
    <w:rsid w:val="008B0D93"/>
    <w:rsid w:val="008B1D58"/>
    <w:rsid w:val="008B20A9"/>
    <w:rsid w:val="008B2A83"/>
    <w:rsid w:val="008B3484"/>
    <w:rsid w:val="008B37F0"/>
    <w:rsid w:val="008B3C27"/>
    <w:rsid w:val="008B49F6"/>
    <w:rsid w:val="008B4AE9"/>
    <w:rsid w:val="008B4FCC"/>
    <w:rsid w:val="008B601E"/>
    <w:rsid w:val="008B638C"/>
    <w:rsid w:val="008B668F"/>
    <w:rsid w:val="008B6F21"/>
    <w:rsid w:val="008B7410"/>
    <w:rsid w:val="008B7507"/>
    <w:rsid w:val="008B7D92"/>
    <w:rsid w:val="008B7DC2"/>
    <w:rsid w:val="008C0168"/>
    <w:rsid w:val="008C05DD"/>
    <w:rsid w:val="008C07D7"/>
    <w:rsid w:val="008C09DC"/>
    <w:rsid w:val="008C11AB"/>
    <w:rsid w:val="008C1E7A"/>
    <w:rsid w:val="008C1ECC"/>
    <w:rsid w:val="008C1EEA"/>
    <w:rsid w:val="008C2500"/>
    <w:rsid w:val="008C2EEE"/>
    <w:rsid w:val="008C3521"/>
    <w:rsid w:val="008C385D"/>
    <w:rsid w:val="008C38D1"/>
    <w:rsid w:val="008C3987"/>
    <w:rsid w:val="008C3F13"/>
    <w:rsid w:val="008C3F1E"/>
    <w:rsid w:val="008C4342"/>
    <w:rsid w:val="008C4A76"/>
    <w:rsid w:val="008C54F8"/>
    <w:rsid w:val="008C555E"/>
    <w:rsid w:val="008C559A"/>
    <w:rsid w:val="008C55E3"/>
    <w:rsid w:val="008C5EAB"/>
    <w:rsid w:val="008C5F24"/>
    <w:rsid w:val="008C606A"/>
    <w:rsid w:val="008C6A81"/>
    <w:rsid w:val="008C7D1D"/>
    <w:rsid w:val="008C7EFE"/>
    <w:rsid w:val="008D0154"/>
    <w:rsid w:val="008D02BD"/>
    <w:rsid w:val="008D04DB"/>
    <w:rsid w:val="008D05BF"/>
    <w:rsid w:val="008D07DA"/>
    <w:rsid w:val="008D08F6"/>
    <w:rsid w:val="008D0D57"/>
    <w:rsid w:val="008D13E2"/>
    <w:rsid w:val="008D1AE5"/>
    <w:rsid w:val="008D1E33"/>
    <w:rsid w:val="008D22D7"/>
    <w:rsid w:val="008D395B"/>
    <w:rsid w:val="008D3C60"/>
    <w:rsid w:val="008D3E01"/>
    <w:rsid w:val="008D4366"/>
    <w:rsid w:val="008D4971"/>
    <w:rsid w:val="008D4C90"/>
    <w:rsid w:val="008D58AC"/>
    <w:rsid w:val="008D597F"/>
    <w:rsid w:val="008D61F5"/>
    <w:rsid w:val="008D6B23"/>
    <w:rsid w:val="008D7236"/>
    <w:rsid w:val="008D7CF0"/>
    <w:rsid w:val="008D7D8A"/>
    <w:rsid w:val="008D7F38"/>
    <w:rsid w:val="008E027F"/>
    <w:rsid w:val="008E1E86"/>
    <w:rsid w:val="008E1E92"/>
    <w:rsid w:val="008E1ED7"/>
    <w:rsid w:val="008E216E"/>
    <w:rsid w:val="008E2318"/>
    <w:rsid w:val="008E2FFE"/>
    <w:rsid w:val="008E33E3"/>
    <w:rsid w:val="008E386E"/>
    <w:rsid w:val="008E3FD4"/>
    <w:rsid w:val="008E437D"/>
    <w:rsid w:val="008E4C9E"/>
    <w:rsid w:val="008E4E55"/>
    <w:rsid w:val="008E4FED"/>
    <w:rsid w:val="008E544E"/>
    <w:rsid w:val="008E5673"/>
    <w:rsid w:val="008E5E8F"/>
    <w:rsid w:val="008E6644"/>
    <w:rsid w:val="008E69D8"/>
    <w:rsid w:val="008E72B0"/>
    <w:rsid w:val="008E7604"/>
    <w:rsid w:val="008E77ED"/>
    <w:rsid w:val="008E7BD8"/>
    <w:rsid w:val="008E7D92"/>
    <w:rsid w:val="008F0476"/>
    <w:rsid w:val="008F072A"/>
    <w:rsid w:val="008F0EE6"/>
    <w:rsid w:val="008F2A46"/>
    <w:rsid w:val="008F323E"/>
    <w:rsid w:val="008F32A5"/>
    <w:rsid w:val="008F47F2"/>
    <w:rsid w:val="008F4BED"/>
    <w:rsid w:val="008F552D"/>
    <w:rsid w:val="008F577F"/>
    <w:rsid w:val="008F61C8"/>
    <w:rsid w:val="008F6BDC"/>
    <w:rsid w:val="008F702B"/>
    <w:rsid w:val="008F70BD"/>
    <w:rsid w:val="008F7818"/>
    <w:rsid w:val="008F7C60"/>
    <w:rsid w:val="009006EB"/>
    <w:rsid w:val="00900991"/>
    <w:rsid w:val="00900BE2"/>
    <w:rsid w:val="00900EDC"/>
    <w:rsid w:val="00901620"/>
    <w:rsid w:val="00901B27"/>
    <w:rsid w:val="009023A7"/>
    <w:rsid w:val="0090278D"/>
    <w:rsid w:val="0090285F"/>
    <w:rsid w:val="00902C72"/>
    <w:rsid w:val="00903740"/>
    <w:rsid w:val="00903757"/>
    <w:rsid w:val="00903D41"/>
    <w:rsid w:val="00904549"/>
    <w:rsid w:val="00904583"/>
    <w:rsid w:val="0090492B"/>
    <w:rsid w:val="00904F4A"/>
    <w:rsid w:val="00905079"/>
    <w:rsid w:val="00905C9B"/>
    <w:rsid w:val="00907479"/>
    <w:rsid w:val="009103FF"/>
    <w:rsid w:val="009105B4"/>
    <w:rsid w:val="00910935"/>
    <w:rsid w:val="0091123A"/>
    <w:rsid w:val="0091208B"/>
    <w:rsid w:val="0091274F"/>
    <w:rsid w:val="00912A24"/>
    <w:rsid w:val="00912C68"/>
    <w:rsid w:val="00912D40"/>
    <w:rsid w:val="00913400"/>
    <w:rsid w:val="00913975"/>
    <w:rsid w:val="00913DD4"/>
    <w:rsid w:val="00914D06"/>
    <w:rsid w:val="00914F18"/>
    <w:rsid w:val="00914F9B"/>
    <w:rsid w:val="00915A5D"/>
    <w:rsid w:val="00915FF6"/>
    <w:rsid w:val="00916163"/>
    <w:rsid w:val="00917C70"/>
    <w:rsid w:val="00917D7C"/>
    <w:rsid w:val="009202B7"/>
    <w:rsid w:val="009212C7"/>
    <w:rsid w:val="0092192B"/>
    <w:rsid w:val="0092286A"/>
    <w:rsid w:val="00923470"/>
    <w:rsid w:val="00924647"/>
    <w:rsid w:val="00924B5B"/>
    <w:rsid w:val="00924FDD"/>
    <w:rsid w:val="0092559B"/>
    <w:rsid w:val="0092559F"/>
    <w:rsid w:val="0092562C"/>
    <w:rsid w:val="0092562E"/>
    <w:rsid w:val="009257EA"/>
    <w:rsid w:val="00925C1C"/>
    <w:rsid w:val="00925E48"/>
    <w:rsid w:val="00926254"/>
    <w:rsid w:val="00926963"/>
    <w:rsid w:val="00926BA7"/>
    <w:rsid w:val="00926E39"/>
    <w:rsid w:val="00926F16"/>
    <w:rsid w:val="00927C68"/>
    <w:rsid w:val="0093077D"/>
    <w:rsid w:val="00931FED"/>
    <w:rsid w:val="00932B78"/>
    <w:rsid w:val="00932DF5"/>
    <w:rsid w:val="00933141"/>
    <w:rsid w:val="0093319C"/>
    <w:rsid w:val="00933428"/>
    <w:rsid w:val="0093632A"/>
    <w:rsid w:val="009368D1"/>
    <w:rsid w:val="009403D8"/>
    <w:rsid w:val="009404AE"/>
    <w:rsid w:val="00941023"/>
    <w:rsid w:val="009414CB"/>
    <w:rsid w:val="00941AAA"/>
    <w:rsid w:val="00941B44"/>
    <w:rsid w:val="00941BB0"/>
    <w:rsid w:val="009423C2"/>
    <w:rsid w:val="009426ED"/>
    <w:rsid w:val="009429E0"/>
    <w:rsid w:val="009431DE"/>
    <w:rsid w:val="0094346A"/>
    <w:rsid w:val="009434B9"/>
    <w:rsid w:val="009438B6"/>
    <w:rsid w:val="00943C4F"/>
    <w:rsid w:val="00943F27"/>
    <w:rsid w:val="009443D8"/>
    <w:rsid w:val="0094498D"/>
    <w:rsid w:val="00944D77"/>
    <w:rsid w:val="00944E53"/>
    <w:rsid w:val="009452AB"/>
    <w:rsid w:val="00945CF2"/>
    <w:rsid w:val="00946661"/>
    <w:rsid w:val="0094785C"/>
    <w:rsid w:val="00950833"/>
    <w:rsid w:val="0095098E"/>
    <w:rsid w:val="009518FE"/>
    <w:rsid w:val="00951D42"/>
    <w:rsid w:val="0095245C"/>
    <w:rsid w:val="00952A7B"/>
    <w:rsid w:val="00952E47"/>
    <w:rsid w:val="0095314E"/>
    <w:rsid w:val="009537CB"/>
    <w:rsid w:val="00953EC4"/>
    <w:rsid w:val="00954B6E"/>
    <w:rsid w:val="00954F1F"/>
    <w:rsid w:val="00955094"/>
    <w:rsid w:val="00955B59"/>
    <w:rsid w:val="00955B9C"/>
    <w:rsid w:val="00955F18"/>
    <w:rsid w:val="00956667"/>
    <w:rsid w:val="00956FEF"/>
    <w:rsid w:val="0095731C"/>
    <w:rsid w:val="00960381"/>
    <w:rsid w:val="00961367"/>
    <w:rsid w:val="009614CC"/>
    <w:rsid w:val="00961564"/>
    <w:rsid w:val="009615A9"/>
    <w:rsid w:val="00961A46"/>
    <w:rsid w:val="00961B76"/>
    <w:rsid w:val="00962464"/>
    <w:rsid w:val="00962C07"/>
    <w:rsid w:val="00962CA6"/>
    <w:rsid w:val="00963361"/>
    <w:rsid w:val="00963843"/>
    <w:rsid w:val="0096387D"/>
    <w:rsid w:val="00964B83"/>
    <w:rsid w:val="00964C96"/>
    <w:rsid w:val="009651CB"/>
    <w:rsid w:val="009661FB"/>
    <w:rsid w:val="009663F8"/>
    <w:rsid w:val="00967382"/>
    <w:rsid w:val="00967A8C"/>
    <w:rsid w:val="00967D2F"/>
    <w:rsid w:val="00970004"/>
    <w:rsid w:val="009704C7"/>
    <w:rsid w:val="00970709"/>
    <w:rsid w:val="00970720"/>
    <w:rsid w:val="009708D6"/>
    <w:rsid w:val="00970D43"/>
    <w:rsid w:val="0097239E"/>
    <w:rsid w:val="0097251A"/>
    <w:rsid w:val="00972FD8"/>
    <w:rsid w:val="00973017"/>
    <w:rsid w:val="009736EF"/>
    <w:rsid w:val="00974795"/>
    <w:rsid w:val="009749F6"/>
    <w:rsid w:val="00974FAE"/>
    <w:rsid w:val="009750B8"/>
    <w:rsid w:val="009757A2"/>
    <w:rsid w:val="009767C5"/>
    <w:rsid w:val="00976840"/>
    <w:rsid w:val="00976A61"/>
    <w:rsid w:val="00977053"/>
    <w:rsid w:val="009772A2"/>
    <w:rsid w:val="009802AA"/>
    <w:rsid w:val="00980EE4"/>
    <w:rsid w:val="0098156B"/>
    <w:rsid w:val="009827BD"/>
    <w:rsid w:val="00982ED9"/>
    <w:rsid w:val="0098321F"/>
    <w:rsid w:val="00983423"/>
    <w:rsid w:val="00984EF8"/>
    <w:rsid w:val="0098519F"/>
    <w:rsid w:val="00985CDC"/>
    <w:rsid w:val="00986577"/>
    <w:rsid w:val="0098668B"/>
    <w:rsid w:val="009869D4"/>
    <w:rsid w:val="00987A91"/>
    <w:rsid w:val="00987E87"/>
    <w:rsid w:val="00990840"/>
    <w:rsid w:val="00990A32"/>
    <w:rsid w:val="00990F8F"/>
    <w:rsid w:val="009912EC"/>
    <w:rsid w:val="00991416"/>
    <w:rsid w:val="009916BD"/>
    <w:rsid w:val="00991907"/>
    <w:rsid w:val="00991E7A"/>
    <w:rsid w:val="009924F6"/>
    <w:rsid w:val="00992C67"/>
    <w:rsid w:val="00992C71"/>
    <w:rsid w:val="00993430"/>
    <w:rsid w:val="009939EA"/>
    <w:rsid w:val="00994467"/>
    <w:rsid w:val="00995330"/>
    <w:rsid w:val="00995376"/>
    <w:rsid w:val="009955FD"/>
    <w:rsid w:val="0099593C"/>
    <w:rsid w:val="00996034"/>
    <w:rsid w:val="00996CA4"/>
    <w:rsid w:val="00996E60"/>
    <w:rsid w:val="0099704F"/>
    <w:rsid w:val="00997892"/>
    <w:rsid w:val="00997C72"/>
    <w:rsid w:val="009A06CD"/>
    <w:rsid w:val="009A0B14"/>
    <w:rsid w:val="009A0CB6"/>
    <w:rsid w:val="009A137F"/>
    <w:rsid w:val="009A178D"/>
    <w:rsid w:val="009A19EE"/>
    <w:rsid w:val="009A20D5"/>
    <w:rsid w:val="009A21F3"/>
    <w:rsid w:val="009A22A7"/>
    <w:rsid w:val="009A2483"/>
    <w:rsid w:val="009A2BA1"/>
    <w:rsid w:val="009A2FF7"/>
    <w:rsid w:val="009A325B"/>
    <w:rsid w:val="009A3D6E"/>
    <w:rsid w:val="009A43A9"/>
    <w:rsid w:val="009A45AE"/>
    <w:rsid w:val="009A4D83"/>
    <w:rsid w:val="009A5122"/>
    <w:rsid w:val="009A5EDB"/>
    <w:rsid w:val="009A6DEC"/>
    <w:rsid w:val="009A6F0D"/>
    <w:rsid w:val="009A710F"/>
    <w:rsid w:val="009A7BE2"/>
    <w:rsid w:val="009B006C"/>
    <w:rsid w:val="009B0574"/>
    <w:rsid w:val="009B073E"/>
    <w:rsid w:val="009B1410"/>
    <w:rsid w:val="009B1594"/>
    <w:rsid w:val="009B19E0"/>
    <w:rsid w:val="009B3733"/>
    <w:rsid w:val="009B39B1"/>
    <w:rsid w:val="009B5388"/>
    <w:rsid w:val="009B5C82"/>
    <w:rsid w:val="009B5C87"/>
    <w:rsid w:val="009B5F79"/>
    <w:rsid w:val="009B6248"/>
    <w:rsid w:val="009B678F"/>
    <w:rsid w:val="009B70D1"/>
    <w:rsid w:val="009B755D"/>
    <w:rsid w:val="009B7647"/>
    <w:rsid w:val="009B7D01"/>
    <w:rsid w:val="009C07D2"/>
    <w:rsid w:val="009C2825"/>
    <w:rsid w:val="009C35F9"/>
    <w:rsid w:val="009C3B81"/>
    <w:rsid w:val="009C3CC6"/>
    <w:rsid w:val="009C5752"/>
    <w:rsid w:val="009C5D51"/>
    <w:rsid w:val="009C6358"/>
    <w:rsid w:val="009C6595"/>
    <w:rsid w:val="009C65B0"/>
    <w:rsid w:val="009C65CB"/>
    <w:rsid w:val="009C76FF"/>
    <w:rsid w:val="009C7F4F"/>
    <w:rsid w:val="009D118E"/>
    <w:rsid w:val="009D2179"/>
    <w:rsid w:val="009D236D"/>
    <w:rsid w:val="009D243E"/>
    <w:rsid w:val="009D2C8B"/>
    <w:rsid w:val="009D3539"/>
    <w:rsid w:val="009D3712"/>
    <w:rsid w:val="009D38EA"/>
    <w:rsid w:val="009D3C92"/>
    <w:rsid w:val="009D4031"/>
    <w:rsid w:val="009D4221"/>
    <w:rsid w:val="009D469A"/>
    <w:rsid w:val="009D60D7"/>
    <w:rsid w:val="009D690C"/>
    <w:rsid w:val="009D697E"/>
    <w:rsid w:val="009D7879"/>
    <w:rsid w:val="009D7928"/>
    <w:rsid w:val="009D7971"/>
    <w:rsid w:val="009D7FDB"/>
    <w:rsid w:val="009E02A9"/>
    <w:rsid w:val="009E0303"/>
    <w:rsid w:val="009E0333"/>
    <w:rsid w:val="009E055F"/>
    <w:rsid w:val="009E0F85"/>
    <w:rsid w:val="009E1A5F"/>
    <w:rsid w:val="009E1EF6"/>
    <w:rsid w:val="009E2279"/>
    <w:rsid w:val="009E2EF2"/>
    <w:rsid w:val="009E30E5"/>
    <w:rsid w:val="009E3C3B"/>
    <w:rsid w:val="009E40FB"/>
    <w:rsid w:val="009E4105"/>
    <w:rsid w:val="009E4502"/>
    <w:rsid w:val="009E491C"/>
    <w:rsid w:val="009E4ACF"/>
    <w:rsid w:val="009E4E4F"/>
    <w:rsid w:val="009E5637"/>
    <w:rsid w:val="009E5690"/>
    <w:rsid w:val="009E5E2C"/>
    <w:rsid w:val="009E6E80"/>
    <w:rsid w:val="009E733F"/>
    <w:rsid w:val="009E773F"/>
    <w:rsid w:val="009F00D0"/>
    <w:rsid w:val="009F0182"/>
    <w:rsid w:val="009F02DC"/>
    <w:rsid w:val="009F093B"/>
    <w:rsid w:val="009F0AF9"/>
    <w:rsid w:val="009F0DE8"/>
    <w:rsid w:val="009F1C53"/>
    <w:rsid w:val="009F1D49"/>
    <w:rsid w:val="009F2078"/>
    <w:rsid w:val="009F239F"/>
    <w:rsid w:val="009F3155"/>
    <w:rsid w:val="009F3609"/>
    <w:rsid w:val="009F381D"/>
    <w:rsid w:val="009F3863"/>
    <w:rsid w:val="009F3F22"/>
    <w:rsid w:val="009F4203"/>
    <w:rsid w:val="009F4619"/>
    <w:rsid w:val="009F5130"/>
    <w:rsid w:val="009F569E"/>
    <w:rsid w:val="009F570F"/>
    <w:rsid w:val="009F72A5"/>
    <w:rsid w:val="009F73B5"/>
    <w:rsid w:val="009F7CAB"/>
    <w:rsid w:val="009F7D3C"/>
    <w:rsid w:val="009F7E12"/>
    <w:rsid w:val="009F7F18"/>
    <w:rsid w:val="009F7FBB"/>
    <w:rsid w:val="00A003E0"/>
    <w:rsid w:val="00A0053B"/>
    <w:rsid w:val="00A0076C"/>
    <w:rsid w:val="00A00AB5"/>
    <w:rsid w:val="00A00C56"/>
    <w:rsid w:val="00A00EF0"/>
    <w:rsid w:val="00A01732"/>
    <w:rsid w:val="00A01EDE"/>
    <w:rsid w:val="00A0263B"/>
    <w:rsid w:val="00A02839"/>
    <w:rsid w:val="00A03A29"/>
    <w:rsid w:val="00A03DE1"/>
    <w:rsid w:val="00A04314"/>
    <w:rsid w:val="00A04393"/>
    <w:rsid w:val="00A04612"/>
    <w:rsid w:val="00A04EFA"/>
    <w:rsid w:val="00A051F2"/>
    <w:rsid w:val="00A059D8"/>
    <w:rsid w:val="00A05AF9"/>
    <w:rsid w:val="00A07CD4"/>
    <w:rsid w:val="00A07DF3"/>
    <w:rsid w:val="00A10118"/>
    <w:rsid w:val="00A102DA"/>
    <w:rsid w:val="00A10DEB"/>
    <w:rsid w:val="00A12707"/>
    <w:rsid w:val="00A12DFA"/>
    <w:rsid w:val="00A1330B"/>
    <w:rsid w:val="00A135E2"/>
    <w:rsid w:val="00A13CF6"/>
    <w:rsid w:val="00A13F8F"/>
    <w:rsid w:val="00A14CE7"/>
    <w:rsid w:val="00A15859"/>
    <w:rsid w:val="00A15D80"/>
    <w:rsid w:val="00A161C5"/>
    <w:rsid w:val="00A16469"/>
    <w:rsid w:val="00A1646B"/>
    <w:rsid w:val="00A17151"/>
    <w:rsid w:val="00A20034"/>
    <w:rsid w:val="00A2095C"/>
    <w:rsid w:val="00A20D1B"/>
    <w:rsid w:val="00A20F77"/>
    <w:rsid w:val="00A215F5"/>
    <w:rsid w:val="00A21D50"/>
    <w:rsid w:val="00A22A44"/>
    <w:rsid w:val="00A2367A"/>
    <w:rsid w:val="00A23A91"/>
    <w:rsid w:val="00A242C4"/>
    <w:rsid w:val="00A24779"/>
    <w:rsid w:val="00A24BEB"/>
    <w:rsid w:val="00A25534"/>
    <w:rsid w:val="00A256EC"/>
    <w:rsid w:val="00A259EA"/>
    <w:rsid w:val="00A26F6B"/>
    <w:rsid w:val="00A278C1"/>
    <w:rsid w:val="00A279C1"/>
    <w:rsid w:val="00A27ADA"/>
    <w:rsid w:val="00A305B3"/>
    <w:rsid w:val="00A305DD"/>
    <w:rsid w:val="00A30890"/>
    <w:rsid w:val="00A3135B"/>
    <w:rsid w:val="00A3142E"/>
    <w:rsid w:val="00A31798"/>
    <w:rsid w:val="00A3202B"/>
    <w:rsid w:val="00A339C0"/>
    <w:rsid w:val="00A33CBE"/>
    <w:rsid w:val="00A33DF7"/>
    <w:rsid w:val="00A34F90"/>
    <w:rsid w:val="00A353A4"/>
    <w:rsid w:val="00A35536"/>
    <w:rsid w:val="00A35AC4"/>
    <w:rsid w:val="00A35D73"/>
    <w:rsid w:val="00A364B9"/>
    <w:rsid w:val="00A36674"/>
    <w:rsid w:val="00A3677B"/>
    <w:rsid w:val="00A37636"/>
    <w:rsid w:val="00A4026D"/>
    <w:rsid w:val="00A4155A"/>
    <w:rsid w:val="00A4157F"/>
    <w:rsid w:val="00A428A9"/>
    <w:rsid w:val="00A43299"/>
    <w:rsid w:val="00A44517"/>
    <w:rsid w:val="00A453B8"/>
    <w:rsid w:val="00A45E78"/>
    <w:rsid w:val="00A466AF"/>
    <w:rsid w:val="00A46CDD"/>
    <w:rsid w:val="00A4789B"/>
    <w:rsid w:val="00A47B51"/>
    <w:rsid w:val="00A50151"/>
    <w:rsid w:val="00A501AC"/>
    <w:rsid w:val="00A507B9"/>
    <w:rsid w:val="00A50EFC"/>
    <w:rsid w:val="00A51E2D"/>
    <w:rsid w:val="00A52C2E"/>
    <w:rsid w:val="00A52FA2"/>
    <w:rsid w:val="00A53A8B"/>
    <w:rsid w:val="00A53B21"/>
    <w:rsid w:val="00A53F30"/>
    <w:rsid w:val="00A54081"/>
    <w:rsid w:val="00A5412B"/>
    <w:rsid w:val="00A5450F"/>
    <w:rsid w:val="00A54826"/>
    <w:rsid w:val="00A54A55"/>
    <w:rsid w:val="00A55174"/>
    <w:rsid w:val="00A56858"/>
    <w:rsid w:val="00A5694E"/>
    <w:rsid w:val="00A56C27"/>
    <w:rsid w:val="00A57767"/>
    <w:rsid w:val="00A57AB7"/>
    <w:rsid w:val="00A60804"/>
    <w:rsid w:val="00A60B0C"/>
    <w:rsid w:val="00A60E02"/>
    <w:rsid w:val="00A60F0C"/>
    <w:rsid w:val="00A60F52"/>
    <w:rsid w:val="00A61057"/>
    <w:rsid w:val="00A610A9"/>
    <w:rsid w:val="00A61892"/>
    <w:rsid w:val="00A61A38"/>
    <w:rsid w:val="00A61A7D"/>
    <w:rsid w:val="00A61CFD"/>
    <w:rsid w:val="00A6208C"/>
    <w:rsid w:val="00A62E75"/>
    <w:rsid w:val="00A63501"/>
    <w:rsid w:val="00A63CDA"/>
    <w:rsid w:val="00A64A88"/>
    <w:rsid w:val="00A64D1D"/>
    <w:rsid w:val="00A657AC"/>
    <w:rsid w:val="00A661A9"/>
    <w:rsid w:val="00A66281"/>
    <w:rsid w:val="00A66600"/>
    <w:rsid w:val="00A668EF"/>
    <w:rsid w:val="00A66AFF"/>
    <w:rsid w:val="00A671E3"/>
    <w:rsid w:val="00A67277"/>
    <w:rsid w:val="00A67CC6"/>
    <w:rsid w:val="00A701A1"/>
    <w:rsid w:val="00A70617"/>
    <w:rsid w:val="00A70836"/>
    <w:rsid w:val="00A710DA"/>
    <w:rsid w:val="00A7231E"/>
    <w:rsid w:val="00A725B7"/>
    <w:rsid w:val="00A72889"/>
    <w:rsid w:val="00A748A8"/>
    <w:rsid w:val="00A74D33"/>
    <w:rsid w:val="00A74E64"/>
    <w:rsid w:val="00A7511E"/>
    <w:rsid w:val="00A755BF"/>
    <w:rsid w:val="00A75728"/>
    <w:rsid w:val="00A761A7"/>
    <w:rsid w:val="00A77316"/>
    <w:rsid w:val="00A774FA"/>
    <w:rsid w:val="00A77AF7"/>
    <w:rsid w:val="00A77BFF"/>
    <w:rsid w:val="00A8060F"/>
    <w:rsid w:val="00A807E1"/>
    <w:rsid w:val="00A80A18"/>
    <w:rsid w:val="00A80E69"/>
    <w:rsid w:val="00A8210C"/>
    <w:rsid w:val="00A82D58"/>
    <w:rsid w:val="00A82D62"/>
    <w:rsid w:val="00A835E0"/>
    <w:rsid w:val="00A836F0"/>
    <w:rsid w:val="00A838D5"/>
    <w:rsid w:val="00A83ED1"/>
    <w:rsid w:val="00A8402E"/>
    <w:rsid w:val="00A84191"/>
    <w:rsid w:val="00A84477"/>
    <w:rsid w:val="00A84A35"/>
    <w:rsid w:val="00A85EFA"/>
    <w:rsid w:val="00A860AB"/>
    <w:rsid w:val="00A8613A"/>
    <w:rsid w:val="00A865C4"/>
    <w:rsid w:val="00A86A59"/>
    <w:rsid w:val="00A86C1F"/>
    <w:rsid w:val="00A877CC"/>
    <w:rsid w:val="00A878D4"/>
    <w:rsid w:val="00A9142F"/>
    <w:rsid w:val="00A91D3C"/>
    <w:rsid w:val="00A91D3D"/>
    <w:rsid w:val="00A9209A"/>
    <w:rsid w:val="00A9268E"/>
    <w:rsid w:val="00A92691"/>
    <w:rsid w:val="00A93432"/>
    <w:rsid w:val="00A947DA"/>
    <w:rsid w:val="00A95022"/>
    <w:rsid w:val="00A9620B"/>
    <w:rsid w:val="00A9646D"/>
    <w:rsid w:val="00A972CF"/>
    <w:rsid w:val="00A973E8"/>
    <w:rsid w:val="00A97401"/>
    <w:rsid w:val="00A9765C"/>
    <w:rsid w:val="00A97A9A"/>
    <w:rsid w:val="00AA045C"/>
    <w:rsid w:val="00AA078F"/>
    <w:rsid w:val="00AA0A18"/>
    <w:rsid w:val="00AA144E"/>
    <w:rsid w:val="00AA1568"/>
    <w:rsid w:val="00AA1585"/>
    <w:rsid w:val="00AA1767"/>
    <w:rsid w:val="00AA2247"/>
    <w:rsid w:val="00AA2680"/>
    <w:rsid w:val="00AA269A"/>
    <w:rsid w:val="00AA3360"/>
    <w:rsid w:val="00AA4003"/>
    <w:rsid w:val="00AA59D3"/>
    <w:rsid w:val="00AA60F6"/>
    <w:rsid w:val="00AA65D5"/>
    <w:rsid w:val="00AB0AFA"/>
    <w:rsid w:val="00AB0E95"/>
    <w:rsid w:val="00AB0F88"/>
    <w:rsid w:val="00AB0FCF"/>
    <w:rsid w:val="00AB134B"/>
    <w:rsid w:val="00AB17C6"/>
    <w:rsid w:val="00AB1AD0"/>
    <w:rsid w:val="00AB203C"/>
    <w:rsid w:val="00AB2E34"/>
    <w:rsid w:val="00AB2FA4"/>
    <w:rsid w:val="00AB400F"/>
    <w:rsid w:val="00AB426D"/>
    <w:rsid w:val="00AB4F64"/>
    <w:rsid w:val="00AB536B"/>
    <w:rsid w:val="00AB5C39"/>
    <w:rsid w:val="00AB5E37"/>
    <w:rsid w:val="00AB67DF"/>
    <w:rsid w:val="00AB696D"/>
    <w:rsid w:val="00AB6D1F"/>
    <w:rsid w:val="00AB6D83"/>
    <w:rsid w:val="00AB6DBE"/>
    <w:rsid w:val="00AB7471"/>
    <w:rsid w:val="00AB7A29"/>
    <w:rsid w:val="00AB7A6F"/>
    <w:rsid w:val="00AB7BC1"/>
    <w:rsid w:val="00AB7E3B"/>
    <w:rsid w:val="00AC01AD"/>
    <w:rsid w:val="00AC0E2F"/>
    <w:rsid w:val="00AC0E76"/>
    <w:rsid w:val="00AC1216"/>
    <w:rsid w:val="00AC1607"/>
    <w:rsid w:val="00AC1D91"/>
    <w:rsid w:val="00AC1DFD"/>
    <w:rsid w:val="00AC240E"/>
    <w:rsid w:val="00AC2453"/>
    <w:rsid w:val="00AC2F8F"/>
    <w:rsid w:val="00AC31DF"/>
    <w:rsid w:val="00AC3656"/>
    <w:rsid w:val="00AC3B2F"/>
    <w:rsid w:val="00AC4199"/>
    <w:rsid w:val="00AC41C4"/>
    <w:rsid w:val="00AC5DB3"/>
    <w:rsid w:val="00AC5FBA"/>
    <w:rsid w:val="00AC6435"/>
    <w:rsid w:val="00AC6BFE"/>
    <w:rsid w:val="00AC6CA8"/>
    <w:rsid w:val="00AC7B48"/>
    <w:rsid w:val="00AC7EDA"/>
    <w:rsid w:val="00AD02F4"/>
    <w:rsid w:val="00AD03FE"/>
    <w:rsid w:val="00AD1529"/>
    <w:rsid w:val="00AD1A8B"/>
    <w:rsid w:val="00AD1D71"/>
    <w:rsid w:val="00AD252F"/>
    <w:rsid w:val="00AD26F1"/>
    <w:rsid w:val="00AD33B0"/>
    <w:rsid w:val="00AD3B34"/>
    <w:rsid w:val="00AD3B4A"/>
    <w:rsid w:val="00AD3BD9"/>
    <w:rsid w:val="00AD3E03"/>
    <w:rsid w:val="00AD47B2"/>
    <w:rsid w:val="00AD4876"/>
    <w:rsid w:val="00AD5325"/>
    <w:rsid w:val="00AD5D29"/>
    <w:rsid w:val="00AD61FD"/>
    <w:rsid w:val="00AD6421"/>
    <w:rsid w:val="00AD651A"/>
    <w:rsid w:val="00AD7209"/>
    <w:rsid w:val="00AE060F"/>
    <w:rsid w:val="00AE145F"/>
    <w:rsid w:val="00AE18B8"/>
    <w:rsid w:val="00AE1AEA"/>
    <w:rsid w:val="00AE1B45"/>
    <w:rsid w:val="00AE1B78"/>
    <w:rsid w:val="00AE1C34"/>
    <w:rsid w:val="00AE1E55"/>
    <w:rsid w:val="00AE273D"/>
    <w:rsid w:val="00AE2AFD"/>
    <w:rsid w:val="00AE32DF"/>
    <w:rsid w:val="00AE338A"/>
    <w:rsid w:val="00AE3D9E"/>
    <w:rsid w:val="00AE425B"/>
    <w:rsid w:val="00AE46A7"/>
    <w:rsid w:val="00AE4A57"/>
    <w:rsid w:val="00AE4FE3"/>
    <w:rsid w:val="00AE60B8"/>
    <w:rsid w:val="00AE6956"/>
    <w:rsid w:val="00AE6C69"/>
    <w:rsid w:val="00AE70F8"/>
    <w:rsid w:val="00AE715C"/>
    <w:rsid w:val="00AE768A"/>
    <w:rsid w:val="00AE7745"/>
    <w:rsid w:val="00AE7A3C"/>
    <w:rsid w:val="00AE7BC5"/>
    <w:rsid w:val="00AE7FE4"/>
    <w:rsid w:val="00AE7FF1"/>
    <w:rsid w:val="00AF01FC"/>
    <w:rsid w:val="00AF02C2"/>
    <w:rsid w:val="00AF033E"/>
    <w:rsid w:val="00AF12D1"/>
    <w:rsid w:val="00AF26DD"/>
    <w:rsid w:val="00AF2834"/>
    <w:rsid w:val="00AF314C"/>
    <w:rsid w:val="00AF4F81"/>
    <w:rsid w:val="00AF5777"/>
    <w:rsid w:val="00AF5D45"/>
    <w:rsid w:val="00AF602D"/>
    <w:rsid w:val="00AF63CD"/>
    <w:rsid w:val="00AF66B8"/>
    <w:rsid w:val="00AF6890"/>
    <w:rsid w:val="00AF6948"/>
    <w:rsid w:val="00AF6FCA"/>
    <w:rsid w:val="00AF73A3"/>
    <w:rsid w:val="00AF7516"/>
    <w:rsid w:val="00AF7C7B"/>
    <w:rsid w:val="00B000CD"/>
    <w:rsid w:val="00B0076E"/>
    <w:rsid w:val="00B00874"/>
    <w:rsid w:val="00B00ECE"/>
    <w:rsid w:val="00B022F1"/>
    <w:rsid w:val="00B0238A"/>
    <w:rsid w:val="00B02A97"/>
    <w:rsid w:val="00B037A1"/>
    <w:rsid w:val="00B03914"/>
    <w:rsid w:val="00B03FAB"/>
    <w:rsid w:val="00B04051"/>
    <w:rsid w:val="00B04666"/>
    <w:rsid w:val="00B04676"/>
    <w:rsid w:val="00B048FB"/>
    <w:rsid w:val="00B04FEA"/>
    <w:rsid w:val="00B057D6"/>
    <w:rsid w:val="00B05D4A"/>
    <w:rsid w:val="00B078B9"/>
    <w:rsid w:val="00B07ECF"/>
    <w:rsid w:val="00B1066E"/>
    <w:rsid w:val="00B10C67"/>
    <w:rsid w:val="00B10C6D"/>
    <w:rsid w:val="00B11940"/>
    <w:rsid w:val="00B11B57"/>
    <w:rsid w:val="00B12DF0"/>
    <w:rsid w:val="00B1345D"/>
    <w:rsid w:val="00B13473"/>
    <w:rsid w:val="00B13710"/>
    <w:rsid w:val="00B13A2C"/>
    <w:rsid w:val="00B13FEF"/>
    <w:rsid w:val="00B14016"/>
    <w:rsid w:val="00B14579"/>
    <w:rsid w:val="00B14709"/>
    <w:rsid w:val="00B1506B"/>
    <w:rsid w:val="00B15646"/>
    <w:rsid w:val="00B157AC"/>
    <w:rsid w:val="00B15B14"/>
    <w:rsid w:val="00B16024"/>
    <w:rsid w:val="00B167A5"/>
    <w:rsid w:val="00B16BA6"/>
    <w:rsid w:val="00B17543"/>
    <w:rsid w:val="00B213F3"/>
    <w:rsid w:val="00B2242B"/>
    <w:rsid w:val="00B22A2E"/>
    <w:rsid w:val="00B22CB2"/>
    <w:rsid w:val="00B23554"/>
    <w:rsid w:val="00B236E3"/>
    <w:rsid w:val="00B23C38"/>
    <w:rsid w:val="00B23F57"/>
    <w:rsid w:val="00B242F9"/>
    <w:rsid w:val="00B24EAC"/>
    <w:rsid w:val="00B25046"/>
    <w:rsid w:val="00B25621"/>
    <w:rsid w:val="00B25865"/>
    <w:rsid w:val="00B25A86"/>
    <w:rsid w:val="00B267C1"/>
    <w:rsid w:val="00B2689F"/>
    <w:rsid w:val="00B26904"/>
    <w:rsid w:val="00B269A1"/>
    <w:rsid w:val="00B274D9"/>
    <w:rsid w:val="00B27D78"/>
    <w:rsid w:val="00B30A7C"/>
    <w:rsid w:val="00B30BE3"/>
    <w:rsid w:val="00B31AB6"/>
    <w:rsid w:val="00B325B3"/>
    <w:rsid w:val="00B32600"/>
    <w:rsid w:val="00B32B28"/>
    <w:rsid w:val="00B32CF2"/>
    <w:rsid w:val="00B32FA7"/>
    <w:rsid w:val="00B33268"/>
    <w:rsid w:val="00B3355D"/>
    <w:rsid w:val="00B3378F"/>
    <w:rsid w:val="00B337C1"/>
    <w:rsid w:val="00B33A9F"/>
    <w:rsid w:val="00B33B8D"/>
    <w:rsid w:val="00B33C4F"/>
    <w:rsid w:val="00B345BF"/>
    <w:rsid w:val="00B34737"/>
    <w:rsid w:val="00B355D7"/>
    <w:rsid w:val="00B35901"/>
    <w:rsid w:val="00B35BA6"/>
    <w:rsid w:val="00B35BFA"/>
    <w:rsid w:val="00B35DB3"/>
    <w:rsid w:val="00B35EBB"/>
    <w:rsid w:val="00B3623C"/>
    <w:rsid w:val="00B362A3"/>
    <w:rsid w:val="00B3672F"/>
    <w:rsid w:val="00B36A76"/>
    <w:rsid w:val="00B36AF9"/>
    <w:rsid w:val="00B4186C"/>
    <w:rsid w:val="00B4287D"/>
    <w:rsid w:val="00B42DB8"/>
    <w:rsid w:val="00B42E9C"/>
    <w:rsid w:val="00B4453F"/>
    <w:rsid w:val="00B44700"/>
    <w:rsid w:val="00B4495B"/>
    <w:rsid w:val="00B44B92"/>
    <w:rsid w:val="00B45737"/>
    <w:rsid w:val="00B458AE"/>
    <w:rsid w:val="00B45D5F"/>
    <w:rsid w:val="00B464DC"/>
    <w:rsid w:val="00B46C85"/>
    <w:rsid w:val="00B46D8A"/>
    <w:rsid w:val="00B46EDA"/>
    <w:rsid w:val="00B474D0"/>
    <w:rsid w:val="00B47E45"/>
    <w:rsid w:val="00B47EB2"/>
    <w:rsid w:val="00B5025E"/>
    <w:rsid w:val="00B50589"/>
    <w:rsid w:val="00B50B23"/>
    <w:rsid w:val="00B50F3A"/>
    <w:rsid w:val="00B5108F"/>
    <w:rsid w:val="00B51520"/>
    <w:rsid w:val="00B51717"/>
    <w:rsid w:val="00B52178"/>
    <w:rsid w:val="00B5299A"/>
    <w:rsid w:val="00B52F08"/>
    <w:rsid w:val="00B53242"/>
    <w:rsid w:val="00B53794"/>
    <w:rsid w:val="00B542E3"/>
    <w:rsid w:val="00B548E2"/>
    <w:rsid w:val="00B5515D"/>
    <w:rsid w:val="00B55C45"/>
    <w:rsid w:val="00B55C81"/>
    <w:rsid w:val="00B56A88"/>
    <w:rsid w:val="00B577C7"/>
    <w:rsid w:val="00B603FB"/>
    <w:rsid w:val="00B60F21"/>
    <w:rsid w:val="00B615DC"/>
    <w:rsid w:val="00B6165F"/>
    <w:rsid w:val="00B61A53"/>
    <w:rsid w:val="00B62AF0"/>
    <w:rsid w:val="00B62FED"/>
    <w:rsid w:val="00B63091"/>
    <w:rsid w:val="00B633F6"/>
    <w:rsid w:val="00B63420"/>
    <w:rsid w:val="00B63851"/>
    <w:rsid w:val="00B63952"/>
    <w:rsid w:val="00B640FC"/>
    <w:rsid w:val="00B644FB"/>
    <w:rsid w:val="00B65121"/>
    <w:rsid w:val="00B6567F"/>
    <w:rsid w:val="00B65B16"/>
    <w:rsid w:val="00B662BC"/>
    <w:rsid w:val="00B66632"/>
    <w:rsid w:val="00B66A7E"/>
    <w:rsid w:val="00B67E1E"/>
    <w:rsid w:val="00B71DCA"/>
    <w:rsid w:val="00B72553"/>
    <w:rsid w:val="00B725C8"/>
    <w:rsid w:val="00B726FE"/>
    <w:rsid w:val="00B7362F"/>
    <w:rsid w:val="00B73D51"/>
    <w:rsid w:val="00B7412E"/>
    <w:rsid w:val="00B74981"/>
    <w:rsid w:val="00B74A82"/>
    <w:rsid w:val="00B74F21"/>
    <w:rsid w:val="00B75019"/>
    <w:rsid w:val="00B7503E"/>
    <w:rsid w:val="00B75180"/>
    <w:rsid w:val="00B751CE"/>
    <w:rsid w:val="00B754FD"/>
    <w:rsid w:val="00B75B26"/>
    <w:rsid w:val="00B75C66"/>
    <w:rsid w:val="00B7639D"/>
    <w:rsid w:val="00B76573"/>
    <w:rsid w:val="00B77452"/>
    <w:rsid w:val="00B77AED"/>
    <w:rsid w:val="00B804E9"/>
    <w:rsid w:val="00B807BB"/>
    <w:rsid w:val="00B81302"/>
    <w:rsid w:val="00B8140D"/>
    <w:rsid w:val="00B8162E"/>
    <w:rsid w:val="00B8260F"/>
    <w:rsid w:val="00B82D30"/>
    <w:rsid w:val="00B82DE4"/>
    <w:rsid w:val="00B83ACD"/>
    <w:rsid w:val="00B83BE1"/>
    <w:rsid w:val="00B84235"/>
    <w:rsid w:val="00B8446C"/>
    <w:rsid w:val="00B85021"/>
    <w:rsid w:val="00B860E1"/>
    <w:rsid w:val="00B86DF0"/>
    <w:rsid w:val="00B87378"/>
    <w:rsid w:val="00B875EF"/>
    <w:rsid w:val="00B87745"/>
    <w:rsid w:val="00B87BCC"/>
    <w:rsid w:val="00B87C05"/>
    <w:rsid w:val="00B87F86"/>
    <w:rsid w:val="00B900AA"/>
    <w:rsid w:val="00B9033D"/>
    <w:rsid w:val="00B9047D"/>
    <w:rsid w:val="00B90AC8"/>
    <w:rsid w:val="00B91A8B"/>
    <w:rsid w:val="00B91AFA"/>
    <w:rsid w:val="00B92585"/>
    <w:rsid w:val="00B93669"/>
    <w:rsid w:val="00B937CE"/>
    <w:rsid w:val="00B9408A"/>
    <w:rsid w:val="00B94329"/>
    <w:rsid w:val="00B94B25"/>
    <w:rsid w:val="00B95137"/>
    <w:rsid w:val="00B95A1D"/>
    <w:rsid w:val="00B95FD5"/>
    <w:rsid w:val="00B9674C"/>
    <w:rsid w:val="00B96A14"/>
    <w:rsid w:val="00B97691"/>
    <w:rsid w:val="00B97949"/>
    <w:rsid w:val="00BA0A62"/>
    <w:rsid w:val="00BA0BD7"/>
    <w:rsid w:val="00BA13C4"/>
    <w:rsid w:val="00BA161D"/>
    <w:rsid w:val="00BA1E75"/>
    <w:rsid w:val="00BA225C"/>
    <w:rsid w:val="00BA3257"/>
    <w:rsid w:val="00BA32AD"/>
    <w:rsid w:val="00BA34CF"/>
    <w:rsid w:val="00BA34E0"/>
    <w:rsid w:val="00BA3BCA"/>
    <w:rsid w:val="00BA405A"/>
    <w:rsid w:val="00BA416E"/>
    <w:rsid w:val="00BA4396"/>
    <w:rsid w:val="00BA44F2"/>
    <w:rsid w:val="00BA45BF"/>
    <w:rsid w:val="00BA5442"/>
    <w:rsid w:val="00BA5A4F"/>
    <w:rsid w:val="00BA6403"/>
    <w:rsid w:val="00BA6B2F"/>
    <w:rsid w:val="00BA7151"/>
    <w:rsid w:val="00BA7CD6"/>
    <w:rsid w:val="00BB0727"/>
    <w:rsid w:val="00BB1356"/>
    <w:rsid w:val="00BB1525"/>
    <w:rsid w:val="00BB155C"/>
    <w:rsid w:val="00BB1676"/>
    <w:rsid w:val="00BB1EF3"/>
    <w:rsid w:val="00BB29C5"/>
    <w:rsid w:val="00BB367E"/>
    <w:rsid w:val="00BB3807"/>
    <w:rsid w:val="00BB381D"/>
    <w:rsid w:val="00BB3C83"/>
    <w:rsid w:val="00BB458C"/>
    <w:rsid w:val="00BB45B3"/>
    <w:rsid w:val="00BB4B46"/>
    <w:rsid w:val="00BB54E4"/>
    <w:rsid w:val="00BB558D"/>
    <w:rsid w:val="00BB5D8D"/>
    <w:rsid w:val="00BB7319"/>
    <w:rsid w:val="00BB7B58"/>
    <w:rsid w:val="00BC09BC"/>
    <w:rsid w:val="00BC12CD"/>
    <w:rsid w:val="00BC1402"/>
    <w:rsid w:val="00BC1558"/>
    <w:rsid w:val="00BC1FCA"/>
    <w:rsid w:val="00BC258E"/>
    <w:rsid w:val="00BC28A9"/>
    <w:rsid w:val="00BC338F"/>
    <w:rsid w:val="00BC44B7"/>
    <w:rsid w:val="00BC4569"/>
    <w:rsid w:val="00BC49E0"/>
    <w:rsid w:val="00BC4B06"/>
    <w:rsid w:val="00BC51B7"/>
    <w:rsid w:val="00BC573E"/>
    <w:rsid w:val="00BC61BE"/>
    <w:rsid w:val="00BC65F2"/>
    <w:rsid w:val="00BC69ED"/>
    <w:rsid w:val="00BC6E04"/>
    <w:rsid w:val="00BC7335"/>
    <w:rsid w:val="00BC736C"/>
    <w:rsid w:val="00BC75AA"/>
    <w:rsid w:val="00BD019A"/>
    <w:rsid w:val="00BD0892"/>
    <w:rsid w:val="00BD20B0"/>
    <w:rsid w:val="00BD21E0"/>
    <w:rsid w:val="00BD28E5"/>
    <w:rsid w:val="00BD311D"/>
    <w:rsid w:val="00BD3EAA"/>
    <w:rsid w:val="00BD4504"/>
    <w:rsid w:val="00BD4642"/>
    <w:rsid w:val="00BD4894"/>
    <w:rsid w:val="00BD4AE8"/>
    <w:rsid w:val="00BD529F"/>
    <w:rsid w:val="00BD5723"/>
    <w:rsid w:val="00BD576D"/>
    <w:rsid w:val="00BD5DEF"/>
    <w:rsid w:val="00BD668E"/>
    <w:rsid w:val="00BD7A09"/>
    <w:rsid w:val="00BE068E"/>
    <w:rsid w:val="00BE0994"/>
    <w:rsid w:val="00BE0B73"/>
    <w:rsid w:val="00BE1492"/>
    <w:rsid w:val="00BE1A9F"/>
    <w:rsid w:val="00BE1E14"/>
    <w:rsid w:val="00BE24E5"/>
    <w:rsid w:val="00BE2A68"/>
    <w:rsid w:val="00BE2D7D"/>
    <w:rsid w:val="00BE352F"/>
    <w:rsid w:val="00BE3F06"/>
    <w:rsid w:val="00BE407C"/>
    <w:rsid w:val="00BE50E7"/>
    <w:rsid w:val="00BE5218"/>
    <w:rsid w:val="00BE5518"/>
    <w:rsid w:val="00BE562E"/>
    <w:rsid w:val="00BE5F94"/>
    <w:rsid w:val="00BE5FFE"/>
    <w:rsid w:val="00BE61DD"/>
    <w:rsid w:val="00BF060A"/>
    <w:rsid w:val="00BF06D9"/>
    <w:rsid w:val="00BF1557"/>
    <w:rsid w:val="00BF16E4"/>
    <w:rsid w:val="00BF1937"/>
    <w:rsid w:val="00BF1BC6"/>
    <w:rsid w:val="00BF1BDB"/>
    <w:rsid w:val="00BF1CDE"/>
    <w:rsid w:val="00BF2F69"/>
    <w:rsid w:val="00BF2FE1"/>
    <w:rsid w:val="00BF3280"/>
    <w:rsid w:val="00BF3556"/>
    <w:rsid w:val="00BF37D5"/>
    <w:rsid w:val="00BF4069"/>
    <w:rsid w:val="00BF48C0"/>
    <w:rsid w:val="00BF56C4"/>
    <w:rsid w:val="00BF5EEC"/>
    <w:rsid w:val="00BF61B4"/>
    <w:rsid w:val="00BF6260"/>
    <w:rsid w:val="00BF63CD"/>
    <w:rsid w:val="00BF673E"/>
    <w:rsid w:val="00BF67CD"/>
    <w:rsid w:val="00BF79F2"/>
    <w:rsid w:val="00C00082"/>
    <w:rsid w:val="00C00C4F"/>
    <w:rsid w:val="00C020A6"/>
    <w:rsid w:val="00C02522"/>
    <w:rsid w:val="00C027B4"/>
    <w:rsid w:val="00C0319E"/>
    <w:rsid w:val="00C032C6"/>
    <w:rsid w:val="00C03332"/>
    <w:rsid w:val="00C03409"/>
    <w:rsid w:val="00C034B1"/>
    <w:rsid w:val="00C03B4E"/>
    <w:rsid w:val="00C03CE2"/>
    <w:rsid w:val="00C052F5"/>
    <w:rsid w:val="00C059A3"/>
    <w:rsid w:val="00C06136"/>
    <w:rsid w:val="00C0640C"/>
    <w:rsid w:val="00C06613"/>
    <w:rsid w:val="00C0683E"/>
    <w:rsid w:val="00C06966"/>
    <w:rsid w:val="00C0733F"/>
    <w:rsid w:val="00C07A4A"/>
    <w:rsid w:val="00C104B2"/>
    <w:rsid w:val="00C114BD"/>
    <w:rsid w:val="00C11610"/>
    <w:rsid w:val="00C11978"/>
    <w:rsid w:val="00C11AD3"/>
    <w:rsid w:val="00C11C84"/>
    <w:rsid w:val="00C120F5"/>
    <w:rsid w:val="00C12175"/>
    <w:rsid w:val="00C13B10"/>
    <w:rsid w:val="00C14F20"/>
    <w:rsid w:val="00C1574F"/>
    <w:rsid w:val="00C16504"/>
    <w:rsid w:val="00C16928"/>
    <w:rsid w:val="00C17185"/>
    <w:rsid w:val="00C17211"/>
    <w:rsid w:val="00C17CCE"/>
    <w:rsid w:val="00C17D5E"/>
    <w:rsid w:val="00C17DF7"/>
    <w:rsid w:val="00C17FC1"/>
    <w:rsid w:val="00C2003D"/>
    <w:rsid w:val="00C2017D"/>
    <w:rsid w:val="00C203E2"/>
    <w:rsid w:val="00C20AC2"/>
    <w:rsid w:val="00C20F98"/>
    <w:rsid w:val="00C224D2"/>
    <w:rsid w:val="00C2307D"/>
    <w:rsid w:val="00C2356E"/>
    <w:rsid w:val="00C2377D"/>
    <w:rsid w:val="00C23E49"/>
    <w:rsid w:val="00C24060"/>
    <w:rsid w:val="00C2443C"/>
    <w:rsid w:val="00C248E3"/>
    <w:rsid w:val="00C249D7"/>
    <w:rsid w:val="00C24CA6"/>
    <w:rsid w:val="00C25AAC"/>
    <w:rsid w:val="00C270DF"/>
    <w:rsid w:val="00C275EA"/>
    <w:rsid w:val="00C278DA"/>
    <w:rsid w:val="00C27E78"/>
    <w:rsid w:val="00C30130"/>
    <w:rsid w:val="00C301BC"/>
    <w:rsid w:val="00C30DB2"/>
    <w:rsid w:val="00C30E34"/>
    <w:rsid w:val="00C31439"/>
    <w:rsid w:val="00C3147B"/>
    <w:rsid w:val="00C31E9A"/>
    <w:rsid w:val="00C31E9C"/>
    <w:rsid w:val="00C3205C"/>
    <w:rsid w:val="00C320DD"/>
    <w:rsid w:val="00C32FBC"/>
    <w:rsid w:val="00C33AD7"/>
    <w:rsid w:val="00C33BF8"/>
    <w:rsid w:val="00C3579F"/>
    <w:rsid w:val="00C359B2"/>
    <w:rsid w:val="00C36102"/>
    <w:rsid w:val="00C370B8"/>
    <w:rsid w:val="00C3785D"/>
    <w:rsid w:val="00C40326"/>
    <w:rsid w:val="00C403A6"/>
    <w:rsid w:val="00C404B8"/>
    <w:rsid w:val="00C40C01"/>
    <w:rsid w:val="00C41CDE"/>
    <w:rsid w:val="00C41DA7"/>
    <w:rsid w:val="00C41E92"/>
    <w:rsid w:val="00C42096"/>
    <w:rsid w:val="00C42245"/>
    <w:rsid w:val="00C4349C"/>
    <w:rsid w:val="00C448F4"/>
    <w:rsid w:val="00C44BC7"/>
    <w:rsid w:val="00C45534"/>
    <w:rsid w:val="00C45BD2"/>
    <w:rsid w:val="00C45DD8"/>
    <w:rsid w:val="00C45E29"/>
    <w:rsid w:val="00C46B95"/>
    <w:rsid w:val="00C46E74"/>
    <w:rsid w:val="00C46F0A"/>
    <w:rsid w:val="00C47275"/>
    <w:rsid w:val="00C475A4"/>
    <w:rsid w:val="00C476AD"/>
    <w:rsid w:val="00C476EA"/>
    <w:rsid w:val="00C50077"/>
    <w:rsid w:val="00C500B5"/>
    <w:rsid w:val="00C502B0"/>
    <w:rsid w:val="00C50B83"/>
    <w:rsid w:val="00C50E1E"/>
    <w:rsid w:val="00C51305"/>
    <w:rsid w:val="00C513D4"/>
    <w:rsid w:val="00C52D06"/>
    <w:rsid w:val="00C537AC"/>
    <w:rsid w:val="00C53C89"/>
    <w:rsid w:val="00C540B8"/>
    <w:rsid w:val="00C54306"/>
    <w:rsid w:val="00C546B9"/>
    <w:rsid w:val="00C54934"/>
    <w:rsid w:val="00C54E0A"/>
    <w:rsid w:val="00C5513E"/>
    <w:rsid w:val="00C5526D"/>
    <w:rsid w:val="00C55D11"/>
    <w:rsid w:val="00C55FD4"/>
    <w:rsid w:val="00C56080"/>
    <w:rsid w:val="00C56167"/>
    <w:rsid w:val="00C566D8"/>
    <w:rsid w:val="00C56E76"/>
    <w:rsid w:val="00C57001"/>
    <w:rsid w:val="00C57690"/>
    <w:rsid w:val="00C57C57"/>
    <w:rsid w:val="00C604D0"/>
    <w:rsid w:val="00C60A14"/>
    <w:rsid w:val="00C60D7C"/>
    <w:rsid w:val="00C61F77"/>
    <w:rsid w:val="00C6206A"/>
    <w:rsid w:val="00C6257C"/>
    <w:rsid w:val="00C628D6"/>
    <w:rsid w:val="00C63059"/>
    <w:rsid w:val="00C6338C"/>
    <w:rsid w:val="00C63475"/>
    <w:rsid w:val="00C638C0"/>
    <w:rsid w:val="00C641E9"/>
    <w:rsid w:val="00C642A9"/>
    <w:rsid w:val="00C651FF"/>
    <w:rsid w:val="00C65CA4"/>
    <w:rsid w:val="00C65F39"/>
    <w:rsid w:val="00C66EE8"/>
    <w:rsid w:val="00C67452"/>
    <w:rsid w:val="00C676EF"/>
    <w:rsid w:val="00C677D9"/>
    <w:rsid w:val="00C6783F"/>
    <w:rsid w:val="00C704DB"/>
    <w:rsid w:val="00C70B91"/>
    <w:rsid w:val="00C70F93"/>
    <w:rsid w:val="00C71067"/>
    <w:rsid w:val="00C7137E"/>
    <w:rsid w:val="00C7146C"/>
    <w:rsid w:val="00C714D0"/>
    <w:rsid w:val="00C715CD"/>
    <w:rsid w:val="00C72069"/>
    <w:rsid w:val="00C725E8"/>
    <w:rsid w:val="00C727F5"/>
    <w:rsid w:val="00C7281A"/>
    <w:rsid w:val="00C72BF2"/>
    <w:rsid w:val="00C72C2F"/>
    <w:rsid w:val="00C73DE2"/>
    <w:rsid w:val="00C73F14"/>
    <w:rsid w:val="00C73F21"/>
    <w:rsid w:val="00C7422A"/>
    <w:rsid w:val="00C7462D"/>
    <w:rsid w:val="00C74CD1"/>
    <w:rsid w:val="00C74DC0"/>
    <w:rsid w:val="00C759C9"/>
    <w:rsid w:val="00C75CAD"/>
    <w:rsid w:val="00C76308"/>
    <w:rsid w:val="00C76E18"/>
    <w:rsid w:val="00C76FB0"/>
    <w:rsid w:val="00C77C82"/>
    <w:rsid w:val="00C80C99"/>
    <w:rsid w:val="00C810D0"/>
    <w:rsid w:val="00C816AA"/>
    <w:rsid w:val="00C819AD"/>
    <w:rsid w:val="00C81CF9"/>
    <w:rsid w:val="00C81F31"/>
    <w:rsid w:val="00C82CED"/>
    <w:rsid w:val="00C835A5"/>
    <w:rsid w:val="00C84085"/>
    <w:rsid w:val="00C84306"/>
    <w:rsid w:val="00C84514"/>
    <w:rsid w:val="00C84680"/>
    <w:rsid w:val="00C84F76"/>
    <w:rsid w:val="00C85270"/>
    <w:rsid w:val="00C85989"/>
    <w:rsid w:val="00C859D7"/>
    <w:rsid w:val="00C86A10"/>
    <w:rsid w:val="00C8764A"/>
    <w:rsid w:val="00C879A0"/>
    <w:rsid w:val="00C87C9E"/>
    <w:rsid w:val="00C87D51"/>
    <w:rsid w:val="00C87D64"/>
    <w:rsid w:val="00C90ECC"/>
    <w:rsid w:val="00C91569"/>
    <w:rsid w:val="00C9157E"/>
    <w:rsid w:val="00C92AC1"/>
    <w:rsid w:val="00C92FEA"/>
    <w:rsid w:val="00C9387D"/>
    <w:rsid w:val="00C94533"/>
    <w:rsid w:val="00C9682A"/>
    <w:rsid w:val="00C975AE"/>
    <w:rsid w:val="00C97960"/>
    <w:rsid w:val="00CA0061"/>
    <w:rsid w:val="00CA065B"/>
    <w:rsid w:val="00CA0710"/>
    <w:rsid w:val="00CA24A3"/>
    <w:rsid w:val="00CA29E0"/>
    <w:rsid w:val="00CA2BCE"/>
    <w:rsid w:val="00CA2C7A"/>
    <w:rsid w:val="00CA36C4"/>
    <w:rsid w:val="00CA4159"/>
    <w:rsid w:val="00CA5FE8"/>
    <w:rsid w:val="00CA6469"/>
    <w:rsid w:val="00CA6670"/>
    <w:rsid w:val="00CA6E57"/>
    <w:rsid w:val="00CA7EC4"/>
    <w:rsid w:val="00CB010F"/>
    <w:rsid w:val="00CB0BE0"/>
    <w:rsid w:val="00CB1837"/>
    <w:rsid w:val="00CB18D0"/>
    <w:rsid w:val="00CB1AA3"/>
    <w:rsid w:val="00CB2B57"/>
    <w:rsid w:val="00CB2F62"/>
    <w:rsid w:val="00CB3418"/>
    <w:rsid w:val="00CB454C"/>
    <w:rsid w:val="00CB5076"/>
    <w:rsid w:val="00CB52E5"/>
    <w:rsid w:val="00CB5611"/>
    <w:rsid w:val="00CB591A"/>
    <w:rsid w:val="00CB5FB2"/>
    <w:rsid w:val="00CB6B0A"/>
    <w:rsid w:val="00CB71F4"/>
    <w:rsid w:val="00CB729D"/>
    <w:rsid w:val="00CB7341"/>
    <w:rsid w:val="00CB7698"/>
    <w:rsid w:val="00CB78AE"/>
    <w:rsid w:val="00CB799A"/>
    <w:rsid w:val="00CC007D"/>
    <w:rsid w:val="00CC0711"/>
    <w:rsid w:val="00CC143F"/>
    <w:rsid w:val="00CC1FE6"/>
    <w:rsid w:val="00CC2DEC"/>
    <w:rsid w:val="00CC301A"/>
    <w:rsid w:val="00CC38EB"/>
    <w:rsid w:val="00CC3CF6"/>
    <w:rsid w:val="00CC41EF"/>
    <w:rsid w:val="00CC42CD"/>
    <w:rsid w:val="00CC4D68"/>
    <w:rsid w:val="00CC5A73"/>
    <w:rsid w:val="00CC62DD"/>
    <w:rsid w:val="00CC6441"/>
    <w:rsid w:val="00CC66F5"/>
    <w:rsid w:val="00CC67D3"/>
    <w:rsid w:val="00CC67E3"/>
    <w:rsid w:val="00CC6E49"/>
    <w:rsid w:val="00CC6F92"/>
    <w:rsid w:val="00CC74CA"/>
    <w:rsid w:val="00CC78EF"/>
    <w:rsid w:val="00CC7F43"/>
    <w:rsid w:val="00CD044D"/>
    <w:rsid w:val="00CD0E49"/>
    <w:rsid w:val="00CD1273"/>
    <w:rsid w:val="00CD2B1F"/>
    <w:rsid w:val="00CD2B8C"/>
    <w:rsid w:val="00CD2EDF"/>
    <w:rsid w:val="00CD327A"/>
    <w:rsid w:val="00CD33D3"/>
    <w:rsid w:val="00CD3C4E"/>
    <w:rsid w:val="00CD3E86"/>
    <w:rsid w:val="00CD4554"/>
    <w:rsid w:val="00CD45DD"/>
    <w:rsid w:val="00CD4C1E"/>
    <w:rsid w:val="00CD5282"/>
    <w:rsid w:val="00CD52E3"/>
    <w:rsid w:val="00CD53AD"/>
    <w:rsid w:val="00CD53F8"/>
    <w:rsid w:val="00CD586C"/>
    <w:rsid w:val="00CD600D"/>
    <w:rsid w:val="00CD6102"/>
    <w:rsid w:val="00CD634B"/>
    <w:rsid w:val="00CD6550"/>
    <w:rsid w:val="00CD7924"/>
    <w:rsid w:val="00CE0528"/>
    <w:rsid w:val="00CE0A5F"/>
    <w:rsid w:val="00CE0B0D"/>
    <w:rsid w:val="00CE143D"/>
    <w:rsid w:val="00CE1CBD"/>
    <w:rsid w:val="00CE2207"/>
    <w:rsid w:val="00CE28BD"/>
    <w:rsid w:val="00CE33C3"/>
    <w:rsid w:val="00CE34B5"/>
    <w:rsid w:val="00CE3508"/>
    <w:rsid w:val="00CE3EC6"/>
    <w:rsid w:val="00CE45BB"/>
    <w:rsid w:val="00CE46A4"/>
    <w:rsid w:val="00CE50A6"/>
    <w:rsid w:val="00CE57D7"/>
    <w:rsid w:val="00CE5EB9"/>
    <w:rsid w:val="00CE619E"/>
    <w:rsid w:val="00CE7047"/>
    <w:rsid w:val="00CE7503"/>
    <w:rsid w:val="00CE7D7D"/>
    <w:rsid w:val="00CF061E"/>
    <w:rsid w:val="00CF1AA8"/>
    <w:rsid w:val="00CF1AEC"/>
    <w:rsid w:val="00CF3183"/>
    <w:rsid w:val="00CF3194"/>
    <w:rsid w:val="00CF34F6"/>
    <w:rsid w:val="00CF3C4E"/>
    <w:rsid w:val="00CF3F7E"/>
    <w:rsid w:val="00CF41F5"/>
    <w:rsid w:val="00CF5268"/>
    <w:rsid w:val="00CF552F"/>
    <w:rsid w:val="00CF5797"/>
    <w:rsid w:val="00CF597B"/>
    <w:rsid w:val="00CF5986"/>
    <w:rsid w:val="00CF5FD5"/>
    <w:rsid w:val="00CF623A"/>
    <w:rsid w:val="00CF6364"/>
    <w:rsid w:val="00CF64FA"/>
    <w:rsid w:val="00CF78A5"/>
    <w:rsid w:val="00CF7A16"/>
    <w:rsid w:val="00CF7C18"/>
    <w:rsid w:val="00D008F2"/>
    <w:rsid w:val="00D012DA"/>
    <w:rsid w:val="00D018FF"/>
    <w:rsid w:val="00D01C56"/>
    <w:rsid w:val="00D01C6B"/>
    <w:rsid w:val="00D01CF8"/>
    <w:rsid w:val="00D02447"/>
    <w:rsid w:val="00D02892"/>
    <w:rsid w:val="00D02936"/>
    <w:rsid w:val="00D02B79"/>
    <w:rsid w:val="00D03026"/>
    <w:rsid w:val="00D0324B"/>
    <w:rsid w:val="00D0350B"/>
    <w:rsid w:val="00D037E8"/>
    <w:rsid w:val="00D039EE"/>
    <w:rsid w:val="00D03B80"/>
    <w:rsid w:val="00D03E24"/>
    <w:rsid w:val="00D0468D"/>
    <w:rsid w:val="00D04D60"/>
    <w:rsid w:val="00D05234"/>
    <w:rsid w:val="00D05A38"/>
    <w:rsid w:val="00D05D43"/>
    <w:rsid w:val="00D05E18"/>
    <w:rsid w:val="00D0606C"/>
    <w:rsid w:val="00D075E9"/>
    <w:rsid w:val="00D10DCD"/>
    <w:rsid w:val="00D1151F"/>
    <w:rsid w:val="00D11D2F"/>
    <w:rsid w:val="00D12424"/>
    <w:rsid w:val="00D1265B"/>
    <w:rsid w:val="00D12DDD"/>
    <w:rsid w:val="00D12ED0"/>
    <w:rsid w:val="00D13595"/>
    <w:rsid w:val="00D13663"/>
    <w:rsid w:val="00D13C12"/>
    <w:rsid w:val="00D1490E"/>
    <w:rsid w:val="00D14BC3"/>
    <w:rsid w:val="00D14CFB"/>
    <w:rsid w:val="00D14EBB"/>
    <w:rsid w:val="00D15094"/>
    <w:rsid w:val="00D1512D"/>
    <w:rsid w:val="00D1587C"/>
    <w:rsid w:val="00D15C87"/>
    <w:rsid w:val="00D16321"/>
    <w:rsid w:val="00D16422"/>
    <w:rsid w:val="00D167E4"/>
    <w:rsid w:val="00D16A42"/>
    <w:rsid w:val="00D16BCB"/>
    <w:rsid w:val="00D1738E"/>
    <w:rsid w:val="00D175EA"/>
    <w:rsid w:val="00D17A7F"/>
    <w:rsid w:val="00D17BB1"/>
    <w:rsid w:val="00D17DA4"/>
    <w:rsid w:val="00D20362"/>
    <w:rsid w:val="00D203DB"/>
    <w:rsid w:val="00D2074A"/>
    <w:rsid w:val="00D210CA"/>
    <w:rsid w:val="00D21270"/>
    <w:rsid w:val="00D216E3"/>
    <w:rsid w:val="00D21A29"/>
    <w:rsid w:val="00D21D2D"/>
    <w:rsid w:val="00D21D33"/>
    <w:rsid w:val="00D227D4"/>
    <w:rsid w:val="00D22A5C"/>
    <w:rsid w:val="00D232DE"/>
    <w:rsid w:val="00D2348F"/>
    <w:rsid w:val="00D24B23"/>
    <w:rsid w:val="00D256B9"/>
    <w:rsid w:val="00D25C61"/>
    <w:rsid w:val="00D25E29"/>
    <w:rsid w:val="00D25F87"/>
    <w:rsid w:val="00D2600E"/>
    <w:rsid w:val="00D26227"/>
    <w:rsid w:val="00D27508"/>
    <w:rsid w:val="00D278E2"/>
    <w:rsid w:val="00D27C34"/>
    <w:rsid w:val="00D30291"/>
    <w:rsid w:val="00D30416"/>
    <w:rsid w:val="00D305A8"/>
    <w:rsid w:val="00D305AA"/>
    <w:rsid w:val="00D30E05"/>
    <w:rsid w:val="00D31375"/>
    <w:rsid w:val="00D32089"/>
    <w:rsid w:val="00D32170"/>
    <w:rsid w:val="00D3239F"/>
    <w:rsid w:val="00D32701"/>
    <w:rsid w:val="00D32A20"/>
    <w:rsid w:val="00D32EC7"/>
    <w:rsid w:val="00D3340A"/>
    <w:rsid w:val="00D338FF"/>
    <w:rsid w:val="00D339A7"/>
    <w:rsid w:val="00D340FD"/>
    <w:rsid w:val="00D34303"/>
    <w:rsid w:val="00D34AE9"/>
    <w:rsid w:val="00D3554E"/>
    <w:rsid w:val="00D360D5"/>
    <w:rsid w:val="00D365F2"/>
    <w:rsid w:val="00D372D9"/>
    <w:rsid w:val="00D37639"/>
    <w:rsid w:val="00D37F61"/>
    <w:rsid w:val="00D403D2"/>
    <w:rsid w:val="00D404C1"/>
    <w:rsid w:val="00D40B65"/>
    <w:rsid w:val="00D40D6F"/>
    <w:rsid w:val="00D41105"/>
    <w:rsid w:val="00D415FD"/>
    <w:rsid w:val="00D41BD6"/>
    <w:rsid w:val="00D41EB4"/>
    <w:rsid w:val="00D41FC0"/>
    <w:rsid w:val="00D42024"/>
    <w:rsid w:val="00D42389"/>
    <w:rsid w:val="00D42865"/>
    <w:rsid w:val="00D4310F"/>
    <w:rsid w:val="00D436C5"/>
    <w:rsid w:val="00D43B78"/>
    <w:rsid w:val="00D43C11"/>
    <w:rsid w:val="00D444D6"/>
    <w:rsid w:val="00D45872"/>
    <w:rsid w:val="00D46340"/>
    <w:rsid w:val="00D47B26"/>
    <w:rsid w:val="00D50579"/>
    <w:rsid w:val="00D50694"/>
    <w:rsid w:val="00D5091C"/>
    <w:rsid w:val="00D51826"/>
    <w:rsid w:val="00D51AC8"/>
    <w:rsid w:val="00D52365"/>
    <w:rsid w:val="00D5244D"/>
    <w:rsid w:val="00D52EF4"/>
    <w:rsid w:val="00D53225"/>
    <w:rsid w:val="00D53B21"/>
    <w:rsid w:val="00D5419A"/>
    <w:rsid w:val="00D55483"/>
    <w:rsid w:val="00D556DA"/>
    <w:rsid w:val="00D55766"/>
    <w:rsid w:val="00D56021"/>
    <w:rsid w:val="00D568A9"/>
    <w:rsid w:val="00D56962"/>
    <w:rsid w:val="00D5710E"/>
    <w:rsid w:val="00D57131"/>
    <w:rsid w:val="00D57158"/>
    <w:rsid w:val="00D5774C"/>
    <w:rsid w:val="00D57F95"/>
    <w:rsid w:val="00D6014C"/>
    <w:rsid w:val="00D60634"/>
    <w:rsid w:val="00D6063A"/>
    <w:rsid w:val="00D60CC5"/>
    <w:rsid w:val="00D615B1"/>
    <w:rsid w:val="00D61AE8"/>
    <w:rsid w:val="00D623B9"/>
    <w:rsid w:val="00D623FC"/>
    <w:rsid w:val="00D627CD"/>
    <w:rsid w:val="00D62AD5"/>
    <w:rsid w:val="00D62E02"/>
    <w:rsid w:val="00D62EB6"/>
    <w:rsid w:val="00D6332D"/>
    <w:rsid w:val="00D6395D"/>
    <w:rsid w:val="00D642A0"/>
    <w:rsid w:val="00D649BA"/>
    <w:rsid w:val="00D659AB"/>
    <w:rsid w:val="00D660DC"/>
    <w:rsid w:val="00D665EF"/>
    <w:rsid w:val="00D6688E"/>
    <w:rsid w:val="00D66B0D"/>
    <w:rsid w:val="00D66FEE"/>
    <w:rsid w:val="00D706C5"/>
    <w:rsid w:val="00D70A78"/>
    <w:rsid w:val="00D70AAB"/>
    <w:rsid w:val="00D70C48"/>
    <w:rsid w:val="00D70CE2"/>
    <w:rsid w:val="00D71811"/>
    <w:rsid w:val="00D71BF0"/>
    <w:rsid w:val="00D71C15"/>
    <w:rsid w:val="00D71CEB"/>
    <w:rsid w:val="00D71D92"/>
    <w:rsid w:val="00D72230"/>
    <w:rsid w:val="00D722A1"/>
    <w:rsid w:val="00D7416F"/>
    <w:rsid w:val="00D745E3"/>
    <w:rsid w:val="00D7499C"/>
    <w:rsid w:val="00D74C8E"/>
    <w:rsid w:val="00D754CD"/>
    <w:rsid w:val="00D75669"/>
    <w:rsid w:val="00D75CCA"/>
    <w:rsid w:val="00D7600E"/>
    <w:rsid w:val="00D763A5"/>
    <w:rsid w:val="00D778C5"/>
    <w:rsid w:val="00D779FC"/>
    <w:rsid w:val="00D77E78"/>
    <w:rsid w:val="00D80061"/>
    <w:rsid w:val="00D8010F"/>
    <w:rsid w:val="00D8035F"/>
    <w:rsid w:val="00D80A6F"/>
    <w:rsid w:val="00D810CF"/>
    <w:rsid w:val="00D81CF1"/>
    <w:rsid w:val="00D82995"/>
    <w:rsid w:val="00D82B8B"/>
    <w:rsid w:val="00D83081"/>
    <w:rsid w:val="00D843E6"/>
    <w:rsid w:val="00D84EB8"/>
    <w:rsid w:val="00D85282"/>
    <w:rsid w:val="00D8598A"/>
    <w:rsid w:val="00D8607E"/>
    <w:rsid w:val="00D86419"/>
    <w:rsid w:val="00D86626"/>
    <w:rsid w:val="00D867F6"/>
    <w:rsid w:val="00D8689C"/>
    <w:rsid w:val="00D8764B"/>
    <w:rsid w:val="00D87E97"/>
    <w:rsid w:val="00D901D1"/>
    <w:rsid w:val="00D91424"/>
    <w:rsid w:val="00D9172E"/>
    <w:rsid w:val="00D91A58"/>
    <w:rsid w:val="00D91AE8"/>
    <w:rsid w:val="00D9212A"/>
    <w:rsid w:val="00D92D5B"/>
    <w:rsid w:val="00D95406"/>
    <w:rsid w:val="00D954FD"/>
    <w:rsid w:val="00D9589E"/>
    <w:rsid w:val="00D95C92"/>
    <w:rsid w:val="00D96184"/>
    <w:rsid w:val="00D96B54"/>
    <w:rsid w:val="00D970A9"/>
    <w:rsid w:val="00D97103"/>
    <w:rsid w:val="00D974ED"/>
    <w:rsid w:val="00DA0069"/>
    <w:rsid w:val="00DA0341"/>
    <w:rsid w:val="00DA0C6E"/>
    <w:rsid w:val="00DA17CC"/>
    <w:rsid w:val="00DA1E1A"/>
    <w:rsid w:val="00DA29E0"/>
    <w:rsid w:val="00DA3318"/>
    <w:rsid w:val="00DA387E"/>
    <w:rsid w:val="00DA3B96"/>
    <w:rsid w:val="00DA3C6D"/>
    <w:rsid w:val="00DA3DA8"/>
    <w:rsid w:val="00DA4FCB"/>
    <w:rsid w:val="00DA5DED"/>
    <w:rsid w:val="00DA5F1A"/>
    <w:rsid w:val="00DA614E"/>
    <w:rsid w:val="00DA6469"/>
    <w:rsid w:val="00DA6B88"/>
    <w:rsid w:val="00DA6DA0"/>
    <w:rsid w:val="00DA767F"/>
    <w:rsid w:val="00DA76F2"/>
    <w:rsid w:val="00DB0E6C"/>
    <w:rsid w:val="00DB0EF6"/>
    <w:rsid w:val="00DB15F2"/>
    <w:rsid w:val="00DB177F"/>
    <w:rsid w:val="00DB235A"/>
    <w:rsid w:val="00DB2668"/>
    <w:rsid w:val="00DB2811"/>
    <w:rsid w:val="00DB3A3F"/>
    <w:rsid w:val="00DB3B99"/>
    <w:rsid w:val="00DB3C54"/>
    <w:rsid w:val="00DB4260"/>
    <w:rsid w:val="00DB4366"/>
    <w:rsid w:val="00DB48A7"/>
    <w:rsid w:val="00DB494B"/>
    <w:rsid w:val="00DB53BD"/>
    <w:rsid w:val="00DB56A7"/>
    <w:rsid w:val="00DB6136"/>
    <w:rsid w:val="00DB64EF"/>
    <w:rsid w:val="00DB7A11"/>
    <w:rsid w:val="00DB7BAF"/>
    <w:rsid w:val="00DB7DB7"/>
    <w:rsid w:val="00DC04E9"/>
    <w:rsid w:val="00DC08EA"/>
    <w:rsid w:val="00DC0E28"/>
    <w:rsid w:val="00DC1163"/>
    <w:rsid w:val="00DC1497"/>
    <w:rsid w:val="00DC21C5"/>
    <w:rsid w:val="00DC22D7"/>
    <w:rsid w:val="00DC2D44"/>
    <w:rsid w:val="00DC2E19"/>
    <w:rsid w:val="00DC3030"/>
    <w:rsid w:val="00DC3181"/>
    <w:rsid w:val="00DC3F11"/>
    <w:rsid w:val="00DC4EB5"/>
    <w:rsid w:val="00DC5452"/>
    <w:rsid w:val="00DC5974"/>
    <w:rsid w:val="00DC6196"/>
    <w:rsid w:val="00DC6F10"/>
    <w:rsid w:val="00DC796B"/>
    <w:rsid w:val="00DD1788"/>
    <w:rsid w:val="00DD220C"/>
    <w:rsid w:val="00DD22A2"/>
    <w:rsid w:val="00DD2E7E"/>
    <w:rsid w:val="00DD40A4"/>
    <w:rsid w:val="00DD4517"/>
    <w:rsid w:val="00DD49DA"/>
    <w:rsid w:val="00DD49F4"/>
    <w:rsid w:val="00DD4CB9"/>
    <w:rsid w:val="00DD4DD3"/>
    <w:rsid w:val="00DD57E7"/>
    <w:rsid w:val="00DD5ABC"/>
    <w:rsid w:val="00DD5AD7"/>
    <w:rsid w:val="00DD66E2"/>
    <w:rsid w:val="00DD7DC3"/>
    <w:rsid w:val="00DE096B"/>
    <w:rsid w:val="00DE1C64"/>
    <w:rsid w:val="00DE20AA"/>
    <w:rsid w:val="00DE279E"/>
    <w:rsid w:val="00DE3027"/>
    <w:rsid w:val="00DE396E"/>
    <w:rsid w:val="00DE3FA7"/>
    <w:rsid w:val="00DE40B9"/>
    <w:rsid w:val="00DE42D9"/>
    <w:rsid w:val="00DE4D8E"/>
    <w:rsid w:val="00DE4E28"/>
    <w:rsid w:val="00DE51AC"/>
    <w:rsid w:val="00DE529D"/>
    <w:rsid w:val="00DE53C2"/>
    <w:rsid w:val="00DE547D"/>
    <w:rsid w:val="00DE7295"/>
    <w:rsid w:val="00DE73CB"/>
    <w:rsid w:val="00DE79CC"/>
    <w:rsid w:val="00DE7B84"/>
    <w:rsid w:val="00DF0E06"/>
    <w:rsid w:val="00DF0EDC"/>
    <w:rsid w:val="00DF1DE6"/>
    <w:rsid w:val="00DF252B"/>
    <w:rsid w:val="00DF2D98"/>
    <w:rsid w:val="00DF2E62"/>
    <w:rsid w:val="00DF3116"/>
    <w:rsid w:val="00DF37E2"/>
    <w:rsid w:val="00DF3AB2"/>
    <w:rsid w:val="00DF3BC9"/>
    <w:rsid w:val="00DF3BEE"/>
    <w:rsid w:val="00DF40E6"/>
    <w:rsid w:val="00DF53EE"/>
    <w:rsid w:val="00DF62CC"/>
    <w:rsid w:val="00DF6823"/>
    <w:rsid w:val="00DF68C2"/>
    <w:rsid w:val="00DF69D6"/>
    <w:rsid w:val="00DF6A27"/>
    <w:rsid w:val="00DF723E"/>
    <w:rsid w:val="00DF78D6"/>
    <w:rsid w:val="00E003C6"/>
    <w:rsid w:val="00E003DB"/>
    <w:rsid w:val="00E00A96"/>
    <w:rsid w:val="00E00E3A"/>
    <w:rsid w:val="00E0161F"/>
    <w:rsid w:val="00E021F0"/>
    <w:rsid w:val="00E026A1"/>
    <w:rsid w:val="00E03A2B"/>
    <w:rsid w:val="00E03AB2"/>
    <w:rsid w:val="00E03ADC"/>
    <w:rsid w:val="00E03AE4"/>
    <w:rsid w:val="00E03F86"/>
    <w:rsid w:val="00E0433C"/>
    <w:rsid w:val="00E04444"/>
    <w:rsid w:val="00E05E45"/>
    <w:rsid w:val="00E0613F"/>
    <w:rsid w:val="00E068AA"/>
    <w:rsid w:val="00E06C7D"/>
    <w:rsid w:val="00E06FC7"/>
    <w:rsid w:val="00E077E4"/>
    <w:rsid w:val="00E1088A"/>
    <w:rsid w:val="00E10E08"/>
    <w:rsid w:val="00E112A0"/>
    <w:rsid w:val="00E113BF"/>
    <w:rsid w:val="00E117E3"/>
    <w:rsid w:val="00E118C0"/>
    <w:rsid w:val="00E11B19"/>
    <w:rsid w:val="00E12185"/>
    <w:rsid w:val="00E1233A"/>
    <w:rsid w:val="00E12542"/>
    <w:rsid w:val="00E129EF"/>
    <w:rsid w:val="00E12CF1"/>
    <w:rsid w:val="00E13170"/>
    <w:rsid w:val="00E13550"/>
    <w:rsid w:val="00E13B6C"/>
    <w:rsid w:val="00E1503B"/>
    <w:rsid w:val="00E15A8F"/>
    <w:rsid w:val="00E15EC8"/>
    <w:rsid w:val="00E16FF5"/>
    <w:rsid w:val="00E20C31"/>
    <w:rsid w:val="00E2101B"/>
    <w:rsid w:val="00E2104F"/>
    <w:rsid w:val="00E210CE"/>
    <w:rsid w:val="00E21953"/>
    <w:rsid w:val="00E21B16"/>
    <w:rsid w:val="00E22337"/>
    <w:rsid w:val="00E228BE"/>
    <w:rsid w:val="00E229CD"/>
    <w:rsid w:val="00E22B50"/>
    <w:rsid w:val="00E22F1B"/>
    <w:rsid w:val="00E23653"/>
    <w:rsid w:val="00E23E7A"/>
    <w:rsid w:val="00E24CA4"/>
    <w:rsid w:val="00E27759"/>
    <w:rsid w:val="00E301E2"/>
    <w:rsid w:val="00E302E7"/>
    <w:rsid w:val="00E3033C"/>
    <w:rsid w:val="00E30BD0"/>
    <w:rsid w:val="00E30CCA"/>
    <w:rsid w:val="00E30FD8"/>
    <w:rsid w:val="00E310CE"/>
    <w:rsid w:val="00E31F1D"/>
    <w:rsid w:val="00E335E9"/>
    <w:rsid w:val="00E34078"/>
    <w:rsid w:val="00E34453"/>
    <w:rsid w:val="00E36AE6"/>
    <w:rsid w:val="00E36F06"/>
    <w:rsid w:val="00E37927"/>
    <w:rsid w:val="00E37B12"/>
    <w:rsid w:val="00E4015C"/>
    <w:rsid w:val="00E4050F"/>
    <w:rsid w:val="00E406BF"/>
    <w:rsid w:val="00E41A44"/>
    <w:rsid w:val="00E41A8A"/>
    <w:rsid w:val="00E42069"/>
    <w:rsid w:val="00E433D7"/>
    <w:rsid w:val="00E43714"/>
    <w:rsid w:val="00E43908"/>
    <w:rsid w:val="00E44077"/>
    <w:rsid w:val="00E4410F"/>
    <w:rsid w:val="00E44427"/>
    <w:rsid w:val="00E45331"/>
    <w:rsid w:val="00E453CB"/>
    <w:rsid w:val="00E4552B"/>
    <w:rsid w:val="00E45554"/>
    <w:rsid w:val="00E45BB9"/>
    <w:rsid w:val="00E46023"/>
    <w:rsid w:val="00E46513"/>
    <w:rsid w:val="00E46F66"/>
    <w:rsid w:val="00E47A90"/>
    <w:rsid w:val="00E47D36"/>
    <w:rsid w:val="00E47E9C"/>
    <w:rsid w:val="00E47F4E"/>
    <w:rsid w:val="00E50C1F"/>
    <w:rsid w:val="00E50D65"/>
    <w:rsid w:val="00E513F0"/>
    <w:rsid w:val="00E51661"/>
    <w:rsid w:val="00E51CFE"/>
    <w:rsid w:val="00E5270D"/>
    <w:rsid w:val="00E52916"/>
    <w:rsid w:val="00E529BE"/>
    <w:rsid w:val="00E52F9F"/>
    <w:rsid w:val="00E53AF0"/>
    <w:rsid w:val="00E542A3"/>
    <w:rsid w:val="00E54396"/>
    <w:rsid w:val="00E544E5"/>
    <w:rsid w:val="00E5565B"/>
    <w:rsid w:val="00E56286"/>
    <w:rsid w:val="00E566B3"/>
    <w:rsid w:val="00E569C6"/>
    <w:rsid w:val="00E56B0E"/>
    <w:rsid w:val="00E60023"/>
    <w:rsid w:val="00E60441"/>
    <w:rsid w:val="00E60A35"/>
    <w:rsid w:val="00E60E88"/>
    <w:rsid w:val="00E617F2"/>
    <w:rsid w:val="00E624E6"/>
    <w:rsid w:val="00E626C5"/>
    <w:rsid w:val="00E62BFE"/>
    <w:rsid w:val="00E62F1B"/>
    <w:rsid w:val="00E636F3"/>
    <w:rsid w:val="00E63F1A"/>
    <w:rsid w:val="00E63F73"/>
    <w:rsid w:val="00E64149"/>
    <w:rsid w:val="00E64A02"/>
    <w:rsid w:val="00E65256"/>
    <w:rsid w:val="00E66469"/>
    <w:rsid w:val="00E66654"/>
    <w:rsid w:val="00E668F0"/>
    <w:rsid w:val="00E672C0"/>
    <w:rsid w:val="00E6799D"/>
    <w:rsid w:val="00E679A2"/>
    <w:rsid w:val="00E700D7"/>
    <w:rsid w:val="00E704FC"/>
    <w:rsid w:val="00E70C3A"/>
    <w:rsid w:val="00E712E9"/>
    <w:rsid w:val="00E7222B"/>
    <w:rsid w:val="00E72266"/>
    <w:rsid w:val="00E7243E"/>
    <w:rsid w:val="00E72820"/>
    <w:rsid w:val="00E72D00"/>
    <w:rsid w:val="00E731AD"/>
    <w:rsid w:val="00E735DA"/>
    <w:rsid w:val="00E7417E"/>
    <w:rsid w:val="00E746C8"/>
    <w:rsid w:val="00E74B67"/>
    <w:rsid w:val="00E74D14"/>
    <w:rsid w:val="00E76697"/>
    <w:rsid w:val="00E76AC2"/>
    <w:rsid w:val="00E76F89"/>
    <w:rsid w:val="00E76FD0"/>
    <w:rsid w:val="00E77221"/>
    <w:rsid w:val="00E77644"/>
    <w:rsid w:val="00E77858"/>
    <w:rsid w:val="00E77981"/>
    <w:rsid w:val="00E80C10"/>
    <w:rsid w:val="00E819A0"/>
    <w:rsid w:val="00E819FD"/>
    <w:rsid w:val="00E821F1"/>
    <w:rsid w:val="00E827A3"/>
    <w:rsid w:val="00E827CC"/>
    <w:rsid w:val="00E83104"/>
    <w:rsid w:val="00E83294"/>
    <w:rsid w:val="00E833CC"/>
    <w:rsid w:val="00E83828"/>
    <w:rsid w:val="00E84449"/>
    <w:rsid w:val="00E8445C"/>
    <w:rsid w:val="00E847ED"/>
    <w:rsid w:val="00E84B00"/>
    <w:rsid w:val="00E85326"/>
    <w:rsid w:val="00E856C6"/>
    <w:rsid w:val="00E85D6F"/>
    <w:rsid w:val="00E8600F"/>
    <w:rsid w:val="00E86042"/>
    <w:rsid w:val="00E86315"/>
    <w:rsid w:val="00E86484"/>
    <w:rsid w:val="00E87A02"/>
    <w:rsid w:val="00E90385"/>
    <w:rsid w:val="00E912B9"/>
    <w:rsid w:val="00E91502"/>
    <w:rsid w:val="00E916E7"/>
    <w:rsid w:val="00E91936"/>
    <w:rsid w:val="00E91EAC"/>
    <w:rsid w:val="00E9258E"/>
    <w:rsid w:val="00E92B5A"/>
    <w:rsid w:val="00E939EE"/>
    <w:rsid w:val="00E93B89"/>
    <w:rsid w:val="00E94715"/>
    <w:rsid w:val="00E94A87"/>
    <w:rsid w:val="00E95509"/>
    <w:rsid w:val="00E95A26"/>
    <w:rsid w:val="00E95CCE"/>
    <w:rsid w:val="00E96026"/>
    <w:rsid w:val="00E9671F"/>
    <w:rsid w:val="00E96BA1"/>
    <w:rsid w:val="00E97161"/>
    <w:rsid w:val="00EA0095"/>
    <w:rsid w:val="00EA0B9E"/>
    <w:rsid w:val="00EA0E56"/>
    <w:rsid w:val="00EA0F70"/>
    <w:rsid w:val="00EA1205"/>
    <w:rsid w:val="00EA1418"/>
    <w:rsid w:val="00EA2594"/>
    <w:rsid w:val="00EA289D"/>
    <w:rsid w:val="00EA2C43"/>
    <w:rsid w:val="00EA3080"/>
    <w:rsid w:val="00EA381F"/>
    <w:rsid w:val="00EA395D"/>
    <w:rsid w:val="00EA4552"/>
    <w:rsid w:val="00EA47D4"/>
    <w:rsid w:val="00EA4A32"/>
    <w:rsid w:val="00EA4BEA"/>
    <w:rsid w:val="00EA5892"/>
    <w:rsid w:val="00EA5A62"/>
    <w:rsid w:val="00EA5D52"/>
    <w:rsid w:val="00EA642F"/>
    <w:rsid w:val="00EA68C2"/>
    <w:rsid w:val="00EB0198"/>
    <w:rsid w:val="00EB0BEE"/>
    <w:rsid w:val="00EB0E11"/>
    <w:rsid w:val="00EB135A"/>
    <w:rsid w:val="00EB1A87"/>
    <w:rsid w:val="00EB2270"/>
    <w:rsid w:val="00EB288C"/>
    <w:rsid w:val="00EB2A0B"/>
    <w:rsid w:val="00EB2F4F"/>
    <w:rsid w:val="00EB397E"/>
    <w:rsid w:val="00EB3D6C"/>
    <w:rsid w:val="00EB47BE"/>
    <w:rsid w:val="00EB4851"/>
    <w:rsid w:val="00EB4B6F"/>
    <w:rsid w:val="00EB4BEB"/>
    <w:rsid w:val="00EB4DFB"/>
    <w:rsid w:val="00EB53BB"/>
    <w:rsid w:val="00EB5472"/>
    <w:rsid w:val="00EB5558"/>
    <w:rsid w:val="00EB57CE"/>
    <w:rsid w:val="00EB57D8"/>
    <w:rsid w:val="00EB6240"/>
    <w:rsid w:val="00EB644D"/>
    <w:rsid w:val="00EB7140"/>
    <w:rsid w:val="00EB72DC"/>
    <w:rsid w:val="00EB77BD"/>
    <w:rsid w:val="00EB7BB1"/>
    <w:rsid w:val="00EC056E"/>
    <w:rsid w:val="00EC057A"/>
    <w:rsid w:val="00EC1656"/>
    <w:rsid w:val="00EC184E"/>
    <w:rsid w:val="00EC19E6"/>
    <w:rsid w:val="00EC26DB"/>
    <w:rsid w:val="00EC2B2F"/>
    <w:rsid w:val="00EC2F8B"/>
    <w:rsid w:val="00EC3426"/>
    <w:rsid w:val="00EC3F18"/>
    <w:rsid w:val="00EC4AE5"/>
    <w:rsid w:val="00EC4FF4"/>
    <w:rsid w:val="00EC6966"/>
    <w:rsid w:val="00EC6C06"/>
    <w:rsid w:val="00EC7531"/>
    <w:rsid w:val="00EC753E"/>
    <w:rsid w:val="00EC7780"/>
    <w:rsid w:val="00EC78EB"/>
    <w:rsid w:val="00ED0247"/>
    <w:rsid w:val="00ED0537"/>
    <w:rsid w:val="00ED0BA7"/>
    <w:rsid w:val="00ED0C2E"/>
    <w:rsid w:val="00ED122E"/>
    <w:rsid w:val="00ED131A"/>
    <w:rsid w:val="00ED135E"/>
    <w:rsid w:val="00ED1903"/>
    <w:rsid w:val="00ED1FA3"/>
    <w:rsid w:val="00ED34DF"/>
    <w:rsid w:val="00ED3B5C"/>
    <w:rsid w:val="00ED3D92"/>
    <w:rsid w:val="00ED3EB8"/>
    <w:rsid w:val="00ED414A"/>
    <w:rsid w:val="00ED482D"/>
    <w:rsid w:val="00ED5107"/>
    <w:rsid w:val="00ED5670"/>
    <w:rsid w:val="00ED5800"/>
    <w:rsid w:val="00ED5F25"/>
    <w:rsid w:val="00ED60FB"/>
    <w:rsid w:val="00ED612A"/>
    <w:rsid w:val="00ED6A56"/>
    <w:rsid w:val="00ED6E0D"/>
    <w:rsid w:val="00ED6F66"/>
    <w:rsid w:val="00ED7150"/>
    <w:rsid w:val="00ED7D85"/>
    <w:rsid w:val="00EE001B"/>
    <w:rsid w:val="00EE0654"/>
    <w:rsid w:val="00EE07A5"/>
    <w:rsid w:val="00EE0F9A"/>
    <w:rsid w:val="00EE15B1"/>
    <w:rsid w:val="00EE1A5A"/>
    <w:rsid w:val="00EE2B5E"/>
    <w:rsid w:val="00EE3217"/>
    <w:rsid w:val="00EE34D6"/>
    <w:rsid w:val="00EE3E8D"/>
    <w:rsid w:val="00EE4095"/>
    <w:rsid w:val="00EE460C"/>
    <w:rsid w:val="00EE48E8"/>
    <w:rsid w:val="00EE4C76"/>
    <w:rsid w:val="00EE4DDE"/>
    <w:rsid w:val="00EE4F1E"/>
    <w:rsid w:val="00EE5784"/>
    <w:rsid w:val="00EE6138"/>
    <w:rsid w:val="00EE628E"/>
    <w:rsid w:val="00EE6882"/>
    <w:rsid w:val="00EE68D4"/>
    <w:rsid w:val="00EF07D0"/>
    <w:rsid w:val="00EF08B0"/>
    <w:rsid w:val="00EF0D7C"/>
    <w:rsid w:val="00EF0E6D"/>
    <w:rsid w:val="00EF109B"/>
    <w:rsid w:val="00EF156B"/>
    <w:rsid w:val="00EF1CC0"/>
    <w:rsid w:val="00EF2B89"/>
    <w:rsid w:val="00EF356D"/>
    <w:rsid w:val="00EF3A49"/>
    <w:rsid w:val="00EF3C52"/>
    <w:rsid w:val="00EF3CDD"/>
    <w:rsid w:val="00EF4F82"/>
    <w:rsid w:val="00EF5D51"/>
    <w:rsid w:val="00EF5DC7"/>
    <w:rsid w:val="00EF6094"/>
    <w:rsid w:val="00EF647B"/>
    <w:rsid w:val="00EF69C2"/>
    <w:rsid w:val="00EF6C83"/>
    <w:rsid w:val="00EF701F"/>
    <w:rsid w:val="00EF71E7"/>
    <w:rsid w:val="00EF7AB0"/>
    <w:rsid w:val="00EF7FB3"/>
    <w:rsid w:val="00F001D0"/>
    <w:rsid w:val="00F005AA"/>
    <w:rsid w:val="00F01C99"/>
    <w:rsid w:val="00F0207A"/>
    <w:rsid w:val="00F0215C"/>
    <w:rsid w:val="00F022FB"/>
    <w:rsid w:val="00F02EE2"/>
    <w:rsid w:val="00F03681"/>
    <w:rsid w:val="00F03E44"/>
    <w:rsid w:val="00F04822"/>
    <w:rsid w:val="00F04EAF"/>
    <w:rsid w:val="00F05BF9"/>
    <w:rsid w:val="00F06038"/>
    <w:rsid w:val="00F11347"/>
    <w:rsid w:val="00F11DDB"/>
    <w:rsid w:val="00F12732"/>
    <w:rsid w:val="00F127FD"/>
    <w:rsid w:val="00F13634"/>
    <w:rsid w:val="00F13763"/>
    <w:rsid w:val="00F13D74"/>
    <w:rsid w:val="00F13E55"/>
    <w:rsid w:val="00F1432D"/>
    <w:rsid w:val="00F1451A"/>
    <w:rsid w:val="00F14B02"/>
    <w:rsid w:val="00F14B80"/>
    <w:rsid w:val="00F14B85"/>
    <w:rsid w:val="00F14D4B"/>
    <w:rsid w:val="00F15956"/>
    <w:rsid w:val="00F15F95"/>
    <w:rsid w:val="00F1697A"/>
    <w:rsid w:val="00F16C46"/>
    <w:rsid w:val="00F17DD0"/>
    <w:rsid w:val="00F20E40"/>
    <w:rsid w:val="00F2124C"/>
    <w:rsid w:val="00F21B4E"/>
    <w:rsid w:val="00F22005"/>
    <w:rsid w:val="00F232E4"/>
    <w:rsid w:val="00F234D0"/>
    <w:rsid w:val="00F2449C"/>
    <w:rsid w:val="00F25B86"/>
    <w:rsid w:val="00F2755A"/>
    <w:rsid w:val="00F2775A"/>
    <w:rsid w:val="00F278FB"/>
    <w:rsid w:val="00F30174"/>
    <w:rsid w:val="00F30237"/>
    <w:rsid w:val="00F306DB"/>
    <w:rsid w:val="00F310B3"/>
    <w:rsid w:val="00F316C8"/>
    <w:rsid w:val="00F31884"/>
    <w:rsid w:val="00F326CE"/>
    <w:rsid w:val="00F33211"/>
    <w:rsid w:val="00F336D2"/>
    <w:rsid w:val="00F3373D"/>
    <w:rsid w:val="00F33ABA"/>
    <w:rsid w:val="00F33F96"/>
    <w:rsid w:val="00F343F2"/>
    <w:rsid w:val="00F3463D"/>
    <w:rsid w:val="00F34702"/>
    <w:rsid w:val="00F34BC2"/>
    <w:rsid w:val="00F34F06"/>
    <w:rsid w:val="00F35592"/>
    <w:rsid w:val="00F35A54"/>
    <w:rsid w:val="00F360FA"/>
    <w:rsid w:val="00F36257"/>
    <w:rsid w:val="00F3717C"/>
    <w:rsid w:val="00F37A6A"/>
    <w:rsid w:val="00F37CBE"/>
    <w:rsid w:val="00F40191"/>
    <w:rsid w:val="00F40662"/>
    <w:rsid w:val="00F40B17"/>
    <w:rsid w:val="00F40DC5"/>
    <w:rsid w:val="00F40F93"/>
    <w:rsid w:val="00F41637"/>
    <w:rsid w:val="00F41C88"/>
    <w:rsid w:val="00F420EA"/>
    <w:rsid w:val="00F421AE"/>
    <w:rsid w:val="00F42587"/>
    <w:rsid w:val="00F4369A"/>
    <w:rsid w:val="00F4388E"/>
    <w:rsid w:val="00F4495D"/>
    <w:rsid w:val="00F44BED"/>
    <w:rsid w:val="00F44C3D"/>
    <w:rsid w:val="00F44D9C"/>
    <w:rsid w:val="00F44F68"/>
    <w:rsid w:val="00F45890"/>
    <w:rsid w:val="00F45917"/>
    <w:rsid w:val="00F45974"/>
    <w:rsid w:val="00F45992"/>
    <w:rsid w:val="00F4628B"/>
    <w:rsid w:val="00F46819"/>
    <w:rsid w:val="00F46936"/>
    <w:rsid w:val="00F5181B"/>
    <w:rsid w:val="00F51835"/>
    <w:rsid w:val="00F51A95"/>
    <w:rsid w:val="00F520E1"/>
    <w:rsid w:val="00F5254C"/>
    <w:rsid w:val="00F52AC1"/>
    <w:rsid w:val="00F52E33"/>
    <w:rsid w:val="00F52E91"/>
    <w:rsid w:val="00F52E98"/>
    <w:rsid w:val="00F53E1E"/>
    <w:rsid w:val="00F54165"/>
    <w:rsid w:val="00F541DD"/>
    <w:rsid w:val="00F54910"/>
    <w:rsid w:val="00F54E3D"/>
    <w:rsid w:val="00F54FDB"/>
    <w:rsid w:val="00F55165"/>
    <w:rsid w:val="00F55313"/>
    <w:rsid w:val="00F55E87"/>
    <w:rsid w:val="00F565FA"/>
    <w:rsid w:val="00F567E3"/>
    <w:rsid w:val="00F56CE9"/>
    <w:rsid w:val="00F570E4"/>
    <w:rsid w:val="00F60901"/>
    <w:rsid w:val="00F60AB0"/>
    <w:rsid w:val="00F6102B"/>
    <w:rsid w:val="00F6158C"/>
    <w:rsid w:val="00F6173C"/>
    <w:rsid w:val="00F619CC"/>
    <w:rsid w:val="00F62615"/>
    <w:rsid w:val="00F6299B"/>
    <w:rsid w:val="00F62D08"/>
    <w:rsid w:val="00F63B70"/>
    <w:rsid w:val="00F63C89"/>
    <w:rsid w:val="00F63D6E"/>
    <w:rsid w:val="00F64537"/>
    <w:rsid w:val="00F665A3"/>
    <w:rsid w:val="00F673FA"/>
    <w:rsid w:val="00F706D0"/>
    <w:rsid w:val="00F71510"/>
    <w:rsid w:val="00F721FF"/>
    <w:rsid w:val="00F7276B"/>
    <w:rsid w:val="00F72CE2"/>
    <w:rsid w:val="00F74995"/>
    <w:rsid w:val="00F74BF2"/>
    <w:rsid w:val="00F7590A"/>
    <w:rsid w:val="00F75999"/>
    <w:rsid w:val="00F76A4E"/>
    <w:rsid w:val="00F76BFA"/>
    <w:rsid w:val="00F770B9"/>
    <w:rsid w:val="00F77431"/>
    <w:rsid w:val="00F77485"/>
    <w:rsid w:val="00F77756"/>
    <w:rsid w:val="00F77F2E"/>
    <w:rsid w:val="00F804E6"/>
    <w:rsid w:val="00F80760"/>
    <w:rsid w:val="00F809FC"/>
    <w:rsid w:val="00F80FF6"/>
    <w:rsid w:val="00F81505"/>
    <w:rsid w:val="00F815B3"/>
    <w:rsid w:val="00F81FC1"/>
    <w:rsid w:val="00F82751"/>
    <w:rsid w:val="00F829CE"/>
    <w:rsid w:val="00F834E8"/>
    <w:rsid w:val="00F83684"/>
    <w:rsid w:val="00F84325"/>
    <w:rsid w:val="00F84A7B"/>
    <w:rsid w:val="00F84CFE"/>
    <w:rsid w:val="00F85285"/>
    <w:rsid w:val="00F856F4"/>
    <w:rsid w:val="00F85DA4"/>
    <w:rsid w:val="00F8649B"/>
    <w:rsid w:val="00F86D86"/>
    <w:rsid w:val="00F86FD9"/>
    <w:rsid w:val="00F876FD"/>
    <w:rsid w:val="00F877F2"/>
    <w:rsid w:val="00F879B8"/>
    <w:rsid w:val="00F90056"/>
    <w:rsid w:val="00F901A7"/>
    <w:rsid w:val="00F91280"/>
    <w:rsid w:val="00F914BF"/>
    <w:rsid w:val="00F914E5"/>
    <w:rsid w:val="00F91A2E"/>
    <w:rsid w:val="00F91DB3"/>
    <w:rsid w:val="00F9249B"/>
    <w:rsid w:val="00F9267F"/>
    <w:rsid w:val="00F932B5"/>
    <w:rsid w:val="00F934F0"/>
    <w:rsid w:val="00F93CE1"/>
    <w:rsid w:val="00F95349"/>
    <w:rsid w:val="00F9559F"/>
    <w:rsid w:val="00F958B1"/>
    <w:rsid w:val="00F95B03"/>
    <w:rsid w:val="00F96627"/>
    <w:rsid w:val="00F96732"/>
    <w:rsid w:val="00F96C0E"/>
    <w:rsid w:val="00F972F9"/>
    <w:rsid w:val="00F97557"/>
    <w:rsid w:val="00FA2222"/>
    <w:rsid w:val="00FA2459"/>
    <w:rsid w:val="00FA27B2"/>
    <w:rsid w:val="00FA331B"/>
    <w:rsid w:val="00FA37CC"/>
    <w:rsid w:val="00FA41BB"/>
    <w:rsid w:val="00FA44F1"/>
    <w:rsid w:val="00FA4C09"/>
    <w:rsid w:val="00FA5751"/>
    <w:rsid w:val="00FA5963"/>
    <w:rsid w:val="00FA65CC"/>
    <w:rsid w:val="00FA696E"/>
    <w:rsid w:val="00FA75E4"/>
    <w:rsid w:val="00FA7886"/>
    <w:rsid w:val="00FA7A70"/>
    <w:rsid w:val="00FB00F4"/>
    <w:rsid w:val="00FB02DB"/>
    <w:rsid w:val="00FB0B19"/>
    <w:rsid w:val="00FB1189"/>
    <w:rsid w:val="00FB230C"/>
    <w:rsid w:val="00FB377E"/>
    <w:rsid w:val="00FB3E8E"/>
    <w:rsid w:val="00FB4D9B"/>
    <w:rsid w:val="00FB68E0"/>
    <w:rsid w:val="00FB6964"/>
    <w:rsid w:val="00FB73FC"/>
    <w:rsid w:val="00FB7734"/>
    <w:rsid w:val="00FB7C2F"/>
    <w:rsid w:val="00FB7CC7"/>
    <w:rsid w:val="00FC0206"/>
    <w:rsid w:val="00FC05D4"/>
    <w:rsid w:val="00FC0D32"/>
    <w:rsid w:val="00FC177F"/>
    <w:rsid w:val="00FC1A00"/>
    <w:rsid w:val="00FC1AE0"/>
    <w:rsid w:val="00FC1B55"/>
    <w:rsid w:val="00FC2161"/>
    <w:rsid w:val="00FC32F1"/>
    <w:rsid w:val="00FC3325"/>
    <w:rsid w:val="00FC4292"/>
    <w:rsid w:val="00FC43D8"/>
    <w:rsid w:val="00FC4C95"/>
    <w:rsid w:val="00FC4F9C"/>
    <w:rsid w:val="00FC5437"/>
    <w:rsid w:val="00FC5AA6"/>
    <w:rsid w:val="00FC6D04"/>
    <w:rsid w:val="00FC71AA"/>
    <w:rsid w:val="00FC7296"/>
    <w:rsid w:val="00FC72A1"/>
    <w:rsid w:val="00FC7369"/>
    <w:rsid w:val="00FC7EF8"/>
    <w:rsid w:val="00FD03E4"/>
    <w:rsid w:val="00FD0FFB"/>
    <w:rsid w:val="00FD11B0"/>
    <w:rsid w:val="00FD125C"/>
    <w:rsid w:val="00FD15ED"/>
    <w:rsid w:val="00FD18B1"/>
    <w:rsid w:val="00FD1C24"/>
    <w:rsid w:val="00FD42F8"/>
    <w:rsid w:val="00FD4CCF"/>
    <w:rsid w:val="00FD4FAA"/>
    <w:rsid w:val="00FD542C"/>
    <w:rsid w:val="00FD63F4"/>
    <w:rsid w:val="00FD6506"/>
    <w:rsid w:val="00FD66E7"/>
    <w:rsid w:val="00FE025A"/>
    <w:rsid w:val="00FE0359"/>
    <w:rsid w:val="00FE0922"/>
    <w:rsid w:val="00FE0AE9"/>
    <w:rsid w:val="00FE0B90"/>
    <w:rsid w:val="00FE182F"/>
    <w:rsid w:val="00FE21C7"/>
    <w:rsid w:val="00FE24EE"/>
    <w:rsid w:val="00FE2822"/>
    <w:rsid w:val="00FE2D56"/>
    <w:rsid w:val="00FE320B"/>
    <w:rsid w:val="00FE4216"/>
    <w:rsid w:val="00FE4A0A"/>
    <w:rsid w:val="00FE568B"/>
    <w:rsid w:val="00FE6791"/>
    <w:rsid w:val="00FE6A56"/>
    <w:rsid w:val="00FE6AB3"/>
    <w:rsid w:val="00FE6C8E"/>
    <w:rsid w:val="00FE7152"/>
    <w:rsid w:val="00FE7771"/>
    <w:rsid w:val="00FF0CBC"/>
    <w:rsid w:val="00FF190C"/>
    <w:rsid w:val="00FF1CE6"/>
    <w:rsid w:val="00FF2107"/>
    <w:rsid w:val="00FF213F"/>
    <w:rsid w:val="00FF296A"/>
    <w:rsid w:val="00FF31F7"/>
    <w:rsid w:val="00FF3285"/>
    <w:rsid w:val="00FF3461"/>
    <w:rsid w:val="00FF418C"/>
    <w:rsid w:val="00FF42E4"/>
    <w:rsid w:val="00FF567B"/>
    <w:rsid w:val="00FF573A"/>
    <w:rsid w:val="00FF5E23"/>
    <w:rsid w:val="00FF65F7"/>
    <w:rsid w:val="00FF696C"/>
    <w:rsid w:val="00FF6A56"/>
    <w:rsid w:val="00FF6A6D"/>
    <w:rsid w:val="00FF6B8A"/>
    <w:rsid w:val="00FF70DE"/>
    <w:rsid w:val="00FF7301"/>
    <w:rsid w:val="00FF767C"/>
    <w:rsid w:val="00FF76E6"/>
    <w:rsid w:val="00FF77B7"/>
    <w:rsid w:val="00FF7A75"/>
    <w:rsid w:val="00FF7B92"/>
    <w:rsid w:val="00FF7D6F"/>
    <w:rsid w:val="0115349A"/>
    <w:rsid w:val="012A4E21"/>
    <w:rsid w:val="013A690F"/>
    <w:rsid w:val="01593F92"/>
    <w:rsid w:val="015A1913"/>
    <w:rsid w:val="015A7948"/>
    <w:rsid w:val="015E2839"/>
    <w:rsid w:val="01626002"/>
    <w:rsid w:val="016B05BC"/>
    <w:rsid w:val="0175443A"/>
    <w:rsid w:val="01777E30"/>
    <w:rsid w:val="019F0AF5"/>
    <w:rsid w:val="01A152B0"/>
    <w:rsid w:val="01C15437"/>
    <w:rsid w:val="01C67396"/>
    <w:rsid w:val="01C74AC8"/>
    <w:rsid w:val="01D11701"/>
    <w:rsid w:val="01E92329"/>
    <w:rsid w:val="01F125AA"/>
    <w:rsid w:val="01FA6612"/>
    <w:rsid w:val="01FE0052"/>
    <w:rsid w:val="020B325A"/>
    <w:rsid w:val="021235EC"/>
    <w:rsid w:val="02221DF9"/>
    <w:rsid w:val="0242118E"/>
    <w:rsid w:val="024F2D27"/>
    <w:rsid w:val="025C69AC"/>
    <w:rsid w:val="02774D26"/>
    <w:rsid w:val="02790E31"/>
    <w:rsid w:val="027F2E0D"/>
    <w:rsid w:val="02AD79EA"/>
    <w:rsid w:val="02AF1E27"/>
    <w:rsid w:val="02BE3F94"/>
    <w:rsid w:val="02BE5535"/>
    <w:rsid w:val="02C357E3"/>
    <w:rsid w:val="02DF6410"/>
    <w:rsid w:val="02ED3385"/>
    <w:rsid w:val="02F016DD"/>
    <w:rsid w:val="02F31C94"/>
    <w:rsid w:val="02F43A2B"/>
    <w:rsid w:val="03056DC8"/>
    <w:rsid w:val="03145467"/>
    <w:rsid w:val="031B7166"/>
    <w:rsid w:val="031C76EC"/>
    <w:rsid w:val="0320478A"/>
    <w:rsid w:val="03355265"/>
    <w:rsid w:val="035C6DF3"/>
    <w:rsid w:val="035E787F"/>
    <w:rsid w:val="036A1685"/>
    <w:rsid w:val="037D3E51"/>
    <w:rsid w:val="038B39FC"/>
    <w:rsid w:val="0395476E"/>
    <w:rsid w:val="03E156A2"/>
    <w:rsid w:val="03F21F57"/>
    <w:rsid w:val="04003EB2"/>
    <w:rsid w:val="04020541"/>
    <w:rsid w:val="04271AF0"/>
    <w:rsid w:val="045460E0"/>
    <w:rsid w:val="045A31A4"/>
    <w:rsid w:val="04643AB8"/>
    <w:rsid w:val="046A6998"/>
    <w:rsid w:val="047E396A"/>
    <w:rsid w:val="0480087C"/>
    <w:rsid w:val="04916503"/>
    <w:rsid w:val="0495657A"/>
    <w:rsid w:val="04990B69"/>
    <w:rsid w:val="049B7652"/>
    <w:rsid w:val="04AB1DE0"/>
    <w:rsid w:val="04AB2DF4"/>
    <w:rsid w:val="04CC08EB"/>
    <w:rsid w:val="04D043AD"/>
    <w:rsid w:val="04D30939"/>
    <w:rsid w:val="04E04D8A"/>
    <w:rsid w:val="04FE4E8A"/>
    <w:rsid w:val="0511593E"/>
    <w:rsid w:val="05132475"/>
    <w:rsid w:val="05141DF0"/>
    <w:rsid w:val="051D5FC6"/>
    <w:rsid w:val="05285B11"/>
    <w:rsid w:val="0531620D"/>
    <w:rsid w:val="05415BBD"/>
    <w:rsid w:val="05481A3A"/>
    <w:rsid w:val="0549490C"/>
    <w:rsid w:val="055178E9"/>
    <w:rsid w:val="05603190"/>
    <w:rsid w:val="0567397C"/>
    <w:rsid w:val="056E2007"/>
    <w:rsid w:val="057000C1"/>
    <w:rsid w:val="058D12A0"/>
    <w:rsid w:val="0598798D"/>
    <w:rsid w:val="05990C7D"/>
    <w:rsid w:val="05A61FAC"/>
    <w:rsid w:val="05AE30F1"/>
    <w:rsid w:val="05B40ECA"/>
    <w:rsid w:val="05C100EB"/>
    <w:rsid w:val="05D73B61"/>
    <w:rsid w:val="05E570CC"/>
    <w:rsid w:val="05E60001"/>
    <w:rsid w:val="05EF52C8"/>
    <w:rsid w:val="0619721E"/>
    <w:rsid w:val="062A44AF"/>
    <w:rsid w:val="062E3A1D"/>
    <w:rsid w:val="063925D1"/>
    <w:rsid w:val="06612458"/>
    <w:rsid w:val="06633218"/>
    <w:rsid w:val="066D34B2"/>
    <w:rsid w:val="066D5F43"/>
    <w:rsid w:val="067A5870"/>
    <w:rsid w:val="067A6032"/>
    <w:rsid w:val="068805E7"/>
    <w:rsid w:val="06881577"/>
    <w:rsid w:val="068F1C0B"/>
    <w:rsid w:val="06992382"/>
    <w:rsid w:val="06A170F3"/>
    <w:rsid w:val="06B74E06"/>
    <w:rsid w:val="06C059C2"/>
    <w:rsid w:val="06C26FEB"/>
    <w:rsid w:val="06C620FA"/>
    <w:rsid w:val="06D56611"/>
    <w:rsid w:val="06DA6F81"/>
    <w:rsid w:val="06DC3A32"/>
    <w:rsid w:val="06DD024B"/>
    <w:rsid w:val="06E45F93"/>
    <w:rsid w:val="06F37001"/>
    <w:rsid w:val="07005B38"/>
    <w:rsid w:val="0705457D"/>
    <w:rsid w:val="07364A4C"/>
    <w:rsid w:val="075B095F"/>
    <w:rsid w:val="075E138C"/>
    <w:rsid w:val="07687B73"/>
    <w:rsid w:val="076D2C0D"/>
    <w:rsid w:val="077F065C"/>
    <w:rsid w:val="078C107C"/>
    <w:rsid w:val="078E4C5C"/>
    <w:rsid w:val="07933081"/>
    <w:rsid w:val="07B00F1D"/>
    <w:rsid w:val="07C8347D"/>
    <w:rsid w:val="07F51BAB"/>
    <w:rsid w:val="081A2A1A"/>
    <w:rsid w:val="08276797"/>
    <w:rsid w:val="082963B9"/>
    <w:rsid w:val="082A5356"/>
    <w:rsid w:val="082D6F32"/>
    <w:rsid w:val="083E11BD"/>
    <w:rsid w:val="08625011"/>
    <w:rsid w:val="08682F69"/>
    <w:rsid w:val="08713341"/>
    <w:rsid w:val="08767126"/>
    <w:rsid w:val="0884628E"/>
    <w:rsid w:val="088816B9"/>
    <w:rsid w:val="089E1642"/>
    <w:rsid w:val="08AC69C7"/>
    <w:rsid w:val="08B17BE1"/>
    <w:rsid w:val="08B915BE"/>
    <w:rsid w:val="08BA426F"/>
    <w:rsid w:val="08E522B1"/>
    <w:rsid w:val="08EB7112"/>
    <w:rsid w:val="08F07C2D"/>
    <w:rsid w:val="08F4703A"/>
    <w:rsid w:val="08F66B32"/>
    <w:rsid w:val="08FA146D"/>
    <w:rsid w:val="090030B6"/>
    <w:rsid w:val="090620B8"/>
    <w:rsid w:val="09127C2A"/>
    <w:rsid w:val="091A2C9A"/>
    <w:rsid w:val="091A7D77"/>
    <w:rsid w:val="09261BD1"/>
    <w:rsid w:val="09281FD6"/>
    <w:rsid w:val="09292548"/>
    <w:rsid w:val="093F51ED"/>
    <w:rsid w:val="094314F2"/>
    <w:rsid w:val="09465B74"/>
    <w:rsid w:val="094846AB"/>
    <w:rsid w:val="095073FA"/>
    <w:rsid w:val="09551119"/>
    <w:rsid w:val="09577B8B"/>
    <w:rsid w:val="09675EB5"/>
    <w:rsid w:val="0992244E"/>
    <w:rsid w:val="09A9515D"/>
    <w:rsid w:val="09AC384F"/>
    <w:rsid w:val="09B16020"/>
    <w:rsid w:val="09B76C6A"/>
    <w:rsid w:val="09BB62F2"/>
    <w:rsid w:val="09D26AB5"/>
    <w:rsid w:val="09D75580"/>
    <w:rsid w:val="09E44E31"/>
    <w:rsid w:val="09EA7679"/>
    <w:rsid w:val="0A097FBA"/>
    <w:rsid w:val="0A1C2502"/>
    <w:rsid w:val="0A2B4270"/>
    <w:rsid w:val="0A452777"/>
    <w:rsid w:val="0A4632D9"/>
    <w:rsid w:val="0A4E36C6"/>
    <w:rsid w:val="0A52729D"/>
    <w:rsid w:val="0A54281E"/>
    <w:rsid w:val="0A717628"/>
    <w:rsid w:val="0A874528"/>
    <w:rsid w:val="0A8B7316"/>
    <w:rsid w:val="0A8C110E"/>
    <w:rsid w:val="0AA16F7A"/>
    <w:rsid w:val="0AAD4EDD"/>
    <w:rsid w:val="0AB55D02"/>
    <w:rsid w:val="0ABF0BD3"/>
    <w:rsid w:val="0ACC08EE"/>
    <w:rsid w:val="0AD05264"/>
    <w:rsid w:val="0ADB3B99"/>
    <w:rsid w:val="0AE5691F"/>
    <w:rsid w:val="0AE8742C"/>
    <w:rsid w:val="0AF639B0"/>
    <w:rsid w:val="0AF65375"/>
    <w:rsid w:val="0AFA5870"/>
    <w:rsid w:val="0AFB19E5"/>
    <w:rsid w:val="0B022976"/>
    <w:rsid w:val="0B081D3B"/>
    <w:rsid w:val="0B0C32F3"/>
    <w:rsid w:val="0B0C4720"/>
    <w:rsid w:val="0B197E66"/>
    <w:rsid w:val="0B204BAA"/>
    <w:rsid w:val="0B2D2AD7"/>
    <w:rsid w:val="0B2E01DA"/>
    <w:rsid w:val="0B320337"/>
    <w:rsid w:val="0B346A82"/>
    <w:rsid w:val="0B380146"/>
    <w:rsid w:val="0B38067D"/>
    <w:rsid w:val="0B3C6044"/>
    <w:rsid w:val="0B560E92"/>
    <w:rsid w:val="0B704E99"/>
    <w:rsid w:val="0B7371A6"/>
    <w:rsid w:val="0B7609EE"/>
    <w:rsid w:val="0B760C93"/>
    <w:rsid w:val="0B8A79AF"/>
    <w:rsid w:val="0BA55BDE"/>
    <w:rsid w:val="0BB7E64E"/>
    <w:rsid w:val="0BBE65A8"/>
    <w:rsid w:val="0BDC277F"/>
    <w:rsid w:val="0BE965F0"/>
    <w:rsid w:val="0BEF6659"/>
    <w:rsid w:val="0BF56D6B"/>
    <w:rsid w:val="0BF81BBC"/>
    <w:rsid w:val="0BFC7976"/>
    <w:rsid w:val="0C015150"/>
    <w:rsid w:val="0C121E0B"/>
    <w:rsid w:val="0C195DBC"/>
    <w:rsid w:val="0C1C402C"/>
    <w:rsid w:val="0C27651D"/>
    <w:rsid w:val="0C342351"/>
    <w:rsid w:val="0C5313A4"/>
    <w:rsid w:val="0C580538"/>
    <w:rsid w:val="0C590374"/>
    <w:rsid w:val="0C5A588C"/>
    <w:rsid w:val="0C635FA4"/>
    <w:rsid w:val="0C682019"/>
    <w:rsid w:val="0C6B0C28"/>
    <w:rsid w:val="0C8F6630"/>
    <w:rsid w:val="0C954B1D"/>
    <w:rsid w:val="0CA93832"/>
    <w:rsid w:val="0CAC493E"/>
    <w:rsid w:val="0CBA7812"/>
    <w:rsid w:val="0CC47EE3"/>
    <w:rsid w:val="0CD10C70"/>
    <w:rsid w:val="0CD50F98"/>
    <w:rsid w:val="0CDC30BC"/>
    <w:rsid w:val="0CEF32BC"/>
    <w:rsid w:val="0CF5147B"/>
    <w:rsid w:val="0D0B0957"/>
    <w:rsid w:val="0D1225E1"/>
    <w:rsid w:val="0D142F14"/>
    <w:rsid w:val="0D2C0E94"/>
    <w:rsid w:val="0D2D3C5F"/>
    <w:rsid w:val="0D66545C"/>
    <w:rsid w:val="0D6B717A"/>
    <w:rsid w:val="0D6F45C7"/>
    <w:rsid w:val="0DA25357"/>
    <w:rsid w:val="0DA5377E"/>
    <w:rsid w:val="0DB1705C"/>
    <w:rsid w:val="0DB37D75"/>
    <w:rsid w:val="0DB811DB"/>
    <w:rsid w:val="0DBA2787"/>
    <w:rsid w:val="0DBB182E"/>
    <w:rsid w:val="0DC12134"/>
    <w:rsid w:val="0DC31923"/>
    <w:rsid w:val="0DCA7B13"/>
    <w:rsid w:val="0DD62FEF"/>
    <w:rsid w:val="0DEE2993"/>
    <w:rsid w:val="0DEF149A"/>
    <w:rsid w:val="0DF504D7"/>
    <w:rsid w:val="0DF7004F"/>
    <w:rsid w:val="0E036A28"/>
    <w:rsid w:val="0E0552CC"/>
    <w:rsid w:val="0E2949C6"/>
    <w:rsid w:val="0E2E0EBE"/>
    <w:rsid w:val="0E47447A"/>
    <w:rsid w:val="0E4C14FB"/>
    <w:rsid w:val="0E6401D1"/>
    <w:rsid w:val="0E651521"/>
    <w:rsid w:val="0E663744"/>
    <w:rsid w:val="0E6A4ABA"/>
    <w:rsid w:val="0E6F23C7"/>
    <w:rsid w:val="0E7476E7"/>
    <w:rsid w:val="0E836419"/>
    <w:rsid w:val="0E855450"/>
    <w:rsid w:val="0E8626D0"/>
    <w:rsid w:val="0E8854FB"/>
    <w:rsid w:val="0E8C5B8E"/>
    <w:rsid w:val="0E947A66"/>
    <w:rsid w:val="0E9833E6"/>
    <w:rsid w:val="0EA77ADD"/>
    <w:rsid w:val="0EC37076"/>
    <w:rsid w:val="0EC37A24"/>
    <w:rsid w:val="0ED41EEF"/>
    <w:rsid w:val="0EDF39F1"/>
    <w:rsid w:val="0EF034AB"/>
    <w:rsid w:val="0EF453C6"/>
    <w:rsid w:val="0F1E70E7"/>
    <w:rsid w:val="0F293DB0"/>
    <w:rsid w:val="0F392121"/>
    <w:rsid w:val="0F500AAD"/>
    <w:rsid w:val="0F5721C2"/>
    <w:rsid w:val="0F5838F2"/>
    <w:rsid w:val="0FA1184A"/>
    <w:rsid w:val="0FA96591"/>
    <w:rsid w:val="0FAA1800"/>
    <w:rsid w:val="0FAD455E"/>
    <w:rsid w:val="0FAE4E7B"/>
    <w:rsid w:val="0FB94A66"/>
    <w:rsid w:val="0FC2400D"/>
    <w:rsid w:val="0FCF6175"/>
    <w:rsid w:val="0FDE179C"/>
    <w:rsid w:val="0FE81C1D"/>
    <w:rsid w:val="0FEA0C5A"/>
    <w:rsid w:val="0FEB7F7B"/>
    <w:rsid w:val="0FF87DD2"/>
    <w:rsid w:val="10077BBA"/>
    <w:rsid w:val="101629EB"/>
    <w:rsid w:val="101F3682"/>
    <w:rsid w:val="102736D0"/>
    <w:rsid w:val="102C7D44"/>
    <w:rsid w:val="10350AA9"/>
    <w:rsid w:val="106344F9"/>
    <w:rsid w:val="106E7C51"/>
    <w:rsid w:val="10700194"/>
    <w:rsid w:val="107B3173"/>
    <w:rsid w:val="10A73812"/>
    <w:rsid w:val="10AF05A0"/>
    <w:rsid w:val="10B21301"/>
    <w:rsid w:val="10B75631"/>
    <w:rsid w:val="10ED552F"/>
    <w:rsid w:val="110B2FB0"/>
    <w:rsid w:val="11315402"/>
    <w:rsid w:val="114749A4"/>
    <w:rsid w:val="116537E5"/>
    <w:rsid w:val="1169450A"/>
    <w:rsid w:val="11786B55"/>
    <w:rsid w:val="118F3035"/>
    <w:rsid w:val="11902D52"/>
    <w:rsid w:val="119A56B6"/>
    <w:rsid w:val="11A113D2"/>
    <w:rsid w:val="11A337C2"/>
    <w:rsid w:val="11AB7450"/>
    <w:rsid w:val="11AC4B81"/>
    <w:rsid w:val="11C01717"/>
    <w:rsid w:val="11D53A3D"/>
    <w:rsid w:val="11DE26F6"/>
    <w:rsid w:val="11E903EC"/>
    <w:rsid w:val="120458AF"/>
    <w:rsid w:val="12080C76"/>
    <w:rsid w:val="120F0E58"/>
    <w:rsid w:val="12307B5E"/>
    <w:rsid w:val="1238707D"/>
    <w:rsid w:val="123F43B0"/>
    <w:rsid w:val="123F7018"/>
    <w:rsid w:val="125D54CB"/>
    <w:rsid w:val="126A535E"/>
    <w:rsid w:val="12761A96"/>
    <w:rsid w:val="12822265"/>
    <w:rsid w:val="12905384"/>
    <w:rsid w:val="129B148F"/>
    <w:rsid w:val="129F0AAB"/>
    <w:rsid w:val="12A24799"/>
    <w:rsid w:val="12AF73DE"/>
    <w:rsid w:val="12B76B0D"/>
    <w:rsid w:val="12C27C02"/>
    <w:rsid w:val="12D562FA"/>
    <w:rsid w:val="12DA7F5C"/>
    <w:rsid w:val="12DE3AA0"/>
    <w:rsid w:val="12E332FA"/>
    <w:rsid w:val="12F12F9E"/>
    <w:rsid w:val="12F75FF5"/>
    <w:rsid w:val="132D7A2F"/>
    <w:rsid w:val="13492B62"/>
    <w:rsid w:val="13684C7A"/>
    <w:rsid w:val="136E7CAF"/>
    <w:rsid w:val="138F77E9"/>
    <w:rsid w:val="139522A0"/>
    <w:rsid w:val="13B72832"/>
    <w:rsid w:val="13BA0BEB"/>
    <w:rsid w:val="13C63A51"/>
    <w:rsid w:val="13CD08B6"/>
    <w:rsid w:val="13D56B53"/>
    <w:rsid w:val="13E30590"/>
    <w:rsid w:val="13E843A1"/>
    <w:rsid w:val="13FB3D98"/>
    <w:rsid w:val="1403644B"/>
    <w:rsid w:val="141731A4"/>
    <w:rsid w:val="14342245"/>
    <w:rsid w:val="143A501D"/>
    <w:rsid w:val="143C398A"/>
    <w:rsid w:val="14540FBC"/>
    <w:rsid w:val="146A31F5"/>
    <w:rsid w:val="147036BF"/>
    <w:rsid w:val="14776FC2"/>
    <w:rsid w:val="14A27F30"/>
    <w:rsid w:val="14A763BF"/>
    <w:rsid w:val="14A90F1B"/>
    <w:rsid w:val="14C20431"/>
    <w:rsid w:val="14D6608E"/>
    <w:rsid w:val="14D83D18"/>
    <w:rsid w:val="14E94451"/>
    <w:rsid w:val="14FD7E50"/>
    <w:rsid w:val="15002B2A"/>
    <w:rsid w:val="151C3272"/>
    <w:rsid w:val="152557F8"/>
    <w:rsid w:val="152E4435"/>
    <w:rsid w:val="15421D14"/>
    <w:rsid w:val="154959BF"/>
    <w:rsid w:val="154C1133"/>
    <w:rsid w:val="1550122B"/>
    <w:rsid w:val="15697744"/>
    <w:rsid w:val="15817B6B"/>
    <w:rsid w:val="158D271F"/>
    <w:rsid w:val="159D64B9"/>
    <w:rsid w:val="159F4AC2"/>
    <w:rsid w:val="15B2020C"/>
    <w:rsid w:val="15B27B74"/>
    <w:rsid w:val="15C1538F"/>
    <w:rsid w:val="15D905AC"/>
    <w:rsid w:val="15DD5FFB"/>
    <w:rsid w:val="15EF268F"/>
    <w:rsid w:val="15F020C0"/>
    <w:rsid w:val="15F250DF"/>
    <w:rsid w:val="15F77F8C"/>
    <w:rsid w:val="15FD7236"/>
    <w:rsid w:val="16053AF1"/>
    <w:rsid w:val="160D7966"/>
    <w:rsid w:val="16117F11"/>
    <w:rsid w:val="162C08A7"/>
    <w:rsid w:val="16335803"/>
    <w:rsid w:val="1633604B"/>
    <w:rsid w:val="16365169"/>
    <w:rsid w:val="163F67DF"/>
    <w:rsid w:val="164A4609"/>
    <w:rsid w:val="164B037A"/>
    <w:rsid w:val="165916AA"/>
    <w:rsid w:val="1659625E"/>
    <w:rsid w:val="16596D58"/>
    <w:rsid w:val="16755FAF"/>
    <w:rsid w:val="1681500C"/>
    <w:rsid w:val="16867800"/>
    <w:rsid w:val="16885A42"/>
    <w:rsid w:val="16893C88"/>
    <w:rsid w:val="168B753F"/>
    <w:rsid w:val="169556B0"/>
    <w:rsid w:val="16A22220"/>
    <w:rsid w:val="16A83D71"/>
    <w:rsid w:val="16AB4A01"/>
    <w:rsid w:val="16C96D7D"/>
    <w:rsid w:val="16CA58A3"/>
    <w:rsid w:val="16D07D7A"/>
    <w:rsid w:val="16D62CF8"/>
    <w:rsid w:val="16DC62F6"/>
    <w:rsid w:val="16F7709F"/>
    <w:rsid w:val="17032F48"/>
    <w:rsid w:val="170B670F"/>
    <w:rsid w:val="170C5D38"/>
    <w:rsid w:val="1723380C"/>
    <w:rsid w:val="1733456F"/>
    <w:rsid w:val="17412155"/>
    <w:rsid w:val="17560404"/>
    <w:rsid w:val="17574A29"/>
    <w:rsid w:val="177C3F5A"/>
    <w:rsid w:val="17B2462D"/>
    <w:rsid w:val="17B374D2"/>
    <w:rsid w:val="17C07725"/>
    <w:rsid w:val="17CD000B"/>
    <w:rsid w:val="17D2179B"/>
    <w:rsid w:val="17D81ED7"/>
    <w:rsid w:val="17E70A1A"/>
    <w:rsid w:val="17F5409B"/>
    <w:rsid w:val="17F730B7"/>
    <w:rsid w:val="18026C7F"/>
    <w:rsid w:val="18037E87"/>
    <w:rsid w:val="18046E47"/>
    <w:rsid w:val="18095209"/>
    <w:rsid w:val="1823219C"/>
    <w:rsid w:val="18283386"/>
    <w:rsid w:val="183C6202"/>
    <w:rsid w:val="185C0435"/>
    <w:rsid w:val="186F6AE2"/>
    <w:rsid w:val="18763CB0"/>
    <w:rsid w:val="188432FC"/>
    <w:rsid w:val="188C54E8"/>
    <w:rsid w:val="189B4117"/>
    <w:rsid w:val="18A312F5"/>
    <w:rsid w:val="18A46D85"/>
    <w:rsid w:val="18AC32DE"/>
    <w:rsid w:val="18B12E63"/>
    <w:rsid w:val="18B57E8E"/>
    <w:rsid w:val="18C30476"/>
    <w:rsid w:val="18CB084B"/>
    <w:rsid w:val="18DF39A8"/>
    <w:rsid w:val="18E20D53"/>
    <w:rsid w:val="18E6739D"/>
    <w:rsid w:val="18E73DF2"/>
    <w:rsid w:val="18F32BB1"/>
    <w:rsid w:val="18F80BD4"/>
    <w:rsid w:val="18F84666"/>
    <w:rsid w:val="19213107"/>
    <w:rsid w:val="192E43BC"/>
    <w:rsid w:val="19326E77"/>
    <w:rsid w:val="194145A5"/>
    <w:rsid w:val="19425C10"/>
    <w:rsid w:val="195327C0"/>
    <w:rsid w:val="196C749E"/>
    <w:rsid w:val="19831126"/>
    <w:rsid w:val="1996146A"/>
    <w:rsid w:val="19AC5BAE"/>
    <w:rsid w:val="19C91205"/>
    <w:rsid w:val="19F54655"/>
    <w:rsid w:val="19FA7004"/>
    <w:rsid w:val="1A0C0B39"/>
    <w:rsid w:val="1A1D0BAD"/>
    <w:rsid w:val="1A202464"/>
    <w:rsid w:val="1A211D5E"/>
    <w:rsid w:val="1A281080"/>
    <w:rsid w:val="1A3167A7"/>
    <w:rsid w:val="1A3E7639"/>
    <w:rsid w:val="1A616756"/>
    <w:rsid w:val="1A71306C"/>
    <w:rsid w:val="1A7E3697"/>
    <w:rsid w:val="1A83598B"/>
    <w:rsid w:val="1A8B0436"/>
    <w:rsid w:val="1A9433BA"/>
    <w:rsid w:val="1AA822FA"/>
    <w:rsid w:val="1AB5371D"/>
    <w:rsid w:val="1AB556B6"/>
    <w:rsid w:val="1ABB4B98"/>
    <w:rsid w:val="1AD01DA7"/>
    <w:rsid w:val="1AD70E60"/>
    <w:rsid w:val="1AD75236"/>
    <w:rsid w:val="1ADC4DC3"/>
    <w:rsid w:val="1AF30AA9"/>
    <w:rsid w:val="1AFE2BB2"/>
    <w:rsid w:val="1B0874E2"/>
    <w:rsid w:val="1B2D779D"/>
    <w:rsid w:val="1B380F0E"/>
    <w:rsid w:val="1B39458C"/>
    <w:rsid w:val="1B490950"/>
    <w:rsid w:val="1B5D0D89"/>
    <w:rsid w:val="1B6A35DB"/>
    <w:rsid w:val="1B782C3F"/>
    <w:rsid w:val="1B7D7C38"/>
    <w:rsid w:val="1B8A7FBC"/>
    <w:rsid w:val="1B8E6F04"/>
    <w:rsid w:val="1B9423A4"/>
    <w:rsid w:val="1BA50FCC"/>
    <w:rsid w:val="1BA9250B"/>
    <w:rsid w:val="1BAF77A5"/>
    <w:rsid w:val="1BB719B2"/>
    <w:rsid w:val="1BBB2CBB"/>
    <w:rsid w:val="1BBC7041"/>
    <w:rsid w:val="1BC06BF9"/>
    <w:rsid w:val="1BC449CF"/>
    <w:rsid w:val="1BCA5234"/>
    <w:rsid w:val="1BDA7F06"/>
    <w:rsid w:val="1BEA1165"/>
    <w:rsid w:val="1BED0AD9"/>
    <w:rsid w:val="1BF520EC"/>
    <w:rsid w:val="1C134850"/>
    <w:rsid w:val="1C167B0B"/>
    <w:rsid w:val="1C177197"/>
    <w:rsid w:val="1C1A20C8"/>
    <w:rsid w:val="1C2771EF"/>
    <w:rsid w:val="1C334E78"/>
    <w:rsid w:val="1C401C28"/>
    <w:rsid w:val="1C4667B9"/>
    <w:rsid w:val="1C6243A3"/>
    <w:rsid w:val="1C797C46"/>
    <w:rsid w:val="1C7E350E"/>
    <w:rsid w:val="1C8454F9"/>
    <w:rsid w:val="1C931680"/>
    <w:rsid w:val="1C954279"/>
    <w:rsid w:val="1CB415D1"/>
    <w:rsid w:val="1CBC6385"/>
    <w:rsid w:val="1CBD2332"/>
    <w:rsid w:val="1CC7091E"/>
    <w:rsid w:val="1CCB392B"/>
    <w:rsid w:val="1CCF447E"/>
    <w:rsid w:val="1CE14E51"/>
    <w:rsid w:val="1CE32E87"/>
    <w:rsid w:val="1CF56275"/>
    <w:rsid w:val="1CF86CEC"/>
    <w:rsid w:val="1CFB5568"/>
    <w:rsid w:val="1CFC6D62"/>
    <w:rsid w:val="1D063C00"/>
    <w:rsid w:val="1D226B51"/>
    <w:rsid w:val="1D253B83"/>
    <w:rsid w:val="1D2B7B0B"/>
    <w:rsid w:val="1D33733A"/>
    <w:rsid w:val="1D370DB7"/>
    <w:rsid w:val="1D387DEA"/>
    <w:rsid w:val="1D3A6321"/>
    <w:rsid w:val="1D4E2A7B"/>
    <w:rsid w:val="1D5A5F8D"/>
    <w:rsid w:val="1D753D60"/>
    <w:rsid w:val="1D917AB3"/>
    <w:rsid w:val="1DA52FDB"/>
    <w:rsid w:val="1DB064E6"/>
    <w:rsid w:val="1DB827E5"/>
    <w:rsid w:val="1DCD7C82"/>
    <w:rsid w:val="1DE351BB"/>
    <w:rsid w:val="1DF84BBF"/>
    <w:rsid w:val="1DF87C16"/>
    <w:rsid w:val="1DFE7449"/>
    <w:rsid w:val="1E066C12"/>
    <w:rsid w:val="1E0C08E5"/>
    <w:rsid w:val="1E351288"/>
    <w:rsid w:val="1E377E8A"/>
    <w:rsid w:val="1E4A36CA"/>
    <w:rsid w:val="1E682698"/>
    <w:rsid w:val="1E725C5C"/>
    <w:rsid w:val="1E7E4039"/>
    <w:rsid w:val="1E831E42"/>
    <w:rsid w:val="1E8E345A"/>
    <w:rsid w:val="1E901FEE"/>
    <w:rsid w:val="1E9442E7"/>
    <w:rsid w:val="1E982C8E"/>
    <w:rsid w:val="1E994219"/>
    <w:rsid w:val="1EA078AE"/>
    <w:rsid w:val="1EA45EC1"/>
    <w:rsid w:val="1EB40283"/>
    <w:rsid w:val="1ED02528"/>
    <w:rsid w:val="1ED45CAE"/>
    <w:rsid w:val="1F424DC2"/>
    <w:rsid w:val="1F4A49DF"/>
    <w:rsid w:val="1F59199D"/>
    <w:rsid w:val="1F6669AD"/>
    <w:rsid w:val="1F684DF5"/>
    <w:rsid w:val="1F9C0838"/>
    <w:rsid w:val="1FA666C1"/>
    <w:rsid w:val="1FAD03A2"/>
    <w:rsid w:val="1FB05B86"/>
    <w:rsid w:val="1FB63256"/>
    <w:rsid w:val="1FC55FFD"/>
    <w:rsid w:val="1FC619C3"/>
    <w:rsid w:val="1FE901E2"/>
    <w:rsid w:val="1FF0410F"/>
    <w:rsid w:val="1FF34102"/>
    <w:rsid w:val="200E2178"/>
    <w:rsid w:val="200E5CC9"/>
    <w:rsid w:val="20102412"/>
    <w:rsid w:val="20360CA0"/>
    <w:rsid w:val="204228BF"/>
    <w:rsid w:val="20614265"/>
    <w:rsid w:val="209C0EB3"/>
    <w:rsid w:val="20A07A3E"/>
    <w:rsid w:val="20A6660B"/>
    <w:rsid w:val="20A7119D"/>
    <w:rsid w:val="20AA51EA"/>
    <w:rsid w:val="20AE6A88"/>
    <w:rsid w:val="20B77808"/>
    <w:rsid w:val="20C26B79"/>
    <w:rsid w:val="20CC3B78"/>
    <w:rsid w:val="20CE77C7"/>
    <w:rsid w:val="20E52835"/>
    <w:rsid w:val="21013D59"/>
    <w:rsid w:val="211B1C44"/>
    <w:rsid w:val="211B39F2"/>
    <w:rsid w:val="212E7B0D"/>
    <w:rsid w:val="2130504F"/>
    <w:rsid w:val="21382F0C"/>
    <w:rsid w:val="214106E3"/>
    <w:rsid w:val="214A05AE"/>
    <w:rsid w:val="214B28B3"/>
    <w:rsid w:val="215E2C87"/>
    <w:rsid w:val="216800C8"/>
    <w:rsid w:val="216B68D1"/>
    <w:rsid w:val="21776EE9"/>
    <w:rsid w:val="217B3E84"/>
    <w:rsid w:val="217B6C76"/>
    <w:rsid w:val="218108F4"/>
    <w:rsid w:val="21881CE4"/>
    <w:rsid w:val="218D4CC7"/>
    <w:rsid w:val="21934972"/>
    <w:rsid w:val="21CE76F6"/>
    <w:rsid w:val="21DB4941"/>
    <w:rsid w:val="21DE7C36"/>
    <w:rsid w:val="21DF3A01"/>
    <w:rsid w:val="21E257BE"/>
    <w:rsid w:val="21F25BFC"/>
    <w:rsid w:val="220A5EF5"/>
    <w:rsid w:val="220F3C1A"/>
    <w:rsid w:val="221859D3"/>
    <w:rsid w:val="22197D89"/>
    <w:rsid w:val="221E6F53"/>
    <w:rsid w:val="22313D2D"/>
    <w:rsid w:val="224D398A"/>
    <w:rsid w:val="224E2203"/>
    <w:rsid w:val="22585F0F"/>
    <w:rsid w:val="225F0503"/>
    <w:rsid w:val="226B5CC4"/>
    <w:rsid w:val="226D7641"/>
    <w:rsid w:val="22717890"/>
    <w:rsid w:val="227B299A"/>
    <w:rsid w:val="2288155B"/>
    <w:rsid w:val="228B0CE6"/>
    <w:rsid w:val="22941CAE"/>
    <w:rsid w:val="22965A26"/>
    <w:rsid w:val="229C5EDB"/>
    <w:rsid w:val="229F2CD5"/>
    <w:rsid w:val="22AB3A42"/>
    <w:rsid w:val="22AC5767"/>
    <w:rsid w:val="22AF2482"/>
    <w:rsid w:val="22B44D35"/>
    <w:rsid w:val="22B8500B"/>
    <w:rsid w:val="22CB52CD"/>
    <w:rsid w:val="22D52DCF"/>
    <w:rsid w:val="230F3C1C"/>
    <w:rsid w:val="23173330"/>
    <w:rsid w:val="23287AA7"/>
    <w:rsid w:val="23305F0F"/>
    <w:rsid w:val="23357659"/>
    <w:rsid w:val="233905CD"/>
    <w:rsid w:val="235456F9"/>
    <w:rsid w:val="235718E1"/>
    <w:rsid w:val="23616034"/>
    <w:rsid w:val="23694959"/>
    <w:rsid w:val="236C4F12"/>
    <w:rsid w:val="237E4C0E"/>
    <w:rsid w:val="23925F3C"/>
    <w:rsid w:val="239B7E76"/>
    <w:rsid w:val="23A4229C"/>
    <w:rsid w:val="23AE55A9"/>
    <w:rsid w:val="23B118CE"/>
    <w:rsid w:val="23B6003B"/>
    <w:rsid w:val="23B80D83"/>
    <w:rsid w:val="23CD36CA"/>
    <w:rsid w:val="23E6337C"/>
    <w:rsid w:val="23E9569E"/>
    <w:rsid w:val="23F36F4D"/>
    <w:rsid w:val="23F46D82"/>
    <w:rsid w:val="23FF4918"/>
    <w:rsid w:val="24034D8D"/>
    <w:rsid w:val="2422425D"/>
    <w:rsid w:val="24296431"/>
    <w:rsid w:val="24316E6F"/>
    <w:rsid w:val="24340869"/>
    <w:rsid w:val="2455546D"/>
    <w:rsid w:val="246117FE"/>
    <w:rsid w:val="24631FE8"/>
    <w:rsid w:val="24680378"/>
    <w:rsid w:val="246F2E99"/>
    <w:rsid w:val="246F652F"/>
    <w:rsid w:val="24913210"/>
    <w:rsid w:val="249B7324"/>
    <w:rsid w:val="24C8071E"/>
    <w:rsid w:val="24C91FF8"/>
    <w:rsid w:val="24D01D21"/>
    <w:rsid w:val="24D22D5D"/>
    <w:rsid w:val="24DD4B4B"/>
    <w:rsid w:val="24EA59AA"/>
    <w:rsid w:val="24FE13C2"/>
    <w:rsid w:val="251B6945"/>
    <w:rsid w:val="251F5695"/>
    <w:rsid w:val="252140E8"/>
    <w:rsid w:val="25230953"/>
    <w:rsid w:val="252C0FEC"/>
    <w:rsid w:val="25396B3D"/>
    <w:rsid w:val="254870C0"/>
    <w:rsid w:val="254A4A2E"/>
    <w:rsid w:val="25551B8C"/>
    <w:rsid w:val="2555250E"/>
    <w:rsid w:val="25595001"/>
    <w:rsid w:val="255B2E20"/>
    <w:rsid w:val="25657932"/>
    <w:rsid w:val="25661A5A"/>
    <w:rsid w:val="25690ABE"/>
    <w:rsid w:val="25755470"/>
    <w:rsid w:val="258016EC"/>
    <w:rsid w:val="25996888"/>
    <w:rsid w:val="259B6168"/>
    <w:rsid w:val="259F79AE"/>
    <w:rsid w:val="25A01A43"/>
    <w:rsid w:val="25B032A3"/>
    <w:rsid w:val="25BF42A8"/>
    <w:rsid w:val="25CB4857"/>
    <w:rsid w:val="25CC59DE"/>
    <w:rsid w:val="25D073F9"/>
    <w:rsid w:val="25D83187"/>
    <w:rsid w:val="25D907CC"/>
    <w:rsid w:val="25E655C8"/>
    <w:rsid w:val="26045771"/>
    <w:rsid w:val="26196CB2"/>
    <w:rsid w:val="263976F1"/>
    <w:rsid w:val="263C3E80"/>
    <w:rsid w:val="264D28A0"/>
    <w:rsid w:val="265A6D6B"/>
    <w:rsid w:val="26753D2C"/>
    <w:rsid w:val="267611D3"/>
    <w:rsid w:val="26832AA4"/>
    <w:rsid w:val="26835127"/>
    <w:rsid w:val="26865F09"/>
    <w:rsid w:val="268E4BBA"/>
    <w:rsid w:val="26A257DB"/>
    <w:rsid w:val="26B20831"/>
    <w:rsid w:val="26B90F8E"/>
    <w:rsid w:val="26C05A32"/>
    <w:rsid w:val="26C54E27"/>
    <w:rsid w:val="26CC3C07"/>
    <w:rsid w:val="26DE7854"/>
    <w:rsid w:val="26E70BC5"/>
    <w:rsid w:val="27062C4A"/>
    <w:rsid w:val="27074D3E"/>
    <w:rsid w:val="271116DB"/>
    <w:rsid w:val="27113F6C"/>
    <w:rsid w:val="271A51DA"/>
    <w:rsid w:val="27254946"/>
    <w:rsid w:val="274A08FC"/>
    <w:rsid w:val="274C764E"/>
    <w:rsid w:val="2756302F"/>
    <w:rsid w:val="276026EB"/>
    <w:rsid w:val="276250D7"/>
    <w:rsid w:val="27632DDC"/>
    <w:rsid w:val="2772471C"/>
    <w:rsid w:val="278664F1"/>
    <w:rsid w:val="2789575F"/>
    <w:rsid w:val="27A74434"/>
    <w:rsid w:val="27AE734E"/>
    <w:rsid w:val="27B23F45"/>
    <w:rsid w:val="27B62D9D"/>
    <w:rsid w:val="27B85561"/>
    <w:rsid w:val="27BC3987"/>
    <w:rsid w:val="27BD611A"/>
    <w:rsid w:val="27C71330"/>
    <w:rsid w:val="27E269CB"/>
    <w:rsid w:val="27E91A8C"/>
    <w:rsid w:val="27EC7DE5"/>
    <w:rsid w:val="28013A27"/>
    <w:rsid w:val="280D0EB8"/>
    <w:rsid w:val="28126C32"/>
    <w:rsid w:val="282D1E68"/>
    <w:rsid w:val="283137EF"/>
    <w:rsid w:val="283C0132"/>
    <w:rsid w:val="28574C9E"/>
    <w:rsid w:val="287439A8"/>
    <w:rsid w:val="287823EF"/>
    <w:rsid w:val="287A594C"/>
    <w:rsid w:val="28864F06"/>
    <w:rsid w:val="288E24C6"/>
    <w:rsid w:val="289567A3"/>
    <w:rsid w:val="289A78F2"/>
    <w:rsid w:val="28A120BA"/>
    <w:rsid w:val="28A526C6"/>
    <w:rsid w:val="28A74DCB"/>
    <w:rsid w:val="28AB185F"/>
    <w:rsid w:val="28B77749"/>
    <w:rsid w:val="28C73484"/>
    <w:rsid w:val="28D53B72"/>
    <w:rsid w:val="28EF1B17"/>
    <w:rsid w:val="28F42FC8"/>
    <w:rsid w:val="29010E8F"/>
    <w:rsid w:val="29030E83"/>
    <w:rsid w:val="29175D2F"/>
    <w:rsid w:val="29226060"/>
    <w:rsid w:val="29245AAE"/>
    <w:rsid w:val="2933741E"/>
    <w:rsid w:val="294A3E5A"/>
    <w:rsid w:val="29583A9F"/>
    <w:rsid w:val="29702606"/>
    <w:rsid w:val="298B3C64"/>
    <w:rsid w:val="29956E43"/>
    <w:rsid w:val="29982FE8"/>
    <w:rsid w:val="299B61C1"/>
    <w:rsid w:val="29A43C12"/>
    <w:rsid w:val="29A65C3B"/>
    <w:rsid w:val="29AA7CF7"/>
    <w:rsid w:val="29B5574C"/>
    <w:rsid w:val="29B8457E"/>
    <w:rsid w:val="29BD744E"/>
    <w:rsid w:val="29C25145"/>
    <w:rsid w:val="29C954AC"/>
    <w:rsid w:val="29D43999"/>
    <w:rsid w:val="29D65CF5"/>
    <w:rsid w:val="29E03A2B"/>
    <w:rsid w:val="2A19034C"/>
    <w:rsid w:val="2A386EBD"/>
    <w:rsid w:val="2A4C1250"/>
    <w:rsid w:val="2A58670E"/>
    <w:rsid w:val="2A5B4E7F"/>
    <w:rsid w:val="2A5D212B"/>
    <w:rsid w:val="2A6E0E4E"/>
    <w:rsid w:val="2A7108CA"/>
    <w:rsid w:val="2A785209"/>
    <w:rsid w:val="2A7A6E34"/>
    <w:rsid w:val="2A846AAC"/>
    <w:rsid w:val="2A904695"/>
    <w:rsid w:val="2AA147F9"/>
    <w:rsid w:val="2AA44F7D"/>
    <w:rsid w:val="2AA50BDA"/>
    <w:rsid w:val="2ABA0D7B"/>
    <w:rsid w:val="2AC564FC"/>
    <w:rsid w:val="2ADA4DFF"/>
    <w:rsid w:val="2AE150F8"/>
    <w:rsid w:val="2AF46D91"/>
    <w:rsid w:val="2AF86B85"/>
    <w:rsid w:val="2AFC41F1"/>
    <w:rsid w:val="2B011FE4"/>
    <w:rsid w:val="2B0702E2"/>
    <w:rsid w:val="2B5B4633"/>
    <w:rsid w:val="2B5D39BA"/>
    <w:rsid w:val="2B635D2B"/>
    <w:rsid w:val="2B6D1A08"/>
    <w:rsid w:val="2B753C76"/>
    <w:rsid w:val="2B785630"/>
    <w:rsid w:val="2B793974"/>
    <w:rsid w:val="2B86355C"/>
    <w:rsid w:val="2B922F59"/>
    <w:rsid w:val="2BB33A90"/>
    <w:rsid w:val="2BB7608B"/>
    <w:rsid w:val="2BC41B44"/>
    <w:rsid w:val="2BCC4805"/>
    <w:rsid w:val="2BCE023C"/>
    <w:rsid w:val="2BDE14EC"/>
    <w:rsid w:val="2BEA5A56"/>
    <w:rsid w:val="2BF84D8E"/>
    <w:rsid w:val="2C033ABC"/>
    <w:rsid w:val="2C034AC1"/>
    <w:rsid w:val="2C047B3A"/>
    <w:rsid w:val="2C1305B1"/>
    <w:rsid w:val="2C1758CF"/>
    <w:rsid w:val="2C1A354E"/>
    <w:rsid w:val="2C1F3B79"/>
    <w:rsid w:val="2C271951"/>
    <w:rsid w:val="2C452B2D"/>
    <w:rsid w:val="2C492C36"/>
    <w:rsid w:val="2C557053"/>
    <w:rsid w:val="2C60237D"/>
    <w:rsid w:val="2C6256A7"/>
    <w:rsid w:val="2C6438F8"/>
    <w:rsid w:val="2C6A57CD"/>
    <w:rsid w:val="2C6D71F8"/>
    <w:rsid w:val="2C6E6FCD"/>
    <w:rsid w:val="2C72135B"/>
    <w:rsid w:val="2C83572D"/>
    <w:rsid w:val="2C8B5E21"/>
    <w:rsid w:val="2C8B6CA4"/>
    <w:rsid w:val="2C8C5A7E"/>
    <w:rsid w:val="2C8D55AD"/>
    <w:rsid w:val="2C9248BA"/>
    <w:rsid w:val="2C9B79F8"/>
    <w:rsid w:val="2CAC09AD"/>
    <w:rsid w:val="2CB47549"/>
    <w:rsid w:val="2CBE3246"/>
    <w:rsid w:val="2CBF3DCB"/>
    <w:rsid w:val="2CC802D9"/>
    <w:rsid w:val="2CCB593E"/>
    <w:rsid w:val="2CDF4F09"/>
    <w:rsid w:val="2CE27524"/>
    <w:rsid w:val="2CEB0142"/>
    <w:rsid w:val="2CF320D2"/>
    <w:rsid w:val="2CF83F53"/>
    <w:rsid w:val="2D0460BD"/>
    <w:rsid w:val="2D1E33D5"/>
    <w:rsid w:val="2D271B8F"/>
    <w:rsid w:val="2D336006"/>
    <w:rsid w:val="2D4935AD"/>
    <w:rsid w:val="2D4F7152"/>
    <w:rsid w:val="2D5B0462"/>
    <w:rsid w:val="2D616C31"/>
    <w:rsid w:val="2D85445D"/>
    <w:rsid w:val="2D8B4C00"/>
    <w:rsid w:val="2DA26D95"/>
    <w:rsid w:val="2DA413CA"/>
    <w:rsid w:val="2DA56EB7"/>
    <w:rsid w:val="2DC05192"/>
    <w:rsid w:val="2DE805FC"/>
    <w:rsid w:val="2DF53BEC"/>
    <w:rsid w:val="2DF964A0"/>
    <w:rsid w:val="2E095D5C"/>
    <w:rsid w:val="2E0C6F3E"/>
    <w:rsid w:val="2E0F2B6F"/>
    <w:rsid w:val="2E1977B8"/>
    <w:rsid w:val="2E201E89"/>
    <w:rsid w:val="2E2200F6"/>
    <w:rsid w:val="2E3C0D78"/>
    <w:rsid w:val="2E411BEF"/>
    <w:rsid w:val="2E446C02"/>
    <w:rsid w:val="2E516CA5"/>
    <w:rsid w:val="2E570AA3"/>
    <w:rsid w:val="2E594CED"/>
    <w:rsid w:val="2E7B61FD"/>
    <w:rsid w:val="2E7F48C7"/>
    <w:rsid w:val="2E883F4F"/>
    <w:rsid w:val="2E8E7EF9"/>
    <w:rsid w:val="2E9818BC"/>
    <w:rsid w:val="2E995B75"/>
    <w:rsid w:val="2E9A38AB"/>
    <w:rsid w:val="2E9F7ACE"/>
    <w:rsid w:val="2EA035D3"/>
    <w:rsid w:val="2EB00084"/>
    <w:rsid w:val="2EBC0113"/>
    <w:rsid w:val="2EBC74B9"/>
    <w:rsid w:val="2EC15360"/>
    <w:rsid w:val="2EC974E3"/>
    <w:rsid w:val="2ED7075B"/>
    <w:rsid w:val="2EE10029"/>
    <w:rsid w:val="2EE10304"/>
    <w:rsid w:val="2EFE397A"/>
    <w:rsid w:val="2EFE625B"/>
    <w:rsid w:val="2F000491"/>
    <w:rsid w:val="2F0050ED"/>
    <w:rsid w:val="2F0322BF"/>
    <w:rsid w:val="2F1D4987"/>
    <w:rsid w:val="2F397E65"/>
    <w:rsid w:val="2F5000A2"/>
    <w:rsid w:val="2F540C31"/>
    <w:rsid w:val="2F574071"/>
    <w:rsid w:val="2F5E2555"/>
    <w:rsid w:val="2F5E3090"/>
    <w:rsid w:val="2F6B2E0E"/>
    <w:rsid w:val="2F6E14A3"/>
    <w:rsid w:val="2F9835CF"/>
    <w:rsid w:val="2FA75FD5"/>
    <w:rsid w:val="2FB151D3"/>
    <w:rsid w:val="2FB944E5"/>
    <w:rsid w:val="2FC871E6"/>
    <w:rsid w:val="2FDC472D"/>
    <w:rsid w:val="2FDE5F50"/>
    <w:rsid w:val="2FEC4EBA"/>
    <w:rsid w:val="2FEE3B1C"/>
    <w:rsid w:val="30012846"/>
    <w:rsid w:val="300D33B1"/>
    <w:rsid w:val="300E7796"/>
    <w:rsid w:val="301E5143"/>
    <w:rsid w:val="302C3DCE"/>
    <w:rsid w:val="303E1D0E"/>
    <w:rsid w:val="30406FD1"/>
    <w:rsid w:val="30424964"/>
    <w:rsid w:val="30576568"/>
    <w:rsid w:val="30695D27"/>
    <w:rsid w:val="309A44F4"/>
    <w:rsid w:val="309C57CB"/>
    <w:rsid w:val="30A309C3"/>
    <w:rsid w:val="30B059A2"/>
    <w:rsid w:val="30B31B89"/>
    <w:rsid w:val="30B67543"/>
    <w:rsid w:val="30B77036"/>
    <w:rsid w:val="30BA3015"/>
    <w:rsid w:val="310137B1"/>
    <w:rsid w:val="3106476B"/>
    <w:rsid w:val="310F7A01"/>
    <w:rsid w:val="31102DE7"/>
    <w:rsid w:val="31167D8D"/>
    <w:rsid w:val="31295F61"/>
    <w:rsid w:val="31323F94"/>
    <w:rsid w:val="313E524F"/>
    <w:rsid w:val="3154270A"/>
    <w:rsid w:val="315A64D4"/>
    <w:rsid w:val="31607574"/>
    <w:rsid w:val="31671616"/>
    <w:rsid w:val="3189428A"/>
    <w:rsid w:val="318D37BB"/>
    <w:rsid w:val="31973A57"/>
    <w:rsid w:val="31983637"/>
    <w:rsid w:val="31A04336"/>
    <w:rsid w:val="31AE341C"/>
    <w:rsid w:val="31B22405"/>
    <w:rsid w:val="31B30043"/>
    <w:rsid w:val="31B64C69"/>
    <w:rsid w:val="31B82294"/>
    <w:rsid w:val="31BF264E"/>
    <w:rsid w:val="31C262F6"/>
    <w:rsid w:val="31C75D39"/>
    <w:rsid w:val="31C771EC"/>
    <w:rsid w:val="31D053C0"/>
    <w:rsid w:val="31D9148B"/>
    <w:rsid w:val="31DA0183"/>
    <w:rsid w:val="31E10BE3"/>
    <w:rsid w:val="31EA1749"/>
    <w:rsid w:val="31FD1227"/>
    <w:rsid w:val="320A243D"/>
    <w:rsid w:val="32191252"/>
    <w:rsid w:val="32495110"/>
    <w:rsid w:val="325D07E4"/>
    <w:rsid w:val="32682E98"/>
    <w:rsid w:val="327556FE"/>
    <w:rsid w:val="32884F63"/>
    <w:rsid w:val="328A49FA"/>
    <w:rsid w:val="32A0085F"/>
    <w:rsid w:val="32A12652"/>
    <w:rsid w:val="32B73DE5"/>
    <w:rsid w:val="32BE200C"/>
    <w:rsid w:val="32C56718"/>
    <w:rsid w:val="32E419E9"/>
    <w:rsid w:val="32EA5881"/>
    <w:rsid w:val="32ED0BAC"/>
    <w:rsid w:val="32F73699"/>
    <w:rsid w:val="32F75A72"/>
    <w:rsid w:val="33010417"/>
    <w:rsid w:val="3301513E"/>
    <w:rsid w:val="330B57AE"/>
    <w:rsid w:val="33160B51"/>
    <w:rsid w:val="33174961"/>
    <w:rsid w:val="33260492"/>
    <w:rsid w:val="332A12B8"/>
    <w:rsid w:val="33304E4D"/>
    <w:rsid w:val="333155AA"/>
    <w:rsid w:val="33444067"/>
    <w:rsid w:val="334D06E6"/>
    <w:rsid w:val="33560AA5"/>
    <w:rsid w:val="33885BA2"/>
    <w:rsid w:val="339F44B0"/>
    <w:rsid w:val="33A2330C"/>
    <w:rsid w:val="33A92F2F"/>
    <w:rsid w:val="33AA3D46"/>
    <w:rsid w:val="33AA7294"/>
    <w:rsid w:val="33AB4C42"/>
    <w:rsid w:val="33B57D19"/>
    <w:rsid w:val="33C55A7A"/>
    <w:rsid w:val="33EA7F6D"/>
    <w:rsid w:val="33EF0E80"/>
    <w:rsid w:val="33F2465D"/>
    <w:rsid w:val="33F455F9"/>
    <w:rsid w:val="33F92E29"/>
    <w:rsid w:val="34056924"/>
    <w:rsid w:val="34111089"/>
    <w:rsid w:val="341A5E32"/>
    <w:rsid w:val="34385041"/>
    <w:rsid w:val="34442C19"/>
    <w:rsid w:val="344472CD"/>
    <w:rsid w:val="344875DB"/>
    <w:rsid w:val="345327B1"/>
    <w:rsid w:val="346511A8"/>
    <w:rsid w:val="347A77AC"/>
    <w:rsid w:val="34825E5D"/>
    <w:rsid w:val="34877CE8"/>
    <w:rsid w:val="34991DF6"/>
    <w:rsid w:val="34A769E4"/>
    <w:rsid w:val="34A94D04"/>
    <w:rsid w:val="34B0402D"/>
    <w:rsid w:val="34B9357A"/>
    <w:rsid w:val="34CA38A2"/>
    <w:rsid w:val="34CD29A6"/>
    <w:rsid w:val="34CD7521"/>
    <w:rsid w:val="34EB1C02"/>
    <w:rsid w:val="34EC124D"/>
    <w:rsid w:val="34F55E2F"/>
    <w:rsid w:val="34F713E3"/>
    <w:rsid w:val="3502519D"/>
    <w:rsid w:val="35105594"/>
    <w:rsid w:val="35181A32"/>
    <w:rsid w:val="3520035B"/>
    <w:rsid w:val="35292FF1"/>
    <w:rsid w:val="35327B80"/>
    <w:rsid w:val="35394C91"/>
    <w:rsid w:val="35515F95"/>
    <w:rsid w:val="35543640"/>
    <w:rsid w:val="3561044A"/>
    <w:rsid w:val="35623B07"/>
    <w:rsid w:val="359F2ED6"/>
    <w:rsid w:val="35A235B9"/>
    <w:rsid w:val="35A564CA"/>
    <w:rsid w:val="35A61997"/>
    <w:rsid w:val="35A86BDE"/>
    <w:rsid w:val="35B00899"/>
    <w:rsid w:val="35B56676"/>
    <w:rsid w:val="35BF4704"/>
    <w:rsid w:val="35C215F3"/>
    <w:rsid w:val="35D43977"/>
    <w:rsid w:val="35E13599"/>
    <w:rsid w:val="360416D1"/>
    <w:rsid w:val="36043EF2"/>
    <w:rsid w:val="360945C3"/>
    <w:rsid w:val="361F1924"/>
    <w:rsid w:val="36375825"/>
    <w:rsid w:val="363D550A"/>
    <w:rsid w:val="363F5B8C"/>
    <w:rsid w:val="36411A34"/>
    <w:rsid w:val="36420F4B"/>
    <w:rsid w:val="364C34D5"/>
    <w:rsid w:val="3650452F"/>
    <w:rsid w:val="36543066"/>
    <w:rsid w:val="36552BC1"/>
    <w:rsid w:val="36565AF9"/>
    <w:rsid w:val="365D7E36"/>
    <w:rsid w:val="36743964"/>
    <w:rsid w:val="36760927"/>
    <w:rsid w:val="36796C84"/>
    <w:rsid w:val="368C04FF"/>
    <w:rsid w:val="3692120B"/>
    <w:rsid w:val="36C16F69"/>
    <w:rsid w:val="36E8025C"/>
    <w:rsid w:val="36EB13E7"/>
    <w:rsid w:val="36ED061B"/>
    <w:rsid w:val="371D7C59"/>
    <w:rsid w:val="371F2C21"/>
    <w:rsid w:val="37386315"/>
    <w:rsid w:val="373966BF"/>
    <w:rsid w:val="37550392"/>
    <w:rsid w:val="376B6698"/>
    <w:rsid w:val="3784033C"/>
    <w:rsid w:val="37873001"/>
    <w:rsid w:val="378818B3"/>
    <w:rsid w:val="37881941"/>
    <w:rsid w:val="37893954"/>
    <w:rsid w:val="37AD19A5"/>
    <w:rsid w:val="37AD4051"/>
    <w:rsid w:val="37AE2C70"/>
    <w:rsid w:val="37AE3D4F"/>
    <w:rsid w:val="37D311BE"/>
    <w:rsid w:val="37D73D98"/>
    <w:rsid w:val="37D77088"/>
    <w:rsid w:val="37DE75A6"/>
    <w:rsid w:val="37E45736"/>
    <w:rsid w:val="37EF21FA"/>
    <w:rsid w:val="380D1DF8"/>
    <w:rsid w:val="38177104"/>
    <w:rsid w:val="38343CF8"/>
    <w:rsid w:val="383C1156"/>
    <w:rsid w:val="384C0E7B"/>
    <w:rsid w:val="38511657"/>
    <w:rsid w:val="38573E77"/>
    <w:rsid w:val="38602763"/>
    <w:rsid w:val="38763ED8"/>
    <w:rsid w:val="387939C8"/>
    <w:rsid w:val="38851852"/>
    <w:rsid w:val="38855EC9"/>
    <w:rsid w:val="388B6152"/>
    <w:rsid w:val="38B251EF"/>
    <w:rsid w:val="38B94B3B"/>
    <w:rsid w:val="38C4306E"/>
    <w:rsid w:val="38CD6301"/>
    <w:rsid w:val="38D52C5C"/>
    <w:rsid w:val="38DF0452"/>
    <w:rsid w:val="38EF420E"/>
    <w:rsid w:val="38FB1D5E"/>
    <w:rsid w:val="38FB582C"/>
    <w:rsid w:val="38FF2E1A"/>
    <w:rsid w:val="390013A5"/>
    <w:rsid w:val="390C5C90"/>
    <w:rsid w:val="3915321F"/>
    <w:rsid w:val="3922354B"/>
    <w:rsid w:val="39261DF9"/>
    <w:rsid w:val="39380364"/>
    <w:rsid w:val="395D29A2"/>
    <w:rsid w:val="395F671A"/>
    <w:rsid w:val="39614166"/>
    <w:rsid w:val="398D796F"/>
    <w:rsid w:val="399145CA"/>
    <w:rsid w:val="39970FB4"/>
    <w:rsid w:val="399A3A79"/>
    <w:rsid w:val="39A51CE0"/>
    <w:rsid w:val="39A65D00"/>
    <w:rsid w:val="39B027BA"/>
    <w:rsid w:val="39B723E4"/>
    <w:rsid w:val="39C50DE6"/>
    <w:rsid w:val="39CB7A87"/>
    <w:rsid w:val="39FC7488"/>
    <w:rsid w:val="3A011023"/>
    <w:rsid w:val="3A0B3E07"/>
    <w:rsid w:val="3A14138F"/>
    <w:rsid w:val="3A4701AF"/>
    <w:rsid w:val="3A527966"/>
    <w:rsid w:val="3A571AE7"/>
    <w:rsid w:val="3A581FA4"/>
    <w:rsid w:val="3A616393"/>
    <w:rsid w:val="3A6C67A5"/>
    <w:rsid w:val="3AB91255"/>
    <w:rsid w:val="3AD3124F"/>
    <w:rsid w:val="3AEA295B"/>
    <w:rsid w:val="3AFA227D"/>
    <w:rsid w:val="3B037AD7"/>
    <w:rsid w:val="3B074C1B"/>
    <w:rsid w:val="3B10564F"/>
    <w:rsid w:val="3B143FA8"/>
    <w:rsid w:val="3B173BFD"/>
    <w:rsid w:val="3B1D03BA"/>
    <w:rsid w:val="3B36176B"/>
    <w:rsid w:val="3B387052"/>
    <w:rsid w:val="3B3E4F61"/>
    <w:rsid w:val="3B457FCA"/>
    <w:rsid w:val="3B5A188F"/>
    <w:rsid w:val="3B662BC0"/>
    <w:rsid w:val="3B664C36"/>
    <w:rsid w:val="3B6A75F8"/>
    <w:rsid w:val="3B7D6F6A"/>
    <w:rsid w:val="3B7F30A4"/>
    <w:rsid w:val="3B8D5A02"/>
    <w:rsid w:val="3B9725CA"/>
    <w:rsid w:val="3BA672A9"/>
    <w:rsid w:val="3BB3668C"/>
    <w:rsid w:val="3BC51E5E"/>
    <w:rsid w:val="3BC81B99"/>
    <w:rsid w:val="3BD176FB"/>
    <w:rsid w:val="3BDA4E48"/>
    <w:rsid w:val="3BE24B60"/>
    <w:rsid w:val="3C005505"/>
    <w:rsid w:val="3C0F3747"/>
    <w:rsid w:val="3C0F6E42"/>
    <w:rsid w:val="3C13580F"/>
    <w:rsid w:val="3C177613"/>
    <w:rsid w:val="3C2900DB"/>
    <w:rsid w:val="3C2F42C7"/>
    <w:rsid w:val="3C3521B7"/>
    <w:rsid w:val="3C385639"/>
    <w:rsid w:val="3C3A59BA"/>
    <w:rsid w:val="3C434BD1"/>
    <w:rsid w:val="3C4A49AD"/>
    <w:rsid w:val="3C511290"/>
    <w:rsid w:val="3C6E403E"/>
    <w:rsid w:val="3C734CC5"/>
    <w:rsid w:val="3C8D47B1"/>
    <w:rsid w:val="3CA7096C"/>
    <w:rsid w:val="3CAE0A5F"/>
    <w:rsid w:val="3CB212CE"/>
    <w:rsid w:val="3CB61674"/>
    <w:rsid w:val="3CBA14E0"/>
    <w:rsid w:val="3CBA4266"/>
    <w:rsid w:val="3CD2281C"/>
    <w:rsid w:val="3CEE1FB3"/>
    <w:rsid w:val="3CF8576A"/>
    <w:rsid w:val="3CFF4D03"/>
    <w:rsid w:val="3D08650E"/>
    <w:rsid w:val="3D1D679D"/>
    <w:rsid w:val="3D353732"/>
    <w:rsid w:val="3D482113"/>
    <w:rsid w:val="3D5237A1"/>
    <w:rsid w:val="3D695658"/>
    <w:rsid w:val="3D6C1CB7"/>
    <w:rsid w:val="3D6D40C7"/>
    <w:rsid w:val="3D7048F2"/>
    <w:rsid w:val="3D74592B"/>
    <w:rsid w:val="3D760D32"/>
    <w:rsid w:val="3D8262BA"/>
    <w:rsid w:val="3D897263"/>
    <w:rsid w:val="3DB50FFF"/>
    <w:rsid w:val="3DD45235"/>
    <w:rsid w:val="3DDF1FD2"/>
    <w:rsid w:val="3DE95026"/>
    <w:rsid w:val="3DEA5B44"/>
    <w:rsid w:val="3DF81119"/>
    <w:rsid w:val="3DFE00AC"/>
    <w:rsid w:val="3E0006CE"/>
    <w:rsid w:val="3E0223A7"/>
    <w:rsid w:val="3E117CD5"/>
    <w:rsid w:val="3E162874"/>
    <w:rsid w:val="3E2823FC"/>
    <w:rsid w:val="3E3667C6"/>
    <w:rsid w:val="3E4501C0"/>
    <w:rsid w:val="3E4E515B"/>
    <w:rsid w:val="3E5E2C60"/>
    <w:rsid w:val="3E6BB673"/>
    <w:rsid w:val="3E750542"/>
    <w:rsid w:val="3E8566C7"/>
    <w:rsid w:val="3E8F0CD4"/>
    <w:rsid w:val="3EA411C3"/>
    <w:rsid w:val="3EB97976"/>
    <w:rsid w:val="3EC06511"/>
    <w:rsid w:val="3EC86A2B"/>
    <w:rsid w:val="3ECA3DB3"/>
    <w:rsid w:val="3ECC5C19"/>
    <w:rsid w:val="3ECD49ED"/>
    <w:rsid w:val="3ED02D59"/>
    <w:rsid w:val="3ED16010"/>
    <w:rsid w:val="3ED94336"/>
    <w:rsid w:val="3EDE6AE7"/>
    <w:rsid w:val="3EE43DF4"/>
    <w:rsid w:val="3EF577E2"/>
    <w:rsid w:val="3EFD5398"/>
    <w:rsid w:val="3F1039ED"/>
    <w:rsid w:val="3F1228ED"/>
    <w:rsid w:val="3F163D1F"/>
    <w:rsid w:val="3F333A22"/>
    <w:rsid w:val="3F417614"/>
    <w:rsid w:val="3F4559BA"/>
    <w:rsid w:val="3F59568A"/>
    <w:rsid w:val="3F6842F2"/>
    <w:rsid w:val="3F6B4F2C"/>
    <w:rsid w:val="3F77070A"/>
    <w:rsid w:val="3F797999"/>
    <w:rsid w:val="3F846153"/>
    <w:rsid w:val="3F877B3E"/>
    <w:rsid w:val="3FB97A7C"/>
    <w:rsid w:val="3FBE4111"/>
    <w:rsid w:val="3FBF43B6"/>
    <w:rsid w:val="3FC7C282"/>
    <w:rsid w:val="3FCB3AE1"/>
    <w:rsid w:val="3FDD5EE3"/>
    <w:rsid w:val="3FE54875"/>
    <w:rsid w:val="3FEA4EC1"/>
    <w:rsid w:val="3FF17F6E"/>
    <w:rsid w:val="3FF913F8"/>
    <w:rsid w:val="3FF951A1"/>
    <w:rsid w:val="40061FE5"/>
    <w:rsid w:val="402079EC"/>
    <w:rsid w:val="40380746"/>
    <w:rsid w:val="403A3A3D"/>
    <w:rsid w:val="40403FAF"/>
    <w:rsid w:val="40465640"/>
    <w:rsid w:val="4061642F"/>
    <w:rsid w:val="406C5052"/>
    <w:rsid w:val="4071077E"/>
    <w:rsid w:val="4075728F"/>
    <w:rsid w:val="40857C93"/>
    <w:rsid w:val="409022B4"/>
    <w:rsid w:val="40986D02"/>
    <w:rsid w:val="40A23CC4"/>
    <w:rsid w:val="40CA1BEA"/>
    <w:rsid w:val="40CA3AF7"/>
    <w:rsid w:val="40D64733"/>
    <w:rsid w:val="40D77348"/>
    <w:rsid w:val="40E0015D"/>
    <w:rsid w:val="40E859D9"/>
    <w:rsid w:val="40EA717A"/>
    <w:rsid w:val="40EC2905"/>
    <w:rsid w:val="40ED7524"/>
    <w:rsid w:val="40F305CF"/>
    <w:rsid w:val="40F73BD9"/>
    <w:rsid w:val="41063807"/>
    <w:rsid w:val="410D5848"/>
    <w:rsid w:val="4121689F"/>
    <w:rsid w:val="41302438"/>
    <w:rsid w:val="4132477C"/>
    <w:rsid w:val="41347F62"/>
    <w:rsid w:val="41373AA9"/>
    <w:rsid w:val="415D4EF9"/>
    <w:rsid w:val="415E01D3"/>
    <w:rsid w:val="416A48C8"/>
    <w:rsid w:val="41765BEF"/>
    <w:rsid w:val="417B48F0"/>
    <w:rsid w:val="417D7544"/>
    <w:rsid w:val="41836E09"/>
    <w:rsid w:val="418732F8"/>
    <w:rsid w:val="41915C07"/>
    <w:rsid w:val="41990C37"/>
    <w:rsid w:val="419D25D7"/>
    <w:rsid w:val="419E0E65"/>
    <w:rsid w:val="41BD7E87"/>
    <w:rsid w:val="41CF16CA"/>
    <w:rsid w:val="41DF5A9C"/>
    <w:rsid w:val="41F07F56"/>
    <w:rsid w:val="41FA6B62"/>
    <w:rsid w:val="41FC26E4"/>
    <w:rsid w:val="4206132D"/>
    <w:rsid w:val="420933DF"/>
    <w:rsid w:val="421E2360"/>
    <w:rsid w:val="422159F0"/>
    <w:rsid w:val="422E2E99"/>
    <w:rsid w:val="422E73E6"/>
    <w:rsid w:val="42313CAB"/>
    <w:rsid w:val="423440F5"/>
    <w:rsid w:val="42360234"/>
    <w:rsid w:val="425E5134"/>
    <w:rsid w:val="427916F6"/>
    <w:rsid w:val="42842DCA"/>
    <w:rsid w:val="428C3511"/>
    <w:rsid w:val="42947140"/>
    <w:rsid w:val="429E6289"/>
    <w:rsid w:val="42A36899"/>
    <w:rsid w:val="42A71A8F"/>
    <w:rsid w:val="42BB04D5"/>
    <w:rsid w:val="42BF1F59"/>
    <w:rsid w:val="42C137D3"/>
    <w:rsid w:val="42D431E7"/>
    <w:rsid w:val="42DD3C7C"/>
    <w:rsid w:val="42E06D3F"/>
    <w:rsid w:val="42E47497"/>
    <w:rsid w:val="42EB703C"/>
    <w:rsid w:val="42EC78E6"/>
    <w:rsid w:val="42F44809"/>
    <w:rsid w:val="42F6791F"/>
    <w:rsid w:val="43105D77"/>
    <w:rsid w:val="4311783D"/>
    <w:rsid w:val="431A0A7B"/>
    <w:rsid w:val="432604B9"/>
    <w:rsid w:val="433A1F65"/>
    <w:rsid w:val="434F5A51"/>
    <w:rsid w:val="436F4138"/>
    <w:rsid w:val="4376192C"/>
    <w:rsid w:val="43825D5B"/>
    <w:rsid w:val="43826334"/>
    <w:rsid w:val="438274D6"/>
    <w:rsid w:val="43A63197"/>
    <w:rsid w:val="43AE09CA"/>
    <w:rsid w:val="43BB2C3F"/>
    <w:rsid w:val="43CA7F97"/>
    <w:rsid w:val="43D527A2"/>
    <w:rsid w:val="43E443EC"/>
    <w:rsid w:val="43E5117C"/>
    <w:rsid w:val="43E75C8A"/>
    <w:rsid w:val="43EF46DE"/>
    <w:rsid w:val="43F02873"/>
    <w:rsid w:val="440B5E1C"/>
    <w:rsid w:val="441E4855"/>
    <w:rsid w:val="441F0428"/>
    <w:rsid w:val="44316DCA"/>
    <w:rsid w:val="4451500F"/>
    <w:rsid w:val="44567BE7"/>
    <w:rsid w:val="445A043F"/>
    <w:rsid w:val="445A645C"/>
    <w:rsid w:val="445B4977"/>
    <w:rsid w:val="445D1C18"/>
    <w:rsid w:val="44604184"/>
    <w:rsid w:val="44686728"/>
    <w:rsid w:val="448630B3"/>
    <w:rsid w:val="448B156B"/>
    <w:rsid w:val="448D21B3"/>
    <w:rsid w:val="44913B8D"/>
    <w:rsid w:val="449B49DA"/>
    <w:rsid w:val="44B46CE9"/>
    <w:rsid w:val="44B622C6"/>
    <w:rsid w:val="44C1122D"/>
    <w:rsid w:val="44CB1108"/>
    <w:rsid w:val="44DB3BAD"/>
    <w:rsid w:val="44EF7556"/>
    <w:rsid w:val="45073435"/>
    <w:rsid w:val="45161D33"/>
    <w:rsid w:val="452269D1"/>
    <w:rsid w:val="452913B3"/>
    <w:rsid w:val="454C27BA"/>
    <w:rsid w:val="454E4D92"/>
    <w:rsid w:val="454E75BB"/>
    <w:rsid w:val="45501F85"/>
    <w:rsid w:val="45521D98"/>
    <w:rsid w:val="455519C6"/>
    <w:rsid w:val="459021C4"/>
    <w:rsid w:val="45982CA1"/>
    <w:rsid w:val="45A51959"/>
    <w:rsid w:val="45A603D9"/>
    <w:rsid w:val="45B1654F"/>
    <w:rsid w:val="45D33AEA"/>
    <w:rsid w:val="45D945AF"/>
    <w:rsid w:val="45D9497A"/>
    <w:rsid w:val="45DC6E49"/>
    <w:rsid w:val="45E3750C"/>
    <w:rsid w:val="45E72D80"/>
    <w:rsid w:val="45E73807"/>
    <w:rsid w:val="45F22D41"/>
    <w:rsid w:val="46044B84"/>
    <w:rsid w:val="460923E7"/>
    <w:rsid w:val="46267B8D"/>
    <w:rsid w:val="46296CFD"/>
    <w:rsid w:val="4631138D"/>
    <w:rsid w:val="464E3D9E"/>
    <w:rsid w:val="4672561E"/>
    <w:rsid w:val="46813229"/>
    <w:rsid w:val="46832CE2"/>
    <w:rsid w:val="46886B3E"/>
    <w:rsid w:val="469F1B08"/>
    <w:rsid w:val="469F5BC1"/>
    <w:rsid w:val="46A86972"/>
    <w:rsid w:val="46B12A0C"/>
    <w:rsid w:val="46B22AFA"/>
    <w:rsid w:val="46B31897"/>
    <w:rsid w:val="46BF4928"/>
    <w:rsid w:val="46C430AB"/>
    <w:rsid w:val="46E75FA1"/>
    <w:rsid w:val="46EB5A91"/>
    <w:rsid w:val="46EE50CD"/>
    <w:rsid w:val="47095803"/>
    <w:rsid w:val="470F0517"/>
    <w:rsid w:val="47141B39"/>
    <w:rsid w:val="47200D37"/>
    <w:rsid w:val="47215D02"/>
    <w:rsid w:val="472D14AC"/>
    <w:rsid w:val="47370ABA"/>
    <w:rsid w:val="4746684B"/>
    <w:rsid w:val="474F47DA"/>
    <w:rsid w:val="475C05A1"/>
    <w:rsid w:val="47621DD1"/>
    <w:rsid w:val="47672A3E"/>
    <w:rsid w:val="47711B0E"/>
    <w:rsid w:val="477B1305"/>
    <w:rsid w:val="47867568"/>
    <w:rsid w:val="4790353E"/>
    <w:rsid w:val="4794500D"/>
    <w:rsid w:val="4797719D"/>
    <w:rsid w:val="47A002F6"/>
    <w:rsid w:val="47AB7F69"/>
    <w:rsid w:val="47B90B7F"/>
    <w:rsid w:val="47C57F01"/>
    <w:rsid w:val="47E45A99"/>
    <w:rsid w:val="47F907C5"/>
    <w:rsid w:val="480C0168"/>
    <w:rsid w:val="480D0453"/>
    <w:rsid w:val="48274B6C"/>
    <w:rsid w:val="48310949"/>
    <w:rsid w:val="483551AB"/>
    <w:rsid w:val="483D22CC"/>
    <w:rsid w:val="483E5F65"/>
    <w:rsid w:val="486B00BB"/>
    <w:rsid w:val="488127A7"/>
    <w:rsid w:val="48991076"/>
    <w:rsid w:val="489B0AD4"/>
    <w:rsid w:val="489C0E7C"/>
    <w:rsid w:val="48C22C2E"/>
    <w:rsid w:val="48C5646E"/>
    <w:rsid w:val="48D662CD"/>
    <w:rsid w:val="48E15FB7"/>
    <w:rsid w:val="48F8683C"/>
    <w:rsid w:val="490F06E0"/>
    <w:rsid w:val="49112F05"/>
    <w:rsid w:val="49255DFC"/>
    <w:rsid w:val="492C2F96"/>
    <w:rsid w:val="493F20C4"/>
    <w:rsid w:val="4942492D"/>
    <w:rsid w:val="49447356"/>
    <w:rsid w:val="494576F1"/>
    <w:rsid w:val="494C493D"/>
    <w:rsid w:val="49555444"/>
    <w:rsid w:val="49570857"/>
    <w:rsid w:val="496B42DA"/>
    <w:rsid w:val="49777D4C"/>
    <w:rsid w:val="49831760"/>
    <w:rsid w:val="498755F1"/>
    <w:rsid w:val="49881965"/>
    <w:rsid w:val="498979C8"/>
    <w:rsid w:val="498F3A3D"/>
    <w:rsid w:val="49A21823"/>
    <w:rsid w:val="49A27191"/>
    <w:rsid w:val="49A642F4"/>
    <w:rsid w:val="49A935D9"/>
    <w:rsid w:val="49C97224"/>
    <w:rsid w:val="49E26DC6"/>
    <w:rsid w:val="49E656E9"/>
    <w:rsid w:val="49F00052"/>
    <w:rsid w:val="49FC1D3A"/>
    <w:rsid w:val="49FC288D"/>
    <w:rsid w:val="4A11777F"/>
    <w:rsid w:val="4A161077"/>
    <w:rsid w:val="4A301CC2"/>
    <w:rsid w:val="4A317D5F"/>
    <w:rsid w:val="4A4B730C"/>
    <w:rsid w:val="4A4F5B0A"/>
    <w:rsid w:val="4A50523D"/>
    <w:rsid w:val="4A5E0308"/>
    <w:rsid w:val="4A6B6A74"/>
    <w:rsid w:val="4A776CD1"/>
    <w:rsid w:val="4A7E3750"/>
    <w:rsid w:val="4A806DBF"/>
    <w:rsid w:val="4A8F7A4B"/>
    <w:rsid w:val="4AA002B4"/>
    <w:rsid w:val="4AA065F5"/>
    <w:rsid w:val="4AB23C03"/>
    <w:rsid w:val="4ABD4294"/>
    <w:rsid w:val="4ACA3C0F"/>
    <w:rsid w:val="4ACD23D6"/>
    <w:rsid w:val="4AD15731"/>
    <w:rsid w:val="4AD16930"/>
    <w:rsid w:val="4AD62DA1"/>
    <w:rsid w:val="4AE276BC"/>
    <w:rsid w:val="4AF6508E"/>
    <w:rsid w:val="4B00283F"/>
    <w:rsid w:val="4B0870AC"/>
    <w:rsid w:val="4B0E4511"/>
    <w:rsid w:val="4B127154"/>
    <w:rsid w:val="4B1371CB"/>
    <w:rsid w:val="4B197687"/>
    <w:rsid w:val="4B1C0B28"/>
    <w:rsid w:val="4B465A2F"/>
    <w:rsid w:val="4B5538D6"/>
    <w:rsid w:val="4B581620"/>
    <w:rsid w:val="4B5A3F7D"/>
    <w:rsid w:val="4B5E121D"/>
    <w:rsid w:val="4B88462C"/>
    <w:rsid w:val="4B897671"/>
    <w:rsid w:val="4B982CC0"/>
    <w:rsid w:val="4B9B0EA7"/>
    <w:rsid w:val="4B9C58D4"/>
    <w:rsid w:val="4B9D7435"/>
    <w:rsid w:val="4B9E042B"/>
    <w:rsid w:val="4BA74EBA"/>
    <w:rsid w:val="4BB15DD7"/>
    <w:rsid w:val="4BB673BE"/>
    <w:rsid w:val="4BD72A7F"/>
    <w:rsid w:val="4BD76EF4"/>
    <w:rsid w:val="4BE84AD9"/>
    <w:rsid w:val="4BEB3A83"/>
    <w:rsid w:val="4BF43354"/>
    <w:rsid w:val="4BFF4460"/>
    <w:rsid w:val="4C070F38"/>
    <w:rsid w:val="4C1106C3"/>
    <w:rsid w:val="4C19280C"/>
    <w:rsid w:val="4C217FD6"/>
    <w:rsid w:val="4C2E7741"/>
    <w:rsid w:val="4C3E2CC4"/>
    <w:rsid w:val="4C4307E7"/>
    <w:rsid w:val="4C471FD7"/>
    <w:rsid w:val="4C4E6B2B"/>
    <w:rsid w:val="4C5D6314"/>
    <w:rsid w:val="4C6B25BB"/>
    <w:rsid w:val="4C8F52A1"/>
    <w:rsid w:val="4C913F42"/>
    <w:rsid w:val="4C99297E"/>
    <w:rsid w:val="4C9F4318"/>
    <w:rsid w:val="4CA472A7"/>
    <w:rsid w:val="4CA62864"/>
    <w:rsid w:val="4CAC32BC"/>
    <w:rsid w:val="4CB437F6"/>
    <w:rsid w:val="4CB52377"/>
    <w:rsid w:val="4CC45876"/>
    <w:rsid w:val="4CC46FA7"/>
    <w:rsid w:val="4CCF0B8F"/>
    <w:rsid w:val="4CD1167C"/>
    <w:rsid w:val="4CF25395"/>
    <w:rsid w:val="4CF91D35"/>
    <w:rsid w:val="4CFD2BF9"/>
    <w:rsid w:val="4D034783"/>
    <w:rsid w:val="4D0A751E"/>
    <w:rsid w:val="4D104C60"/>
    <w:rsid w:val="4D114845"/>
    <w:rsid w:val="4D191AD4"/>
    <w:rsid w:val="4D255278"/>
    <w:rsid w:val="4D2668B3"/>
    <w:rsid w:val="4D473501"/>
    <w:rsid w:val="4D570277"/>
    <w:rsid w:val="4D595B24"/>
    <w:rsid w:val="4D641BDB"/>
    <w:rsid w:val="4D6E214A"/>
    <w:rsid w:val="4D7D5612"/>
    <w:rsid w:val="4D812938"/>
    <w:rsid w:val="4D852885"/>
    <w:rsid w:val="4D9D5D0F"/>
    <w:rsid w:val="4DA24D1C"/>
    <w:rsid w:val="4DA84197"/>
    <w:rsid w:val="4DBA0D0F"/>
    <w:rsid w:val="4DBB3186"/>
    <w:rsid w:val="4DC64B62"/>
    <w:rsid w:val="4DC746DC"/>
    <w:rsid w:val="4DD27265"/>
    <w:rsid w:val="4DD752A2"/>
    <w:rsid w:val="4DE624DA"/>
    <w:rsid w:val="4DE86678"/>
    <w:rsid w:val="4DF2276D"/>
    <w:rsid w:val="4DFC67D6"/>
    <w:rsid w:val="4E0975E7"/>
    <w:rsid w:val="4E155B85"/>
    <w:rsid w:val="4E191EAF"/>
    <w:rsid w:val="4E374D44"/>
    <w:rsid w:val="4E4241EE"/>
    <w:rsid w:val="4E4F1AF9"/>
    <w:rsid w:val="4E524648"/>
    <w:rsid w:val="4E664701"/>
    <w:rsid w:val="4E6A4CF1"/>
    <w:rsid w:val="4E6E0343"/>
    <w:rsid w:val="4E6E4B82"/>
    <w:rsid w:val="4E6F6FA8"/>
    <w:rsid w:val="4E771F3E"/>
    <w:rsid w:val="4E803FA8"/>
    <w:rsid w:val="4E814E30"/>
    <w:rsid w:val="4E8B2588"/>
    <w:rsid w:val="4E9E3C23"/>
    <w:rsid w:val="4EA3285D"/>
    <w:rsid w:val="4EAA2BA6"/>
    <w:rsid w:val="4EDB25F7"/>
    <w:rsid w:val="4EEF578A"/>
    <w:rsid w:val="4EF0515A"/>
    <w:rsid w:val="4EFA6DC1"/>
    <w:rsid w:val="4F026AD9"/>
    <w:rsid w:val="4F0B2582"/>
    <w:rsid w:val="4F0F2B70"/>
    <w:rsid w:val="4F212A01"/>
    <w:rsid w:val="4F241B17"/>
    <w:rsid w:val="4F257073"/>
    <w:rsid w:val="4F376DC8"/>
    <w:rsid w:val="4F3D0E2C"/>
    <w:rsid w:val="4F440434"/>
    <w:rsid w:val="4F574F3D"/>
    <w:rsid w:val="4F6B6C90"/>
    <w:rsid w:val="4F780A0E"/>
    <w:rsid w:val="4F7A1E4D"/>
    <w:rsid w:val="4F844786"/>
    <w:rsid w:val="4F8B3E56"/>
    <w:rsid w:val="4F8B78F2"/>
    <w:rsid w:val="4F910446"/>
    <w:rsid w:val="4F9A7AF4"/>
    <w:rsid w:val="4FA87C71"/>
    <w:rsid w:val="4FAD6B06"/>
    <w:rsid w:val="4FF26A8A"/>
    <w:rsid w:val="500E2189"/>
    <w:rsid w:val="500E6B14"/>
    <w:rsid w:val="501C5F4C"/>
    <w:rsid w:val="50242873"/>
    <w:rsid w:val="503B680E"/>
    <w:rsid w:val="50594100"/>
    <w:rsid w:val="5067531C"/>
    <w:rsid w:val="507813B0"/>
    <w:rsid w:val="50794F72"/>
    <w:rsid w:val="507C21F5"/>
    <w:rsid w:val="507D0CA9"/>
    <w:rsid w:val="50852AB2"/>
    <w:rsid w:val="509141B6"/>
    <w:rsid w:val="50BF076D"/>
    <w:rsid w:val="50C11560"/>
    <w:rsid w:val="50C7364E"/>
    <w:rsid w:val="50CB7A87"/>
    <w:rsid w:val="50EB753F"/>
    <w:rsid w:val="50F3057B"/>
    <w:rsid w:val="51033E28"/>
    <w:rsid w:val="51094825"/>
    <w:rsid w:val="51194A6B"/>
    <w:rsid w:val="512460B3"/>
    <w:rsid w:val="512D7670"/>
    <w:rsid w:val="512E7C5E"/>
    <w:rsid w:val="5130772D"/>
    <w:rsid w:val="51320E64"/>
    <w:rsid w:val="513D5554"/>
    <w:rsid w:val="51433A26"/>
    <w:rsid w:val="51435AD8"/>
    <w:rsid w:val="514E026B"/>
    <w:rsid w:val="515E027B"/>
    <w:rsid w:val="518746DA"/>
    <w:rsid w:val="51A14AB5"/>
    <w:rsid w:val="51A407F0"/>
    <w:rsid w:val="51AB479B"/>
    <w:rsid w:val="51B72D2A"/>
    <w:rsid w:val="51BA29E1"/>
    <w:rsid w:val="51BF35FD"/>
    <w:rsid w:val="51C8796C"/>
    <w:rsid w:val="51CA1D55"/>
    <w:rsid w:val="51D3518D"/>
    <w:rsid w:val="51D51773"/>
    <w:rsid w:val="51EC7E84"/>
    <w:rsid w:val="51F02ACF"/>
    <w:rsid w:val="51FA7F99"/>
    <w:rsid w:val="52036385"/>
    <w:rsid w:val="520720D4"/>
    <w:rsid w:val="520D307D"/>
    <w:rsid w:val="520E4894"/>
    <w:rsid w:val="52106F7E"/>
    <w:rsid w:val="52124AA4"/>
    <w:rsid w:val="522A551E"/>
    <w:rsid w:val="522E4BAE"/>
    <w:rsid w:val="522F264F"/>
    <w:rsid w:val="523909B7"/>
    <w:rsid w:val="524C35A0"/>
    <w:rsid w:val="525A6760"/>
    <w:rsid w:val="52644A8E"/>
    <w:rsid w:val="52693783"/>
    <w:rsid w:val="526D567F"/>
    <w:rsid w:val="52765DE3"/>
    <w:rsid w:val="52860304"/>
    <w:rsid w:val="528909E8"/>
    <w:rsid w:val="528F0266"/>
    <w:rsid w:val="52941F98"/>
    <w:rsid w:val="52A42843"/>
    <w:rsid w:val="52A44B1D"/>
    <w:rsid w:val="52A606BB"/>
    <w:rsid w:val="52BE70DE"/>
    <w:rsid w:val="52BF2AF6"/>
    <w:rsid w:val="52C67421"/>
    <w:rsid w:val="52DF6103"/>
    <w:rsid w:val="52EE408A"/>
    <w:rsid w:val="52F43DE1"/>
    <w:rsid w:val="52FC482C"/>
    <w:rsid w:val="530410BC"/>
    <w:rsid w:val="530D4BDD"/>
    <w:rsid w:val="53106487"/>
    <w:rsid w:val="532A36C6"/>
    <w:rsid w:val="53395347"/>
    <w:rsid w:val="535B00EA"/>
    <w:rsid w:val="535D7F64"/>
    <w:rsid w:val="536D0B73"/>
    <w:rsid w:val="536E77DF"/>
    <w:rsid w:val="538542B6"/>
    <w:rsid w:val="538D38F2"/>
    <w:rsid w:val="53A7310B"/>
    <w:rsid w:val="53AD61E2"/>
    <w:rsid w:val="53AE6E89"/>
    <w:rsid w:val="53B07517"/>
    <w:rsid w:val="53BD55C2"/>
    <w:rsid w:val="53BE4E00"/>
    <w:rsid w:val="53C679DE"/>
    <w:rsid w:val="53D73D1F"/>
    <w:rsid w:val="53EA12F8"/>
    <w:rsid w:val="53FD3203"/>
    <w:rsid w:val="540F471F"/>
    <w:rsid w:val="541B565F"/>
    <w:rsid w:val="541F2266"/>
    <w:rsid w:val="54375424"/>
    <w:rsid w:val="54383F56"/>
    <w:rsid w:val="54511490"/>
    <w:rsid w:val="54567CF8"/>
    <w:rsid w:val="54660A34"/>
    <w:rsid w:val="54705FA3"/>
    <w:rsid w:val="5481023F"/>
    <w:rsid w:val="54A569C8"/>
    <w:rsid w:val="54A9350D"/>
    <w:rsid w:val="54AE3555"/>
    <w:rsid w:val="54B44F3E"/>
    <w:rsid w:val="54C6239B"/>
    <w:rsid w:val="54D21FF4"/>
    <w:rsid w:val="54D22C63"/>
    <w:rsid w:val="54D51D92"/>
    <w:rsid w:val="54E33E07"/>
    <w:rsid w:val="54EB509D"/>
    <w:rsid w:val="54F77206"/>
    <w:rsid w:val="550020CC"/>
    <w:rsid w:val="55053FB1"/>
    <w:rsid w:val="550F738D"/>
    <w:rsid w:val="55105D67"/>
    <w:rsid w:val="551F2EF6"/>
    <w:rsid w:val="552E42B1"/>
    <w:rsid w:val="552F2073"/>
    <w:rsid w:val="55320D2F"/>
    <w:rsid w:val="5533296C"/>
    <w:rsid w:val="553C0B0B"/>
    <w:rsid w:val="55564A1D"/>
    <w:rsid w:val="555B3708"/>
    <w:rsid w:val="555C1021"/>
    <w:rsid w:val="55650DD4"/>
    <w:rsid w:val="559544A1"/>
    <w:rsid w:val="559D1B18"/>
    <w:rsid w:val="55A73683"/>
    <w:rsid w:val="55A86518"/>
    <w:rsid w:val="55B45E9B"/>
    <w:rsid w:val="55B5218C"/>
    <w:rsid w:val="55BA16AD"/>
    <w:rsid w:val="55BB2305"/>
    <w:rsid w:val="55C84E61"/>
    <w:rsid w:val="55CD530D"/>
    <w:rsid w:val="55CF199A"/>
    <w:rsid w:val="55CF2C93"/>
    <w:rsid w:val="55D2103B"/>
    <w:rsid w:val="55E768E8"/>
    <w:rsid w:val="55FA0B6B"/>
    <w:rsid w:val="55FD33F4"/>
    <w:rsid w:val="55FF0040"/>
    <w:rsid w:val="560E1DBD"/>
    <w:rsid w:val="563C22AB"/>
    <w:rsid w:val="563E5808"/>
    <w:rsid w:val="56487C06"/>
    <w:rsid w:val="564E5FA7"/>
    <w:rsid w:val="564F2FD6"/>
    <w:rsid w:val="564F4A1A"/>
    <w:rsid w:val="56520BF9"/>
    <w:rsid w:val="56574EF1"/>
    <w:rsid w:val="566400FB"/>
    <w:rsid w:val="566E51D6"/>
    <w:rsid w:val="56775267"/>
    <w:rsid w:val="56830A8A"/>
    <w:rsid w:val="56931F37"/>
    <w:rsid w:val="56932322"/>
    <w:rsid w:val="569C5EA6"/>
    <w:rsid w:val="569E3EE6"/>
    <w:rsid w:val="56AD1933"/>
    <w:rsid w:val="56BA5480"/>
    <w:rsid w:val="56CB403F"/>
    <w:rsid w:val="56D11496"/>
    <w:rsid w:val="56E270E9"/>
    <w:rsid w:val="57071F4E"/>
    <w:rsid w:val="570D730A"/>
    <w:rsid w:val="571B01F2"/>
    <w:rsid w:val="572D0C7B"/>
    <w:rsid w:val="57342B3C"/>
    <w:rsid w:val="574E4E5E"/>
    <w:rsid w:val="57572CCF"/>
    <w:rsid w:val="57710B44"/>
    <w:rsid w:val="57797801"/>
    <w:rsid w:val="577A1F44"/>
    <w:rsid w:val="57823EDB"/>
    <w:rsid w:val="57971AFC"/>
    <w:rsid w:val="57996E2C"/>
    <w:rsid w:val="57B3566A"/>
    <w:rsid w:val="57B83882"/>
    <w:rsid w:val="57C245EC"/>
    <w:rsid w:val="57C72719"/>
    <w:rsid w:val="57CE1ADE"/>
    <w:rsid w:val="57D11333"/>
    <w:rsid w:val="57E87254"/>
    <w:rsid w:val="57EC2FBD"/>
    <w:rsid w:val="57F24692"/>
    <w:rsid w:val="57F51934"/>
    <w:rsid w:val="57F9109C"/>
    <w:rsid w:val="57FD0454"/>
    <w:rsid w:val="580526F5"/>
    <w:rsid w:val="580B1B5D"/>
    <w:rsid w:val="580F52DD"/>
    <w:rsid w:val="58446D2E"/>
    <w:rsid w:val="58447EEA"/>
    <w:rsid w:val="58560FBA"/>
    <w:rsid w:val="585710E6"/>
    <w:rsid w:val="585B630B"/>
    <w:rsid w:val="58621F05"/>
    <w:rsid w:val="586236D9"/>
    <w:rsid w:val="586940F8"/>
    <w:rsid w:val="58707502"/>
    <w:rsid w:val="58723FE4"/>
    <w:rsid w:val="587753D7"/>
    <w:rsid w:val="5888199F"/>
    <w:rsid w:val="588A4236"/>
    <w:rsid w:val="58A9755A"/>
    <w:rsid w:val="58AB7AD4"/>
    <w:rsid w:val="58BD7BC2"/>
    <w:rsid w:val="58C047E6"/>
    <w:rsid w:val="58C12364"/>
    <w:rsid w:val="58CC3FD5"/>
    <w:rsid w:val="58E312F5"/>
    <w:rsid w:val="58EB0BCA"/>
    <w:rsid w:val="58F51F77"/>
    <w:rsid w:val="58FC29EF"/>
    <w:rsid w:val="59025B0D"/>
    <w:rsid w:val="59055CCE"/>
    <w:rsid w:val="590E638E"/>
    <w:rsid w:val="59170A87"/>
    <w:rsid w:val="59184160"/>
    <w:rsid w:val="59254E33"/>
    <w:rsid w:val="59260BAB"/>
    <w:rsid w:val="59294B5B"/>
    <w:rsid w:val="593C6EC8"/>
    <w:rsid w:val="593F4B78"/>
    <w:rsid w:val="59442859"/>
    <w:rsid w:val="5956265F"/>
    <w:rsid w:val="595A36C1"/>
    <w:rsid w:val="595B3C40"/>
    <w:rsid w:val="596C7A31"/>
    <w:rsid w:val="5970339B"/>
    <w:rsid w:val="597C4916"/>
    <w:rsid w:val="597F1642"/>
    <w:rsid w:val="598F4F95"/>
    <w:rsid w:val="5999739E"/>
    <w:rsid w:val="59A1284D"/>
    <w:rsid w:val="59A41164"/>
    <w:rsid w:val="59B12B6A"/>
    <w:rsid w:val="59B569AB"/>
    <w:rsid w:val="59BA4144"/>
    <w:rsid w:val="59C254A5"/>
    <w:rsid w:val="59E06376"/>
    <w:rsid w:val="59E142DC"/>
    <w:rsid w:val="59FF75BE"/>
    <w:rsid w:val="5A0111E2"/>
    <w:rsid w:val="5A0176D1"/>
    <w:rsid w:val="5A1D4EFE"/>
    <w:rsid w:val="5A1F1046"/>
    <w:rsid w:val="5A394566"/>
    <w:rsid w:val="5A3A2204"/>
    <w:rsid w:val="5A427F8C"/>
    <w:rsid w:val="5A472CEC"/>
    <w:rsid w:val="5A666518"/>
    <w:rsid w:val="5A782AA3"/>
    <w:rsid w:val="5A7F24C0"/>
    <w:rsid w:val="5A891532"/>
    <w:rsid w:val="5A97782C"/>
    <w:rsid w:val="5A982B0C"/>
    <w:rsid w:val="5A9B1124"/>
    <w:rsid w:val="5A9E5948"/>
    <w:rsid w:val="5AA669DF"/>
    <w:rsid w:val="5ABB7EBA"/>
    <w:rsid w:val="5ABD5EDB"/>
    <w:rsid w:val="5ACD4C19"/>
    <w:rsid w:val="5AD32AD3"/>
    <w:rsid w:val="5AD61301"/>
    <w:rsid w:val="5ADA0571"/>
    <w:rsid w:val="5AEF6BF7"/>
    <w:rsid w:val="5AF73234"/>
    <w:rsid w:val="5AFF59AA"/>
    <w:rsid w:val="5B0C1D95"/>
    <w:rsid w:val="5B0D1838"/>
    <w:rsid w:val="5B224E28"/>
    <w:rsid w:val="5B28184F"/>
    <w:rsid w:val="5B7222F3"/>
    <w:rsid w:val="5B725324"/>
    <w:rsid w:val="5B751975"/>
    <w:rsid w:val="5B755477"/>
    <w:rsid w:val="5B7A74E3"/>
    <w:rsid w:val="5B7F07D5"/>
    <w:rsid w:val="5B826FBC"/>
    <w:rsid w:val="5B8526E3"/>
    <w:rsid w:val="5BB3092C"/>
    <w:rsid w:val="5BB93F58"/>
    <w:rsid w:val="5BC540D1"/>
    <w:rsid w:val="5BCF7A15"/>
    <w:rsid w:val="5BD24C71"/>
    <w:rsid w:val="5BD74746"/>
    <w:rsid w:val="5BDD2388"/>
    <w:rsid w:val="5BDE576D"/>
    <w:rsid w:val="5BE077E3"/>
    <w:rsid w:val="5BF758DA"/>
    <w:rsid w:val="5BFA5443"/>
    <w:rsid w:val="5BFD05C2"/>
    <w:rsid w:val="5C0033F1"/>
    <w:rsid w:val="5C022EEB"/>
    <w:rsid w:val="5C186ED1"/>
    <w:rsid w:val="5C3637AB"/>
    <w:rsid w:val="5C451D6A"/>
    <w:rsid w:val="5C515F3F"/>
    <w:rsid w:val="5C647285"/>
    <w:rsid w:val="5C7A19BD"/>
    <w:rsid w:val="5C7F214A"/>
    <w:rsid w:val="5C89057D"/>
    <w:rsid w:val="5C9A394F"/>
    <w:rsid w:val="5CAC6FC5"/>
    <w:rsid w:val="5CB00EB7"/>
    <w:rsid w:val="5CB53A34"/>
    <w:rsid w:val="5CB77667"/>
    <w:rsid w:val="5CB96D6F"/>
    <w:rsid w:val="5CC16D8D"/>
    <w:rsid w:val="5CC95D32"/>
    <w:rsid w:val="5CDC179B"/>
    <w:rsid w:val="5CF05758"/>
    <w:rsid w:val="5CF073E9"/>
    <w:rsid w:val="5CFA0384"/>
    <w:rsid w:val="5CFF6E54"/>
    <w:rsid w:val="5D0120B0"/>
    <w:rsid w:val="5D0F2892"/>
    <w:rsid w:val="5D1F047E"/>
    <w:rsid w:val="5D211242"/>
    <w:rsid w:val="5D26311B"/>
    <w:rsid w:val="5D2B2C34"/>
    <w:rsid w:val="5D577A94"/>
    <w:rsid w:val="5D697D79"/>
    <w:rsid w:val="5D6C0A93"/>
    <w:rsid w:val="5D7520B0"/>
    <w:rsid w:val="5D7D2CD6"/>
    <w:rsid w:val="5D8C2F31"/>
    <w:rsid w:val="5D9407D9"/>
    <w:rsid w:val="5D94650F"/>
    <w:rsid w:val="5DA05548"/>
    <w:rsid w:val="5DA4679E"/>
    <w:rsid w:val="5DB76275"/>
    <w:rsid w:val="5DC2282B"/>
    <w:rsid w:val="5DD3264E"/>
    <w:rsid w:val="5DD51469"/>
    <w:rsid w:val="5E041265"/>
    <w:rsid w:val="5E2753FD"/>
    <w:rsid w:val="5E2B7697"/>
    <w:rsid w:val="5E330A47"/>
    <w:rsid w:val="5E3B36FA"/>
    <w:rsid w:val="5E4D2A9C"/>
    <w:rsid w:val="5E521E1C"/>
    <w:rsid w:val="5E5571A4"/>
    <w:rsid w:val="5E5576F3"/>
    <w:rsid w:val="5E723EB4"/>
    <w:rsid w:val="5E912F6A"/>
    <w:rsid w:val="5EA23921"/>
    <w:rsid w:val="5EBD58FA"/>
    <w:rsid w:val="5EC46CBD"/>
    <w:rsid w:val="5EC9488F"/>
    <w:rsid w:val="5ECE5F2E"/>
    <w:rsid w:val="5EDE5C89"/>
    <w:rsid w:val="5EE64AAF"/>
    <w:rsid w:val="5EEF1885"/>
    <w:rsid w:val="5EF47E31"/>
    <w:rsid w:val="5EFB4BF2"/>
    <w:rsid w:val="5F1E58A2"/>
    <w:rsid w:val="5F1F2B83"/>
    <w:rsid w:val="5F215050"/>
    <w:rsid w:val="5F271E7D"/>
    <w:rsid w:val="5F2D4A41"/>
    <w:rsid w:val="5F2E659A"/>
    <w:rsid w:val="5F3E073F"/>
    <w:rsid w:val="5F474BFF"/>
    <w:rsid w:val="5F526781"/>
    <w:rsid w:val="5F623276"/>
    <w:rsid w:val="5F6A0409"/>
    <w:rsid w:val="5F6C2068"/>
    <w:rsid w:val="5F6C31C7"/>
    <w:rsid w:val="5F700DD2"/>
    <w:rsid w:val="5F733EF1"/>
    <w:rsid w:val="5F743B13"/>
    <w:rsid w:val="5F786A3F"/>
    <w:rsid w:val="5F7F46FC"/>
    <w:rsid w:val="5F7FE304"/>
    <w:rsid w:val="5F874FBF"/>
    <w:rsid w:val="5F9B0D23"/>
    <w:rsid w:val="5F9D4C85"/>
    <w:rsid w:val="5F9F8873"/>
    <w:rsid w:val="5FB51FCB"/>
    <w:rsid w:val="5FC2688A"/>
    <w:rsid w:val="5FDC7CD6"/>
    <w:rsid w:val="5FE1547F"/>
    <w:rsid w:val="5FEE3BCE"/>
    <w:rsid w:val="600153BE"/>
    <w:rsid w:val="60094F35"/>
    <w:rsid w:val="600D4CEE"/>
    <w:rsid w:val="60113E2C"/>
    <w:rsid w:val="60116111"/>
    <w:rsid w:val="601609A8"/>
    <w:rsid w:val="602C7C48"/>
    <w:rsid w:val="6035284E"/>
    <w:rsid w:val="604343F0"/>
    <w:rsid w:val="60437DE9"/>
    <w:rsid w:val="6046318F"/>
    <w:rsid w:val="60463EC6"/>
    <w:rsid w:val="604B6CCB"/>
    <w:rsid w:val="6070442A"/>
    <w:rsid w:val="60750165"/>
    <w:rsid w:val="60B9239F"/>
    <w:rsid w:val="60BF5B6D"/>
    <w:rsid w:val="60C645AB"/>
    <w:rsid w:val="60E20DAE"/>
    <w:rsid w:val="60E27E53"/>
    <w:rsid w:val="60F4180C"/>
    <w:rsid w:val="61206F49"/>
    <w:rsid w:val="613D6BAA"/>
    <w:rsid w:val="61410D80"/>
    <w:rsid w:val="615D5386"/>
    <w:rsid w:val="61611A0B"/>
    <w:rsid w:val="61621D97"/>
    <w:rsid w:val="6167427F"/>
    <w:rsid w:val="616A3192"/>
    <w:rsid w:val="61812597"/>
    <w:rsid w:val="61844B11"/>
    <w:rsid w:val="618755C4"/>
    <w:rsid w:val="61953350"/>
    <w:rsid w:val="619E139C"/>
    <w:rsid w:val="61BE5377"/>
    <w:rsid w:val="61D0398A"/>
    <w:rsid w:val="61DE71DE"/>
    <w:rsid w:val="61EA4E6B"/>
    <w:rsid w:val="61F05A3D"/>
    <w:rsid w:val="61F8409E"/>
    <w:rsid w:val="6210237D"/>
    <w:rsid w:val="621259F7"/>
    <w:rsid w:val="62127C3C"/>
    <w:rsid w:val="622214DA"/>
    <w:rsid w:val="6224730C"/>
    <w:rsid w:val="622567A5"/>
    <w:rsid w:val="622977EA"/>
    <w:rsid w:val="622B010A"/>
    <w:rsid w:val="622C73DE"/>
    <w:rsid w:val="624645AC"/>
    <w:rsid w:val="62577D9F"/>
    <w:rsid w:val="625937AE"/>
    <w:rsid w:val="626C7A15"/>
    <w:rsid w:val="626F3F92"/>
    <w:rsid w:val="6287216F"/>
    <w:rsid w:val="62892A53"/>
    <w:rsid w:val="62935DB1"/>
    <w:rsid w:val="629831F9"/>
    <w:rsid w:val="62AB424D"/>
    <w:rsid w:val="62BC5DE9"/>
    <w:rsid w:val="62C10FD0"/>
    <w:rsid w:val="62E41E7C"/>
    <w:rsid w:val="62E8190E"/>
    <w:rsid w:val="62EE30D2"/>
    <w:rsid w:val="62FC541B"/>
    <w:rsid w:val="630006BE"/>
    <w:rsid w:val="6300634C"/>
    <w:rsid w:val="63114765"/>
    <w:rsid w:val="63382085"/>
    <w:rsid w:val="63422B24"/>
    <w:rsid w:val="63471E94"/>
    <w:rsid w:val="636607F7"/>
    <w:rsid w:val="636965D4"/>
    <w:rsid w:val="637029F7"/>
    <w:rsid w:val="63726B6C"/>
    <w:rsid w:val="637B7A06"/>
    <w:rsid w:val="63835232"/>
    <w:rsid w:val="63965A29"/>
    <w:rsid w:val="63A044C9"/>
    <w:rsid w:val="63A50EBA"/>
    <w:rsid w:val="63A921D1"/>
    <w:rsid w:val="63AE2B07"/>
    <w:rsid w:val="63AE435F"/>
    <w:rsid w:val="63B14BC4"/>
    <w:rsid w:val="63BB7AF9"/>
    <w:rsid w:val="63BD1501"/>
    <w:rsid w:val="63E8113D"/>
    <w:rsid w:val="63EE1E73"/>
    <w:rsid w:val="63F041DC"/>
    <w:rsid w:val="63F86267"/>
    <w:rsid w:val="640E3B92"/>
    <w:rsid w:val="64270646"/>
    <w:rsid w:val="643D2511"/>
    <w:rsid w:val="644A5D7B"/>
    <w:rsid w:val="647629E6"/>
    <w:rsid w:val="647A3430"/>
    <w:rsid w:val="647B624F"/>
    <w:rsid w:val="648B159F"/>
    <w:rsid w:val="649D63C5"/>
    <w:rsid w:val="64A13515"/>
    <w:rsid w:val="64A137DB"/>
    <w:rsid w:val="64B67287"/>
    <w:rsid w:val="64BA302E"/>
    <w:rsid w:val="64BB2F3B"/>
    <w:rsid w:val="64BF61CB"/>
    <w:rsid w:val="64C93DE9"/>
    <w:rsid w:val="64CA7F64"/>
    <w:rsid w:val="64DA6181"/>
    <w:rsid w:val="64DF2A44"/>
    <w:rsid w:val="64FA5B55"/>
    <w:rsid w:val="650C50F9"/>
    <w:rsid w:val="65150D04"/>
    <w:rsid w:val="651C0482"/>
    <w:rsid w:val="653D1756"/>
    <w:rsid w:val="65772C70"/>
    <w:rsid w:val="657E46FF"/>
    <w:rsid w:val="658E1E84"/>
    <w:rsid w:val="659B022A"/>
    <w:rsid w:val="65A72022"/>
    <w:rsid w:val="65B60E6D"/>
    <w:rsid w:val="65BF551B"/>
    <w:rsid w:val="65C437BF"/>
    <w:rsid w:val="65C601F6"/>
    <w:rsid w:val="65C72292"/>
    <w:rsid w:val="65D117B7"/>
    <w:rsid w:val="65D200F0"/>
    <w:rsid w:val="65DC5DBF"/>
    <w:rsid w:val="65F1617E"/>
    <w:rsid w:val="65F5223C"/>
    <w:rsid w:val="660245B8"/>
    <w:rsid w:val="66091D3B"/>
    <w:rsid w:val="660D1CC6"/>
    <w:rsid w:val="661829F8"/>
    <w:rsid w:val="661A3845"/>
    <w:rsid w:val="661B4BCF"/>
    <w:rsid w:val="665C4E79"/>
    <w:rsid w:val="66717E3F"/>
    <w:rsid w:val="667520F7"/>
    <w:rsid w:val="66802ADE"/>
    <w:rsid w:val="66821FD7"/>
    <w:rsid w:val="66975803"/>
    <w:rsid w:val="66B132A5"/>
    <w:rsid w:val="66C306A0"/>
    <w:rsid w:val="66D52CAC"/>
    <w:rsid w:val="66E717C1"/>
    <w:rsid w:val="66E757AC"/>
    <w:rsid w:val="66F276B6"/>
    <w:rsid w:val="66FB2125"/>
    <w:rsid w:val="672A5A8A"/>
    <w:rsid w:val="672B6BEF"/>
    <w:rsid w:val="672F287A"/>
    <w:rsid w:val="67340A23"/>
    <w:rsid w:val="674D79C1"/>
    <w:rsid w:val="67574DE2"/>
    <w:rsid w:val="675F6FD0"/>
    <w:rsid w:val="67684F26"/>
    <w:rsid w:val="67717EA6"/>
    <w:rsid w:val="67753D45"/>
    <w:rsid w:val="677E7AB0"/>
    <w:rsid w:val="678C66BD"/>
    <w:rsid w:val="67A55390"/>
    <w:rsid w:val="67BF6452"/>
    <w:rsid w:val="67CA75A9"/>
    <w:rsid w:val="67CB0668"/>
    <w:rsid w:val="67D03E67"/>
    <w:rsid w:val="67D33548"/>
    <w:rsid w:val="67D7565F"/>
    <w:rsid w:val="67E633C8"/>
    <w:rsid w:val="67E86292"/>
    <w:rsid w:val="67F72C98"/>
    <w:rsid w:val="68174EC4"/>
    <w:rsid w:val="68450B54"/>
    <w:rsid w:val="68475BAD"/>
    <w:rsid w:val="6853226F"/>
    <w:rsid w:val="68534AC8"/>
    <w:rsid w:val="68557724"/>
    <w:rsid w:val="685D0462"/>
    <w:rsid w:val="687B613E"/>
    <w:rsid w:val="68830BF5"/>
    <w:rsid w:val="689D7887"/>
    <w:rsid w:val="689F7918"/>
    <w:rsid w:val="68B411EB"/>
    <w:rsid w:val="68B42E9C"/>
    <w:rsid w:val="68B57855"/>
    <w:rsid w:val="68C53CF8"/>
    <w:rsid w:val="68CE059F"/>
    <w:rsid w:val="68DE3B49"/>
    <w:rsid w:val="68DF04D4"/>
    <w:rsid w:val="68E02C65"/>
    <w:rsid w:val="68E51AA5"/>
    <w:rsid w:val="68FD36D6"/>
    <w:rsid w:val="68FE744E"/>
    <w:rsid w:val="68FF3B24"/>
    <w:rsid w:val="69025553"/>
    <w:rsid w:val="69032A8F"/>
    <w:rsid w:val="690E397F"/>
    <w:rsid w:val="691471F2"/>
    <w:rsid w:val="69161412"/>
    <w:rsid w:val="691B0000"/>
    <w:rsid w:val="69462667"/>
    <w:rsid w:val="69694AED"/>
    <w:rsid w:val="6973221E"/>
    <w:rsid w:val="69884761"/>
    <w:rsid w:val="699613C0"/>
    <w:rsid w:val="699F0AC7"/>
    <w:rsid w:val="699F7EB7"/>
    <w:rsid w:val="69B25257"/>
    <w:rsid w:val="69C1601A"/>
    <w:rsid w:val="69DE523F"/>
    <w:rsid w:val="69E45415"/>
    <w:rsid w:val="69EF0BEC"/>
    <w:rsid w:val="69F467C3"/>
    <w:rsid w:val="69F56FAC"/>
    <w:rsid w:val="69F878CA"/>
    <w:rsid w:val="69FD21F7"/>
    <w:rsid w:val="6A01114C"/>
    <w:rsid w:val="6A03117B"/>
    <w:rsid w:val="6A18692A"/>
    <w:rsid w:val="6A1B663F"/>
    <w:rsid w:val="6A2B11BD"/>
    <w:rsid w:val="6A354F27"/>
    <w:rsid w:val="6A4B7FF1"/>
    <w:rsid w:val="6A5748C3"/>
    <w:rsid w:val="6A5A4712"/>
    <w:rsid w:val="6A5D229E"/>
    <w:rsid w:val="6A6661F0"/>
    <w:rsid w:val="6A6A2073"/>
    <w:rsid w:val="6A7933E7"/>
    <w:rsid w:val="6A8C32BB"/>
    <w:rsid w:val="6A9B4E64"/>
    <w:rsid w:val="6A9B7C73"/>
    <w:rsid w:val="6AB0509A"/>
    <w:rsid w:val="6AB93C00"/>
    <w:rsid w:val="6ABB571C"/>
    <w:rsid w:val="6ACC4257"/>
    <w:rsid w:val="6ACE1E05"/>
    <w:rsid w:val="6ACE6EC4"/>
    <w:rsid w:val="6AD33B36"/>
    <w:rsid w:val="6AD54ECE"/>
    <w:rsid w:val="6AE32434"/>
    <w:rsid w:val="6AF4202E"/>
    <w:rsid w:val="6AF81E4E"/>
    <w:rsid w:val="6AFB490D"/>
    <w:rsid w:val="6B0E0FF6"/>
    <w:rsid w:val="6B185226"/>
    <w:rsid w:val="6B1A13F6"/>
    <w:rsid w:val="6B1A1DDB"/>
    <w:rsid w:val="6B24222F"/>
    <w:rsid w:val="6B2B5C9F"/>
    <w:rsid w:val="6B33535D"/>
    <w:rsid w:val="6B337530"/>
    <w:rsid w:val="6B341A7A"/>
    <w:rsid w:val="6B3A377F"/>
    <w:rsid w:val="6B3D63CA"/>
    <w:rsid w:val="6B3E3544"/>
    <w:rsid w:val="6B425B21"/>
    <w:rsid w:val="6B4B3AC8"/>
    <w:rsid w:val="6B5D26B4"/>
    <w:rsid w:val="6B712827"/>
    <w:rsid w:val="6B8C5E66"/>
    <w:rsid w:val="6B972271"/>
    <w:rsid w:val="6B974310"/>
    <w:rsid w:val="6BA12924"/>
    <w:rsid w:val="6BA31786"/>
    <w:rsid w:val="6BE2471A"/>
    <w:rsid w:val="6C0A106D"/>
    <w:rsid w:val="6C0E5F6E"/>
    <w:rsid w:val="6C127E8F"/>
    <w:rsid w:val="6C152258"/>
    <w:rsid w:val="6C1949C8"/>
    <w:rsid w:val="6C2643D1"/>
    <w:rsid w:val="6C2C0174"/>
    <w:rsid w:val="6C3239D1"/>
    <w:rsid w:val="6C367D5D"/>
    <w:rsid w:val="6C371E8E"/>
    <w:rsid w:val="6C4707FB"/>
    <w:rsid w:val="6C507FC1"/>
    <w:rsid w:val="6C5F0204"/>
    <w:rsid w:val="6C626635"/>
    <w:rsid w:val="6C6D191B"/>
    <w:rsid w:val="6C6D3F0B"/>
    <w:rsid w:val="6C8F5271"/>
    <w:rsid w:val="6CA43E69"/>
    <w:rsid w:val="6CAA75A0"/>
    <w:rsid w:val="6CAD2B5D"/>
    <w:rsid w:val="6CB565B0"/>
    <w:rsid w:val="6CB7686A"/>
    <w:rsid w:val="6CC57732"/>
    <w:rsid w:val="6CEB4287"/>
    <w:rsid w:val="6CED39F1"/>
    <w:rsid w:val="6CFB0FDE"/>
    <w:rsid w:val="6D027E96"/>
    <w:rsid w:val="6D0B3E55"/>
    <w:rsid w:val="6D0E128B"/>
    <w:rsid w:val="6D1E1EB0"/>
    <w:rsid w:val="6D231B03"/>
    <w:rsid w:val="6D245DF6"/>
    <w:rsid w:val="6D2C0992"/>
    <w:rsid w:val="6D3276C6"/>
    <w:rsid w:val="6D3C4065"/>
    <w:rsid w:val="6D4D6E7A"/>
    <w:rsid w:val="6D5A180E"/>
    <w:rsid w:val="6D695CED"/>
    <w:rsid w:val="6D6A50B2"/>
    <w:rsid w:val="6D726375"/>
    <w:rsid w:val="6D733879"/>
    <w:rsid w:val="6D7B615E"/>
    <w:rsid w:val="6D857D9D"/>
    <w:rsid w:val="6D8F032A"/>
    <w:rsid w:val="6D910891"/>
    <w:rsid w:val="6D93510E"/>
    <w:rsid w:val="6DAA6069"/>
    <w:rsid w:val="6DB5289F"/>
    <w:rsid w:val="6DBA4C07"/>
    <w:rsid w:val="6DD975D8"/>
    <w:rsid w:val="6DDF631C"/>
    <w:rsid w:val="6DF73529"/>
    <w:rsid w:val="6E032FC2"/>
    <w:rsid w:val="6E090563"/>
    <w:rsid w:val="6E1F6A55"/>
    <w:rsid w:val="6E285408"/>
    <w:rsid w:val="6E317E32"/>
    <w:rsid w:val="6E3877ED"/>
    <w:rsid w:val="6E433EAF"/>
    <w:rsid w:val="6E5340CB"/>
    <w:rsid w:val="6E56640B"/>
    <w:rsid w:val="6E6B2E90"/>
    <w:rsid w:val="6E711527"/>
    <w:rsid w:val="6E8346BC"/>
    <w:rsid w:val="6E851BF4"/>
    <w:rsid w:val="6E943958"/>
    <w:rsid w:val="6E953AA3"/>
    <w:rsid w:val="6EAF3A57"/>
    <w:rsid w:val="6ED011FC"/>
    <w:rsid w:val="6ED770CD"/>
    <w:rsid w:val="6EDF77F5"/>
    <w:rsid w:val="6F076F7D"/>
    <w:rsid w:val="6F1144A4"/>
    <w:rsid w:val="6F14532D"/>
    <w:rsid w:val="6F2968A7"/>
    <w:rsid w:val="6F323167"/>
    <w:rsid w:val="6F3444B6"/>
    <w:rsid w:val="6F364A08"/>
    <w:rsid w:val="6F5E1BD4"/>
    <w:rsid w:val="6F754641"/>
    <w:rsid w:val="6F814C70"/>
    <w:rsid w:val="6F85563F"/>
    <w:rsid w:val="6F965F99"/>
    <w:rsid w:val="6FA32C33"/>
    <w:rsid w:val="6FAF4FFE"/>
    <w:rsid w:val="6FB73240"/>
    <w:rsid w:val="6FB865A9"/>
    <w:rsid w:val="6FB93B4D"/>
    <w:rsid w:val="6FBF0D34"/>
    <w:rsid w:val="6FC162FA"/>
    <w:rsid w:val="6FC8175F"/>
    <w:rsid w:val="6FC92DA9"/>
    <w:rsid w:val="6FD93B73"/>
    <w:rsid w:val="6FDB2329"/>
    <w:rsid w:val="6FDFDB66"/>
    <w:rsid w:val="6FE90101"/>
    <w:rsid w:val="6FEA6E69"/>
    <w:rsid w:val="6FF31452"/>
    <w:rsid w:val="70027159"/>
    <w:rsid w:val="70185CDC"/>
    <w:rsid w:val="703A551C"/>
    <w:rsid w:val="703C2781"/>
    <w:rsid w:val="70563559"/>
    <w:rsid w:val="70630A66"/>
    <w:rsid w:val="706436BB"/>
    <w:rsid w:val="707A0DD5"/>
    <w:rsid w:val="708345E6"/>
    <w:rsid w:val="70993EC9"/>
    <w:rsid w:val="70A0604E"/>
    <w:rsid w:val="70A30D27"/>
    <w:rsid w:val="70AC3D7A"/>
    <w:rsid w:val="70AE7F6F"/>
    <w:rsid w:val="70C2536F"/>
    <w:rsid w:val="70C76C10"/>
    <w:rsid w:val="70CC526B"/>
    <w:rsid w:val="70E16273"/>
    <w:rsid w:val="70FE0A22"/>
    <w:rsid w:val="70FE78F0"/>
    <w:rsid w:val="710F4243"/>
    <w:rsid w:val="712269D3"/>
    <w:rsid w:val="712846B1"/>
    <w:rsid w:val="713573F8"/>
    <w:rsid w:val="71550DEF"/>
    <w:rsid w:val="715B625B"/>
    <w:rsid w:val="71607246"/>
    <w:rsid w:val="71667BAE"/>
    <w:rsid w:val="71743D65"/>
    <w:rsid w:val="717958C4"/>
    <w:rsid w:val="717F125B"/>
    <w:rsid w:val="718E2962"/>
    <w:rsid w:val="719152B5"/>
    <w:rsid w:val="719438CB"/>
    <w:rsid w:val="71997EB8"/>
    <w:rsid w:val="71A20DB3"/>
    <w:rsid w:val="71A42F48"/>
    <w:rsid w:val="71A517D9"/>
    <w:rsid w:val="71A61A92"/>
    <w:rsid w:val="71AB0D1E"/>
    <w:rsid w:val="71BD1FA1"/>
    <w:rsid w:val="71C21F5C"/>
    <w:rsid w:val="71CC32AB"/>
    <w:rsid w:val="71EE5087"/>
    <w:rsid w:val="72057567"/>
    <w:rsid w:val="72104CF8"/>
    <w:rsid w:val="72143A0C"/>
    <w:rsid w:val="721C106B"/>
    <w:rsid w:val="721D12AF"/>
    <w:rsid w:val="721D3A01"/>
    <w:rsid w:val="7226152F"/>
    <w:rsid w:val="722E2629"/>
    <w:rsid w:val="722E3D50"/>
    <w:rsid w:val="72380ACC"/>
    <w:rsid w:val="723830FF"/>
    <w:rsid w:val="723F518D"/>
    <w:rsid w:val="72581DED"/>
    <w:rsid w:val="725A4ECA"/>
    <w:rsid w:val="725D58A8"/>
    <w:rsid w:val="72687D01"/>
    <w:rsid w:val="72924221"/>
    <w:rsid w:val="72931016"/>
    <w:rsid w:val="72AF7364"/>
    <w:rsid w:val="72B50674"/>
    <w:rsid w:val="72C216C0"/>
    <w:rsid w:val="72C7190D"/>
    <w:rsid w:val="72E07EB3"/>
    <w:rsid w:val="72EC7E3D"/>
    <w:rsid w:val="72F04094"/>
    <w:rsid w:val="72F21EB4"/>
    <w:rsid w:val="72FB3593"/>
    <w:rsid w:val="730E3420"/>
    <w:rsid w:val="73165D05"/>
    <w:rsid w:val="731960AC"/>
    <w:rsid w:val="731A52E5"/>
    <w:rsid w:val="731D71E7"/>
    <w:rsid w:val="731F249B"/>
    <w:rsid w:val="73203209"/>
    <w:rsid w:val="73217FC1"/>
    <w:rsid w:val="732A6D4F"/>
    <w:rsid w:val="73361B37"/>
    <w:rsid w:val="733621AF"/>
    <w:rsid w:val="733A1A9C"/>
    <w:rsid w:val="733E66FD"/>
    <w:rsid w:val="734165F8"/>
    <w:rsid w:val="73440153"/>
    <w:rsid w:val="73464E3A"/>
    <w:rsid w:val="734F3909"/>
    <w:rsid w:val="734F6B4A"/>
    <w:rsid w:val="735341A2"/>
    <w:rsid w:val="73664BC7"/>
    <w:rsid w:val="736C1B8C"/>
    <w:rsid w:val="73734EE4"/>
    <w:rsid w:val="737E1D9A"/>
    <w:rsid w:val="738B0393"/>
    <w:rsid w:val="739978C7"/>
    <w:rsid w:val="73A56453"/>
    <w:rsid w:val="73AB798B"/>
    <w:rsid w:val="73B45ABC"/>
    <w:rsid w:val="73BC2824"/>
    <w:rsid w:val="73C1186E"/>
    <w:rsid w:val="73CD3AF9"/>
    <w:rsid w:val="73CF05A7"/>
    <w:rsid w:val="73CF470B"/>
    <w:rsid w:val="74082529"/>
    <w:rsid w:val="7411602F"/>
    <w:rsid w:val="741D2018"/>
    <w:rsid w:val="741F35DB"/>
    <w:rsid w:val="74257F85"/>
    <w:rsid w:val="742A7931"/>
    <w:rsid w:val="742F4960"/>
    <w:rsid w:val="74330594"/>
    <w:rsid w:val="7439521B"/>
    <w:rsid w:val="743B15E2"/>
    <w:rsid w:val="743C03B7"/>
    <w:rsid w:val="744864FF"/>
    <w:rsid w:val="74487C11"/>
    <w:rsid w:val="74512B28"/>
    <w:rsid w:val="745C1CA8"/>
    <w:rsid w:val="746304B0"/>
    <w:rsid w:val="747B5226"/>
    <w:rsid w:val="748816E2"/>
    <w:rsid w:val="748C3F4B"/>
    <w:rsid w:val="74D114D6"/>
    <w:rsid w:val="74D12E4B"/>
    <w:rsid w:val="74D25EEE"/>
    <w:rsid w:val="74DA2B1D"/>
    <w:rsid w:val="74F93B59"/>
    <w:rsid w:val="750937B8"/>
    <w:rsid w:val="750B48FC"/>
    <w:rsid w:val="750D3415"/>
    <w:rsid w:val="754760B8"/>
    <w:rsid w:val="754A13BD"/>
    <w:rsid w:val="754C091C"/>
    <w:rsid w:val="754C13F7"/>
    <w:rsid w:val="755802BF"/>
    <w:rsid w:val="756C070F"/>
    <w:rsid w:val="757E66CB"/>
    <w:rsid w:val="758950A4"/>
    <w:rsid w:val="758F6AE1"/>
    <w:rsid w:val="75923DAC"/>
    <w:rsid w:val="75945B8C"/>
    <w:rsid w:val="75986915"/>
    <w:rsid w:val="759D2392"/>
    <w:rsid w:val="75A7573B"/>
    <w:rsid w:val="75AD4F0B"/>
    <w:rsid w:val="75B72E5F"/>
    <w:rsid w:val="75BA5D24"/>
    <w:rsid w:val="75BD268A"/>
    <w:rsid w:val="75D30E1D"/>
    <w:rsid w:val="75D31876"/>
    <w:rsid w:val="75ED2EA7"/>
    <w:rsid w:val="75F638C4"/>
    <w:rsid w:val="7603234A"/>
    <w:rsid w:val="760A5CDB"/>
    <w:rsid w:val="76202E19"/>
    <w:rsid w:val="762D1BE3"/>
    <w:rsid w:val="7634632A"/>
    <w:rsid w:val="763738F1"/>
    <w:rsid w:val="76385E60"/>
    <w:rsid w:val="76551E77"/>
    <w:rsid w:val="766065AD"/>
    <w:rsid w:val="76790F36"/>
    <w:rsid w:val="767A6BDE"/>
    <w:rsid w:val="767B0CC7"/>
    <w:rsid w:val="768046CE"/>
    <w:rsid w:val="7694751B"/>
    <w:rsid w:val="769D5DA7"/>
    <w:rsid w:val="76AE4EC8"/>
    <w:rsid w:val="76B35749"/>
    <w:rsid w:val="76B714B3"/>
    <w:rsid w:val="76C73C9A"/>
    <w:rsid w:val="76CC293A"/>
    <w:rsid w:val="76D70271"/>
    <w:rsid w:val="76FB0B73"/>
    <w:rsid w:val="77017347"/>
    <w:rsid w:val="770A21A5"/>
    <w:rsid w:val="771468CF"/>
    <w:rsid w:val="771522A2"/>
    <w:rsid w:val="772F63E6"/>
    <w:rsid w:val="77377037"/>
    <w:rsid w:val="773B615A"/>
    <w:rsid w:val="77534D32"/>
    <w:rsid w:val="775929E7"/>
    <w:rsid w:val="775C4878"/>
    <w:rsid w:val="775F6F8F"/>
    <w:rsid w:val="77764D81"/>
    <w:rsid w:val="77793034"/>
    <w:rsid w:val="777B7528"/>
    <w:rsid w:val="77983F25"/>
    <w:rsid w:val="77A36F11"/>
    <w:rsid w:val="77B5746C"/>
    <w:rsid w:val="77BA3B1C"/>
    <w:rsid w:val="77BF57C7"/>
    <w:rsid w:val="77CA7A19"/>
    <w:rsid w:val="77D870BC"/>
    <w:rsid w:val="77DF3E51"/>
    <w:rsid w:val="77DF47F4"/>
    <w:rsid w:val="77E83F2A"/>
    <w:rsid w:val="77EA5752"/>
    <w:rsid w:val="7803223D"/>
    <w:rsid w:val="780A45ED"/>
    <w:rsid w:val="780E72D5"/>
    <w:rsid w:val="78157CF7"/>
    <w:rsid w:val="78301DAE"/>
    <w:rsid w:val="784A1D68"/>
    <w:rsid w:val="784F56DF"/>
    <w:rsid w:val="78520D00"/>
    <w:rsid w:val="78526FC2"/>
    <w:rsid w:val="7857629B"/>
    <w:rsid w:val="78650950"/>
    <w:rsid w:val="786E0F9C"/>
    <w:rsid w:val="787C3EEC"/>
    <w:rsid w:val="788437FF"/>
    <w:rsid w:val="78857C89"/>
    <w:rsid w:val="788D5D18"/>
    <w:rsid w:val="78A97A27"/>
    <w:rsid w:val="78BB2564"/>
    <w:rsid w:val="78CC0DC3"/>
    <w:rsid w:val="78D07FF5"/>
    <w:rsid w:val="78D4689D"/>
    <w:rsid w:val="78E440AD"/>
    <w:rsid w:val="78E44E4A"/>
    <w:rsid w:val="78E56CA1"/>
    <w:rsid w:val="791902A3"/>
    <w:rsid w:val="79190FA2"/>
    <w:rsid w:val="79446284"/>
    <w:rsid w:val="79482F61"/>
    <w:rsid w:val="79653DE6"/>
    <w:rsid w:val="79654FCF"/>
    <w:rsid w:val="79782A0A"/>
    <w:rsid w:val="7994314C"/>
    <w:rsid w:val="79952599"/>
    <w:rsid w:val="79D4322E"/>
    <w:rsid w:val="79D85272"/>
    <w:rsid w:val="79E06189"/>
    <w:rsid w:val="79E06CEF"/>
    <w:rsid w:val="79EA62EB"/>
    <w:rsid w:val="79EB45A1"/>
    <w:rsid w:val="79ED12C9"/>
    <w:rsid w:val="79F5466D"/>
    <w:rsid w:val="79FD76E9"/>
    <w:rsid w:val="7A163118"/>
    <w:rsid w:val="7A171279"/>
    <w:rsid w:val="7A1845EE"/>
    <w:rsid w:val="7A215C00"/>
    <w:rsid w:val="7A290DC0"/>
    <w:rsid w:val="7A296EFF"/>
    <w:rsid w:val="7A3053BF"/>
    <w:rsid w:val="7A41719B"/>
    <w:rsid w:val="7A4775A8"/>
    <w:rsid w:val="7A4B51FA"/>
    <w:rsid w:val="7A5252C7"/>
    <w:rsid w:val="7A531C9F"/>
    <w:rsid w:val="7A5F6682"/>
    <w:rsid w:val="7A680BCB"/>
    <w:rsid w:val="7A8A2F3D"/>
    <w:rsid w:val="7A921AE4"/>
    <w:rsid w:val="7A940832"/>
    <w:rsid w:val="7AA9530D"/>
    <w:rsid w:val="7AB20E79"/>
    <w:rsid w:val="7AB32860"/>
    <w:rsid w:val="7ABB6F4D"/>
    <w:rsid w:val="7AD85D51"/>
    <w:rsid w:val="7AE70572"/>
    <w:rsid w:val="7AE815FC"/>
    <w:rsid w:val="7AEA7832"/>
    <w:rsid w:val="7AF05A27"/>
    <w:rsid w:val="7AF37A02"/>
    <w:rsid w:val="7AF406B1"/>
    <w:rsid w:val="7B0B455A"/>
    <w:rsid w:val="7B0D3738"/>
    <w:rsid w:val="7B347486"/>
    <w:rsid w:val="7B48067D"/>
    <w:rsid w:val="7B5C2D8B"/>
    <w:rsid w:val="7B5F5CEE"/>
    <w:rsid w:val="7B6C7089"/>
    <w:rsid w:val="7BAC177D"/>
    <w:rsid w:val="7BB70782"/>
    <w:rsid w:val="7BBA5E68"/>
    <w:rsid w:val="7BC7163F"/>
    <w:rsid w:val="7BC96C5E"/>
    <w:rsid w:val="7BCA02B2"/>
    <w:rsid w:val="7BCF19A0"/>
    <w:rsid w:val="7BD01566"/>
    <w:rsid w:val="7BD11AE3"/>
    <w:rsid w:val="7BE307E7"/>
    <w:rsid w:val="7C0C39B6"/>
    <w:rsid w:val="7C1928FC"/>
    <w:rsid w:val="7C2C6E3A"/>
    <w:rsid w:val="7C30326B"/>
    <w:rsid w:val="7C33006F"/>
    <w:rsid w:val="7C411BDF"/>
    <w:rsid w:val="7C56302C"/>
    <w:rsid w:val="7C5E5C42"/>
    <w:rsid w:val="7C6F071E"/>
    <w:rsid w:val="7C714B7A"/>
    <w:rsid w:val="7C7C6A3F"/>
    <w:rsid w:val="7C844F25"/>
    <w:rsid w:val="7C8D0E31"/>
    <w:rsid w:val="7C9567F4"/>
    <w:rsid w:val="7C961F7D"/>
    <w:rsid w:val="7C9E14D5"/>
    <w:rsid w:val="7CA13E1C"/>
    <w:rsid w:val="7CA26E06"/>
    <w:rsid w:val="7CB56D7D"/>
    <w:rsid w:val="7CC916E8"/>
    <w:rsid w:val="7CC92BE4"/>
    <w:rsid w:val="7CEE536B"/>
    <w:rsid w:val="7CFFEFA1"/>
    <w:rsid w:val="7D00284C"/>
    <w:rsid w:val="7D035950"/>
    <w:rsid w:val="7D0A7401"/>
    <w:rsid w:val="7D0C78CE"/>
    <w:rsid w:val="7D0E042B"/>
    <w:rsid w:val="7D1E3FBC"/>
    <w:rsid w:val="7D2021D2"/>
    <w:rsid w:val="7D342C2D"/>
    <w:rsid w:val="7D346302"/>
    <w:rsid w:val="7D3A7495"/>
    <w:rsid w:val="7D4338A3"/>
    <w:rsid w:val="7D5C2AB9"/>
    <w:rsid w:val="7D5E1AB7"/>
    <w:rsid w:val="7D647FD3"/>
    <w:rsid w:val="7D65430E"/>
    <w:rsid w:val="7D6F4704"/>
    <w:rsid w:val="7D7F7019"/>
    <w:rsid w:val="7D8852F8"/>
    <w:rsid w:val="7D94398B"/>
    <w:rsid w:val="7D9865FF"/>
    <w:rsid w:val="7DA036B4"/>
    <w:rsid w:val="7DB614BB"/>
    <w:rsid w:val="7DB61D01"/>
    <w:rsid w:val="7DC720AD"/>
    <w:rsid w:val="7DD85480"/>
    <w:rsid w:val="7DDDCE29"/>
    <w:rsid w:val="7DF616D0"/>
    <w:rsid w:val="7DF804B8"/>
    <w:rsid w:val="7DFF610B"/>
    <w:rsid w:val="7E0607C0"/>
    <w:rsid w:val="7E097B7D"/>
    <w:rsid w:val="7E0A3645"/>
    <w:rsid w:val="7E1001D8"/>
    <w:rsid w:val="7E261F2C"/>
    <w:rsid w:val="7E3056E0"/>
    <w:rsid w:val="7E305AC4"/>
    <w:rsid w:val="7E327D9E"/>
    <w:rsid w:val="7E6063D6"/>
    <w:rsid w:val="7E621509"/>
    <w:rsid w:val="7E622622"/>
    <w:rsid w:val="7E64706F"/>
    <w:rsid w:val="7E7C1973"/>
    <w:rsid w:val="7E7D317B"/>
    <w:rsid w:val="7E8D3214"/>
    <w:rsid w:val="7E915650"/>
    <w:rsid w:val="7E952976"/>
    <w:rsid w:val="7E9674C8"/>
    <w:rsid w:val="7EB73BF1"/>
    <w:rsid w:val="7EB75F10"/>
    <w:rsid w:val="7EB80529"/>
    <w:rsid w:val="7EB92E8B"/>
    <w:rsid w:val="7ECA4256"/>
    <w:rsid w:val="7ECF5F7A"/>
    <w:rsid w:val="7ED04D1C"/>
    <w:rsid w:val="7ED752CD"/>
    <w:rsid w:val="7EE0213B"/>
    <w:rsid w:val="7EEA1BAF"/>
    <w:rsid w:val="7EEC1096"/>
    <w:rsid w:val="7EF02F3D"/>
    <w:rsid w:val="7EFC0461"/>
    <w:rsid w:val="7EFD0070"/>
    <w:rsid w:val="7F063030"/>
    <w:rsid w:val="7F09779F"/>
    <w:rsid w:val="7F1B05FD"/>
    <w:rsid w:val="7F1D0A11"/>
    <w:rsid w:val="7F337199"/>
    <w:rsid w:val="7F3B4439"/>
    <w:rsid w:val="7F40213C"/>
    <w:rsid w:val="7F446060"/>
    <w:rsid w:val="7F4C0ED5"/>
    <w:rsid w:val="7F5C3BF7"/>
    <w:rsid w:val="7F5C4C28"/>
    <w:rsid w:val="7F7520BB"/>
    <w:rsid w:val="7F76D771"/>
    <w:rsid w:val="7F7A3A4D"/>
    <w:rsid w:val="7F8440CB"/>
    <w:rsid w:val="7F943F09"/>
    <w:rsid w:val="7F9A1937"/>
    <w:rsid w:val="7F9B559F"/>
    <w:rsid w:val="7FA00957"/>
    <w:rsid w:val="7FA072B5"/>
    <w:rsid w:val="7FA62219"/>
    <w:rsid w:val="7FAE0F58"/>
    <w:rsid w:val="7FB76872"/>
    <w:rsid w:val="7FBF9542"/>
    <w:rsid w:val="7FE93226"/>
    <w:rsid w:val="7FF10123"/>
    <w:rsid w:val="7FF35F6F"/>
    <w:rsid w:val="7FF739AB"/>
    <w:rsid w:val="7FF847B0"/>
    <w:rsid w:val="7FFF55D0"/>
    <w:rsid w:val="9ECF4E12"/>
    <w:rsid w:val="A3FD840D"/>
    <w:rsid w:val="B6F56A9A"/>
    <w:rsid w:val="B7FDAA39"/>
    <w:rsid w:val="BBEF4418"/>
    <w:rsid w:val="BFCF897A"/>
    <w:rsid w:val="BFE6DD2C"/>
    <w:rsid w:val="C0F64476"/>
    <w:rsid w:val="CBEF6EF8"/>
    <w:rsid w:val="DE7D76AF"/>
    <w:rsid w:val="DFEFA6F6"/>
    <w:rsid w:val="E9D6DDAA"/>
    <w:rsid w:val="EEAF5766"/>
    <w:rsid w:val="EFAEFBD7"/>
    <w:rsid w:val="EFFEADF8"/>
    <w:rsid w:val="F1F3E90F"/>
    <w:rsid w:val="F8FAD7A1"/>
    <w:rsid w:val="FAEFD0B4"/>
    <w:rsid w:val="FC7D4D40"/>
    <w:rsid w:val="FC7F8352"/>
    <w:rsid w:val="FDD34B8F"/>
    <w:rsid w:val="FE7DFF5C"/>
    <w:rsid w:val="FFDFC374"/>
    <w:rsid w:val="FFFE368D"/>
    <w:rsid w:val="FFFEF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8"/>
    <w:qFormat/>
    <w:uiPriority w:val="0"/>
    <w:pPr>
      <w:keepNext/>
      <w:keepLines/>
      <w:spacing w:before="260" w:after="260" w:line="413"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6">
    <w:name w:val="heading 6"/>
    <w:basedOn w:val="1"/>
    <w:next w:val="1"/>
    <w:link w:val="69"/>
    <w:qFormat/>
    <w:uiPriority w:val="0"/>
    <w:pPr>
      <w:keepNext/>
      <w:keepLines/>
      <w:spacing w:before="240" w:after="64" w:line="320" w:lineRule="auto"/>
      <w:outlineLvl w:val="5"/>
    </w:pPr>
    <w:rPr>
      <w:rFonts w:ascii="Cambria" w:hAnsi="Cambria"/>
      <w:b/>
      <w:bCs/>
      <w:sz w:val="24"/>
    </w:rPr>
  </w:style>
  <w:style w:type="paragraph" w:styleId="7">
    <w:name w:val="heading 8"/>
    <w:basedOn w:val="1"/>
    <w:next w:val="1"/>
    <w:qFormat/>
    <w:uiPriority w:val="1"/>
    <w:pPr>
      <w:ind w:left="220" w:hanging="223"/>
      <w:outlineLvl w:val="7"/>
    </w:pPr>
    <w:rPr>
      <w:rFonts w:ascii="宋体" w:hAnsi="宋体" w:cs="宋体"/>
      <w:sz w:val="22"/>
      <w:szCs w:val="22"/>
      <w:lang w:val="zh-CN" w:bidi="zh-CN"/>
    </w:rPr>
  </w:style>
  <w:style w:type="paragraph" w:styleId="8">
    <w:name w:val="heading 9"/>
    <w:basedOn w:val="1"/>
    <w:next w:val="1"/>
    <w:qFormat/>
    <w:uiPriority w:val="1"/>
    <w:pPr>
      <w:ind w:left="640"/>
      <w:outlineLvl w:val="8"/>
    </w:pPr>
    <w:rPr>
      <w:rFonts w:ascii="宋体" w:hAnsi="宋体" w:cs="宋体"/>
      <w:b/>
      <w:bCs/>
      <w:szCs w:val="21"/>
      <w:lang w:val="zh-CN" w:bidi="zh-CN"/>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9">
    <w:name w:val="List Number"/>
    <w:basedOn w:val="1"/>
    <w:qFormat/>
    <w:uiPriority w:val="0"/>
    <w:pPr>
      <w:widowControl/>
      <w:numPr>
        <w:ilvl w:val="0"/>
        <w:numId w:val="1"/>
      </w:numPr>
      <w:tabs>
        <w:tab w:val="left" w:pos="454"/>
        <w:tab w:val="left" w:pos="720"/>
      </w:tabs>
      <w:spacing w:afterLines="50"/>
      <w:jc w:val="left"/>
    </w:pPr>
    <w:rPr>
      <w:kern w:val="0"/>
      <w:sz w:val="24"/>
      <w:szCs w:val="20"/>
    </w:rPr>
  </w:style>
  <w:style w:type="paragraph" w:styleId="10">
    <w:name w:val="Normal Indent"/>
    <w:basedOn w:val="1"/>
    <w:next w:val="1"/>
    <w:link w:val="92"/>
    <w:qFormat/>
    <w:uiPriority w:val="0"/>
    <w:pPr>
      <w:ind w:firstLine="420"/>
    </w:pPr>
    <w:rPr>
      <w:szCs w:val="20"/>
    </w:rPr>
  </w:style>
  <w:style w:type="paragraph" w:styleId="11">
    <w:name w:val="caption"/>
    <w:basedOn w:val="1"/>
    <w:next w:val="1"/>
    <w:qFormat/>
    <w:uiPriority w:val="0"/>
    <w:pPr>
      <w:spacing w:before="152" w:after="160"/>
    </w:pPr>
    <w:rPr>
      <w:rFonts w:ascii="Arial" w:hAnsi="Arial" w:eastAsia="黑体" w:cs="Arial"/>
      <w:sz w:val="20"/>
      <w:szCs w:val="20"/>
    </w:rPr>
  </w:style>
  <w:style w:type="paragraph" w:styleId="12">
    <w:name w:val="Document Map"/>
    <w:basedOn w:val="1"/>
    <w:link w:val="76"/>
    <w:qFormat/>
    <w:uiPriority w:val="0"/>
    <w:rPr>
      <w:rFonts w:ascii="Helvetica" w:hAnsi="Helvetica"/>
      <w:sz w:val="24"/>
    </w:rPr>
  </w:style>
  <w:style w:type="paragraph" w:styleId="13">
    <w:name w:val="annotation text"/>
    <w:basedOn w:val="1"/>
    <w:link w:val="78"/>
    <w:qFormat/>
    <w:uiPriority w:val="0"/>
    <w:pPr>
      <w:jc w:val="left"/>
    </w:pPr>
  </w:style>
  <w:style w:type="paragraph" w:styleId="14">
    <w:name w:val="Body Text 3"/>
    <w:basedOn w:val="1"/>
    <w:link w:val="64"/>
    <w:qFormat/>
    <w:uiPriority w:val="0"/>
    <w:pPr>
      <w:spacing w:after="120"/>
    </w:pPr>
    <w:rPr>
      <w:sz w:val="16"/>
      <w:szCs w:val="16"/>
    </w:rPr>
  </w:style>
  <w:style w:type="paragraph" w:styleId="15">
    <w:name w:val="Body Text"/>
    <w:basedOn w:val="1"/>
    <w:next w:val="16"/>
    <w:link w:val="66"/>
    <w:qFormat/>
    <w:uiPriority w:val="0"/>
    <w:pPr>
      <w:spacing w:after="120"/>
    </w:pPr>
  </w:style>
  <w:style w:type="paragraph" w:styleId="16">
    <w:name w:val="Body Text First Indent"/>
    <w:basedOn w:val="15"/>
    <w:unhideWhenUsed/>
    <w:qFormat/>
    <w:uiPriority w:val="99"/>
    <w:pPr>
      <w:spacing w:line="360" w:lineRule="auto"/>
      <w:ind w:firstLine="200" w:firstLineChars="200"/>
    </w:pPr>
    <w:rPr>
      <w:rFonts w:ascii="仿宋_GB2312" w:eastAsia="仿宋_GB2312"/>
      <w:bCs/>
      <w:sz w:val="30"/>
    </w:rPr>
  </w:style>
  <w:style w:type="paragraph" w:styleId="17">
    <w:name w:val="Body Text Indent"/>
    <w:basedOn w:val="1"/>
    <w:next w:val="10"/>
    <w:qFormat/>
    <w:uiPriority w:val="0"/>
    <w:pPr>
      <w:spacing w:after="120"/>
      <w:ind w:left="420" w:leftChars="200"/>
    </w:pPr>
  </w:style>
  <w:style w:type="paragraph" w:styleId="18">
    <w:name w:val="List 2"/>
    <w:basedOn w:val="1"/>
    <w:qFormat/>
    <w:uiPriority w:val="0"/>
    <w:pPr>
      <w:ind w:left="100" w:leftChars="200" w:hanging="200" w:hangingChars="200"/>
    </w:pPr>
  </w:style>
  <w:style w:type="paragraph" w:styleId="19">
    <w:name w:val="toc 3"/>
    <w:basedOn w:val="1"/>
    <w:next w:val="1"/>
    <w:qFormat/>
    <w:uiPriority w:val="0"/>
    <w:pPr>
      <w:ind w:left="840" w:leftChars="400"/>
    </w:pPr>
  </w:style>
  <w:style w:type="paragraph" w:styleId="20">
    <w:name w:val="Plain Text"/>
    <w:basedOn w:val="1"/>
    <w:next w:val="1"/>
    <w:link w:val="72"/>
    <w:qFormat/>
    <w:uiPriority w:val="0"/>
    <w:rPr>
      <w:sz w:val="24"/>
      <w:szCs w:val="20"/>
    </w:rPr>
  </w:style>
  <w:style w:type="paragraph" w:styleId="21">
    <w:name w:val="Date"/>
    <w:basedOn w:val="1"/>
    <w:next w:val="1"/>
    <w:link w:val="81"/>
    <w:qFormat/>
    <w:uiPriority w:val="0"/>
    <w:pPr>
      <w:ind w:left="2500" w:leftChars="2500"/>
    </w:pPr>
    <w:rPr>
      <w:rFonts w:eastAsia="楷体_GB2312"/>
      <w:sz w:val="32"/>
      <w:szCs w:val="20"/>
    </w:rPr>
  </w:style>
  <w:style w:type="paragraph" w:styleId="22">
    <w:name w:val="Body Text Indent 2"/>
    <w:basedOn w:val="1"/>
    <w:link w:val="75"/>
    <w:qFormat/>
    <w:uiPriority w:val="0"/>
    <w:pPr>
      <w:spacing w:after="120" w:line="480" w:lineRule="auto"/>
      <w:ind w:left="420" w:leftChars="200"/>
    </w:pPr>
  </w:style>
  <w:style w:type="paragraph" w:styleId="23">
    <w:name w:val="endnote text"/>
    <w:basedOn w:val="1"/>
    <w:link w:val="65"/>
    <w:qFormat/>
    <w:uiPriority w:val="0"/>
    <w:pPr>
      <w:snapToGrid w:val="0"/>
      <w:jc w:val="left"/>
    </w:pPr>
  </w:style>
  <w:style w:type="paragraph" w:styleId="24">
    <w:name w:val="Balloon Text"/>
    <w:basedOn w:val="1"/>
    <w:link w:val="84"/>
    <w:qFormat/>
    <w:uiPriority w:val="0"/>
    <w:rPr>
      <w:sz w:val="18"/>
      <w:szCs w:val="18"/>
    </w:rPr>
  </w:style>
  <w:style w:type="paragraph" w:styleId="25">
    <w:name w:val="footer"/>
    <w:basedOn w:val="1"/>
    <w:next w:val="26"/>
    <w:link w:val="79"/>
    <w:qFormat/>
    <w:uiPriority w:val="99"/>
    <w:pPr>
      <w:tabs>
        <w:tab w:val="center" w:pos="4153"/>
        <w:tab w:val="right" w:pos="8306"/>
      </w:tabs>
      <w:snapToGrid w:val="0"/>
      <w:jc w:val="left"/>
    </w:pPr>
    <w:rPr>
      <w:sz w:val="18"/>
      <w:szCs w:val="18"/>
    </w:rPr>
  </w:style>
  <w:style w:type="paragraph" w:styleId="26">
    <w:name w:val="toc 2"/>
    <w:basedOn w:val="1"/>
    <w:next w:val="1"/>
    <w:qFormat/>
    <w:uiPriority w:val="39"/>
    <w:pPr>
      <w:ind w:left="420" w:leftChars="200"/>
    </w:pPr>
  </w:style>
  <w:style w:type="paragraph" w:styleId="27">
    <w:name w:val="envelope return"/>
    <w:basedOn w:val="1"/>
    <w:qFormat/>
    <w:uiPriority w:val="0"/>
    <w:pPr>
      <w:snapToGrid w:val="0"/>
    </w:pPr>
    <w:rPr>
      <w:rFonts w:ascii="Arial" w:hAnsi="Arial"/>
    </w:rPr>
  </w:style>
  <w:style w:type="paragraph" w:styleId="28">
    <w:name w:val="header"/>
    <w:basedOn w:val="1"/>
    <w:link w:val="89"/>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List"/>
    <w:basedOn w:val="1"/>
    <w:qFormat/>
    <w:uiPriority w:val="0"/>
    <w:pPr>
      <w:ind w:left="200" w:hanging="200" w:hangingChars="200"/>
    </w:pPr>
  </w:style>
  <w:style w:type="paragraph" w:styleId="31">
    <w:name w:val="toc 6"/>
    <w:basedOn w:val="1"/>
    <w:next w:val="1"/>
    <w:unhideWhenUsed/>
    <w:qFormat/>
    <w:uiPriority w:val="39"/>
    <w:pPr>
      <w:ind w:left="2100" w:leftChars="1000"/>
    </w:pPr>
  </w:style>
  <w:style w:type="paragraph" w:styleId="32">
    <w:name w:val="Body Text Indent 3"/>
    <w:basedOn w:val="1"/>
    <w:link w:val="70"/>
    <w:qFormat/>
    <w:uiPriority w:val="0"/>
    <w:pPr>
      <w:ind w:firstLine="435"/>
    </w:pPr>
  </w:style>
  <w:style w:type="paragraph" w:styleId="33">
    <w:name w:val="Body Text 2"/>
    <w:basedOn w:val="1"/>
    <w:link w:val="71"/>
    <w:qFormat/>
    <w:uiPriority w:val="0"/>
    <w:pPr>
      <w:spacing w:after="120" w:line="480" w:lineRule="auto"/>
    </w:pPr>
  </w:style>
  <w:style w:type="paragraph" w:styleId="34">
    <w:name w:val="Normal (Web)"/>
    <w:basedOn w:val="1"/>
    <w:unhideWhenUsed/>
    <w:qFormat/>
    <w:uiPriority w:val="0"/>
    <w:pPr>
      <w:widowControl/>
      <w:spacing w:before="240" w:after="240"/>
      <w:jc w:val="left"/>
    </w:pPr>
    <w:rPr>
      <w:rFonts w:ascii="宋体" w:hAnsi="宋体" w:cs="宋体"/>
      <w:kern w:val="0"/>
      <w:sz w:val="24"/>
    </w:rPr>
  </w:style>
  <w:style w:type="paragraph" w:styleId="35">
    <w:name w:val="Title"/>
    <w:basedOn w:val="1"/>
    <w:next w:val="1"/>
    <w:link w:val="91"/>
    <w:qFormat/>
    <w:uiPriority w:val="10"/>
    <w:pPr>
      <w:spacing w:before="240" w:after="60"/>
      <w:jc w:val="center"/>
      <w:outlineLvl w:val="0"/>
    </w:pPr>
    <w:rPr>
      <w:rFonts w:ascii="Cambria" w:hAnsi="Cambria"/>
      <w:b/>
      <w:bCs/>
      <w:sz w:val="32"/>
      <w:szCs w:val="32"/>
    </w:rPr>
  </w:style>
  <w:style w:type="paragraph" w:styleId="36">
    <w:name w:val="annotation subject"/>
    <w:basedOn w:val="13"/>
    <w:next w:val="13"/>
    <w:link w:val="83"/>
    <w:qFormat/>
    <w:uiPriority w:val="0"/>
    <w:rPr>
      <w:b/>
      <w:bCs/>
    </w:rPr>
  </w:style>
  <w:style w:type="paragraph" w:styleId="37">
    <w:name w:val="Body Text First Indent 2"/>
    <w:basedOn w:val="17"/>
    <w:next w:val="17"/>
    <w:qFormat/>
    <w:uiPriority w:val="0"/>
    <w:pPr>
      <w:autoSpaceDE w:val="0"/>
      <w:autoSpaceDN w:val="0"/>
      <w:adjustRightInd w:val="0"/>
      <w:ind w:firstLine="420" w:firstLineChars="200"/>
      <w:jc w:val="left"/>
    </w:p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22"/>
    <w:rPr>
      <w:b/>
    </w:rPr>
  </w:style>
  <w:style w:type="character" w:styleId="42">
    <w:name w:val="endnote reference"/>
    <w:qFormat/>
    <w:uiPriority w:val="0"/>
    <w:rPr>
      <w:vertAlign w:val="superscript"/>
    </w:rPr>
  </w:style>
  <w:style w:type="character" w:styleId="43">
    <w:name w:val="page number"/>
    <w:basedOn w:val="40"/>
    <w:qFormat/>
    <w:uiPriority w:val="0"/>
  </w:style>
  <w:style w:type="character" w:styleId="44">
    <w:name w:val="FollowedHyperlink"/>
    <w:qFormat/>
    <w:uiPriority w:val="0"/>
    <w:rPr>
      <w:color w:val="800080"/>
      <w:u w:val="single"/>
    </w:rPr>
  </w:style>
  <w:style w:type="character" w:styleId="45">
    <w:name w:val="Hyperlink"/>
    <w:basedOn w:val="40"/>
    <w:qFormat/>
    <w:uiPriority w:val="99"/>
    <w:rPr>
      <w:color w:val="0000FF"/>
      <w:u w:val="single"/>
    </w:rPr>
  </w:style>
  <w:style w:type="character" w:styleId="46">
    <w:name w:val="annotation reference"/>
    <w:qFormat/>
    <w:uiPriority w:val="0"/>
    <w:rPr>
      <w:sz w:val="21"/>
      <w:szCs w:val="21"/>
    </w:rPr>
  </w:style>
  <w:style w:type="paragraph" w:customStyle="1" w:styleId="47">
    <w:name w:val="BodyText1I"/>
    <w:basedOn w:val="48"/>
    <w:next w:val="1"/>
    <w:qFormat/>
    <w:uiPriority w:val="0"/>
    <w:pPr>
      <w:ind w:firstLine="420" w:firstLineChars="100"/>
    </w:pPr>
  </w:style>
  <w:style w:type="paragraph" w:customStyle="1" w:styleId="48">
    <w:name w:val="BodyText"/>
    <w:basedOn w:val="1"/>
    <w:next w:val="49"/>
    <w:qFormat/>
    <w:uiPriority w:val="0"/>
    <w:pPr>
      <w:textAlignment w:val="baseline"/>
    </w:pPr>
    <w:rPr>
      <w:rFonts w:ascii="宋体" w:hAnsi="宋体"/>
      <w:szCs w:val="21"/>
      <w:lang w:val="zh-CN" w:bidi="zh-CN"/>
    </w:rPr>
  </w:style>
  <w:style w:type="paragraph" w:customStyle="1" w:styleId="49">
    <w:name w:val="TOC2"/>
    <w:basedOn w:val="1"/>
    <w:next w:val="1"/>
    <w:qFormat/>
    <w:uiPriority w:val="0"/>
    <w:pPr>
      <w:ind w:left="420" w:leftChars="200"/>
      <w:textAlignment w:val="baseline"/>
    </w:pPr>
  </w:style>
  <w:style w:type="character" w:customStyle="1" w:styleId="50">
    <w:name w:val="标题 1 Char"/>
    <w:link w:val="2"/>
    <w:qFormat/>
    <w:uiPriority w:val="0"/>
    <w:rPr>
      <w:rFonts w:ascii="Times New Roman" w:hAnsi="Times New Roman" w:eastAsia="宋体"/>
      <w:b/>
      <w:bCs/>
      <w:kern w:val="44"/>
      <w:sz w:val="44"/>
      <w:szCs w:val="44"/>
      <w:lang w:val="en-US" w:eastAsia="zh-CN" w:bidi="ar-SA"/>
    </w:rPr>
  </w:style>
  <w:style w:type="character" w:customStyle="1" w:styleId="51">
    <w:name w:val="标题 2 Char"/>
    <w:link w:val="3"/>
    <w:qFormat/>
    <w:uiPriority w:val="9"/>
    <w:rPr>
      <w:rFonts w:ascii="Arial" w:hAnsi="Arial" w:eastAsia="黑体"/>
      <w:b/>
      <w:bCs/>
      <w:kern w:val="2"/>
      <w:sz w:val="32"/>
      <w:szCs w:val="32"/>
    </w:rPr>
  </w:style>
  <w:style w:type="paragraph" w:customStyle="1" w:styleId="52">
    <w:name w:val="xl53"/>
    <w:basedOn w:val="1"/>
    <w:next w:val="1"/>
    <w:qFormat/>
    <w:uiPriority w:val="0"/>
    <w:pPr>
      <w:spacing w:before="280" w:after="280" w:line="100" w:lineRule="exact"/>
      <w:jc w:val="center"/>
    </w:pPr>
    <w:rPr>
      <w:b/>
    </w:rPr>
  </w:style>
  <w:style w:type="paragraph" w:customStyle="1" w:styleId="53">
    <w:name w:val="样式 表格正文 + 两端对齐"/>
    <w:basedOn w:val="1"/>
    <w:next w:val="54"/>
    <w:qFormat/>
    <w:uiPriority w:val="0"/>
    <w:pPr>
      <w:spacing w:line="300" w:lineRule="auto"/>
    </w:pPr>
  </w:style>
  <w:style w:type="paragraph" w:customStyle="1" w:styleId="54">
    <w:name w:val="正文1"/>
    <w:basedOn w:val="12"/>
    <w:next w:val="55"/>
    <w:qFormat/>
    <w:uiPriority w:val="0"/>
    <w:pPr>
      <w:adjustRightInd w:val="0"/>
      <w:spacing w:line="318" w:lineRule="atLeast"/>
      <w:ind w:left="369" w:firstLine="369"/>
      <w:textAlignment w:val="baseline"/>
    </w:pPr>
    <w:rPr>
      <w:rFonts w:ascii="宋体"/>
      <w:szCs w:val="20"/>
    </w:rPr>
  </w:style>
  <w:style w:type="paragraph" w:customStyle="1" w:styleId="55">
    <w:name w:val="自动更正"/>
    <w:next w:val="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39"/>
    <w:basedOn w:val="1"/>
    <w:next w:val="57"/>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color w:val="000000"/>
      <w:kern w:val="0"/>
      <w:sz w:val="18"/>
      <w:szCs w:val="18"/>
    </w:rPr>
  </w:style>
  <w:style w:type="paragraph" w:customStyle="1" w:styleId="57">
    <w:name w:val="分手多日，近况如何？"/>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58">
    <w:name w:val="正文首行缩进1"/>
    <w:basedOn w:val="15"/>
    <w:qFormat/>
    <w:uiPriority w:val="0"/>
    <w:pPr>
      <w:ind w:firstLine="420" w:firstLineChars="100"/>
    </w:pPr>
    <w:rPr>
      <w:rFonts w:ascii="Calibri" w:hAnsi="Calibri"/>
      <w:szCs w:val="22"/>
    </w:rPr>
  </w:style>
  <w:style w:type="paragraph" w:customStyle="1" w:styleId="59">
    <w:name w:val="Default"/>
    <w:next w:val="2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0">
    <w:name w:val="表格文字"/>
    <w:next w:val="15"/>
    <w:link w:val="88"/>
    <w:qFormat/>
    <w:locked/>
    <w:uiPriority w:val="0"/>
    <w:pPr>
      <w:spacing w:beforeLines="25" w:afterLines="25"/>
      <w:jc w:val="center"/>
    </w:pPr>
    <w:rPr>
      <w:rFonts w:ascii="Times New Roman" w:hAnsi="Times New Roman" w:eastAsia="宋体" w:cs="Times New Roman"/>
      <w:kern w:val="2"/>
      <w:sz w:val="24"/>
      <w:szCs w:val="28"/>
      <w:lang w:val="en-US" w:eastAsia="zh-CN" w:bidi="ar-SA"/>
    </w:rPr>
  </w:style>
  <w:style w:type="character" w:customStyle="1" w:styleId="61">
    <w:name w:val="NormalCharacter"/>
    <w:qFormat/>
    <w:uiPriority w:val="0"/>
    <w:rPr>
      <w:rFonts w:ascii="Times New Roman" w:hAnsi="Times New Roman" w:eastAsia="宋体" w:cs="Times New Roman"/>
    </w:rPr>
  </w:style>
  <w:style w:type="character" w:customStyle="1" w:styleId="62">
    <w:name w:val="标3 Char"/>
    <w:link w:val="63"/>
    <w:qFormat/>
    <w:uiPriority w:val="0"/>
    <w:rPr>
      <w:rFonts w:ascii="Arial Narrow" w:hAnsi="Arial Narrow" w:eastAsia="仿宋_GB2312"/>
      <w:sz w:val="32"/>
      <w:szCs w:val="32"/>
    </w:rPr>
  </w:style>
  <w:style w:type="paragraph" w:customStyle="1" w:styleId="63">
    <w:name w:val="标3"/>
    <w:basedOn w:val="1"/>
    <w:link w:val="62"/>
    <w:qFormat/>
    <w:uiPriority w:val="0"/>
    <w:pPr>
      <w:numPr>
        <w:ilvl w:val="2"/>
        <w:numId w:val="2"/>
      </w:numPr>
      <w:adjustRightInd w:val="0"/>
      <w:snapToGrid w:val="0"/>
      <w:spacing w:beforeLines="50"/>
      <w:outlineLvl w:val="2"/>
    </w:pPr>
    <w:rPr>
      <w:rFonts w:ascii="Arial Narrow" w:hAnsi="Arial Narrow" w:eastAsia="仿宋_GB2312"/>
      <w:kern w:val="0"/>
      <w:sz w:val="32"/>
      <w:szCs w:val="32"/>
    </w:rPr>
  </w:style>
  <w:style w:type="character" w:customStyle="1" w:styleId="64">
    <w:name w:val="正文文本 3 Char"/>
    <w:link w:val="14"/>
    <w:qFormat/>
    <w:uiPriority w:val="0"/>
    <w:rPr>
      <w:kern w:val="2"/>
      <w:sz w:val="16"/>
      <w:szCs w:val="16"/>
    </w:rPr>
  </w:style>
  <w:style w:type="character" w:customStyle="1" w:styleId="65">
    <w:name w:val="尾注文本 Char"/>
    <w:link w:val="23"/>
    <w:qFormat/>
    <w:uiPriority w:val="0"/>
    <w:rPr>
      <w:kern w:val="2"/>
      <w:sz w:val="21"/>
      <w:szCs w:val="24"/>
    </w:rPr>
  </w:style>
  <w:style w:type="character" w:customStyle="1" w:styleId="66">
    <w:name w:val="正文文本 Char"/>
    <w:link w:val="15"/>
    <w:qFormat/>
    <w:uiPriority w:val="0"/>
    <w:rPr>
      <w:kern w:val="2"/>
      <w:sz w:val="21"/>
      <w:szCs w:val="24"/>
    </w:rPr>
  </w:style>
  <w:style w:type="character" w:customStyle="1" w:styleId="67">
    <w:name w:val="font31"/>
    <w:qFormat/>
    <w:uiPriority w:val="0"/>
    <w:rPr>
      <w:rFonts w:hint="eastAsia" w:ascii="宋体" w:hAnsi="宋体" w:eastAsia="宋体" w:cs="宋体"/>
      <w:color w:val="000000"/>
      <w:sz w:val="24"/>
      <w:szCs w:val="24"/>
      <w:u w:val="none"/>
    </w:rPr>
  </w:style>
  <w:style w:type="character" w:customStyle="1" w:styleId="68">
    <w:name w:val="标题 3 Char"/>
    <w:link w:val="4"/>
    <w:qFormat/>
    <w:uiPriority w:val="0"/>
    <w:rPr>
      <w:b/>
      <w:bCs/>
      <w:kern w:val="2"/>
      <w:sz w:val="32"/>
      <w:szCs w:val="32"/>
    </w:rPr>
  </w:style>
  <w:style w:type="character" w:customStyle="1" w:styleId="69">
    <w:name w:val="标题 6 Char"/>
    <w:link w:val="6"/>
    <w:semiHidden/>
    <w:qFormat/>
    <w:uiPriority w:val="0"/>
    <w:rPr>
      <w:rFonts w:ascii="Cambria" w:hAnsi="Cambria" w:eastAsia="宋体" w:cs="Times New Roman"/>
      <w:b/>
      <w:bCs/>
      <w:kern w:val="2"/>
      <w:sz w:val="24"/>
      <w:szCs w:val="24"/>
    </w:rPr>
  </w:style>
  <w:style w:type="character" w:customStyle="1" w:styleId="70">
    <w:name w:val="正文文本缩进 3 Char"/>
    <w:link w:val="32"/>
    <w:qFormat/>
    <w:uiPriority w:val="0"/>
    <w:rPr>
      <w:kern w:val="2"/>
      <w:sz w:val="21"/>
      <w:szCs w:val="24"/>
    </w:rPr>
  </w:style>
  <w:style w:type="character" w:customStyle="1" w:styleId="71">
    <w:name w:val="正文文本 2 Char"/>
    <w:link w:val="33"/>
    <w:qFormat/>
    <w:uiPriority w:val="0"/>
    <w:rPr>
      <w:kern w:val="2"/>
      <w:sz w:val="21"/>
      <w:szCs w:val="24"/>
    </w:rPr>
  </w:style>
  <w:style w:type="character" w:customStyle="1" w:styleId="72">
    <w:name w:val="纯文本 Char"/>
    <w:link w:val="20"/>
    <w:qFormat/>
    <w:uiPriority w:val="0"/>
    <w:rPr>
      <w:rFonts w:eastAsia="宋体"/>
      <w:kern w:val="2"/>
      <w:sz w:val="24"/>
      <w:lang w:val="en-US" w:eastAsia="zh-CN" w:bidi="ar-SA"/>
    </w:rPr>
  </w:style>
  <w:style w:type="character" w:customStyle="1" w:styleId="73">
    <w:name w:val="标题 1字符"/>
    <w:qFormat/>
    <w:uiPriority w:val="0"/>
    <w:rPr>
      <w:b/>
      <w:bCs/>
      <w:kern w:val="44"/>
      <w:sz w:val="44"/>
      <w:szCs w:val="44"/>
    </w:rPr>
  </w:style>
  <w:style w:type="character" w:customStyle="1" w:styleId="74">
    <w:name w:val="无"/>
    <w:qFormat/>
    <w:uiPriority w:val="99"/>
  </w:style>
  <w:style w:type="character" w:customStyle="1" w:styleId="75">
    <w:name w:val="正文文本缩进 2 Char"/>
    <w:link w:val="22"/>
    <w:qFormat/>
    <w:uiPriority w:val="0"/>
    <w:rPr>
      <w:kern w:val="2"/>
      <w:sz w:val="21"/>
      <w:szCs w:val="24"/>
    </w:rPr>
  </w:style>
  <w:style w:type="character" w:customStyle="1" w:styleId="76">
    <w:name w:val="文档结构图 Char"/>
    <w:link w:val="12"/>
    <w:qFormat/>
    <w:uiPriority w:val="0"/>
    <w:rPr>
      <w:rFonts w:ascii="Helvetica" w:hAnsi="Helvetica"/>
      <w:kern w:val="2"/>
      <w:sz w:val="24"/>
      <w:szCs w:val="24"/>
    </w:rPr>
  </w:style>
  <w:style w:type="character" w:customStyle="1" w:styleId="77">
    <w:name w:val="Char Char Char"/>
    <w:qFormat/>
    <w:uiPriority w:val="0"/>
    <w:rPr>
      <w:rFonts w:ascii="宋体" w:hAnsi="Courier New" w:eastAsia="宋体"/>
      <w:kern w:val="2"/>
      <w:sz w:val="24"/>
      <w:szCs w:val="24"/>
      <w:lang w:val="en-US" w:eastAsia="zh-CN" w:bidi="ar-SA"/>
    </w:rPr>
  </w:style>
  <w:style w:type="character" w:customStyle="1" w:styleId="78">
    <w:name w:val="批注文字 Char"/>
    <w:link w:val="13"/>
    <w:qFormat/>
    <w:uiPriority w:val="0"/>
    <w:rPr>
      <w:kern w:val="2"/>
      <w:sz w:val="21"/>
      <w:szCs w:val="24"/>
    </w:rPr>
  </w:style>
  <w:style w:type="character" w:customStyle="1" w:styleId="79">
    <w:name w:val="页脚 Char"/>
    <w:link w:val="25"/>
    <w:qFormat/>
    <w:uiPriority w:val="99"/>
    <w:rPr>
      <w:kern w:val="2"/>
      <w:sz w:val="18"/>
      <w:szCs w:val="18"/>
    </w:rPr>
  </w:style>
  <w:style w:type="character" w:customStyle="1" w:styleId="80">
    <w:name w:val="纯文本 Char1"/>
    <w:qFormat/>
    <w:locked/>
    <w:uiPriority w:val="0"/>
    <w:rPr>
      <w:rFonts w:ascii="宋体" w:hAnsi="Courier New" w:eastAsia="宋体" w:cs="Times New Roman"/>
      <w:szCs w:val="21"/>
    </w:rPr>
  </w:style>
  <w:style w:type="character" w:customStyle="1" w:styleId="81">
    <w:name w:val="日期 Char"/>
    <w:link w:val="21"/>
    <w:qFormat/>
    <w:uiPriority w:val="0"/>
    <w:rPr>
      <w:rFonts w:eastAsia="楷体_GB2312"/>
      <w:kern w:val="2"/>
      <w:sz w:val="32"/>
    </w:rPr>
  </w:style>
  <w:style w:type="character" w:customStyle="1" w:styleId="82">
    <w:name w:val="Char Char"/>
    <w:qFormat/>
    <w:uiPriority w:val="0"/>
    <w:rPr>
      <w:rFonts w:ascii="宋体" w:hAnsi="Courier New" w:eastAsia="宋体"/>
      <w:kern w:val="2"/>
      <w:sz w:val="24"/>
      <w:szCs w:val="24"/>
      <w:lang w:val="en-US" w:eastAsia="zh-CN" w:bidi="ar-SA"/>
    </w:rPr>
  </w:style>
  <w:style w:type="character" w:customStyle="1" w:styleId="83">
    <w:name w:val="批注主题 Char"/>
    <w:link w:val="36"/>
    <w:qFormat/>
    <w:uiPriority w:val="0"/>
    <w:rPr>
      <w:b/>
      <w:bCs/>
      <w:kern w:val="2"/>
      <w:sz w:val="21"/>
      <w:szCs w:val="24"/>
    </w:rPr>
  </w:style>
  <w:style w:type="character" w:customStyle="1" w:styleId="84">
    <w:name w:val="批注框文本 Char"/>
    <w:link w:val="24"/>
    <w:qFormat/>
    <w:uiPriority w:val="0"/>
    <w:rPr>
      <w:kern w:val="2"/>
      <w:sz w:val="18"/>
      <w:szCs w:val="18"/>
    </w:rPr>
  </w:style>
  <w:style w:type="character" w:customStyle="1" w:styleId="85">
    <w:name w:val="font01"/>
    <w:qFormat/>
    <w:uiPriority w:val="0"/>
    <w:rPr>
      <w:rFonts w:hint="default" w:ascii="Arial" w:hAnsi="Arial" w:cs="Arial"/>
      <w:color w:val="000000"/>
      <w:sz w:val="24"/>
      <w:szCs w:val="24"/>
      <w:u w:val="none"/>
    </w:rPr>
  </w:style>
  <w:style w:type="character" w:customStyle="1" w:styleId="86">
    <w:name w:val="font11"/>
    <w:qFormat/>
    <w:uiPriority w:val="0"/>
    <w:rPr>
      <w:rFonts w:hint="eastAsia" w:ascii="宋体" w:hAnsi="宋体" w:eastAsia="宋体" w:cs="宋体"/>
      <w:b/>
      <w:color w:val="000000"/>
      <w:sz w:val="24"/>
      <w:szCs w:val="24"/>
      <w:u w:val="none"/>
    </w:rPr>
  </w:style>
  <w:style w:type="character" w:customStyle="1" w:styleId="87">
    <w:name w:val="apple-converted-space"/>
    <w:qFormat/>
    <w:uiPriority w:val="0"/>
  </w:style>
  <w:style w:type="character" w:customStyle="1" w:styleId="88">
    <w:name w:val="表格文字 Char Char"/>
    <w:link w:val="60"/>
    <w:qFormat/>
    <w:locked/>
    <w:uiPriority w:val="0"/>
    <w:rPr>
      <w:kern w:val="2"/>
      <w:sz w:val="24"/>
      <w:szCs w:val="28"/>
      <w:lang w:val="en-US" w:eastAsia="zh-CN" w:bidi="ar-SA"/>
    </w:rPr>
  </w:style>
  <w:style w:type="character" w:customStyle="1" w:styleId="89">
    <w:name w:val="页眉 Char"/>
    <w:link w:val="28"/>
    <w:qFormat/>
    <w:uiPriority w:val="99"/>
    <w:rPr>
      <w:kern w:val="2"/>
      <w:sz w:val="18"/>
      <w:szCs w:val="18"/>
    </w:rPr>
  </w:style>
  <w:style w:type="character" w:customStyle="1" w:styleId="90">
    <w:name w:val="标题 1 Char1"/>
    <w:qFormat/>
    <w:uiPriority w:val="0"/>
    <w:rPr>
      <w:rFonts w:ascii="Times New Roman" w:hAnsi="Times New Roman" w:eastAsia="宋体"/>
      <w:b/>
      <w:bCs/>
      <w:kern w:val="44"/>
      <w:sz w:val="44"/>
      <w:szCs w:val="44"/>
      <w:lang w:val="en-US" w:eastAsia="zh-CN" w:bidi="ar-SA"/>
    </w:rPr>
  </w:style>
  <w:style w:type="character" w:customStyle="1" w:styleId="91">
    <w:name w:val="标题 Char"/>
    <w:link w:val="35"/>
    <w:qFormat/>
    <w:uiPriority w:val="10"/>
    <w:rPr>
      <w:rFonts w:ascii="Cambria" w:hAnsi="Cambria"/>
      <w:b/>
      <w:bCs/>
      <w:kern w:val="2"/>
      <w:sz w:val="32"/>
      <w:szCs w:val="32"/>
    </w:rPr>
  </w:style>
  <w:style w:type="character" w:customStyle="1" w:styleId="92">
    <w:name w:val="正文缩进 Char"/>
    <w:link w:val="10"/>
    <w:qFormat/>
    <w:uiPriority w:val="0"/>
    <w:rPr>
      <w:kern w:val="2"/>
      <w:sz w:val="21"/>
    </w:rPr>
  </w:style>
  <w:style w:type="character" w:customStyle="1" w:styleId="93">
    <w:name w:val="font21"/>
    <w:qFormat/>
    <w:uiPriority w:val="0"/>
    <w:rPr>
      <w:rFonts w:ascii="幼圆" w:hAnsi="幼圆" w:eastAsia="幼圆" w:cs="幼圆"/>
      <w:color w:val="000000"/>
      <w:sz w:val="20"/>
      <w:szCs w:val="20"/>
      <w:u w:val="none"/>
    </w:rPr>
  </w:style>
  <w:style w:type="paragraph" w:customStyle="1" w:styleId="94">
    <w:name w:val="章正文"/>
    <w:basedOn w:val="1"/>
    <w:qFormat/>
    <w:uiPriority w:val="99"/>
    <w:pPr>
      <w:spacing w:beforeLines="50" w:after="120" w:line="300" w:lineRule="auto"/>
      <w:ind w:firstLine="480"/>
    </w:pPr>
    <w:rPr>
      <w:rFonts w:ascii="Helvetica" w:hAnsi="Helvetica"/>
      <w:kern w:val="0"/>
      <w:sz w:val="24"/>
    </w:rPr>
  </w:style>
  <w:style w:type="paragraph" w:customStyle="1" w:styleId="95">
    <w:name w:val="Char Char3"/>
    <w:basedOn w:val="1"/>
    <w:qFormat/>
    <w:uiPriority w:val="0"/>
  </w:style>
  <w:style w:type="paragraph" w:customStyle="1" w:styleId="96">
    <w:name w:val="正文11"/>
    <w:basedOn w:val="12"/>
    <w:next w:val="1"/>
    <w:qFormat/>
    <w:uiPriority w:val="99"/>
    <w:pPr>
      <w:widowControl/>
      <w:overflowPunct w:val="0"/>
      <w:autoSpaceDE w:val="0"/>
      <w:autoSpaceDN w:val="0"/>
      <w:adjustRightInd w:val="0"/>
      <w:spacing w:line="400" w:lineRule="exact"/>
      <w:textAlignment w:val="baseline"/>
    </w:pPr>
    <w:rPr>
      <w:kern w:val="0"/>
      <w:szCs w:val="20"/>
    </w:rPr>
  </w:style>
  <w:style w:type="paragraph" w:customStyle="1" w:styleId="97">
    <w:name w:val="彩色列表1"/>
    <w:basedOn w:val="1"/>
    <w:qFormat/>
    <w:uiPriority w:val="34"/>
    <w:pPr>
      <w:ind w:firstLine="420" w:firstLineChars="200"/>
    </w:pPr>
    <w:rPr>
      <w:rFonts w:ascii="Verdana" w:hAnsi="Verdana" w:eastAsia="微软雅黑"/>
      <w:szCs w:val="22"/>
    </w:rPr>
  </w:style>
  <w:style w:type="paragraph" w:customStyle="1" w:styleId="98">
    <w:name w:val="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99">
    <w:name w:val="p0"/>
    <w:basedOn w:val="1"/>
    <w:qFormat/>
    <w:uiPriority w:val="0"/>
    <w:pPr>
      <w:widowControl/>
    </w:pPr>
    <w:rPr>
      <w:rFonts w:ascii="Calibri" w:hAnsi="Calibri"/>
      <w:kern w:val="0"/>
      <w:szCs w:val="21"/>
    </w:rPr>
  </w:style>
  <w:style w:type="paragraph" w:customStyle="1" w:styleId="100">
    <w:name w:val="正文样式"/>
    <w:basedOn w:val="1"/>
    <w:unhideWhenUsed/>
    <w:qFormat/>
    <w:uiPriority w:val="7"/>
    <w:pPr>
      <w:spacing w:line="360" w:lineRule="auto"/>
      <w:ind w:firstLine="480" w:firstLineChars="200"/>
    </w:pPr>
    <w:rPr>
      <w:rFonts w:hAnsi="Calibri"/>
      <w:sz w:val="24"/>
      <w:szCs w:val="20"/>
    </w:rPr>
  </w:style>
  <w:style w:type="paragraph" w:customStyle="1" w:styleId="101">
    <w:name w:val="样式 宋体 黑色 行距: 1.5 倍行距"/>
    <w:basedOn w:val="1"/>
    <w:qFormat/>
    <w:uiPriority w:val="0"/>
    <w:pPr>
      <w:spacing w:line="360" w:lineRule="auto"/>
    </w:pPr>
    <w:rPr>
      <w:rFonts w:ascii="宋体" w:hAnsi="宋体" w:cs="宋体"/>
      <w:color w:val="000000"/>
      <w:sz w:val="24"/>
      <w:szCs w:val="20"/>
    </w:rPr>
  </w:style>
  <w:style w:type="paragraph" w:customStyle="1" w:styleId="102">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_Style 1"/>
    <w:qFormat/>
    <w:uiPriority w:val="0"/>
    <w:rPr>
      <w:rFonts w:ascii="Times New Roman" w:hAnsi="Times New Roman" w:eastAsia="宋体" w:cs="Times New Roman"/>
      <w:kern w:val="2"/>
      <w:sz w:val="28"/>
      <w:szCs w:val="22"/>
      <w:lang w:val="en-US" w:eastAsia="zh-CN" w:bidi="ar-SA"/>
    </w:rPr>
  </w:style>
  <w:style w:type="paragraph" w:customStyle="1" w:styleId="104">
    <w:name w:val="_Style 40"/>
    <w:basedOn w:val="1"/>
    <w:qFormat/>
    <w:uiPriority w:val="0"/>
  </w:style>
  <w:style w:type="paragraph" w:customStyle="1" w:styleId="105">
    <w:name w:val="Char Char5"/>
    <w:basedOn w:val="1"/>
    <w:qFormat/>
    <w:uiPriority w:val="0"/>
  </w:style>
  <w:style w:type="paragraph" w:customStyle="1" w:styleId="106">
    <w:name w:val="Table Paragraph"/>
    <w:basedOn w:val="1"/>
    <w:qFormat/>
    <w:uiPriority w:val="1"/>
  </w:style>
  <w:style w:type="paragraph" w:customStyle="1" w:styleId="107">
    <w:name w:val="xl49"/>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08">
    <w:name w:val="List Paragraph1"/>
    <w:basedOn w:val="1"/>
    <w:qFormat/>
    <w:uiPriority w:val="99"/>
    <w:pPr>
      <w:widowControl/>
      <w:spacing w:after="200" w:line="276" w:lineRule="auto"/>
      <w:ind w:left="720"/>
      <w:jc w:val="left"/>
    </w:pPr>
    <w:rPr>
      <w:kern w:val="0"/>
      <w:sz w:val="22"/>
      <w:szCs w:val="22"/>
      <w:lang w:eastAsia="zh-TW"/>
    </w:rPr>
  </w:style>
  <w:style w:type="paragraph" w:customStyle="1" w:styleId="109">
    <w:name w:val="彩色列表 - 强调文字颜色 11"/>
    <w:basedOn w:val="1"/>
    <w:qFormat/>
    <w:uiPriority w:val="34"/>
    <w:pPr>
      <w:ind w:firstLine="420" w:firstLineChars="200"/>
    </w:pPr>
    <w:rPr>
      <w:rFonts w:ascii="Calibri" w:hAnsi="Calibri"/>
      <w:szCs w:val="22"/>
    </w:rPr>
  </w:style>
  <w:style w:type="paragraph" w:customStyle="1" w:styleId="110">
    <w:name w:val="_Style 23"/>
    <w:basedOn w:val="1"/>
    <w:qFormat/>
    <w:uiPriority w:val="0"/>
  </w:style>
  <w:style w:type="paragraph" w:customStyle="1" w:styleId="111">
    <w:name w:val="_Style 10"/>
    <w:basedOn w:val="1"/>
    <w:qFormat/>
    <w:uiPriority w:val="0"/>
    <w:rPr>
      <w:rFonts w:ascii="仿宋_GB2312" w:eastAsia="仿宋_GB2312"/>
      <w:b/>
      <w:sz w:val="32"/>
      <w:szCs w:val="32"/>
    </w:rPr>
  </w:style>
  <w:style w:type="paragraph" w:customStyle="1" w:styleId="112">
    <w:name w:val="列出段落1"/>
    <w:basedOn w:val="1"/>
    <w:qFormat/>
    <w:uiPriority w:val="0"/>
    <w:pPr>
      <w:ind w:firstLine="420" w:firstLineChars="200"/>
    </w:pPr>
    <w:rPr>
      <w:rFonts w:ascii="Calibri" w:hAnsi="Calibri"/>
      <w:szCs w:val="22"/>
    </w:rPr>
  </w:style>
  <w:style w:type="paragraph" w:customStyle="1" w:styleId="113">
    <w:name w:val="Char Char Char Char Char Char Char"/>
    <w:basedOn w:val="1"/>
    <w:qFormat/>
    <w:uiPriority w:val="0"/>
  </w:style>
  <w:style w:type="paragraph" w:customStyle="1" w:styleId="114">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Times New Roman" w:cs="Arial Unicode MS"/>
      <w:color w:val="000000"/>
      <w:sz w:val="24"/>
      <w:szCs w:val="24"/>
      <w:u w:color="000000"/>
      <w:lang w:val="en-US" w:eastAsia="zh-CN" w:bidi="ar-SA"/>
    </w:rPr>
  </w:style>
  <w:style w:type="paragraph" w:customStyle="1" w:styleId="115">
    <w:name w:val="★章标题"/>
    <w:basedOn w:val="1"/>
    <w:qFormat/>
    <w:uiPriority w:val="99"/>
    <w:pPr>
      <w:spacing w:before="120" w:after="120" w:line="360" w:lineRule="auto"/>
      <w:ind w:firstLine="200" w:firstLineChars="200"/>
      <w:jc w:val="center"/>
      <w:outlineLvl w:val="0"/>
    </w:pPr>
    <w:rPr>
      <w:rFonts w:eastAsia="黑体" w:cs="宋体"/>
      <w:b/>
      <w:bCs/>
      <w:color w:val="000000"/>
      <w:kern w:val="44"/>
      <w:sz w:val="44"/>
      <w:szCs w:val="20"/>
    </w:rPr>
  </w:style>
  <w:style w:type="paragraph" w:customStyle="1" w:styleId="116">
    <w:name w:val="正文2"/>
    <w:basedOn w:val="1"/>
    <w:qFormat/>
    <w:uiPriority w:val="0"/>
    <w:pPr>
      <w:spacing w:before="156" w:line="360" w:lineRule="auto"/>
      <w:ind w:firstLine="510" w:firstLineChars="200"/>
    </w:pPr>
    <w:rPr>
      <w:sz w:val="24"/>
      <w:szCs w:val="20"/>
    </w:rPr>
  </w:style>
  <w:style w:type="paragraph" w:customStyle="1" w:styleId="117">
    <w:name w:val="彩色列表2"/>
    <w:basedOn w:val="1"/>
    <w:qFormat/>
    <w:uiPriority w:val="34"/>
    <w:pPr>
      <w:ind w:firstLine="420" w:firstLineChars="200"/>
    </w:pPr>
  </w:style>
  <w:style w:type="paragraph" w:customStyle="1" w:styleId="118">
    <w:name w:val="样式1"/>
    <w:qFormat/>
    <w:uiPriority w:val="0"/>
    <w:pPr>
      <w:numPr>
        <w:ilvl w:val="2"/>
        <w:numId w:val="3"/>
      </w:numPr>
      <w:tabs>
        <w:tab w:val="left" w:pos="735"/>
      </w:tabs>
      <w:adjustRightInd w:val="0"/>
      <w:snapToGrid w:val="0"/>
      <w:spacing w:line="360" w:lineRule="auto"/>
      <w:jc w:val="both"/>
    </w:pPr>
    <w:rPr>
      <w:rFonts w:ascii="Times New Roman" w:hAnsi="Times New Roman" w:eastAsia="宋体" w:cs="Times New Roman"/>
      <w:bCs/>
      <w:kern w:val="2"/>
      <w:sz w:val="24"/>
      <w:szCs w:val="32"/>
      <w:lang w:val="en-US" w:eastAsia="zh-CN" w:bidi="ar-SA"/>
    </w:rPr>
  </w:style>
  <w:style w:type="paragraph" w:customStyle="1" w:styleId="119">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120">
    <w:name w:val="首行缩进"/>
    <w:basedOn w:val="1"/>
    <w:qFormat/>
    <w:uiPriority w:val="0"/>
    <w:pPr>
      <w:spacing w:line="360" w:lineRule="auto"/>
      <w:ind w:firstLine="480" w:firstLineChars="200"/>
    </w:pPr>
    <w:rPr>
      <w:sz w:val="24"/>
      <w:szCs w:val="22"/>
      <w:lang w:val="zh-CN"/>
    </w:rPr>
  </w:style>
  <w:style w:type="paragraph" w:customStyle="1" w:styleId="121">
    <w:name w:val="默认段落字体 Para Char Char Char Char Char Char Char Char Char1 Char Char Char Char"/>
    <w:basedOn w:val="1"/>
    <w:qFormat/>
    <w:uiPriority w:val="0"/>
    <w:rPr>
      <w:rFonts w:ascii="Tahoma" w:hAnsi="Tahoma"/>
      <w:sz w:val="24"/>
      <w:szCs w:val="20"/>
    </w:rPr>
  </w:style>
  <w:style w:type="paragraph" w:customStyle="1" w:styleId="122">
    <w:name w:val="彩色列表11"/>
    <w:basedOn w:val="1"/>
    <w:qFormat/>
    <w:uiPriority w:val="34"/>
    <w:pPr>
      <w:ind w:firstLine="420" w:firstLineChars="200"/>
    </w:pPr>
  </w:style>
  <w:style w:type="character" w:customStyle="1" w:styleId="123">
    <w:name w:val="bjh-p"/>
    <w:basedOn w:val="40"/>
    <w:qFormat/>
    <w:uiPriority w:val="0"/>
  </w:style>
  <w:style w:type="character" w:customStyle="1" w:styleId="124">
    <w:name w:val="font12"/>
    <w:basedOn w:val="40"/>
    <w:qFormat/>
    <w:uiPriority w:val="0"/>
    <w:rPr>
      <w:rFonts w:hint="eastAsia" w:ascii="宋体" w:hAnsi="宋体" w:eastAsia="宋体" w:cs="宋体"/>
      <w:color w:val="000000"/>
      <w:sz w:val="20"/>
      <w:szCs w:val="20"/>
      <w:u w:val="none"/>
    </w:rPr>
  </w:style>
  <w:style w:type="character" w:customStyle="1" w:styleId="125">
    <w:name w:val="font41"/>
    <w:basedOn w:val="40"/>
    <w:qFormat/>
    <w:uiPriority w:val="0"/>
    <w:rPr>
      <w:rFonts w:hint="eastAsia" w:ascii="宋体" w:hAnsi="宋体" w:eastAsia="宋体" w:cs="宋体"/>
      <w:b/>
      <w:bCs/>
      <w:color w:val="000000"/>
      <w:sz w:val="22"/>
      <w:szCs w:val="22"/>
      <w:u w:val="none"/>
    </w:rPr>
  </w:style>
  <w:style w:type="character" w:customStyle="1" w:styleId="126">
    <w:name w:val="font81"/>
    <w:basedOn w:val="40"/>
    <w:qFormat/>
    <w:uiPriority w:val="0"/>
    <w:rPr>
      <w:rFonts w:ascii="Calibri" w:hAnsi="Calibri" w:cs="Calibri"/>
      <w:b/>
      <w:bCs/>
      <w:color w:val="000000"/>
      <w:sz w:val="22"/>
      <w:szCs w:val="22"/>
      <w:u w:val="none"/>
    </w:rPr>
  </w:style>
  <w:style w:type="character" w:customStyle="1" w:styleId="127">
    <w:name w:val="font71"/>
    <w:basedOn w:val="40"/>
    <w:qFormat/>
    <w:uiPriority w:val="0"/>
    <w:rPr>
      <w:rFonts w:hint="eastAsia" w:ascii="宋体" w:hAnsi="宋体" w:eastAsia="宋体" w:cs="宋体"/>
      <w:b/>
      <w:bCs/>
      <w:color w:val="000000"/>
      <w:sz w:val="30"/>
      <w:szCs w:val="30"/>
      <w:u w:val="none"/>
      <w:vertAlign w:val="superscript"/>
    </w:rPr>
  </w:style>
  <w:style w:type="character" w:customStyle="1" w:styleId="128">
    <w:name w:val="font112"/>
    <w:basedOn w:val="40"/>
    <w:qFormat/>
    <w:uiPriority w:val="0"/>
    <w:rPr>
      <w:rFonts w:hint="eastAsia" w:ascii="宋体" w:hAnsi="宋体" w:eastAsia="宋体" w:cs="宋体"/>
      <w:color w:val="000000"/>
      <w:sz w:val="20"/>
      <w:szCs w:val="20"/>
      <w:u w:val="none"/>
    </w:rPr>
  </w:style>
  <w:style w:type="paragraph" w:styleId="129">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130">
    <w:name w:val="TOC 标题1"/>
    <w:basedOn w:val="2"/>
    <w:next w:val="1"/>
    <w:unhideWhenUsed/>
    <w:qFormat/>
    <w:uiPriority w:val="39"/>
    <w:pPr>
      <w:keepNext w:val="0"/>
      <w:keepLines w:val="0"/>
      <w:widowControl/>
      <w:spacing w:before="480" w:after="0" w:line="276" w:lineRule="auto"/>
      <w:jc w:val="left"/>
      <w:outlineLvl w:val="9"/>
    </w:pPr>
    <w:rPr>
      <w:rFonts w:asciiTheme="majorHAnsi" w:hAnsiTheme="majorHAnsi" w:eastAsiaTheme="majorEastAsia" w:cstheme="majorBidi"/>
      <w:bCs w:val="0"/>
      <w:color w:val="2E75B6" w:themeColor="accent1" w:themeShade="BF"/>
      <w:kern w:val="0"/>
      <w:sz w:val="28"/>
      <w:szCs w:val="28"/>
    </w:rPr>
  </w:style>
  <w:style w:type="paragraph" w:customStyle="1" w:styleId="131">
    <w:name w:val="样式 样式1 + 首行缩进:  2 字符"/>
    <w:basedOn w:val="1"/>
    <w:qFormat/>
    <w:uiPriority w:val="0"/>
    <w:pPr>
      <w:spacing w:line="360" w:lineRule="exact"/>
      <w:ind w:firstLine="420" w:firstLineChars="200"/>
    </w:pPr>
    <w:rPr>
      <w:rFonts w:ascii="Arial" w:hAnsi="Arial" w:cs="宋体"/>
      <w:szCs w:val="20"/>
    </w:rPr>
  </w:style>
  <w:style w:type="paragraph" w:customStyle="1" w:styleId="132">
    <w:name w:val="标书正文"/>
    <w:basedOn w:val="1"/>
    <w:qFormat/>
    <w:uiPriority w:val="0"/>
    <w:pPr>
      <w:suppressAutoHyphens/>
      <w:autoSpaceDE w:val="0"/>
      <w:autoSpaceDN w:val="0"/>
      <w:adjustRightInd w:val="0"/>
      <w:snapToGrid w:val="0"/>
    </w:pPr>
    <w:rPr>
      <w:rFonts w:ascii="Times New Roman" w:hAnsi="Times New Roman" w:eastAsia="仿宋_GB2312"/>
      <w:sz w:val="32"/>
      <w:szCs w:val="24"/>
    </w:rPr>
  </w:style>
  <w:style w:type="paragraph" w:customStyle="1" w:styleId="133">
    <w:name w:val="Normal Indent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27141</Words>
  <Characters>29160</Characters>
  <Lines>578</Lines>
  <Paragraphs>162</Paragraphs>
  <TotalTime>6</TotalTime>
  <ScaleCrop>false</ScaleCrop>
  <LinksUpToDate>false</LinksUpToDate>
  <CharactersWithSpaces>29593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2021-03-01T07:14:00Z</dcterms:created>
  <dc:creator>Administrator</dc:creator>
  <cp:lastModifiedBy>嘟嘟妈母婴馆、凯儿得乐代</cp:lastModifiedBy>
  <cp:lastPrinted>2026-04-24T05:56:00Z</cp:lastPrinted>
  <dcterms:modified xsi:type="dcterms:W3CDTF">2026-05-22T02:41:10Z</dcterms:modified>
  <dc:title>东阳市鑫盛工程咨询有限公司关于东阳市广福路以南、望江路以西地块-上王公寓</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77EC8053EAE64D8CBA61DB278E8DDC23_13</vt:lpwstr>
  </property>
  <property fmtid="{D5CDD505-2E9C-101B-9397-08002B2CF9AE}" pid="4" name="KSOTemplateDocerSaveRecord">
    <vt:lpwstr>eyJoZGlkIjoiMzM4YzBjZDhjYTFkZDY5YTQwMDUwZTQyMGEzNDE5MTgiLCJ1c2VySWQiOiIzNTA1NDgxMzAifQ==</vt:lpwstr>
  </property>
</Properties>
</file>