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58BBD">
      <w:pPr>
        <w:pStyle w:val="7"/>
        <w:ind w:firstLine="0"/>
        <w:rPr>
          <w:rFonts w:hint="eastAsia" w:ascii="宋体" w:hAnsi="宋体" w:eastAsia="宋体" w:cs="宋体"/>
          <w:b/>
          <w:bCs/>
          <w:color w:val="000000" w:themeColor="text1"/>
          <w:sz w:val="44"/>
          <w:szCs w:val="44"/>
          <w:highlight w:val="none"/>
          <w14:textFill>
            <w14:solidFill>
              <w14:schemeClr w14:val="tx1"/>
            </w14:solidFill>
          </w14:textFill>
        </w:rPr>
      </w:pPr>
    </w:p>
    <w:p w14:paraId="30713F39">
      <w:pPr>
        <w:bidi w:val="0"/>
        <w:jc w:val="center"/>
        <w:rPr>
          <w:rFonts w:hint="eastAsia" w:ascii="宋体" w:hAnsi="宋体" w:eastAsia="宋体" w:cs="宋体"/>
          <w:b/>
          <w:bCs/>
          <w:color w:val="auto"/>
          <w:sz w:val="48"/>
          <w:szCs w:val="48"/>
          <w:highlight w:val="none"/>
          <w:lang w:val="en-US" w:eastAsia="zh-CN"/>
        </w:rPr>
      </w:pPr>
      <w:bookmarkStart w:id="0" w:name="OLE_LINK51"/>
      <w:bookmarkStart w:id="1" w:name="OLE_LINK1"/>
      <w:r>
        <w:rPr>
          <w:rFonts w:hint="eastAsia" w:ascii="宋体" w:hAnsi="宋体" w:cs="宋体"/>
          <w:b/>
          <w:bCs/>
          <w:color w:val="auto"/>
          <w:sz w:val="48"/>
          <w:szCs w:val="48"/>
          <w:highlight w:val="none"/>
          <w:lang w:val="en-US" w:eastAsia="zh-CN"/>
        </w:rPr>
        <w:t>绍兴市上虞区曹娥街道社区卫生服务中心物业管理服务项目</w:t>
      </w:r>
    </w:p>
    <w:bookmarkEnd w:id="0"/>
    <w:bookmarkEnd w:id="1"/>
    <w:p w14:paraId="694C1AE1">
      <w:pPr>
        <w:pStyle w:val="7"/>
        <w:rPr>
          <w:rFonts w:hint="eastAsia" w:ascii="宋体" w:hAnsi="宋体" w:eastAsia="宋体" w:cs="宋体"/>
          <w:b/>
          <w:bCs/>
          <w:color w:val="auto"/>
          <w:sz w:val="48"/>
          <w:szCs w:val="48"/>
          <w:highlight w:val="none"/>
        </w:rPr>
      </w:pPr>
    </w:p>
    <w:p w14:paraId="0C91585A">
      <w:pPr>
        <w:pStyle w:val="7"/>
        <w:rPr>
          <w:rFonts w:hint="eastAsia" w:ascii="宋体" w:hAnsi="宋体" w:eastAsia="宋体" w:cs="宋体"/>
          <w:b/>
          <w:bCs/>
          <w:color w:val="auto"/>
          <w:sz w:val="44"/>
          <w:szCs w:val="44"/>
          <w:highlight w:val="none"/>
        </w:rPr>
      </w:pPr>
    </w:p>
    <w:p w14:paraId="304E6959">
      <w:pPr>
        <w:pStyle w:val="7"/>
        <w:rPr>
          <w:rFonts w:hint="eastAsia" w:ascii="宋体" w:hAnsi="宋体" w:eastAsia="宋体" w:cs="宋体"/>
          <w:b/>
          <w:bCs/>
          <w:color w:val="auto"/>
          <w:sz w:val="44"/>
          <w:szCs w:val="44"/>
          <w:highlight w:val="none"/>
        </w:rPr>
      </w:pPr>
    </w:p>
    <w:p w14:paraId="78B5872A">
      <w:pPr>
        <w:pStyle w:val="7"/>
        <w:rPr>
          <w:rFonts w:hint="eastAsia" w:ascii="宋体" w:hAnsi="宋体" w:eastAsia="宋体" w:cs="宋体"/>
          <w:color w:val="auto"/>
          <w:highlight w:val="none"/>
        </w:rPr>
      </w:pPr>
    </w:p>
    <w:p w14:paraId="06A9B95A">
      <w:pPr>
        <w:bidi w:val="0"/>
        <w:jc w:val="center"/>
        <w:rPr>
          <w:rFonts w:hint="eastAsia" w:ascii="宋体" w:hAnsi="宋体" w:eastAsia="宋体" w:cs="宋体"/>
          <w:b/>
          <w:bCs/>
          <w:color w:val="auto"/>
          <w:sz w:val="72"/>
          <w:szCs w:val="72"/>
          <w:highlight w:val="none"/>
        </w:rPr>
      </w:pPr>
      <w:bookmarkStart w:id="2" w:name="_Toc20516"/>
    </w:p>
    <w:p w14:paraId="131FF859">
      <w:pPr>
        <w:bidi w:val="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竞争性磋商文件</w:t>
      </w:r>
      <w:bookmarkEnd w:id="2"/>
    </w:p>
    <w:p w14:paraId="26B0DAA0">
      <w:pPr>
        <w:spacing w:line="360" w:lineRule="auto"/>
        <w:jc w:val="center"/>
        <w:rPr>
          <w:rFonts w:hint="eastAsia" w:ascii="宋体" w:hAnsi="宋体" w:eastAsia="宋体" w:cs="宋体"/>
          <w:b/>
          <w:bCs/>
          <w:color w:val="auto"/>
          <w:sz w:val="24"/>
          <w:szCs w:val="24"/>
          <w:highlight w:val="none"/>
        </w:rPr>
      </w:pPr>
    </w:p>
    <w:p w14:paraId="2CC393F5">
      <w:pPr>
        <w:snapToGrid w:val="0"/>
        <w:spacing w:line="360" w:lineRule="auto"/>
        <w:ind w:firstLine="2611" w:firstLineChars="867"/>
        <w:jc w:val="left"/>
        <w:rPr>
          <w:rFonts w:hint="eastAsia" w:ascii="宋体" w:hAnsi="宋体" w:eastAsia="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u w:val="single"/>
          <w:lang w:eastAsia="zh-CN"/>
        </w:rPr>
        <w:t>JZCS2026030</w:t>
      </w:r>
    </w:p>
    <w:p w14:paraId="4271F221">
      <w:pPr>
        <w:snapToGrid w:val="0"/>
        <w:spacing w:line="360" w:lineRule="auto"/>
        <w:ind w:firstLine="2301" w:firstLineChars="767"/>
        <w:jc w:val="left"/>
        <w:rPr>
          <w:rFonts w:hint="eastAsia" w:ascii="宋体" w:hAnsi="宋体" w:eastAsia="宋体" w:cs="宋体"/>
          <w:color w:val="auto"/>
          <w:sz w:val="30"/>
          <w:szCs w:val="30"/>
          <w:highlight w:val="none"/>
        </w:rPr>
      </w:pPr>
    </w:p>
    <w:p w14:paraId="10A63F2F">
      <w:pPr>
        <w:spacing w:line="360" w:lineRule="auto"/>
        <w:rPr>
          <w:rFonts w:hint="eastAsia" w:ascii="宋体" w:hAnsi="宋体" w:eastAsia="宋体" w:cs="宋体"/>
          <w:color w:val="auto"/>
          <w:sz w:val="28"/>
          <w:szCs w:val="28"/>
          <w:highlight w:val="none"/>
        </w:rPr>
      </w:pPr>
    </w:p>
    <w:p w14:paraId="72E8D6EA">
      <w:pPr>
        <w:spacing w:line="360" w:lineRule="auto"/>
        <w:jc w:val="center"/>
        <w:rPr>
          <w:rFonts w:hint="eastAsia" w:ascii="宋体" w:hAnsi="宋体" w:eastAsia="宋体" w:cs="宋体"/>
          <w:color w:val="auto"/>
          <w:sz w:val="24"/>
          <w:szCs w:val="24"/>
          <w:highlight w:val="none"/>
        </w:rPr>
      </w:pPr>
    </w:p>
    <w:p w14:paraId="358E6FBF">
      <w:pPr>
        <w:spacing w:line="360" w:lineRule="auto"/>
        <w:jc w:val="center"/>
        <w:rPr>
          <w:rFonts w:hint="eastAsia" w:ascii="宋体" w:hAnsi="宋体" w:eastAsia="宋体" w:cs="宋体"/>
          <w:color w:val="auto"/>
          <w:sz w:val="24"/>
          <w:szCs w:val="24"/>
          <w:highlight w:val="none"/>
        </w:rPr>
      </w:pPr>
    </w:p>
    <w:p w14:paraId="0A75D774">
      <w:pPr>
        <w:spacing w:line="360" w:lineRule="auto"/>
        <w:jc w:val="center"/>
        <w:rPr>
          <w:rFonts w:hint="eastAsia" w:ascii="宋体" w:hAnsi="宋体" w:eastAsia="宋体" w:cs="宋体"/>
          <w:color w:val="auto"/>
          <w:sz w:val="24"/>
          <w:szCs w:val="24"/>
          <w:highlight w:val="none"/>
        </w:rPr>
      </w:pPr>
    </w:p>
    <w:p w14:paraId="20DBD72E">
      <w:pPr>
        <w:spacing w:line="360" w:lineRule="auto"/>
        <w:jc w:val="center"/>
        <w:rPr>
          <w:rFonts w:hint="eastAsia" w:ascii="宋体" w:hAnsi="宋体" w:eastAsia="宋体" w:cs="宋体"/>
          <w:color w:val="auto"/>
          <w:sz w:val="24"/>
          <w:szCs w:val="24"/>
          <w:highlight w:val="none"/>
        </w:rPr>
      </w:pPr>
    </w:p>
    <w:p w14:paraId="1F47359C">
      <w:pPr>
        <w:spacing w:line="360" w:lineRule="auto"/>
        <w:jc w:val="center"/>
        <w:rPr>
          <w:rFonts w:hint="eastAsia" w:ascii="宋体" w:hAnsi="宋体" w:eastAsia="宋体" w:cs="宋体"/>
          <w:color w:val="auto"/>
          <w:sz w:val="24"/>
          <w:szCs w:val="24"/>
          <w:highlight w:val="none"/>
        </w:rPr>
      </w:pPr>
    </w:p>
    <w:p w14:paraId="5E52D2FB">
      <w:pPr>
        <w:spacing w:line="360" w:lineRule="auto"/>
        <w:rPr>
          <w:rFonts w:hint="eastAsia" w:ascii="宋体" w:hAnsi="宋体" w:eastAsia="宋体" w:cs="宋体"/>
          <w:color w:val="auto"/>
          <w:sz w:val="24"/>
          <w:szCs w:val="24"/>
          <w:highlight w:val="none"/>
        </w:rPr>
      </w:pPr>
    </w:p>
    <w:p w14:paraId="42275A29">
      <w:pPr>
        <w:keepNext w:val="0"/>
        <w:keepLines w:val="0"/>
        <w:pageBreakBefore w:val="0"/>
        <w:widowControl w:val="0"/>
        <w:kinsoku/>
        <w:wordWrap/>
        <w:overflowPunct/>
        <w:topLinePunct w:val="0"/>
        <w:autoSpaceDE/>
        <w:autoSpaceDN/>
        <w:bidi w:val="0"/>
        <w:adjustRightInd/>
        <w:snapToGrid w:val="0"/>
        <w:spacing w:line="360" w:lineRule="auto"/>
        <w:ind w:firstLine="904" w:firstLineChars="300"/>
        <w:jc w:val="left"/>
        <w:textAlignment w:val="auto"/>
        <w:rPr>
          <w:rFonts w:hint="eastAsia" w:ascii="宋体" w:hAnsi="宋体" w:eastAsia="宋体" w:cs="宋体"/>
          <w:b/>
          <w:bCs/>
          <w:color w:val="auto"/>
          <w:highlight w:val="none"/>
          <w:u w:val="single"/>
          <w:lang w:eastAsia="zh-CN"/>
        </w:rPr>
      </w:pPr>
      <w:r>
        <w:rPr>
          <w:rFonts w:hint="eastAsia" w:ascii="宋体" w:hAnsi="宋体" w:eastAsia="宋体" w:cs="宋体"/>
          <w:b/>
          <w:bCs/>
          <w:color w:val="auto"/>
          <w:sz w:val="30"/>
          <w:szCs w:val="30"/>
          <w:highlight w:val="none"/>
        </w:rPr>
        <w:t xml:space="preserve">采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 xml:space="preserve">购 </w:t>
      </w:r>
      <w:r>
        <w:rPr>
          <w:rFonts w:hint="eastAsia" w:ascii="宋体" w:hAnsi="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人：</w:t>
      </w:r>
      <w:r>
        <w:rPr>
          <w:rFonts w:hint="eastAsia" w:ascii="宋体" w:hAnsi="宋体" w:cs="宋体"/>
          <w:b/>
          <w:bCs/>
          <w:color w:val="auto"/>
          <w:sz w:val="30"/>
          <w:highlight w:val="none"/>
          <w:lang w:eastAsia="zh-CN"/>
        </w:rPr>
        <w:t>绍兴市上虞区曹娥街道社区卫生服务中心</w:t>
      </w:r>
    </w:p>
    <w:p w14:paraId="022647D5">
      <w:pPr>
        <w:keepNext w:val="0"/>
        <w:keepLines w:val="0"/>
        <w:pageBreakBefore w:val="0"/>
        <w:widowControl w:val="0"/>
        <w:kinsoku/>
        <w:wordWrap/>
        <w:overflowPunct/>
        <w:topLinePunct w:val="0"/>
        <w:autoSpaceDE/>
        <w:autoSpaceDN/>
        <w:bidi w:val="0"/>
        <w:adjustRightInd/>
        <w:snapToGrid w:val="0"/>
        <w:spacing w:line="360" w:lineRule="auto"/>
        <w:ind w:firstLine="904" w:firstLineChars="300"/>
        <w:jc w:val="left"/>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绍兴市上虞区公共资源交易中心</w:t>
      </w:r>
    </w:p>
    <w:p w14:paraId="5BA02DF9">
      <w:pPr>
        <w:jc w:val="center"/>
        <w:rPr>
          <w:rFonts w:hint="eastAsia" w:ascii="宋体" w:hAnsi="宋体" w:eastAsia="宋体" w:cs="宋体"/>
          <w:b/>
          <w:bCs/>
          <w:color w:val="auto"/>
          <w:sz w:val="30"/>
          <w:szCs w:val="30"/>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二〇二</w:t>
      </w:r>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年</w:t>
      </w:r>
      <w:r>
        <w:rPr>
          <w:rFonts w:hint="eastAsia" w:ascii="宋体" w:hAnsi="宋体" w:cs="宋体"/>
          <w:b/>
          <w:bCs/>
          <w:color w:val="auto"/>
          <w:sz w:val="30"/>
          <w:szCs w:val="30"/>
          <w:highlight w:val="none"/>
          <w:lang w:val="en-US" w:eastAsia="zh-CN"/>
        </w:rPr>
        <w:t>六</w:t>
      </w:r>
      <w:r>
        <w:rPr>
          <w:rFonts w:hint="eastAsia" w:ascii="宋体" w:hAnsi="宋体" w:eastAsia="宋体" w:cs="宋体"/>
          <w:b/>
          <w:bCs/>
          <w:color w:val="auto"/>
          <w:sz w:val="30"/>
          <w:szCs w:val="30"/>
          <w:highlight w:val="none"/>
        </w:rPr>
        <w:t>月</w:t>
      </w:r>
    </w:p>
    <w:p w14:paraId="0BCF0DE4">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sdt>
      <w:sdtPr>
        <w:rPr>
          <w:rFonts w:hint="eastAsia" w:ascii="宋体" w:hAnsi="宋体" w:eastAsia="宋体" w:cs="宋体"/>
          <w:color w:val="auto"/>
          <w:sz w:val="21"/>
          <w:highlight w:val="none"/>
          <w:lang w:val="en-US" w:eastAsia="zh-CN" w:bidi="ar-SA"/>
        </w:rPr>
        <w:id w:val="147468467"/>
        <w15:color w:val="DBDBDB"/>
        <w:docPartObj>
          <w:docPartGallery w:val="Table of Contents"/>
          <w:docPartUnique/>
        </w:docPartObj>
      </w:sdtPr>
      <w:sdtEndPr>
        <w:rPr>
          <w:rFonts w:hint="eastAsia" w:ascii="宋体" w:hAnsi="宋体" w:eastAsia="宋体" w:cs="宋体"/>
          <w:b/>
          <w:bCs/>
          <w:color w:val="auto"/>
          <w:sz w:val="24"/>
          <w:szCs w:val="28"/>
          <w:highlight w:val="none"/>
          <w:lang w:val="en-US" w:eastAsia="zh-CN" w:bidi="ar-SA"/>
        </w:rPr>
      </w:sdtEndPr>
      <w:sdtContent>
        <w:p w14:paraId="0FE7794B">
          <w:pPr>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eastAsia" w:ascii="宋体" w:hAnsi="宋体" w:eastAsia="宋体" w:cs="宋体"/>
              <w:b/>
              <w:color w:val="auto"/>
              <w:highlight w:val="none"/>
              <w:lang w:val="en-US" w:eastAsia="zh-CN" w:bidi="ar-SA"/>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"1-2" \h \u </w:instrText>
          </w:r>
          <w:r>
            <w:rPr>
              <w:rFonts w:hint="eastAsia" w:ascii="宋体" w:hAnsi="宋体" w:eastAsia="宋体" w:cs="宋体"/>
              <w:color w:val="auto"/>
              <w:highlight w:val="none"/>
            </w:rPr>
            <w:fldChar w:fldCharType="separate"/>
          </w:r>
        </w:p>
        <w:p w14:paraId="2CD4CF27">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_Toc6767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第一部分 磋商公告</w:t>
          </w:r>
          <w:r>
            <w:rPr>
              <w:highlight w:val="none"/>
            </w:rPr>
            <w:tab/>
          </w:r>
          <w:r>
            <w:rPr>
              <w:highlight w:val="none"/>
            </w:rPr>
            <w:fldChar w:fldCharType="begin"/>
          </w:r>
          <w:r>
            <w:rPr>
              <w:highlight w:val="none"/>
            </w:rPr>
            <w:instrText xml:space="preserve"> PAGEREF _Toc6767 \h </w:instrText>
          </w:r>
          <w:r>
            <w:rPr>
              <w:highlight w:val="none"/>
            </w:rPr>
            <w:fldChar w:fldCharType="separate"/>
          </w:r>
          <w:r>
            <w:rPr>
              <w:highlight w:val="none"/>
            </w:rPr>
            <w:t>3</w:t>
          </w:r>
          <w:r>
            <w:rPr>
              <w:highlight w:val="none"/>
            </w:rPr>
            <w:fldChar w:fldCharType="end"/>
          </w:r>
          <w:r>
            <w:rPr>
              <w:rFonts w:hint="eastAsia" w:ascii="宋体" w:hAnsi="宋体" w:eastAsia="宋体" w:cs="宋体"/>
              <w:color w:val="auto"/>
              <w:highlight w:val="none"/>
            </w:rPr>
            <w:fldChar w:fldCharType="end"/>
          </w:r>
        </w:p>
        <w:p w14:paraId="5766DDC0">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_Toc17816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第二部分 供应商须知</w:t>
          </w:r>
          <w:r>
            <w:rPr>
              <w:highlight w:val="none"/>
            </w:rPr>
            <w:tab/>
          </w:r>
          <w:r>
            <w:rPr>
              <w:highlight w:val="none"/>
            </w:rPr>
            <w:fldChar w:fldCharType="begin"/>
          </w:r>
          <w:r>
            <w:rPr>
              <w:highlight w:val="none"/>
            </w:rPr>
            <w:instrText xml:space="preserve"> PAGEREF _Toc17816 \h </w:instrText>
          </w:r>
          <w:r>
            <w:rPr>
              <w:highlight w:val="none"/>
            </w:rPr>
            <w:fldChar w:fldCharType="separate"/>
          </w:r>
          <w:r>
            <w:rPr>
              <w:highlight w:val="none"/>
            </w:rPr>
            <w:t>7</w:t>
          </w:r>
          <w:r>
            <w:rPr>
              <w:highlight w:val="none"/>
            </w:rPr>
            <w:fldChar w:fldCharType="end"/>
          </w:r>
          <w:r>
            <w:rPr>
              <w:rFonts w:hint="eastAsia" w:ascii="宋体" w:hAnsi="宋体" w:eastAsia="宋体" w:cs="宋体"/>
              <w:color w:val="auto"/>
              <w:highlight w:val="none"/>
            </w:rPr>
            <w:fldChar w:fldCharType="end"/>
          </w:r>
        </w:p>
        <w:p w14:paraId="18CD81FD">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_Toc20690 </w:instrText>
          </w:r>
          <w:r>
            <w:rPr>
              <w:rFonts w:hint="eastAsia" w:ascii="宋体" w:hAnsi="宋体" w:eastAsia="宋体" w:cs="宋体"/>
              <w:highlight w:val="none"/>
            </w:rPr>
            <w:fldChar w:fldCharType="separate"/>
          </w:r>
          <w:r>
            <w:rPr>
              <w:rFonts w:hint="eastAsia" w:ascii="宋体" w:hAnsi="宋体" w:eastAsia="宋体" w:cs="宋体"/>
              <w:bCs/>
              <w:szCs w:val="28"/>
              <w:highlight w:val="none"/>
              <w:lang w:val="en-US" w:eastAsia="zh-CN" w:bidi="ar-SA"/>
            </w:rPr>
            <w:t>一、</w:t>
          </w:r>
          <w:r>
            <w:rPr>
              <w:rFonts w:hint="eastAsia" w:ascii="宋体" w:hAnsi="宋体" w:eastAsia="宋体" w:cs="宋体"/>
              <w:highlight w:val="none"/>
            </w:rPr>
            <w:t xml:space="preserve"> 总则</w:t>
          </w:r>
          <w:r>
            <w:rPr>
              <w:highlight w:val="none"/>
            </w:rPr>
            <w:tab/>
          </w:r>
          <w:r>
            <w:rPr>
              <w:highlight w:val="none"/>
            </w:rPr>
            <w:fldChar w:fldCharType="begin"/>
          </w:r>
          <w:r>
            <w:rPr>
              <w:highlight w:val="none"/>
            </w:rPr>
            <w:instrText xml:space="preserve"> PAGEREF _Toc20690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highlight w:val="none"/>
            </w:rPr>
            <w:fldChar w:fldCharType="end"/>
          </w:r>
        </w:p>
        <w:p w14:paraId="1CF7F261">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_Toc28205 </w:instrText>
          </w:r>
          <w:r>
            <w:rPr>
              <w:rFonts w:hint="eastAsia" w:ascii="宋体" w:hAnsi="宋体" w:eastAsia="宋体" w:cs="宋体"/>
              <w:highlight w:val="none"/>
            </w:rPr>
            <w:fldChar w:fldCharType="separate"/>
          </w:r>
          <w:r>
            <w:rPr>
              <w:rFonts w:hint="eastAsia" w:ascii="宋体" w:hAnsi="宋体" w:eastAsia="宋体" w:cs="宋体"/>
              <w:bCs/>
              <w:szCs w:val="28"/>
              <w:highlight w:val="none"/>
              <w:lang w:val="en-US" w:eastAsia="zh-CN" w:bidi="ar-SA"/>
            </w:rPr>
            <w:t>二、</w:t>
          </w:r>
          <w:r>
            <w:rPr>
              <w:rFonts w:hint="eastAsia" w:ascii="宋体" w:hAnsi="宋体" w:eastAsia="宋体" w:cs="宋体"/>
              <w:highlight w:val="none"/>
            </w:rPr>
            <w:t xml:space="preserve"> 竞争性磋商文件</w:t>
          </w:r>
          <w:r>
            <w:rPr>
              <w:highlight w:val="none"/>
            </w:rPr>
            <w:tab/>
          </w:r>
          <w:r>
            <w:rPr>
              <w:highlight w:val="none"/>
            </w:rPr>
            <w:fldChar w:fldCharType="begin"/>
          </w:r>
          <w:r>
            <w:rPr>
              <w:highlight w:val="none"/>
            </w:rPr>
            <w:instrText xml:space="preserve"> PAGEREF _Toc28205 \h </w:instrText>
          </w:r>
          <w:r>
            <w:rPr>
              <w:highlight w:val="none"/>
            </w:rPr>
            <w:fldChar w:fldCharType="separate"/>
          </w:r>
          <w:r>
            <w:rPr>
              <w:highlight w:val="none"/>
            </w:rPr>
            <w:t>13</w:t>
          </w:r>
          <w:r>
            <w:rPr>
              <w:highlight w:val="none"/>
            </w:rPr>
            <w:fldChar w:fldCharType="end"/>
          </w:r>
          <w:r>
            <w:rPr>
              <w:rFonts w:hint="eastAsia" w:ascii="宋体" w:hAnsi="宋体" w:eastAsia="宋体" w:cs="宋体"/>
              <w:color w:val="auto"/>
              <w:highlight w:val="none"/>
            </w:rPr>
            <w:fldChar w:fldCharType="end"/>
          </w:r>
        </w:p>
        <w:p w14:paraId="0FEA9ED9">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_Toc26992 </w:instrText>
          </w:r>
          <w:r>
            <w:rPr>
              <w:rFonts w:hint="eastAsia" w:ascii="宋体" w:hAnsi="宋体" w:eastAsia="宋体" w:cs="宋体"/>
              <w:highlight w:val="none"/>
            </w:rPr>
            <w:fldChar w:fldCharType="separate"/>
          </w:r>
          <w:r>
            <w:rPr>
              <w:rFonts w:hint="eastAsia" w:ascii="宋体" w:hAnsi="宋体" w:eastAsia="宋体" w:cs="宋体"/>
              <w:bCs/>
              <w:szCs w:val="28"/>
              <w:highlight w:val="none"/>
              <w:lang w:val="en-US" w:eastAsia="zh-CN" w:bidi="ar-SA"/>
            </w:rPr>
            <w:t>三、</w:t>
          </w:r>
          <w:r>
            <w:rPr>
              <w:rFonts w:hint="eastAsia" w:ascii="宋体" w:hAnsi="宋体" w:eastAsia="宋体" w:cs="宋体"/>
              <w:highlight w:val="none"/>
            </w:rPr>
            <w:t xml:space="preserve"> 竞争性磋商响应文件的编写</w:t>
          </w:r>
          <w:r>
            <w:rPr>
              <w:highlight w:val="none"/>
            </w:rPr>
            <w:tab/>
          </w:r>
          <w:r>
            <w:rPr>
              <w:highlight w:val="none"/>
            </w:rPr>
            <w:fldChar w:fldCharType="begin"/>
          </w:r>
          <w:r>
            <w:rPr>
              <w:highlight w:val="none"/>
            </w:rPr>
            <w:instrText xml:space="preserve"> PAGEREF _Toc26992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highlight w:val="none"/>
            </w:rPr>
            <w:fldChar w:fldCharType="end"/>
          </w:r>
        </w:p>
        <w:p w14:paraId="00087429">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_Toc3164 </w:instrText>
          </w:r>
          <w:r>
            <w:rPr>
              <w:rFonts w:hint="eastAsia" w:ascii="宋体" w:hAnsi="宋体" w:eastAsia="宋体" w:cs="宋体"/>
              <w:highlight w:val="none"/>
            </w:rPr>
            <w:fldChar w:fldCharType="separate"/>
          </w:r>
          <w:r>
            <w:rPr>
              <w:rFonts w:hint="eastAsia" w:ascii="宋体" w:hAnsi="宋体" w:eastAsia="宋体" w:cs="宋体"/>
              <w:bCs/>
              <w:szCs w:val="28"/>
              <w:highlight w:val="none"/>
              <w:lang w:val="en-US" w:eastAsia="zh-CN" w:bidi="ar-SA"/>
            </w:rPr>
            <w:t>四、</w:t>
          </w:r>
          <w:r>
            <w:rPr>
              <w:rFonts w:hint="eastAsia" w:ascii="宋体" w:hAnsi="宋体" w:eastAsia="宋体" w:cs="宋体"/>
              <w:highlight w:val="none"/>
            </w:rPr>
            <w:t xml:space="preserve"> 响应文件的递交</w:t>
          </w:r>
          <w:r>
            <w:rPr>
              <w:highlight w:val="none"/>
            </w:rPr>
            <w:tab/>
          </w:r>
          <w:r>
            <w:rPr>
              <w:highlight w:val="none"/>
            </w:rPr>
            <w:fldChar w:fldCharType="begin"/>
          </w:r>
          <w:r>
            <w:rPr>
              <w:highlight w:val="none"/>
            </w:rPr>
            <w:instrText xml:space="preserve"> PAGEREF _Toc3164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highlight w:val="none"/>
            </w:rPr>
            <w:fldChar w:fldCharType="end"/>
          </w:r>
        </w:p>
        <w:p w14:paraId="0D233339">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_Toc31084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五、</w:t>
          </w:r>
          <w:r>
            <w:rPr>
              <w:rFonts w:hint="eastAsia" w:ascii="宋体" w:hAnsi="宋体" w:eastAsia="宋体" w:cs="宋体"/>
              <w:highlight w:val="none"/>
            </w:rPr>
            <w:t xml:space="preserve"> 磋商无效的情形</w:t>
          </w:r>
          <w:r>
            <w:rPr>
              <w:highlight w:val="none"/>
            </w:rPr>
            <w:tab/>
          </w:r>
          <w:r>
            <w:rPr>
              <w:highlight w:val="none"/>
            </w:rPr>
            <w:fldChar w:fldCharType="begin"/>
          </w:r>
          <w:r>
            <w:rPr>
              <w:highlight w:val="none"/>
            </w:rPr>
            <w:instrText xml:space="preserve"> PAGEREF _Toc31084 \h </w:instrText>
          </w:r>
          <w:r>
            <w:rPr>
              <w:highlight w:val="none"/>
            </w:rPr>
            <w:fldChar w:fldCharType="separate"/>
          </w:r>
          <w:r>
            <w:rPr>
              <w:highlight w:val="none"/>
            </w:rPr>
            <w:t>18</w:t>
          </w:r>
          <w:r>
            <w:rPr>
              <w:highlight w:val="none"/>
            </w:rPr>
            <w:fldChar w:fldCharType="end"/>
          </w:r>
          <w:r>
            <w:rPr>
              <w:rFonts w:hint="eastAsia" w:ascii="宋体" w:hAnsi="宋体" w:eastAsia="宋体" w:cs="宋体"/>
              <w:color w:val="auto"/>
              <w:highlight w:val="none"/>
            </w:rPr>
            <w:fldChar w:fldCharType="end"/>
          </w:r>
        </w:p>
        <w:p w14:paraId="7D90E576">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_Toc13555 </w:instrText>
          </w:r>
          <w:r>
            <w:rPr>
              <w:rFonts w:hint="eastAsia" w:ascii="宋体" w:hAnsi="宋体" w:eastAsia="宋体" w:cs="宋体"/>
              <w:highlight w:val="none"/>
            </w:rPr>
            <w:fldChar w:fldCharType="separate"/>
          </w:r>
          <w:r>
            <w:rPr>
              <w:rFonts w:hint="eastAsia" w:ascii="宋体" w:hAnsi="宋体" w:eastAsia="宋体" w:cs="宋体"/>
              <w:bCs/>
              <w:szCs w:val="28"/>
              <w:highlight w:val="none"/>
              <w:lang w:val="en-US" w:eastAsia="zh-CN" w:bidi="ar-SA"/>
            </w:rPr>
            <w:t>六、</w:t>
          </w:r>
          <w:r>
            <w:rPr>
              <w:rFonts w:hint="eastAsia" w:ascii="宋体" w:hAnsi="宋体" w:eastAsia="宋体" w:cs="宋体"/>
              <w:highlight w:val="none"/>
            </w:rPr>
            <w:t xml:space="preserve"> 采购中止的情形</w:t>
          </w:r>
          <w:r>
            <w:rPr>
              <w:highlight w:val="none"/>
            </w:rPr>
            <w:tab/>
          </w:r>
          <w:r>
            <w:rPr>
              <w:highlight w:val="none"/>
            </w:rPr>
            <w:fldChar w:fldCharType="begin"/>
          </w:r>
          <w:r>
            <w:rPr>
              <w:highlight w:val="none"/>
            </w:rPr>
            <w:instrText xml:space="preserve"> PAGEREF _Toc13555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highlight w:val="none"/>
            </w:rPr>
            <w:fldChar w:fldCharType="end"/>
          </w:r>
        </w:p>
        <w:p w14:paraId="03D82D8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_Toc11691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七、</w:t>
          </w:r>
          <w:r>
            <w:rPr>
              <w:rFonts w:hint="eastAsia" w:ascii="宋体" w:hAnsi="宋体" w:eastAsia="宋体" w:cs="宋体"/>
              <w:highlight w:val="none"/>
            </w:rPr>
            <w:t xml:space="preserve"> 确定成交供应商与签订合同</w:t>
          </w:r>
          <w:r>
            <w:rPr>
              <w:highlight w:val="none"/>
            </w:rPr>
            <w:tab/>
          </w:r>
          <w:r>
            <w:rPr>
              <w:highlight w:val="none"/>
            </w:rPr>
            <w:fldChar w:fldCharType="begin"/>
          </w:r>
          <w:r>
            <w:rPr>
              <w:highlight w:val="none"/>
            </w:rPr>
            <w:instrText xml:space="preserve"> PAGEREF _Toc11691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highlight w:val="none"/>
            </w:rPr>
            <w:fldChar w:fldCharType="end"/>
          </w:r>
        </w:p>
        <w:p w14:paraId="0C7D1DB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_Toc26442 </w:instrText>
          </w:r>
          <w:r>
            <w:rPr>
              <w:rFonts w:hint="eastAsia" w:ascii="宋体" w:hAnsi="宋体" w:eastAsia="宋体" w:cs="宋体"/>
              <w:highlight w:val="none"/>
            </w:rPr>
            <w:fldChar w:fldCharType="separate"/>
          </w:r>
          <w:r>
            <w:rPr>
              <w:rFonts w:hint="eastAsia" w:ascii="宋体" w:hAnsi="宋体" w:eastAsia="宋体" w:cs="宋体"/>
              <w:highlight w:val="none"/>
              <w:lang w:val="en-US" w:eastAsia="zh-CN"/>
            </w:rPr>
            <w:t>八</w:t>
          </w:r>
          <w:r>
            <w:rPr>
              <w:rFonts w:hint="eastAsia" w:ascii="宋体" w:hAnsi="宋体" w:eastAsia="宋体" w:cs="宋体"/>
              <w:highlight w:val="none"/>
            </w:rPr>
            <w:t>、</w:t>
          </w:r>
          <w:r>
            <w:rPr>
              <w:rFonts w:hint="eastAsia" w:ascii="宋体" w:hAnsi="宋体" w:eastAsia="宋体" w:cs="宋体"/>
              <w:highlight w:val="none"/>
              <w:lang w:val="en-US" w:eastAsia="zh-CN"/>
            </w:rPr>
            <w:t xml:space="preserve"> 询问、质疑与投诉</w:t>
          </w:r>
          <w:r>
            <w:rPr>
              <w:highlight w:val="none"/>
            </w:rPr>
            <w:tab/>
          </w:r>
          <w:r>
            <w:rPr>
              <w:highlight w:val="none"/>
            </w:rPr>
            <w:fldChar w:fldCharType="begin"/>
          </w:r>
          <w:r>
            <w:rPr>
              <w:highlight w:val="none"/>
            </w:rPr>
            <w:instrText xml:space="preserve"> PAGEREF _Toc26442 \h </w:instrText>
          </w:r>
          <w:r>
            <w:rPr>
              <w:highlight w:val="none"/>
            </w:rPr>
            <w:fldChar w:fldCharType="separate"/>
          </w:r>
          <w:r>
            <w:rPr>
              <w:highlight w:val="none"/>
            </w:rPr>
            <w:t>22</w:t>
          </w:r>
          <w:r>
            <w:rPr>
              <w:highlight w:val="none"/>
            </w:rPr>
            <w:fldChar w:fldCharType="end"/>
          </w:r>
          <w:r>
            <w:rPr>
              <w:rFonts w:hint="eastAsia" w:ascii="宋体" w:hAnsi="宋体" w:eastAsia="宋体" w:cs="宋体"/>
              <w:color w:val="auto"/>
              <w:highlight w:val="none"/>
            </w:rPr>
            <w:fldChar w:fldCharType="end"/>
          </w:r>
        </w:p>
        <w:p w14:paraId="4E63397E">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_Toc7688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第三部分 采购内容及要求</w:t>
          </w:r>
          <w:r>
            <w:rPr>
              <w:highlight w:val="none"/>
            </w:rPr>
            <w:tab/>
          </w:r>
          <w:r>
            <w:rPr>
              <w:highlight w:val="none"/>
            </w:rPr>
            <w:fldChar w:fldCharType="begin"/>
          </w:r>
          <w:r>
            <w:rPr>
              <w:highlight w:val="none"/>
            </w:rPr>
            <w:instrText xml:space="preserve"> PAGEREF _Toc7688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highlight w:val="none"/>
            </w:rPr>
            <w:fldChar w:fldCharType="end"/>
          </w:r>
        </w:p>
        <w:p w14:paraId="70BE625E">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_Toc8750 </w:instrText>
          </w:r>
          <w:r>
            <w:rPr>
              <w:rFonts w:hint="eastAsia" w:ascii="宋体" w:hAnsi="宋体" w:eastAsia="宋体" w:cs="宋体"/>
              <w:highlight w:val="none"/>
            </w:rPr>
            <w:fldChar w:fldCharType="separate"/>
          </w:r>
          <w:r>
            <w:rPr>
              <w:rFonts w:hint="eastAsia" w:ascii="宋体" w:hAnsi="宋体" w:eastAsia="宋体" w:cs="宋体"/>
              <w:szCs w:val="28"/>
              <w:highlight w:val="none"/>
            </w:rPr>
            <w:t>第</w:t>
          </w:r>
          <w:r>
            <w:rPr>
              <w:rFonts w:hint="eastAsia" w:ascii="宋体" w:hAnsi="宋体" w:eastAsia="宋体" w:cs="宋体"/>
              <w:szCs w:val="28"/>
              <w:highlight w:val="none"/>
              <w:lang w:val="en-US" w:eastAsia="zh-CN"/>
            </w:rPr>
            <w:t>一</w:t>
          </w:r>
          <w:r>
            <w:rPr>
              <w:rFonts w:hint="eastAsia" w:ascii="宋体" w:hAnsi="宋体" w:eastAsia="宋体" w:cs="宋体"/>
              <w:szCs w:val="28"/>
              <w:highlight w:val="none"/>
            </w:rPr>
            <w:t>章</w:t>
          </w:r>
          <w:r>
            <w:rPr>
              <w:rFonts w:hint="eastAsia" w:ascii="宋体" w:hAnsi="宋体" w:cs="宋体"/>
              <w:szCs w:val="28"/>
              <w:highlight w:val="none"/>
              <w:lang w:val="en-US" w:eastAsia="zh-CN"/>
            </w:rPr>
            <w:t xml:space="preserve"> </w:t>
          </w:r>
          <w:r>
            <w:rPr>
              <w:rFonts w:hint="eastAsia" w:ascii="宋体" w:hAnsi="宋体" w:eastAsia="宋体" w:cs="宋体"/>
              <w:szCs w:val="28"/>
              <w:highlight w:val="none"/>
            </w:rPr>
            <w:t>采购内容及要求</w:t>
          </w:r>
          <w:r>
            <w:rPr>
              <w:highlight w:val="none"/>
            </w:rPr>
            <w:tab/>
          </w:r>
          <w:r>
            <w:rPr>
              <w:highlight w:val="none"/>
            </w:rPr>
            <w:fldChar w:fldCharType="begin"/>
          </w:r>
          <w:r>
            <w:rPr>
              <w:highlight w:val="none"/>
            </w:rPr>
            <w:instrText xml:space="preserve"> PAGEREF _Toc8750 \h </w:instrText>
          </w:r>
          <w:r>
            <w:rPr>
              <w:highlight w:val="none"/>
            </w:rPr>
            <w:fldChar w:fldCharType="separate"/>
          </w:r>
          <w:r>
            <w:rPr>
              <w:highlight w:val="none"/>
            </w:rPr>
            <w:t>25</w:t>
          </w:r>
          <w:r>
            <w:rPr>
              <w:highlight w:val="none"/>
            </w:rPr>
            <w:fldChar w:fldCharType="end"/>
          </w:r>
          <w:r>
            <w:rPr>
              <w:rFonts w:hint="eastAsia" w:ascii="宋体" w:hAnsi="宋体" w:eastAsia="宋体" w:cs="宋体"/>
              <w:color w:val="auto"/>
              <w:highlight w:val="none"/>
            </w:rPr>
            <w:fldChar w:fldCharType="end"/>
          </w:r>
        </w:p>
        <w:p w14:paraId="37BF8266">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_Toc25358 </w:instrText>
          </w:r>
          <w:r>
            <w:rPr>
              <w:rFonts w:hint="eastAsia" w:ascii="宋体" w:hAnsi="宋体" w:eastAsia="宋体" w:cs="宋体"/>
              <w:highlight w:val="none"/>
            </w:rPr>
            <w:fldChar w:fldCharType="separate"/>
          </w:r>
          <w:r>
            <w:rPr>
              <w:rFonts w:hint="eastAsia" w:ascii="宋体" w:hAnsi="宋体" w:cs="宋体"/>
              <w:bCs/>
              <w:szCs w:val="30"/>
              <w:highlight w:val="none"/>
            </w:rPr>
            <w:t>第</w:t>
          </w:r>
          <w:r>
            <w:rPr>
              <w:rFonts w:hint="eastAsia" w:ascii="宋体" w:hAnsi="宋体" w:cs="宋体"/>
              <w:bCs/>
              <w:szCs w:val="30"/>
              <w:highlight w:val="none"/>
              <w:lang w:val="en-US" w:eastAsia="zh-CN"/>
            </w:rPr>
            <w:t>二</w:t>
          </w:r>
          <w:r>
            <w:rPr>
              <w:rFonts w:hint="eastAsia" w:ascii="宋体" w:hAnsi="宋体" w:cs="宋体"/>
              <w:bCs/>
              <w:szCs w:val="30"/>
              <w:highlight w:val="none"/>
            </w:rPr>
            <w:t>章 考核及其他要求</w:t>
          </w:r>
          <w:r>
            <w:rPr>
              <w:highlight w:val="none"/>
            </w:rPr>
            <w:tab/>
          </w:r>
          <w:r>
            <w:rPr>
              <w:highlight w:val="none"/>
            </w:rPr>
            <w:fldChar w:fldCharType="begin"/>
          </w:r>
          <w:r>
            <w:rPr>
              <w:highlight w:val="none"/>
            </w:rPr>
            <w:instrText xml:space="preserve"> PAGEREF _Toc25358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highlight w:val="none"/>
            </w:rPr>
            <w:fldChar w:fldCharType="end"/>
          </w:r>
        </w:p>
        <w:p w14:paraId="3B399550">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_Toc9508 </w:instrText>
          </w:r>
          <w:r>
            <w:rPr>
              <w:rFonts w:hint="eastAsia" w:ascii="宋体" w:hAnsi="宋体" w:eastAsia="宋体" w:cs="宋体"/>
              <w:highlight w:val="none"/>
            </w:rPr>
            <w:fldChar w:fldCharType="separate"/>
          </w:r>
          <w:r>
            <w:rPr>
              <w:rFonts w:hint="eastAsia" w:ascii="宋体" w:hAnsi="宋体" w:cs="宋体"/>
              <w:bCs/>
              <w:szCs w:val="30"/>
              <w:highlight w:val="none"/>
            </w:rPr>
            <w:t>第</w:t>
          </w:r>
          <w:r>
            <w:rPr>
              <w:rFonts w:hint="eastAsia" w:ascii="宋体" w:hAnsi="宋体" w:cs="宋体"/>
              <w:bCs/>
              <w:szCs w:val="30"/>
              <w:highlight w:val="none"/>
              <w:lang w:val="en-US" w:eastAsia="zh-CN"/>
            </w:rPr>
            <w:t>三</w:t>
          </w:r>
          <w:r>
            <w:rPr>
              <w:rFonts w:hint="eastAsia" w:ascii="宋体" w:hAnsi="宋体" w:cs="宋体"/>
              <w:bCs/>
              <w:szCs w:val="30"/>
              <w:highlight w:val="none"/>
            </w:rPr>
            <w:t>章 付款方式及要求</w:t>
          </w:r>
          <w:r>
            <w:rPr>
              <w:highlight w:val="none"/>
            </w:rPr>
            <w:tab/>
          </w:r>
          <w:r>
            <w:rPr>
              <w:highlight w:val="none"/>
            </w:rPr>
            <w:fldChar w:fldCharType="begin"/>
          </w:r>
          <w:r>
            <w:rPr>
              <w:highlight w:val="none"/>
            </w:rPr>
            <w:instrText xml:space="preserve"> PAGEREF _Toc9508 \h </w:instrText>
          </w:r>
          <w:r>
            <w:rPr>
              <w:highlight w:val="none"/>
            </w:rPr>
            <w:fldChar w:fldCharType="separate"/>
          </w:r>
          <w:r>
            <w:rPr>
              <w:highlight w:val="none"/>
            </w:rPr>
            <w:t>36</w:t>
          </w:r>
          <w:r>
            <w:rPr>
              <w:highlight w:val="none"/>
            </w:rPr>
            <w:fldChar w:fldCharType="end"/>
          </w:r>
          <w:r>
            <w:rPr>
              <w:rFonts w:hint="eastAsia" w:ascii="宋体" w:hAnsi="宋体" w:eastAsia="宋体" w:cs="宋体"/>
              <w:color w:val="auto"/>
              <w:highlight w:val="none"/>
            </w:rPr>
            <w:fldChar w:fldCharType="end"/>
          </w:r>
        </w:p>
        <w:p w14:paraId="3B697D4C">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_Toc19120 </w:instrText>
          </w:r>
          <w:r>
            <w:rPr>
              <w:rFonts w:hint="eastAsia" w:ascii="宋体" w:hAnsi="宋体" w:eastAsia="宋体" w:cs="宋体"/>
              <w:highlight w:val="none"/>
            </w:rPr>
            <w:fldChar w:fldCharType="separate"/>
          </w:r>
          <w:r>
            <w:rPr>
              <w:rFonts w:hint="eastAsia" w:ascii="宋体" w:hAnsi="宋体" w:eastAsia="宋体" w:cs="宋体"/>
              <w:szCs w:val="36"/>
              <w:highlight w:val="none"/>
            </w:rPr>
            <w:t>第四部分 磋商原则及磋商方法</w:t>
          </w:r>
          <w:r>
            <w:rPr>
              <w:highlight w:val="none"/>
            </w:rPr>
            <w:tab/>
          </w:r>
          <w:r>
            <w:rPr>
              <w:highlight w:val="none"/>
            </w:rPr>
            <w:fldChar w:fldCharType="begin"/>
          </w:r>
          <w:r>
            <w:rPr>
              <w:highlight w:val="none"/>
            </w:rPr>
            <w:instrText xml:space="preserve"> PAGEREF _Toc19120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highlight w:val="none"/>
            </w:rPr>
            <w:fldChar w:fldCharType="end"/>
          </w:r>
        </w:p>
        <w:p w14:paraId="677FDC68">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_Toc26831 </w:instrText>
          </w:r>
          <w:r>
            <w:rPr>
              <w:rFonts w:hint="eastAsia" w:ascii="宋体" w:hAnsi="宋体" w:eastAsia="宋体" w:cs="宋体"/>
              <w:highlight w:val="none"/>
            </w:rPr>
            <w:fldChar w:fldCharType="separate"/>
          </w:r>
          <w:r>
            <w:rPr>
              <w:rFonts w:hint="eastAsia" w:ascii="宋体" w:hAnsi="宋体" w:eastAsia="宋体" w:cs="宋体"/>
              <w:highlight w:val="none"/>
            </w:rPr>
            <w:t>一、 磋商原则</w:t>
          </w:r>
          <w:r>
            <w:rPr>
              <w:highlight w:val="none"/>
            </w:rPr>
            <w:tab/>
          </w:r>
          <w:r>
            <w:rPr>
              <w:highlight w:val="none"/>
            </w:rPr>
            <w:fldChar w:fldCharType="begin"/>
          </w:r>
          <w:r>
            <w:rPr>
              <w:highlight w:val="none"/>
            </w:rPr>
            <w:instrText xml:space="preserve"> PAGEREF _Toc26831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highlight w:val="none"/>
            </w:rPr>
            <w:fldChar w:fldCharType="end"/>
          </w:r>
        </w:p>
        <w:p w14:paraId="3E636032">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_Toc11160 </w:instrText>
          </w:r>
          <w:r>
            <w:rPr>
              <w:rFonts w:hint="eastAsia" w:ascii="宋体" w:hAnsi="宋体" w:eastAsia="宋体" w:cs="宋体"/>
              <w:highlight w:val="none"/>
            </w:rPr>
            <w:fldChar w:fldCharType="separate"/>
          </w:r>
          <w:r>
            <w:rPr>
              <w:rFonts w:hint="eastAsia" w:ascii="宋体" w:hAnsi="宋体" w:eastAsia="宋体" w:cs="宋体"/>
              <w:highlight w:val="none"/>
            </w:rPr>
            <w:t>二、 磋商程序</w:t>
          </w:r>
          <w:r>
            <w:rPr>
              <w:highlight w:val="none"/>
            </w:rPr>
            <w:tab/>
          </w:r>
          <w:r>
            <w:rPr>
              <w:highlight w:val="none"/>
            </w:rPr>
            <w:fldChar w:fldCharType="begin"/>
          </w:r>
          <w:r>
            <w:rPr>
              <w:highlight w:val="none"/>
            </w:rPr>
            <w:instrText xml:space="preserve"> PAGEREF _Toc11160 \h </w:instrText>
          </w:r>
          <w:r>
            <w:rPr>
              <w:highlight w:val="none"/>
            </w:rPr>
            <w:fldChar w:fldCharType="separate"/>
          </w:r>
          <w:r>
            <w:rPr>
              <w:highlight w:val="none"/>
            </w:rPr>
            <w:t>38</w:t>
          </w:r>
          <w:r>
            <w:rPr>
              <w:highlight w:val="none"/>
            </w:rPr>
            <w:fldChar w:fldCharType="end"/>
          </w:r>
          <w:r>
            <w:rPr>
              <w:rFonts w:hint="eastAsia" w:ascii="宋体" w:hAnsi="宋体" w:eastAsia="宋体" w:cs="宋体"/>
              <w:color w:val="auto"/>
              <w:highlight w:val="none"/>
            </w:rPr>
            <w:fldChar w:fldCharType="end"/>
          </w:r>
        </w:p>
        <w:p w14:paraId="13B01EDD">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_Toc28542 </w:instrText>
          </w:r>
          <w:r>
            <w:rPr>
              <w:rFonts w:hint="eastAsia" w:ascii="宋体" w:hAnsi="宋体" w:eastAsia="宋体" w:cs="宋体"/>
              <w:highlight w:val="none"/>
            </w:rPr>
            <w:fldChar w:fldCharType="separate"/>
          </w:r>
          <w:r>
            <w:rPr>
              <w:rFonts w:hint="eastAsia" w:ascii="宋体" w:hAnsi="宋体" w:eastAsia="宋体" w:cs="宋体"/>
              <w:highlight w:val="none"/>
            </w:rPr>
            <w:t>三、 注意事项</w:t>
          </w:r>
          <w:r>
            <w:rPr>
              <w:highlight w:val="none"/>
            </w:rPr>
            <w:tab/>
          </w:r>
          <w:r>
            <w:rPr>
              <w:highlight w:val="none"/>
            </w:rPr>
            <w:fldChar w:fldCharType="begin"/>
          </w:r>
          <w:r>
            <w:rPr>
              <w:highlight w:val="none"/>
            </w:rPr>
            <w:instrText xml:space="preserve"> PAGEREF _Toc28542 \h </w:instrText>
          </w:r>
          <w:r>
            <w:rPr>
              <w:highlight w:val="none"/>
            </w:rPr>
            <w:fldChar w:fldCharType="separate"/>
          </w:r>
          <w:r>
            <w:rPr>
              <w:highlight w:val="none"/>
            </w:rPr>
            <w:t>41</w:t>
          </w:r>
          <w:r>
            <w:rPr>
              <w:highlight w:val="none"/>
            </w:rPr>
            <w:fldChar w:fldCharType="end"/>
          </w:r>
          <w:r>
            <w:rPr>
              <w:rFonts w:hint="eastAsia" w:ascii="宋体" w:hAnsi="宋体" w:eastAsia="宋体" w:cs="宋体"/>
              <w:color w:val="auto"/>
              <w:highlight w:val="none"/>
            </w:rPr>
            <w:fldChar w:fldCharType="end"/>
          </w:r>
        </w:p>
        <w:p w14:paraId="6DF0D2F6">
          <w:pPr>
            <w:pStyle w:val="22"/>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_Toc5114 </w:instrText>
          </w:r>
          <w:r>
            <w:rPr>
              <w:rFonts w:hint="eastAsia" w:ascii="宋体" w:hAnsi="宋体" w:eastAsia="宋体" w:cs="宋体"/>
              <w:highlight w:val="none"/>
            </w:rPr>
            <w:fldChar w:fldCharType="separate"/>
          </w:r>
          <w:r>
            <w:rPr>
              <w:rFonts w:hint="eastAsia" w:ascii="宋体" w:hAnsi="宋体" w:eastAsia="宋体" w:cs="宋体"/>
              <w:highlight w:val="none"/>
            </w:rPr>
            <w:t>四、 评分细则</w:t>
          </w:r>
          <w:r>
            <w:rPr>
              <w:highlight w:val="none"/>
            </w:rPr>
            <w:tab/>
          </w:r>
          <w:r>
            <w:rPr>
              <w:highlight w:val="none"/>
            </w:rPr>
            <w:fldChar w:fldCharType="begin"/>
          </w:r>
          <w:r>
            <w:rPr>
              <w:highlight w:val="none"/>
            </w:rPr>
            <w:instrText xml:space="preserve"> PAGEREF _Toc5114 \h </w:instrText>
          </w:r>
          <w:r>
            <w:rPr>
              <w:highlight w:val="none"/>
            </w:rPr>
            <w:fldChar w:fldCharType="separate"/>
          </w:r>
          <w:r>
            <w:rPr>
              <w:highlight w:val="none"/>
            </w:rPr>
            <w:t>42</w:t>
          </w:r>
          <w:r>
            <w:rPr>
              <w:highlight w:val="none"/>
            </w:rPr>
            <w:fldChar w:fldCharType="end"/>
          </w:r>
          <w:r>
            <w:rPr>
              <w:rFonts w:hint="eastAsia" w:ascii="宋体" w:hAnsi="宋体" w:eastAsia="宋体" w:cs="宋体"/>
              <w:color w:val="auto"/>
              <w:highlight w:val="none"/>
            </w:rPr>
            <w:fldChar w:fldCharType="end"/>
          </w:r>
        </w:p>
        <w:p w14:paraId="0E4BE03B">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_Toc22315 </w:instrText>
          </w:r>
          <w:r>
            <w:rPr>
              <w:rFonts w:hint="eastAsia" w:ascii="宋体" w:hAnsi="宋体" w:eastAsia="宋体" w:cs="宋体"/>
              <w:highlight w:val="none"/>
            </w:rPr>
            <w:fldChar w:fldCharType="separate"/>
          </w:r>
          <w:r>
            <w:rPr>
              <w:rFonts w:hint="eastAsia" w:ascii="宋体" w:hAnsi="宋体" w:eastAsia="宋体" w:cs="宋体"/>
              <w:highlight w:val="none"/>
            </w:rPr>
            <w:t>第五部分 采购合同</w:t>
          </w:r>
          <w:r>
            <w:rPr>
              <w:highlight w:val="none"/>
            </w:rPr>
            <w:tab/>
          </w:r>
          <w:r>
            <w:rPr>
              <w:highlight w:val="none"/>
            </w:rPr>
            <w:fldChar w:fldCharType="begin"/>
          </w:r>
          <w:r>
            <w:rPr>
              <w:highlight w:val="none"/>
            </w:rPr>
            <w:instrText xml:space="preserve"> PAGEREF _Toc22315 \h </w:instrText>
          </w:r>
          <w:r>
            <w:rPr>
              <w:highlight w:val="none"/>
            </w:rPr>
            <w:fldChar w:fldCharType="separate"/>
          </w:r>
          <w:r>
            <w:rPr>
              <w:highlight w:val="none"/>
            </w:rPr>
            <w:t>47</w:t>
          </w:r>
          <w:r>
            <w:rPr>
              <w:highlight w:val="none"/>
            </w:rPr>
            <w:fldChar w:fldCharType="end"/>
          </w:r>
          <w:r>
            <w:rPr>
              <w:rFonts w:hint="eastAsia" w:ascii="宋体" w:hAnsi="宋体" w:eastAsia="宋体" w:cs="宋体"/>
              <w:color w:val="auto"/>
              <w:highlight w:val="none"/>
            </w:rPr>
            <w:fldChar w:fldCharType="end"/>
          </w:r>
        </w:p>
        <w:p w14:paraId="209ADE81">
          <w:pPr>
            <w:pStyle w:val="19"/>
            <w:tabs>
              <w:tab w:val="right" w:leader="dot" w:pos="8306"/>
            </w:tabs>
            <w:rPr>
              <w:highlight w:val="none"/>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_Toc14363 </w:instrText>
          </w:r>
          <w:r>
            <w:rPr>
              <w:rFonts w:hint="eastAsia" w:ascii="宋体" w:hAnsi="宋体" w:eastAsia="宋体" w:cs="宋体"/>
              <w:highlight w:val="none"/>
            </w:rPr>
            <w:fldChar w:fldCharType="separate"/>
          </w:r>
          <w:r>
            <w:rPr>
              <w:rFonts w:hint="eastAsia" w:ascii="宋体" w:hAnsi="宋体" w:eastAsia="宋体" w:cs="宋体"/>
              <w:highlight w:val="none"/>
            </w:rPr>
            <w:t>第六部分 应提交的有关格式范例</w:t>
          </w:r>
          <w:r>
            <w:rPr>
              <w:highlight w:val="none"/>
            </w:rPr>
            <w:tab/>
          </w:r>
          <w:r>
            <w:rPr>
              <w:highlight w:val="none"/>
            </w:rPr>
            <w:fldChar w:fldCharType="begin"/>
          </w:r>
          <w:r>
            <w:rPr>
              <w:highlight w:val="none"/>
            </w:rPr>
            <w:instrText xml:space="preserve"> PAGEREF _Toc14363 \h </w:instrText>
          </w:r>
          <w:r>
            <w:rPr>
              <w:highlight w:val="none"/>
            </w:rPr>
            <w:fldChar w:fldCharType="separate"/>
          </w:r>
          <w:r>
            <w:rPr>
              <w:highlight w:val="none"/>
            </w:rPr>
            <w:t>63</w:t>
          </w:r>
          <w:r>
            <w:rPr>
              <w:highlight w:val="none"/>
            </w:rPr>
            <w:fldChar w:fldCharType="end"/>
          </w:r>
          <w:r>
            <w:rPr>
              <w:rFonts w:hint="eastAsia" w:ascii="宋体" w:hAnsi="宋体" w:eastAsia="宋体" w:cs="宋体"/>
              <w:color w:val="auto"/>
              <w:highlight w:val="none"/>
            </w:rPr>
            <w:fldChar w:fldCharType="end"/>
          </w:r>
        </w:p>
        <w:p w14:paraId="3DE88250">
          <w:pPr>
            <w:pStyle w:val="3"/>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outlineLvl w:val="9"/>
            <w:rPr>
              <w:rFonts w:hint="eastAsia" w:ascii="宋体" w:hAnsi="宋体" w:eastAsia="宋体" w:cs="宋体"/>
              <w:color w:val="auto"/>
              <w:highlight w:val="none"/>
            </w:rPr>
          </w:pPr>
          <w:r>
            <w:rPr>
              <w:rFonts w:hint="eastAsia" w:ascii="宋体" w:hAnsi="宋体" w:eastAsia="宋体" w:cs="宋体"/>
              <w:b/>
              <w:color w:val="auto"/>
              <w:highlight w:val="none"/>
            </w:rPr>
            <w:fldChar w:fldCharType="end"/>
          </w:r>
        </w:p>
      </w:sdtContent>
    </w:sdt>
    <w:p w14:paraId="011BCBC6">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745363C">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E3DF700">
      <w:pPr>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368677">
      <w:pPr>
        <w:rPr>
          <w:rFonts w:hint="eastAsia" w:ascii="宋体" w:hAnsi="宋体" w:eastAsia="宋体" w:cs="宋体"/>
          <w:color w:val="auto"/>
          <w:highlight w:val="none"/>
        </w:rPr>
      </w:pPr>
    </w:p>
    <w:p w14:paraId="606A67CC">
      <w:pPr>
        <w:tabs>
          <w:tab w:val="left" w:pos="3148"/>
        </w:tabs>
        <w:jc w:val="left"/>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22402BAD">
      <w:pPr>
        <w:pStyle w:val="2"/>
        <w:jc w:val="center"/>
        <w:rPr>
          <w:rFonts w:hint="eastAsia" w:ascii="宋体" w:hAnsi="宋体" w:eastAsia="宋体" w:cs="宋体"/>
          <w:color w:val="auto"/>
          <w:highlight w:val="none"/>
        </w:rPr>
      </w:pPr>
      <w:bookmarkStart w:id="3" w:name="_Toc32199"/>
      <w:bookmarkStart w:id="4" w:name="_Toc6767"/>
      <w:bookmarkStart w:id="5" w:name="_Toc31034"/>
      <w:bookmarkStart w:id="6" w:name="_Toc13178"/>
      <w:bookmarkStart w:id="7" w:name="第二部分"/>
      <w:bookmarkStart w:id="8" w:name="_Toc91899870"/>
      <w:r>
        <w:rPr>
          <w:rFonts w:hint="eastAsia" w:ascii="宋体" w:hAnsi="宋体" w:eastAsia="宋体" w:cs="宋体"/>
          <w:color w:val="auto"/>
          <w:sz w:val="36"/>
          <w:szCs w:val="36"/>
          <w:highlight w:val="none"/>
        </w:rPr>
        <w:t>第一部分 磋商公告</w:t>
      </w:r>
      <w:bookmarkEnd w:id="3"/>
      <w:bookmarkEnd w:id="4"/>
      <w:bookmarkEnd w:id="5"/>
      <w:bookmarkEnd w:id="6"/>
    </w:p>
    <w:p w14:paraId="46C02D58">
      <w:pPr>
        <w:adjustRightInd w:val="0"/>
        <w:snapToGrid w:val="0"/>
        <w:spacing w:line="276"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绍兴市上虞区公共资源交易中心</w:t>
      </w:r>
      <w:r>
        <w:rPr>
          <w:rFonts w:hint="eastAsia" w:ascii="宋体" w:hAnsi="宋体" w:eastAsia="宋体" w:cs="宋体"/>
          <w:color w:val="auto"/>
          <w:sz w:val="28"/>
          <w:szCs w:val="28"/>
          <w:highlight w:val="none"/>
        </w:rPr>
        <w:t>关于</w:t>
      </w:r>
      <w:r>
        <w:rPr>
          <w:rFonts w:hint="eastAsia" w:ascii="宋体" w:hAnsi="宋体" w:cs="宋体"/>
          <w:color w:val="auto"/>
          <w:sz w:val="28"/>
          <w:szCs w:val="28"/>
          <w:highlight w:val="none"/>
          <w:lang w:val="en-US" w:eastAsia="zh-CN"/>
        </w:rPr>
        <w:t>绍兴市上虞区曹娥街道社区卫生服务中心物业管理服务项目</w:t>
      </w:r>
      <w:r>
        <w:rPr>
          <w:rFonts w:hint="eastAsia" w:ascii="宋体" w:hAnsi="宋体" w:eastAsia="宋体" w:cs="宋体"/>
          <w:color w:val="auto"/>
          <w:sz w:val="28"/>
          <w:szCs w:val="28"/>
          <w:highlight w:val="none"/>
        </w:rPr>
        <w:t>的竞争性磋商公告</w:t>
      </w:r>
    </w:p>
    <w:p w14:paraId="4ADD9B2F">
      <w:pPr>
        <w:adjustRightIn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公告日期：</w:t>
      </w:r>
      <w:r>
        <w:rPr>
          <w:rFonts w:hint="eastAsia" w:ascii="宋体" w:hAnsi="宋体" w:eastAsia="宋体" w:cs="宋体"/>
          <w:color w:val="auto"/>
          <w:sz w:val="28"/>
          <w:szCs w:val="28"/>
          <w:highlight w:val="none"/>
          <w:lang w:val="en-US" w:eastAsia="zh-CN"/>
        </w:rPr>
        <w:t>2026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4 </w:t>
      </w:r>
      <w:r>
        <w:rPr>
          <w:rFonts w:hint="eastAsia" w:ascii="宋体" w:hAnsi="宋体" w:eastAsia="宋体" w:cs="宋体"/>
          <w:color w:val="auto"/>
          <w:sz w:val="28"/>
          <w:szCs w:val="28"/>
          <w:highlight w:val="none"/>
        </w:rPr>
        <w:t>日</w:t>
      </w:r>
    </w:p>
    <w:p w14:paraId="26262378">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根据《中华人民共和国政府采购法》等有关规定，</w:t>
      </w:r>
      <w:r>
        <w:rPr>
          <w:rFonts w:hint="eastAsia" w:ascii="宋体" w:hAnsi="宋体" w:eastAsia="宋体" w:cs="宋体"/>
          <w:color w:val="auto"/>
          <w:sz w:val="24"/>
          <w:szCs w:val="24"/>
          <w:highlight w:val="none"/>
          <w:u w:val="single"/>
          <w:lang w:eastAsia="zh-CN"/>
        </w:rPr>
        <w:t>绍兴市上虞区公共资源交易中心</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u w:val="single"/>
          <w:lang w:val="en-US" w:eastAsia="zh-CN"/>
        </w:rPr>
        <w:t>绍兴市上虞区曹娥街道社区卫生服务中心</w:t>
      </w:r>
      <w:r>
        <w:rPr>
          <w:rFonts w:hint="eastAsia" w:ascii="宋体" w:hAnsi="宋体" w:eastAsia="宋体" w:cs="宋体"/>
          <w:color w:val="auto"/>
          <w:sz w:val="24"/>
          <w:szCs w:val="24"/>
          <w:highlight w:val="none"/>
        </w:rPr>
        <w:t>委托，现就</w:t>
      </w:r>
      <w:r>
        <w:rPr>
          <w:rFonts w:hint="eastAsia" w:ascii="宋体" w:hAnsi="宋体" w:cs="宋体"/>
          <w:color w:val="auto"/>
          <w:sz w:val="24"/>
          <w:szCs w:val="24"/>
          <w:highlight w:val="none"/>
          <w:u w:val="single"/>
          <w:lang w:val="en-US" w:eastAsia="zh-CN"/>
        </w:rPr>
        <w:t>绍兴市上虞区曹娥街道社区卫生服务中心物业管理服务项目</w:t>
      </w:r>
      <w:r>
        <w:rPr>
          <w:rFonts w:hint="eastAsia" w:ascii="宋体" w:hAnsi="宋体" w:eastAsia="宋体" w:cs="宋体"/>
          <w:color w:val="auto"/>
          <w:sz w:val="24"/>
          <w:szCs w:val="24"/>
          <w:highlight w:val="none"/>
        </w:rPr>
        <w:t>进行竞争性磋商采购，欢迎国内合格的供应商参加本次采购活动。</w:t>
      </w:r>
    </w:p>
    <w:p w14:paraId="05B70618">
      <w:pPr>
        <w:adjustRightInd w:val="0"/>
        <w:spacing w:line="360" w:lineRule="auto"/>
        <w:ind w:firstLine="480" w:firstLineChars="200"/>
        <w:rPr>
          <w:rFonts w:hint="eastAsia" w:ascii="宋体" w:hAnsi="宋体" w:eastAsia="宋体" w:cs="宋体"/>
          <w:color w:val="auto"/>
          <w:sz w:val="24"/>
          <w:szCs w:val="24"/>
          <w:highlight w:val="none"/>
          <w:u w:val="single"/>
        </w:rPr>
      </w:pPr>
      <w:bookmarkStart w:id="9" w:name="_Toc13882"/>
      <w:bookmarkStart w:id="10" w:name="_Toc1362"/>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磋商项目编号：</w:t>
      </w:r>
      <w:bookmarkEnd w:id="9"/>
      <w:bookmarkEnd w:id="10"/>
      <w:r>
        <w:rPr>
          <w:rFonts w:hint="eastAsia" w:ascii="宋体" w:hAnsi="宋体" w:cs="宋体"/>
          <w:color w:val="auto"/>
          <w:sz w:val="24"/>
          <w:szCs w:val="24"/>
          <w:highlight w:val="none"/>
          <w:u w:val="single"/>
          <w:lang w:val="en-US" w:eastAsia="zh-CN"/>
        </w:rPr>
        <w:t>JZCS2026030</w:t>
      </w:r>
    </w:p>
    <w:p w14:paraId="744E2810">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采购组织类型：政府集中采购-委托本级集采</w:t>
      </w:r>
    </w:p>
    <w:p w14:paraId="316E522C">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 xml:space="preserve"> 磋商项目概况:</w:t>
      </w:r>
    </w:p>
    <w:tbl>
      <w:tblPr>
        <w:tblStyle w:val="28"/>
        <w:tblW w:w="9706" w:type="dxa"/>
        <w:jc w:val="center"/>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Layout w:type="fixed"/>
        <w:tblCellMar>
          <w:top w:w="0" w:type="dxa"/>
          <w:left w:w="108" w:type="dxa"/>
          <w:bottom w:w="0" w:type="dxa"/>
          <w:right w:w="108" w:type="dxa"/>
        </w:tblCellMar>
      </w:tblPr>
      <w:tblGrid>
        <w:gridCol w:w="558"/>
        <w:gridCol w:w="2477"/>
        <w:gridCol w:w="523"/>
        <w:gridCol w:w="550"/>
        <w:gridCol w:w="1460"/>
        <w:gridCol w:w="2200"/>
        <w:gridCol w:w="1471"/>
        <w:gridCol w:w="467"/>
      </w:tblGrid>
      <w:tr w14:paraId="6E79302A">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trHeight w:val="831" w:hRule="atLeast"/>
          <w:jc w:val="center"/>
        </w:trPr>
        <w:tc>
          <w:tcPr>
            <w:tcW w:w="558" w:type="dxa"/>
            <w:tcBorders>
              <w:top w:val="single" w:color="000000" w:sz="4" w:space="0"/>
            </w:tcBorders>
            <w:vAlign w:val="center"/>
          </w:tcPr>
          <w:p w14:paraId="416074E6">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77" w:type="dxa"/>
            <w:tcBorders>
              <w:top w:val="single" w:color="000000" w:sz="4" w:space="0"/>
            </w:tcBorders>
            <w:vAlign w:val="center"/>
          </w:tcPr>
          <w:p w14:paraId="7B101B68">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23" w:type="dxa"/>
            <w:tcBorders>
              <w:top w:val="single" w:color="000000" w:sz="4" w:space="0"/>
            </w:tcBorders>
            <w:vAlign w:val="center"/>
          </w:tcPr>
          <w:p w14:paraId="65D85842">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550" w:type="dxa"/>
            <w:tcBorders>
              <w:top w:val="single" w:color="000000" w:sz="4" w:space="0"/>
            </w:tcBorders>
            <w:vAlign w:val="center"/>
          </w:tcPr>
          <w:p w14:paraId="48DF41A9">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60" w:type="dxa"/>
            <w:tcBorders>
              <w:top w:val="single" w:color="000000" w:sz="4" w:space="0"/>
            </w:tcBorders>
            <w:vAlign w:val="center"/>
          </w:tcPr>
          <w:p w14:paraId="5DA608ED">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p>
        </w:tc>
        <w:tc>
          <w:tcPr>
            <w:tcW w:w="2200" w:type="dxa"/>
            <w:tcBorders>
              <w:top w:val="single" w:color="000000" w:sz="4" w:space="0"/>
            </w:tcBorders>
            <w:vAlign w:val="center"/>
          </w:tcPr>
          <w:p w14:paraId="6700F9E5">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简要规格描述或标项基本概况介绍</w:t>
            </w:r>
          </w:p>
        </w:tc>
        <w:tc>
          <w:tcPr>
            <w:tcW w:w="1471" w:type="dxa"/>
            <w:tcBorders>
              <w:top w:val="single" w:color="000000" w:sz="4" w:space="0"/>
            </w:tcBorders>
            <w:vAlign w:val="center"/>
          </w:tcPr>
          <w:p w14:paraId="5EE1E00D">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p w14:paraId="4B0AABC6">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467" w:type="dxa"/>
            <w:tcBorders>
              <w:top w:val="single" w:color="000000" w:sz="4" w:space="0"/>
            </w:tcBorders>
            <w:vAlign w:val="center"/>
          </w:tcPr>
          <w:p w14:paraId="145BA416">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5E044C15">
        <w:tblPrEx>
          <w:tblBorders>
            <w:top w:val="single" w:color="000000" w:sz="4" w:space="0"/>
            <w:left w:val="single" w:color="000000" w:sz="4" w:space="0"/>
            <w:bottom w:val="single" w:color="000000" w:sz="4" w:space="0"/>
            <w:right w:val="single" w:color="000000" w:sz="4" w:space="0"/>
            <w:insideH w:val="single" w:color="A6A6A6" w:sz="4" w:space="0"/>
            <w:insideV w:val="single" w:color="A6A6A6" w:sz="4" w:space="0"/>
          </w:tblBorders>
          <w:tblCellMar>
            <w:top w:w="0" w:type="dxa"/>
            <w:left w:w="108" w:type="dxa"/>
            <w:bottom w:w="0" w:type="dxa"/>
            <w:right w:w="108" w:type="dxa"/>
          </w:tblCellMar>
        </w:tblPrEx>
        <w:trPr>
          <w:jc w:val="center"/>
        </w:trPr>
        <w:tc>
          <w:tcPr>
            <w:tcW w:w="558" w:type="dxa"/>
            <w:tcBorders>
              <w:bottom w:val="single" w:color="000000" w:sz="4" w:space="0"/>
            </w:tcBorders>
            <w:vAlign w:val="center"/>
          </w:tcPr>
          <w:p w14:paraId="0BABFDF6">
            <w:pPr>
              <w:adjustRightIn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77" w:type="dxa"/>
            <w:tcBorders>
              <w:bottom w:val="single" w:color="000000" w:sz="4" w:space="0"/>
            </w:tcBorders>
            <w:vAlign w:val="center"/>
          </w:tcPr>
          <w:p w14:paraId="68BEF223">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绍兴市上虞区曹娥街道社区卫生服务中心物业管理服务项目</w:t>
            </w:r>
          </w:p>
        </w:tc>
        <w:tc>
          <w:tcPr>
            <w:tcW w:w="523" w:type="dxa"/>
            <w:tcBorders>
              <w:bottom w:val="single" w:color="000000" w:sz="4" w:space="0"/>
            </w:tcBorders>
            <w:vAlign w:val="center"/>
          </w:tcPr>
          <w:p w14:paraId="1641660B">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highlight w:val="none"/>
                <w:lang w:val="en-US" w:eastAsia="zh-CN"/>
              </w:rPr>
              <w:t>2</w:t>
            </w:r>
          </w:p>
        </w:tc>
        <w:tc>
          <w:tcPr>
            <w:tcW w:w="550" w:type="dxa"/>
            <w:tcBorders>
              <w:bottom w:val="single" w:color="000000" w:sz="4" w:space="0"/>
            </w:tcBorders>
            <w:vAlign w:val="center"/>
          </w:tcPr>
          <w:p w14:paraId="08EBD92E">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年</w:t>
            </w:r>
          </w:p>
        </w:tc>
        <w:tc>
          <w:tcPr>
            <w:tcW w:w="1460" w:type="dxa"/>
            <w:tcBorders>
              <w:bottom w:val="single" w:color="000000" w:sz="4" w:space="0"/>
            </w:tcBorders>
            <w:vAlign w:val="center"/>
          </w:tcPr>
          <w:p w14:paraId="146D984C">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1788000.00</w:t>
            </w:r>
            <w:r>
              <w:rPr>
                <w:rFonts w:hint="eastAsia" w:ascii="宋体" w:hAnsi="宋体" w:eastAsia="宋体" w:cs="宋体"/>
                <w:color w:val="auto"/>
                <w:sz w:val="24"/>
                <w:szCs w:val="24"/>
                <w:highlight w:val="none"/>
                <w:lang w:val="en-US" w:eastAsia="zh-CN" w:bidi="ar-SA"/>
              </w:rPr>
              <w:t xml:space="preserve">  </w:t>
            </w:r>
          </w:p>
        </w:tc>
        <w:tc>
          <w:tcPr>
            <w:tcW w:w="2200" w:type="dxa"/>
            <w:tcBorders>
              <w:bottom w:val="single" w:color="000000" w:sz="4" w:space="0"/>
            </w:tcBorders>
            <w:vAlign w:val="center"/>
          </w:tcPr>
          <w:p w14:paraId="73795D6D">
            <w:pPr>
              <w:adjustRightInd w:val="0"/>
              <w:jc w:val="center"/>
              <w:rPr>
                <w:rFonts w:hint="eastAsia" w:ascii="宋体" w:hAnsi="宋体" w:eastAsia="宋体" w:cs="宋体"/>
                <w:color w:val="auto"/>
                <w:sz w:val="24"/>
                <w:szCs w:val="24"/>
                <w:highlight w:val="none"/>
                <w:lang w:val="en-US" w:eastAsia="zh-CN" w:bidi="ar-SA"/>
              </w:rPr>
            </w:pPr>
            <w:bookmarkStart w:id="11" w:name="OLE_LINK5"/>
            <w:r>
              <w:rPr>
                <w:rFonts w:hint="eastAsia" w:ascii="宋体" w:hAnsi="宋体" w:eastAsia="宋体" w:cs="宋体"/>
                <w:color w:val="auto"/>
                <w:sz w:val="24"/>
                <w:szCs w:val="24"/>
                <w:highlight w:val="none"/>
                <w:lang w:val="en-US" w:eastAsia="zh-CN"/>
              </w:rPr>
              <w:t xml:space="preserve"> 详见采购需求</w:t>
            </w:r>
            <w:bookmarkEnd w:id="11"/>
          </w:p>
        </w:tc>
        <w:tc>
          <w:tcPr>
            <w:tcW w:w="1471" w:type="dxa"/>
            <w:tcBorders>
              <w:bottom w:val="single" w:color="000000" w:sz="4" w:space="0"/>
            </w:tcBorders>
            <w:vAlign w:val="center"/>
          </w:tcPr>
          <w:p w14:paraId="354D9983">
            <w:pPr>
              <w:adjustRightInd w:val="0"/>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bidi="ar-SA"/>
              </w:rPr>
              <w:t>1750000.00</w:t>
            </w:r>
            <w:r>
              <w:rPr>
                <w:rFonts w:hint="eastAsia"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highlight w:val="none"/>
                <w:lang w:val="en-US" w:eastAsia="zh-CN"/>
              </w:rPr>
              <w:t xml:space="preserve">  </w:t>
            </w:r>
          </w:p>
        </w:tc>
        <w:tc>
          <w:tcPr>
            <w:tcW w:w="467" w:type="dxa"/>
            <w:tcBorders>
              <w:bottom w:val="single" w:color="000000" w:sz="4" w:space="0"/>
            </w:tcBorders>
            <w:vAlign w:val="center"/>
          </w:tcPr>
          <w:p w14:paraId="08F052C4">
            <w:pPr>
              <w:adjustRightIn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49979D2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合格供应商资格要求:</w:t>
      </w:r>
    </w:p>
    <w:p w14:paraId="67F4FAFA">
      <w:pPr>
        <w:numPr>
          <w:ilvl w:val="0"/>
          <w:numId w:val="4"/>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符合《中华人民共和国政府采购法》第二十二条，且未被“信用中国”（www.creditchina.gov.cn）、中国政府采购网（www.ccgp.gov.cn）列入失信被执行人、</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val="en-US" w:eastAsia="zh-CN"/>
        </w:rPr>
        <w:t>。</w:t>
      </w:r>
    </w:p>
    <w:p w14:paraId="22575E48">
      <w:pPr>
        <w:numPr>
          <w:ilvl w:val="0"/>
          <w:numId w:val="0"/>
        </w:numPr>
        <w:adjustRightInd w:val="0"/>
        <w:spacing w:line="360" w:lineRule="auto"/>
        <w:ind w:leftChars="200"/>
        <w:rPr>
          <w:rFonts w:hint="eastAsia" w:ascii="宋体" w:hAnsi="宋体" w:eastAsia="宋体" w:cs="宋体"/>
          <w:color w:val="auto"/>
          <w:sz w:val="24"/>
          <w:highlight w:val="none"/>
        </w:rPr>
      </w:pPr>
      <w:bookmarkStart w:id="12" w:name="_Toc20115"/>
      <w:bookmarkStart w:id="13" w:name="_Toc16269"/>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落实政府采购政策需满足的资格要求：</w:t>
      </w:r>
      <w:r>
        <w:rPr>
          <w:rFonts w:hint="eastAsia" w:ascii="宋体" w:hAnsi="宋体" w:cs="宋体"/>
          <w:color w:val="auto"/>
          <w:sz w:val="24"/>
          <w:highlight w:val="none"/>
        </w:rPr>
        <w:t>专门面向中小企业</w:t>
      </w:r>
      <w:r>
        <w:rPr>
          <w:rFonts w:hint="eastAsia" w:ascii="宋体" w:hAnsi="宋体" w:eastAsia="宋体" w:cs="宋体"/>
          <w:color w:val="auto"/>
          <w:sz w:val="24"/>
          <w:highlight w:val="none"/>
        </w:rPr>
        <w:t>。</w:t>
      </w:r>
    </w:p>
    <w:p w14:paraId="4544607F">
      <w:pPr>
        <w:numPr>
          <w:ilvl w:val="0"/>
          <w:numId w:val="0"/>
        </w:numPr>
        <w:adjustRightInd w:val="0"/>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u w:val="single"/>
        </w:rPr>
        <w:t xml:space="preserve"> 不接受 </w:t>
      </w:r>
      <w:r>
        <w:rPr>
          <w:rFonts w:hint="eastAsia" w:ascii="宋体" w:hAnsi="宋体" w:eastAsia="宋体" w:cs="宋体"/>
          <w:color w:val="auto"/>
          <w:sz w:val="24"/>
          <w:highlight w:val="none"/>
        </w:rPr>
        <w:t>联合体参加磋商。</w:t>
      </w:r>
    </w:p>
    <w:p w14:paraId="2DEBD5BA">
      <w:pPr>
        <w:numPr>
          <w:ilvl w:val="0"/>
          <w:numId w:val="0"/>
        </w:numPr>
        <w:adjustRightInd w:val="0"/>
        <w:spacing w:line="360" w:lineRule="auto"/>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本项目采用资格后审的审查方式，由磋商小组负责审查。</w:t>
      </w:r>
    </w:p>
    <w:p w14:paraId="29BC9969">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获取磋商文件</w:t>
      </w:r>
      <w:bookmarkEnd w:id="12"/>
      <w:bookmarkEnd w:id="13"/>
    </w:p>
    <w:p w14:paraId="26C0B708">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bookmarkStart w:id="14" w:name="报名开始时间1"/>
      <w:r>
        <w:rPr>
          <w:rFonts w:hint="eastAsia" w:ascii="宋体" w:hAnsi="宋体" w:eastAsia="宋体" w:cs="宋体"/>
          <w:color w:val="auto"/>
          <w:sz w:val="24"/>
          <w:szCs w:val="24"/>
          <w:highlight w:val="none"/>
        </w:rPr>
        <w:t>获取磋商文件时间:</w:t>
      </w:r>
      <w:bookmarkEnd w:id="14"/>
      <w:r>
        <w:rPr>
          <w:rFonts w:hint="eastAsia" w:ascii="宋体" w:hAnsi="宋体" w:eastAsia="宋体" w:cs="宋体"/>
          <w:color w:val="auto"/>
          <w:sz w:val="24"/>
          <w:szCs w:val="24"/>
          <w:highlight w:val="none"/>
          <w:u w:val="single"/>
          <w:lang w:val="en-US" w:eastAsia="zh-CN"/>
        </w:rPr>
        <w:t xml:space="preserve"> 2026 </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16 </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 xml:space="preserve"> 上</w:t>
      </w:r>
      <w:r>
        <w:rPr>
          <w:rFonts w:hint="eastAsia" w:ascii="宋体" w:hAnsi="宋体" w:eastAsia="宋体" w:cs="宋体"/>
          <w:color w:val="auto"/>
          <w:sz w:val="24"/>
          <w:szCs w:val="24"/>
          <w:highlight w:val="none"/>
          <w:u w:val="single"/>
        </w:rPr>
        <w:t>午</w:t>
      </w:r>
      <w:r>
        <w:rPr>
          <w:rFonts w:hint="eastAsia" w:ascii="宋体" w:hAnsi="宋体" w:eastAsia="宋体" w:cs="宋体"/>
          <w:color w:val="auto"/>
          <w:sz w:val="24"/>
          <w:szCs w:val="24"/>
          <w:highlight w:val="none"/>
          <w:u w:val="single"/>
          <w:lang w:val="en-US" w:eastAsia="zh-CN"/>
        </w:rPr>
        <w:t>09</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之前获取。</w:t>
      </w:r>
    </w:p>
    <w:p w14:paraId="713AA732">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获取磋商文件方式：供应商登</w:t>
      </w:r>
      <w:r>
        <w:rPr>
          <w:rFonts w:hint="eastAsia" w:ascii="宋体" w:hAnsi="宋体" w:cs="宋体"/>
          <w:color w:val="auto"/>
          <w:sz w:val="24"/>
          <w:szCs w:val="24"/>
          <w:highlight w:val="none"/>
          <w:lang w:val="en-US" w:eastAsia="zh-CN"/>
        </w:rPr>
        <w:t>录</w:t>
      </w:r>
      <w:r>
        <w:rPr>
          <w:rFonts w:hint="eastAsia" w:ascii="宋体" w:hAnsi="宋体" w:eastAsia="宋体" w:cs="宋体"/>
          <w:color w:val="auto"/>
          <w:sz w:val="24"/>
          <w:szCs w:val="24"/>
          <w:highlight w:val="none"/>
        </w:rPr>
        <w:t>政采云平台http://www.zcygov.cn/，在线申请获取磋商文件（进入“项目采购”应用，在获取采购文件菜单中选择项目，申请获取采购文件）。</w:t>
      </w:r>
    </w:p>
    <w:p w14:paraId="1E287610">
      <w:pPr>
        <w:numPr>
          <w:ilvl w:val="0"/>
          <w:numId w:val="5"/>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w:t>
      </w:r>
    </w:p>
    <w:p w14:paraId="11E00ACA">
      <w:pPr>
        <w:numPr>
          <w:ilvl w:val="0"/>
          <w:numId w:val="6"/>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将拒绝接受未获取磋商文件供应商的响应文件。</w:t>
      </w:r>
    </w:p>
    <w:p w14:paraId="6877472E">
      <w:pPr>
        <w:numPr>
          <w:ilvl w:val="0"/>
          <w:numId w:val="6"/>
        </w:num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磋商文件及更正补充公告请自行登录浙江政府采购网或绍兴市上虞区公共资源交易中心网站，在采购公告页面中下载。</w:t>
      </w:r>
    </w:p>
    <w:p w14:paraId="56A9EBDB">
      <w:pPr>
        <w:adjustRightInd w:val="0"/>
        <w:spacing w:line="360" w:lineRule="auto"/>
        <w:ind w:firstLine="480" w:firstLineChars="200"/>
        <w:rPr>
          <w:rFonts w:hint="eastAsia" w:ascii="宋体" w:hAnsi="宋体" w:eastAsia="宋体" w:cs="宋体"/>
          <w:color w:val="auto"/>
          <w:sz w:val="24"/>
          <w:szCs w:val="24"/>
          <w:highlight w:val="none"/>
        </w:rPr>
      </w:pPr>
      <w:bookmarkStart w:id="15" w:name="_Toc28422"/>
      <w:bookmarkStart w:id="16" w:name="_Toc22437"/>
      <w:r>
        <w:rPr>
          <w:rFonts w:hint="eastAsia" w:ascii="宋体" w:hAnsi="宋体" w:eastAsia="宋体" w:cs="宋体"/>
          <w:color w:val="auto"/>
          <w:sz w:val="24"/>
          <w:szCs w:val="24"/>
          <w:highlight w:val="none"/>
        </w:rPr>
        <w:t>六、投标与开标注意事项：</w:t>
      </w:r>
      <w:bookmarkEnd w:id="15"/>
      <w:bookmarkEnd w:id="16"/>
    </w:p>
    <w:p w14:paraId="2A14EA9E">
      <w:pPr>
        <w:keepNext w:val="0"/>
        <w:keepLines w:val="0"/>
        <w:pageBreakBefore w:val="0"/>
        <w:widowControl w:val="0"/>
        <w:numPr>
          <w:ilvl w:val="0"/>
          <w:numId w:val="7"/>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bookmarkStart w:id="17" w:name="OLE_LINK7"/>
      <w:r>
        <w:rPr>
          <w:rFonts w:hint="eastAsia" w:ascii="宋体" w:hAnsi="宋体" w:eastAsia="宋体" w:cs="宋体"/>
          <w:color w:val="auto"/>
          <w:sz w:val="24"/>
          <w:szCs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关于在政府采购中实施本国产品标准及相关政策的通知》（国办发〔2025〕34 号）已分别于2022年1月29日、2022年2月1日2022年7月1日和2026年1月1日开始实施，此前有关规定与上述文件内容不一致的，按上述文件要求执行(政策落实根据财政部门要求更新）。</w:t>
      </w:r>
    </w:p>
    <w:p w14:paraId="0F12F312">
      <w:pPr>
        <w:keepNext w:val="0"/>
        <w:keepLines w:val="0"/>
        <w:pageBreakBefore w:val="0"/>
        <w:widowControl w:val="0"/>
        <w:numPr>
          <w:ilvl w:val="0"/>
          <w:numId w:val="7"/>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根据《浙江省政府采购询问和质疑实施办法》（浙财采监〔2025〕11 号）文件要求，供应商可以通过电子交易平台向采购人、采购代理机构提出询问和质疑。鼓励供应商在线提起询问，路径为：政采云-项目采购-询问质疑投诉-询问列表，鼓励供应商在线提起质疑，路径为：政采云-项目采购-询问质疑投诉-质疑列表。根据《浙江省政府采购行政裁决工作规程》的通知（浙财采监〔2025〕7号）文件关于“健全行政裁决机制”要求，质疑供应商对在线质疑答复不满意的，可在线提起投诉，路径为：政采云-项目采购-询问质疑投诉-投诉列表或浙江政务服务网-政府采购投诉处理-在线办理。</w:t>
      </w:r>
    </w:p>
    <w:p w14:paraId="011BCCBF">
      <w:pPr>
        <w:keepNext w:val="0"/>
        <w:keepLines w:val="0"/>
        <w:pageBreakBefore w:val="0"/>
        <w:widowControl w:val="0"/>
        <w:numPr>
          <w:ilvl w:val="0"/>
          <w:numId w:val="7"/>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中标或者成交结果使自己的权益受到损害的，可以自获取招标文件之日或者招标文件公告期限届满之日（公告期限届满后获取招标文件的，以公告期限届满之日为准）起7个工作日内，在线或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B1820C7">
      <w:pPr>
        <w:keepNext w:val="0"/>
        <w:keepLines w:val="0"/>
        <w:pageBreakBefore w:val="0"/>
        <w:widowControl w:val="0"/>
        <w:numPr>
          <w:ilvl w:val="0"/>
          <w:numId w:val="7"/>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1）需要落实的政府采购政策：包括节约资源、保护环境、支持创新、促进中小企业发展、实施本国产品标准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通过“政府采购云平台”上传递交的投标文件无法按时解密的，视为投标文件撤回；⑩具体操作指南：详见政采云平台“服务中心-帮助文档-项目采购-操作流程-电子招投标-政府采购项目电子交易管理操作指南-供应商”。（3）招标文件公告期限与招标公告的公告期限一致。</w:t>
      </w:r>
    </w:p>
    <w:p w14:paraId="3C09FF80">
      <w:pPr>
        <w:adjustRightInd w:val="0"/>
        <w:spacing w:line="360" w:lineRule="auto"/>
        <w:ind w:left="40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特别提醒</w:t>
      </w:r>
    </w:p>
    <w:p w14:paraId="6ACD4A9A">
      <w:pPr>
        <w:numPr>
          <w:ilvl w:val="0"/>
          <w:numId w:val="8"/>
        </w:numPr>
        <w:wordWrap w:val="0"/>
        <w:adjustRightIn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14:paraId="6FDC085C">
      <w:pPr>
        <w:numPr>
          <w:ilvl w:val="0"/>
          <w:numId w:val="8"/>
        </w:numPr>
        <w:adjustRightIn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除单一来源采购项目外，为采购项目提供整体设计、规范编制或者项目管理、监理、检测等服务的供应商，不得再参加该采购项目的其他采购活动。</w:t>
      </w:r>
      <w:bookmarkEnd w:id="17"/>
    </w:p>
    <w:p w14:paraId="5B6EFD45">
      <w:pPr>
        <w:adjustRightIn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磋商响应截止时间及要求：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16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分整之前将电子磋商响应文件上传到“政采云”平台。</w:t>
      </w:r>
    </w:p>
    <w:p w14:paraId="2D383E50">
      <w:pPr>
        <w:adjustRightIn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递交首次响应文件时间及地点：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2026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6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上</w:t>
      </w:r>
      <w:r>
        <w:rPr>
          <w:rFonts w:hint="eastAsia" w:ascii="宋体" w:hAnsi="宋体" w:eastAsia="宋体" w:cs="宋体"/>
          <w:color w:val="auto"/>
          <w:sz w:val="24"/>
          <w:szCs w:val="24"/>
          <w:highlight w:val="none"/>
        </w:rPr>
        <w:t>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w:t>
      </w:r>
      <w:bookmarkStart w:id="18" w:name="B30_开标地点"/>
      <w:r>
        <w:rPr>
          <w:rFonts w:hint="eastAsia" w:ascii="宋体" w:hAnsi="宋体" w:eastAsia="宋体" w:cs="宋体"/>
          <w:color w:val="auto"/>
          <w:sz w:val="24"/>
          <w:szCs w:val="24"/>
          <w:highlight w:val="none"/>
        </w:rPr>
        <w:t>整在</w:t>
      </w:r>
      <w:r>
        <w:rPr>
          <w:rFonts w:hint="eastAsia" w:ascii="宋体" w:hAnsi="宋体" w:eastAsia="宋体" w:cs="宋体"/>
          <w:color w:val="auto"/>
          <w:sz w:val="24"/>
          <w:szCs w:val="24"/>
          <w:highlight w:val="none"/>
          <w:lang w:val="en-US" w:eastAsia="zh-CN"/>
        </w:rPr>
        <w:t>绍兴市上虞区公共资源交易中心</w:t>
      </w:r>
      <w:r>
        <w:rPr>
          <w:rFonts w:hint="eastAsia" w:ascii="宋体" w:hAnsi="宋体" w:eastAsia="宋体" w:cs="宋体"/>
          <w:color w:val="auto"/>
          <w:sz w:val="24"/>
          <w:szCs w:val="24"/>
          <w:highlight w:val="none"/>
          <w:u w:val="single"/>
          <w:lang w:val="en-US" w:eastAsia="zh-CN"/>
        </w:rPr>
        <w:t xml:space="preserve"> </w:t>
      </w:r>
      <w:bookmarkStart w:id="182" w:name="_GoBack"/>
      <w:bookmarkEnd w:id="182"/>
      <w:r>
        <w:rPr>
          <w:rFonts w:hint="eastAsia" w:ascii="宋体" w:hAnsi="宋体" w:cs="宋体"/>
          <w:color w:val="auto"/>
          <w:sz w:val="24"/>
          <w:szCs w:val="24"/>
          <w:highlight w:val="none"/>
          <w:u w:val="single"/>
          <w:lang w:val="en-US" w:eastAsia="zh-CN"/>
        </w:rPr>
        <w:t xml:space="preserve">357 </w:t>
      </w:r>
      <w:r>
        <w:rPr>
          <w:rFonts w:hint="eastAsia" w:ascii="宋体" w:hAnsi="宋体" w:eastAsia="宋体" w:cs="宋体"/>
          <w:color w:val="auto"/>
          <w:sz w:val="24"/>
          <w:szCs w:val="24"/>
          <w:highlight w:val="none"/>
        </w:rPr>
        <w:t>开标室开标</w:t>
      </w:r>
      <w:r>
        <w:rPr>
          <w:rFonts w:hint="eastAsia" w:ascii="宋体" w:hAnsi="宋体" w:eastAsia="宋体" w:cs="宋体"/>
          <w:sz w:val="24"/>
          <w:szCs w:val="24"/>
          <w:highlight w:val="none"/>
        </w:rPr>
        <w:t>。</w:t>
      </w:r>
      <w:bookmarkEnd w:id="18"/>
    </w:p>
    <w:p w14:paraId="1B562A9D">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后30分钟内供应商可以登录“政采云”平台，用“项目采购-开标评标”功能进行解密响应文件。若供应商在规定时间内解密失败，则由采购代理机构工作人员上传供应商提供的备份文件。备份文件（后缀名为.bfbs）须存储在U盘中，与上传的电子磋商响应文件一致，用信封进行密封并盖章</w:t>
      </w:r>
      <w:r>
        <w:rPr>
          <w:rFonts w:hint="eastAsia" w:ascii="宋体" w:hAnsi="宋体" w:eastAsia="宋体" w:cs="宋体"/>
          <w:b/>
          <w:bCs/>
          <w:color w:val="auto"/>
          <w:sz w:val="24"/>
          <w:szCs w:val="24"/>
          <w:highlight w:val="none"/>
        </w:rPr>
        <w:t>（信封内仅需放入存储备份文件的U盘）</w:t>
      </w:r>
      <w:r>
        <w:rPr>
          <w:rFonts w:hint="eastAsia" w:ascii="宋体" w:hAnsi="宋体" w:eastAsia="宋体" w:cs="宋体"/>
          <w:color w:val="auto"/>
          <w:sz w:val="24"/>
          <w:szCs w:val="24"/>
          <w:highlight w:val="none"/>
        </w:rPr>
        <w:t>，由授权代表在磋商响应截止时间前递交至开标地点。若电子磋商响应文件正常解锁，则U盘退还给供应商；若解锁失败，则由采购代理机构将U盘中的备份文件上传，该U盘将由采购代理机构保存。</w:t>
      </w:r>
    </w:p>
    <w:p w14:paraId="006DCF11">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本次开标不提供现场视频。</w:t>
      </w:r>
    </w:p>
    <w:p w14:paraId="56ED1EE5">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磋商保证金：无</w:t>
      </w:r>
    </w:p>
    <w:p w14:paraId="0B31FA15">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公告期限：3个工作日</w:t>
      </w:r>
    </w:p>
    <w:p w14:paraId="5431A622">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联系方式：</w:t>
      </w:r>
    </w:p>
    <w:p w14:paraId="25BE5ACF">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1．采购代理机构名称：</w:t>
      </w:r>
      <w:r>
        <w:rPr>
          <w:rFonts w:hint="eastAsia" w:ascii="宋体" w:hAnsi="宋体" w:eastAsia="宋体" w:cs="宋体"/>
          <w:color w:val="auto"/>
          <w:sz w:val="24"/>
          <w:szCs w:val="24"/>
          <w:highlight w:val="none"/>
          <w:lang w:eastAsia="zh-CN"/>
        </w:rPr>
        <w:t>绍兴市上虞区公共资源交易中心</w:t>
      </w:r>
    </w:p>
    <w:p w14:paraId="3BCA25D3">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项目联系人（询问）：陈</w:t>
      </w:r>
      <w:r>
        <w:rPr>
          <w:rFonts w:hint="eastAsia" w:ascii="宋体" w:hAnsi="宋体" w:eastAsia="宋体" w:cs="宋体"/>
          <w:color w:val="auto"/>
          <w:sz w:val="24"/>
          <w:szCs w:val="24"/>
          <w:highlight w:val="none"/>
        </w:rPr>
        <w:t>女士</w:t>
      </w:r>
    </w:p>
    <w:p w14:paraId="4F19918E">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项目联系方式（询问）：0575-82398118</w:t>
      </w:r>
    </w:p>
    <w:p w14:paraId="3A802C40">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质疑联系人：池女士</w:t>
      </w:r>
    </w:p>
    <w:p w14:paraId="56F62001">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质疑联系方式：</w:t>
      </w:r>
      <w:bookmarkStart w:id="19" w:name="OLE_LINK11"/>
      <w:r>
        <w:rPr>
          <w:rFonts w:hint="eastAsia" w:ascii="宋体" w:hAnsi="宋体" w:eastAsia="宋体" w:cs="宋体"/>
          <w:color w:val="auto"/>
          <w:sz w:val="24"/>
          <w:szCs w:val="24"/>
          <w:highlight w:val="none"/>
          <w:lang w:val="en-US" w:eastAsia="zh-CN"/>
        </w:rPr>
        <w:t>0575-82398112</w:t>
      </w:r>
      <w:bookmarkEnd w:id="19"/>
    </w:p>
    <w:p w14:paraId="5621652B">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地 址：</w:t>
      </w:r>
      <w:bookmarkStart w:id="20" w:name="OLE_LINK12"/>
      <w:r>
        <w:rPr>
          <w:rFonts w:hint="eastAsia" w:ascii="宋体" w:hAnsi="宋体" w:eastAsia="宋体" w:cs="宋体"/>
          <w:color w:val="auto"/>
          <w:sz w:val="24"/>
          <w:szCs w:val="24"/>
          <w:highlight w:val="none"/>
          <w:lang w:val="en-US" w:eastAsia="zh-CN" w:bidi="ar-SA"/>
        </w:rPr>
        <w:t>浙江省绍兴市上虞区便民服务中心三楼</w:t>
      </w:r>
      <w:bookmarkEnd w:id="20"/>
      <w:r>
        <w:rPr>
          <w:rFonts w:hint="eastAsia" w:ascii="宋体" w:hAnsi="宋体" w:eastAsia="宋体" w:cs="宋体"/>
          <w:color w:val="auto"/>
          <w:sz w:val="24"/>
          <w:szCs w:val="24"/>
          <w:highlight w:val="none"/>
        </w:rPr>
        <w:t xml:space="preserve">  </w:t>
      </w:r>
    </w:p>
    <w:p w14:paraId="4ECC16B2">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2．采购人名称：</w:t>
      </w:r>
      <w:r>
        <w:rPr>
          <w:rFonts w:hint="eastAsia" w:ascii="宋体" w:hAnsi="宋体" w:cs="宋体"/>
          <w:color w:val="auto"/>
          <w:sz w:val="24"/>
          <w:highlight w:val="none"/>
          <w:lang w:eastAsia="zh-CN"/>
        </w:rPr>
        <w:t>绍兴市上虞区曹娥街道社区卫生服务中心</w:t>
      </w:r>
    </w:p>
    <w:p w14:paraId="21B074CB">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项目联系人（询问）：</w:t>
      </w:r>
      <w:r>
        <w:rPr>
          <w:rFonts w:hint="eastAsia" w:ascii="宋体" w:hAnsi="宋体" w:cs="宋体"/>
          <w:color w:val="auto"/>
          <w:sz w:val="24"/>
          <w:highlight w:val="none"/>
          <w:lang w:val="en-US" w:eastAsia="zh-CN"/>
        </w:rPr>
        <w:t>祝女士</w:t>
      </w:r>
    </w:p>
    <w:p w14:paraId="02BE5AD8">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项目联系方式（询问）：</w:t>
      </w:r>
      <w:r>
        <w:rPr>
          <w:rFonts w:hint="eastAsia" w:ascii="宋体" w:hAnsi="宋体" w:cs="宋体"/>
          <w:color w:val="auto"/>
          <w:sz w:val="24"/>
          <w:szCs w:val="24"/>
          <w:highlight w:val="none"/>
          <w:lang w:val="en-US" w:eastAsia="zh-CN"/>
        </w:rPr>
        <w:t>0575-82398609</w:t>
      </w:r>
    </w:p>
    <w:p w14:paraId="4F156077">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质疑联系人：</w:t>
      </w:r>
      <w:r>
        <w:rPr>
          <w:rFonts w:hint="eastAsia" w:ascii="宋体" w:hAnsi="宋体" w:cs="宋体"/>
          <w:color w:val="auto"/>
          <w:sz w:val="24"/>
          <w:highlight w:val="none"/>
          <w:lang w:val="en-US" w:eastAsia="zh-CN"/>
        </w:rPr>
        <w:t>石先生</w:t>
      </w:r>
    </w:p>
    <w:p w14:paraId="69F40546">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质疑联系方式：</w:t>
      </w:r>
      <w:r>
        <w:rPr>
          <w:rFonts w:hint="eastAsia" w:ascii="宋体" w:hAnsi="宋体" w:cs="宋体"/>
          <w:color w:val="auto"/>
          <w:sz w:val="24"/>
          <w:highlight w:val="none"/>
          <w:lang w:val="en-US" w:eastAsia="zh-CN"/>
        </w:rPr>
        <w:t>0575-82398559</w:t>
      </w:r>
    </w:p>
    <w:p w14:paraId="3FA160FF">
      <w:pPr>
        <w:keepNext w:val="0"/>
        <w:keepLines w:val="0"/>
        <w:pageBreakBefore w:val="0"/>
        <w:widowControl w:val="0"/>
        <w:shd w:val="clear"/>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地址：</w:t>
      </w:r>
      <w:bookmarkStart w:id="21" w:name="OLE_LINK10"/>
      <w:r>
        <w:rPr>
          <w:rFonts w:hint="eastAsia" w:ascii="宋体" w:hAnsi="宋体" w:eastAsia="宋体" w:cs="宋体"/>
          <w:color w:val="auto"/>
          <w:sz w:val="24"/>
          <w:highlight w:val="none"/>
          <w:lang w:eastAsia="zh-CN"/>
        </w:rPr>
        <w:t>绍兴市上虞区人民大道中段</w:t>
      </w:r>
      <w:r>
        <w:rPr>
          <w:rFonts w:hint="eastAsia" w:ascii="宋体" w:hAnsi="宋体" w:eastAsia="宋体" w:cs="宋体"/>
          <w:color w:val="auto"/>
          <w:sz w:val="24"/>
          <w:highlight w:val="none"/>
          <w:lang w:val="en-US" w:eastAsia="zh-CN"/>
        </w:rPr>
        <w:t>418号</w:t>
      </w:r>
      <w:bookmarkEnd w:id="21"/>
    </w:p>
    <w:p w14:paraId="1FB3AE71">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3．同级政府采购监督管理部门名称：上虞区财政局政府采购监管科</w:t>
      </w:r>
    </w:p>
    <w:p w14:paraId="074AF2A5">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联系人：谷先生</w:t>
      </w:r>
    </w:p>
    <w:p w14:paraId="5B7F470E">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监督投诉电话：0575-82130212</w:t>
      </w:r>
    </w:p>
    <w:p w14:paraId="2E306BD1">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highlight w:val="none"/>
        </w:rPr>
        <w:t>0575-82154859</w:t>
      </w:r>
    </w:p>
    <w:p w14:paraId="417B41A2">
      <w:pPr>
        <w:keepNext w:val="0"/>
        <w:keepLines w:val="0"/>
        <w:pageBreakBefore w:val="0"/>
        <w:widowControl w:val="0"/>
        <w:kinsoku/>
        <w:wordWrap/>
        <w:overflowPunct/>
        <w:topLinePunct w:val="0"/>
        <w:autoSpaceDE/>
        <w:autoSpaceDN/>
        <w:bidi w:val="0"/>
        <w:adjustRightInd w:val="0"/>
        <w:snapToGrid/>
        <w:spacing w:line="33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地址：绍兴市上虞区体育场路18号</w:t>
      </w:r>
    </w:p>
    <w:p w14:paraId="741F934B">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rPr>
          <w:rFonts w:hint="eastAsia" w:ascii="宋体" w:hAnsi="宋体" w:eastAsia="宋体" w:cs="宋体"/>
          <w:color w:val="auto"/>
          <w:sz w:val="24"/>
          <w:highlight w:val="none"/>
        </w:rPr>
      </w:pPr>
      <w:bookmarkStart w:id="22" w:name="_Toc29834"/>
      <w:bookmarkStart w:id="23" w:name="_Toc24505"/>
      <w:bookmarkStart w:id="24" w:name="_Toc546"/>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若对项目采购电子交易系统操作有疑问，可登录政采云（https://www.zcygov.cn/），点击右侧咨询小采，获取采小蜜智能服务管家帮助，或拨打政采云服务热线95763获取热线服务帮助。        </w:t>
      </w:r>
    </w:p>
    <w:p w14:paraId="7767B71F">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4B65A177">
      <w:pPr>
        <w:spacing w:line="360" w:lineRule="auto"/>
        <w:jc w:val="center"/>
        <w:outlineLvl w:val="0"/>
        <w:rPr>
          <w:rStyle w:val="60"/>
          <w:rFonts w:hint="eastAsia" w:ascii="宋体" w:hAnsi="宋体" w:eastAsia="宋体" w:cs="宋体"/>
          <w:color w:val="auto"/>
          <w:sz w:val="36"/>
          <w:szCs w:val="36"/>
          <w:highlight w:val="none"/>
        </w:rPr>
      </w:pPr>
    </w:p>
    <w:p w14:paraId="443254B6">
      <w:pPr>
        <w:spacing w:line="360" w:lineRule="auto"/>
        <w:jc w:val="center"/>
        <w:outlineLvl w:val="0"/>
        <w:rPr>
          <w:rFonts w:hint="eastAsia" w:ascii="宋体" w:hAnsi="宋体" w:eastAsia="宋体" w:cs="宋体"/>
          <w:b/>
          <w:bCs/>
          <w:color w:val="auto"/>
          <w:sz w:val="36"/>
          <w:szCs w:val="36"/>
          <w:highlight w:val="none"/>
        </w:rPr>
      </w:pPr>
      <w:bookmarkStart w:id="25" w:name="_Toc17816"/>
      <w:r>
        <w:rPr>
          <w:rStyle w:val="60"/>
          <w:rFonts w:hint="eastAsia" w:ascii="宋体" w:hAnsi="宋体" w:eastAsia="宋体" w:cs="宋体"/>
          <w:color w:val="auto"/>
          <w:sz w:val="36"/>
          <w:szCs w:val="36"/>
          <w:highlight w:val="none"/>
        </w:rPr>
        <w:t>第二部分</w:t>
      </w:r>
      <w:bookmarkEnd w:id="7"/>
      <w:r>
        <w:rPr>
          <w:rStyle w:val="60"/>
          <w:rFonts w:hint="eastAsia" w:ascii="宋体" w:hAnsi="宋体" w:eastAsia="宋体" w:cs="宋体"/>
          <w:color w:val="auto"/>
          <w:sz w:val="36"/>
          <w:szCs w:val="36"/>
          <w:highlight w:val="none"/>
        </w:rPr>
        <w:t xml:space="preserve"> </w:t>
      </w:r>
      <w:bookmarkEnd w:id="8"/>
      <w:r>
        <w:rPr>
          <w:rStyle w:val="60"/>
          <w:rFonts w:hint="eastAsia" w:ascii="宋体" w:hAnsi="宋体" w:eastAsia="宋体" w:cs="宋体"/>
          <w:color w:val="auto"/>
          <w:sz w:val="36"/>
          <w:szCs w:val="36"/>
          <w:highlight w:val="none"/>
        </w:rPr>
        <w:t>供应商须知</w:t>
      </w:r>
      <w:bookmarkEnd w:id="22"/>
      <w:bookmarkEnd w:id="23"/>
      <w:bookmarkEnd w:id="24"/>
      <w:bookmarkEnd w:id="25"/>
    </w:p>
    <w:p w14:paraId="14049504">
      <w:pPr>
        <w:widowControl/>
        <w:adjustRightInd w:val="0"/>
        <w:snapToGrid w:val="0"/>
        <w:spacing w:line="360" w:lineRule="auto"/>
        <w:jc w:val="center"/>
        <w:rPr>
          <w:rFonts w:hint="eastAsia" w:ascii="宋体" w:hAnsi="宋体" w:eastAsia="宋体" w:cs="宋体"/>
          <w:b/>
          <w:bCs/>
          <w:snapToGrid w:val="0"/>
          <w:color w:val="auto"/>
          <w:sz w:val="32"/>
          <w:szCs w:val="32"/>
          <w:highlight w:val="none"/>
        </w:rPr>
      </w:pPr>
      <w:r>
        <w:rPr>
          <w:rFonts w:hint="eastAsia" w:ascii="宋体" w:hAnsi="宋体" w:eastAsia="宋体" w:cs="宋体"/>
          <w:b/>
          <w:bCs/>
          <w:snapToGrid w:val="0"/>
          <w:color w:val="auto"/>
          <w:sz w:val="30"/>
          <w:szCs w:val="30"/>
          <w:highlight w:val="none"/>
        </w:rPr>
        <w:t>供应商须知前附表</w:t>
      </w:r>
    </w:p>
    <w:tbl>
      <w:tblPr>
        <w:tblStyle w:val="28"/>
        <w:tblW w:w="913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1855"/>
        <w:gridCol w:w="6627"/>
      </w:tblGrid>
      <w:tr w14:paraId="7E01C7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tblHeader/>
          <w:jc w:val="center"/>
        </w:trPr>
        <w:tc>
          <w:tcPr>
            <w:tcW w:w="648" w:type="dxa"/>
            <w:tcBorders>
              <w:top w:val="double" w:color="auto" w:sz="4" w:space="0"/>
            </w:tcBorders>
            <w:vAlign w:val="center"/>
          </w:tcPr>
          <w:p w14:paraId="14A08718">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序号</w:t>
            </w:r>
          </w:p>
        </w:tc>
        <w:tc>
          <w:tcPr>
            <w:tcW w:w="1855" w:type="dxa"/>
            <w:tcBorders>
              <w:top w:val="double" w:color="auto" w:sz="4" w:space="0"/>
            </w:tcBorders>
            <w:vAlign w:val="center"/>
          </w:tcPr>
          <w:p w14:paraId="53BCA4EE">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项目</w:t>
            </w:r>
          </w:p>
        </w:tc>
        <w:tc>
          <w:tcPr>
            <w:tcW w:w="6627" w:type="dxa"/>
            <w:tcBorders>
              <w:top w:val="double" w:color="auto" w:sz="4" w:space="0"/>
            </w:tcBorders>
            <w:vAlign w:val="center"/>
          </w:tcPr>
          <w:p w14:paraId="31DE9683">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内容</w:t>
            </w:r>
          </w:p>
        </w:tc>
      </w:tr>
      <w:tr w14:paraId="0C379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8" w:type="dxa"/>
            <w:vAlign w:val="center"/>
          </w:tcPr>
          <w:p w14:paraId="4D054925">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w:t>
            </w:r>
          </w:p>
        </w:tc>
        <w:tc>
          <w:tcPr>
            <w:tcW w:w="1855" w:type="dxa"/>
            <w:vAlign w:val="center"/>
          </w:tcPr>
          <w:p w14:paraId="66A333F5">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项目名称</w:t>
            </w:r>
          </w:p>
        </w:tc>
        <w:tc>
          <w:tcPr>
            <w:tcW w:w="6627" w:type="dxa"/>
            <w:vAlign w:val="center"/>
          </w:tcPr>
          <w:p w14:paraId="21300995">
            <w:pPr>
              <w:bidi w:val="0"/>
              <w:ind w:firstLine="400" w:firstLineChars="200"/>
              <w:jc w:val="left"/>
              <w:rPr>
                <w:rFonts w:hint="eastAsia" w:ascii="宋体" w:hAnsi="宋体" w:eastAsia="宋体" w:cs="宋体"/>
                <w:snapToGrid w:val="0"/>
                <w:color w:val="auto"/>
                <w:highlight w:val="none"/>
              </w:rPr>
            </w:pPr>
            <w:r>
              <w:rPr>
                <w:rFonts w:hint="eastAsia" w:ascii="宋体" w:hAnsi="宋体" w:cs="宋体"/>
                <w:snapToGrid w:val="0"/>
                <w:color w:val="auto"/>
                <w:kern w:val="0"/>
                <w:highlight w:val="none"/>
                <w:lang w:val="en-US" w:eastAsia="zh-CN"/>
              </w:rPr>
              <w:t>绍兴市上虞区曹娥街道社区卫生服务中心物业管理服务项目</w:t>
            </w:r>
          </w:p>
        </w:tc>
      </w:tr>
      <w:tr w14:paraId="2EC85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648" w:type="dxa"/>
            <w:vAlign w:val="center"/>
          </w:tcPr>
          <w:p w14:paraId="50999429">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2</w:t>
            </w:r>
          </w:p>
        </w:tc>
        <w:tc>
          <w:tcPr>
            <w:tcW w:w="1855" w:type="dxa"/>
            <w:vAlign w:val="center"/>
          </w:tcPr>
          <w:p w14:paraId="56AAF87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项目实施时间</w:t>
            </w:r>
          </w:p>
        </w:tc>
        <w:tc>
          <w:tcPr>
            <w:tcW w:w="6627" w:type="dxa"/>
            <w:vAlign w:val="center"/>
          </w:tcPr>
          <w:p w14:paraId="5A98AD35">
            <w:pPr>
              <w:ind w:firstLine="402" w:firstLineChars="200"/>
              <w:rPr>
                <w:rFonts w:hint="eastAsia" w:ascii="宋体" w:hAnsi="宋体" w:eastAsia="宋体" w:cs="宋体"/>
                <w:b/>
                <w:bCs/>
                <w:color w:val="auto"/>
                <w:highlight w:val="none"/>
              </w:rPr>
            </w:pPr>
            <w:bookmarkStart w:id="26" w:name="OLE_LINK6"/>
            <w:r>
              <w:rPr>
                <w:rFonts w:hint="eastAsia" w:ascii="宋体" w:hAnsi="宋体" w:eastAsia="宋体" w:cs="宋体"/>
                <w:b/>
                <w:snapToGrid w:val="0"/>
                <w:color w:val="auto"/>
                <w:kern w:val="0"/>
                <w:szCs w:val="21"/>
                <w:highlight w:val="none"/>
              </w:rPr>
              <w:t>自合同签订之日起至合同履行完毕</w:t>
            </w:r>
            <w:bookmarkEnd w:id="26"/>
          </w:p>
        </w:tc>
      </w:tr>
      <w:tr w14:paraId="1656E3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648" w:type="dxa"/>
            <w:vAlign w:val="center"/>
          </w:tcPr>
          <w:p w14:paraId="10C21CF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3</w:t>
            </w:r>
          </w:p>
        </w:tc>
        <w:tc>
          <w:tcPr>
            <w:tcW w:w="1855" w:type="dxa"/>
            <w:vAlign w:val="center"/>
          </w:tcPr>
          <w:p w14:paraId="1F1679AF">
            <w:pPr>
              <w:snapToGrid w:val="0"/>
              <w:jc w:val="center"/>
              <w:rPr>
                <w:rFonts w:hint="eastAsia" w:ascii="宋体" w:hAnsi="宋体" w:eastAsia="宋体" w:cs="宋体"/>
                <w:b/>
                <w:bCs/>
                <w:snapToGrid w:val="0"/>
                <w:color w:val="auto"/>
                <w:highlight w:val="none"/>
              </w:rPr>
            </w:pPr>
            <w:r>
              <w:rPr>
                <w:rFonts w:hint="eastAsia" w:ascii="宋体" w:hAnsi="宋体" w:eastAsia="宋体" w:cs="宋体"/>
                <w:b/>
                <w:bCs/>
                <w:snapToGrid w:val="0"/>
                <w:color w:val="auto"/>
                <w:highlight w:val="none"/>
              </w:rPr>
              <w:t>最高限价</w:t>
            </w:r>
          </w:p>
        </w:tc>
        <w:tc>
          <w:tcPr>
            <w:tcW w:w="6627" w:type="dxa"/>
            <w:vAlign w:val="center"/>
          </w:tcPr>
          <w:p w14:paraId="15A8A2B4">
            <w:pPr>
              <w:snapToGrid w:val="0"/>
              <w:ind w:firstLine="400" w:firstLineChars="200"/>
              <w:rPr>
                <w:rFonts w:hint="eastAsia" w:ascii="宋体" w:hAnsi="宋体" w:eastAsia="宋体" w:cs="宋体"/>
                <w:b/>
                <w:bCs/>
                <w:snapToGrid w:val="0"/>
                <w:color w:val="auto"/>
                <w:highlight w:val="none"/>
              </w:rPr>
            </w:pPr>
            <w:r>
              <w:rPr>
                <w:rFonts w:hint="eastAsia" w:ascii="宋体" w:hAnsi="宋体" w:eastAsia="宋体" w:cs="宋体"/>
                <w:color w:val="auto"/>
                <w:highlight w:val="none"/>
              </w:rPr>
              <w:t>本项目最高限价人民币</w:t>
            </w:r>
            <w:r>
              <w:rPr>
                <w:rFonts w:hint="eastAsia" w:ascii="宋体" w:hAnsi="宋体" w:cs="宋体"/>
                <w:color w:val="auto"/>
                <w:highlight w:val="none"/>
                <w:u w:val="single"/>
                <w:lang w:val="en-US" w:eastAsia="zh-CN"/>
              </w:rPr>
              <w:t>1750000.00</w:t>
            </w:r>
            <w:r>
              <w:rPr>
                <w:rFonts w:hint="eastAsia" w:ascii="宋体" w:hAnsi="宋体" w:eastAsia="宋体" w:cs="宋体"/>
                <w:color w:val="auto"/>
                <w:highlight w:val="none"/>
                <w:lang w:val="en-US" w:eastAsia="zh-CN"/>
              </w:rPr>
              <w:t>元</w:t>
            </w:r>
            <w:r>
              <w:rPr>
                <w:rFonts w:hint="eastAsia" w:ascii="宋体" w:hAnsi="宋体" w:eastAsia="宋体" w:cs="宋体"/>
                <w:color w:val="auto"/>
                <w:highlight w:val="none"/>
              </w:rPr>
              <w:t xml:space="preserve">。 </w:t>
            </w:r>
          </w:p>
        </w:tc>
      </w:tr>
      <w:tr w14:paraId="4474A7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2279928A">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 xml:space="preserve">                                                                                                   4</w:t>
            </w:r>
          </w:p>
        </w:tc>
        <w:tc>
          <w:tcPr>
            <w:tcW w:w="1855" w:type="dxa"/>
            <w:vAlign w:val="center"/>
          </w:tcPr>
          <w:p w14:paraId="38560880">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资格审查方式</w:t>
            </w:r>
          </w:p>
        </w:tc>
        <w:tc>
          <w:tcPr>
            <w:tcW w:w="6627" w:type="dxa"/>
            <w:vAlign w:val="center"/>
          </w:tcPr>
          <w:p w14:paraId="3768B01A">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资格审查是指开标后，磋商小组将依据法律法规和磋商文件的规定对供应商的资格进行审查。</w:t>
            </w:r>
          </w:p>
        </w:tc>
      </w:tr>
      <w:tr w14:paraId="07464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648" w:type="dxa"/>
            <w:vAlign w:val="center"/>
          </w:tcPr>
          <w:p w14:paraId="49AC3D69">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5</w:t>
            </w:r>
          </w:p>
        </w:tc>
        <w:tc>
          <w:tcPr>
            <w:tcW w:w="1855" w:type="dxa"/>
            <w:vAlign w:val="center"/>
          </w:tcPr>
          <w:p w14:paraId="2C2659F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踏勘现场</w:t>
            </w:r>
          </w:p>
        </w:tc>
        <w:tc>
          <w:tcPr>
            <w:tcW w:w="6627" w:type="dxa"/>
            <w:vAlign w:val="center"/>
          </w:tcPr>
          <w:p w14:paraId="54E8314F">
            <w:pPr>
              <w:snapToGrid w:val="0"/>
              <w:ind w:firstLine="402" w:firstLineChars="200"/>
              <w:rPr>
                <w:rFonts w:hint="eastAsia" w:ascii="宋体" w:hAnsi="宋体" w:eastAsia="宋体" w:cs="宋体"/>
                <w:snapToGrid w:val="0"/>
                <w:color w:val="auto"/>
                <w:highlight w:val="none"/>
              </w:rPr>
            </w:pPr>
            <w:r>
              <w:rPr>
                <w:rFonts w:hint="eastAsia" w:ascii="宋体" w:hAnsi="宋体" w:eastAsia="宋体" w:cs="宋体"/>
                <w:b/>
                <w:bCs/>
                <w:snapToGrid w:val="0"/>
                <w:color w:val="auto"/>
                <w:highlight w:val="none"/>
              </w:rPr>
              <w:t>本项目不组织现场踏勘</w:t>
            </w:r>
          </w:p>
        </w:tc>
      </w:tr>
      <w:tr w14:paraId="3C3189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E203E7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6</w:t>
            </w:r>
          </w:p>
        </w:tc>
        <w:tc>
          <w:tcPr>
            <w:tcW w:w="1855" w:type="dxa"/>
            <w:vAlign w:val="center"/>
          </w:tcPr>
          <w:p w14:paraId="2A13FEC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询问</w:t>
            </w:r>
          </w:p>
        </w:tc>
        <w:tc>
          <w:tcPr>
            <w:tcW w:w="6627" w:type="dxa"/>
            <w:vAlign w:val="center"/>
          </w:tcPr>
          <w:p w14:paraId="4E1B371C">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供应商对政府采购活动事项有疑问的，可以向采购机构提出询问，采购人或者招标代理机构应当在3个工作日内对供应商依法提出的询问作出答复，但答复的内容不得涉及商业秘密。</w:t>
            </w:r>
          </w:p>
        </w:tc>
      </w:tr>
      <w:tr w14:paraId="7FADBD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233AA23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7</w:t>
            </w:r>
          </w:p>
        </w:tc>
        <w:tc>
          <w:tcPr>
            <w:tcW w:w="1855" w:type="dxa"/>
            <w:vAlign w:val="center"/>
          </w:tcPr>
          <w:p w14:paraId="320CBD4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磋商文件的澄清与修改</w:t>
            </w:r>
          </w:p>
        </w:tc>
        <w:tc>
          <w:tcPr>
            <w:tcW w:w="6627" w:type="dxa"/>
            <w:vAlign w:val="center"/>
          </w:tcPr>
          <w:p w14:paraId="5278C2A2">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采购单位可以对已发出的磋商文件进行必要澄清或者修改，澄清或者修改的内容可能影响响应文件编制的，应当在提交首次响应文件</w:t>
            </w:r>
            <w:r>
              <w:rPr>
                <w:rFonts w:hint="eastAsia" w:ascii="宋体" w:hAnsi="宋体" w:eastAsia="宋体" w:cs="宋体"/>
                <w:snapToGrid w:val="0"/>
                <w:color w:val="auto"/>
                <w:highlight w:val="none"/>
                <w:lang w:val="en-US" w:eastAsia="zh-CN"/>
              </w:rPr>
              <w:t>截止</w:t>
            </w:r>
            <w:r>
              <w:rPr>
                <w:rFonts w:hint="eastAsia" w:ascii="宋体" w:hAnsi="宋体" w:eastAsia="宋体" w:cs="宋体"/>
                <w:snapToGrid w:val="0"/>
                <w:color w:val="auto"/>
                <w:highlight w:val="none"/>
              </w:rPr>
              <w:t>时间至少5日前，在磋商公告发布的媒体上发布更正公告。本项目磋商文件和补充（答疑、澄清）、修改文件等请自行登录浙江政府采购网或绍兴市上虞区公共资源交易中心网站查看。</w:t>
            </w:r>
          </w:p>
        </w:tc>
      </w:tr>
      <w:tr w14:paraId="35788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077186C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8</w:t>
            </w:r>
          </w:p>
        </w:tc>
        <w:tc>
          <w:tcPr>
            <w:tcW w:w="1855" w:type="dxa"/>
            <w:vAlign w:val="center"/>
          </w:tcPr>
          <w:p w14:paraId="5E24693F">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磋商响应文件组成</w:t>
            </w:r>
          </w:p>
        </w:tc>
        <w:tc>
          <w:tcPr>
            <w:tcW w:w="6627" w:type="dxa"/>
            <w:vAlign w:val="center"/>
          </w:tcPr>
          <w:p w14:paraId="30839C06">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供应商向采购人递交的响应文件由资格文件、商务技术文件、报价文件三部分组成。</w:t>
            </w:r>
          </w:p>
        </w:tc>
      </w:tr>
      <w:tr w14:paraId="25C6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7" w:hRule="atLeast"/>
          <w:jc w:val="center"/>
        </w:trPr>
        <w:tc>
          <w:tcPr>
            <w:tcW w:w="648" w:type="dxa"/>
            <w:vAlign w:val="center"/>
          </w:tcPr>
          <w:p w14:paraId="3CB7B43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9</w:t>
            </w:r>
          </w:p>
        </w:tc>
        <w:tc>
          <w:tcPr>
            <w:tcW w:w="1855" w:type="dxa"/>
            <w:vAlign w:val="center"/>
          </w:tcPr>
          <w:p w14:paraId="6FF54A80">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评标办法</w:t>
            </w:r>
          </w:p>
        </w:tc>
        <w:tc>
          <w:tcPr>
            <w:tcW w:w="6627" w:type="dxa"/>
            <w:vAlign w:val="center"/>
          </w:tcPr>
          <w:p w14:paraId="5604CEC1">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综合评分法</w:t>
            </w:r>
          </w:p>
        </w:tc>
      </w:tr>
      <w:tr w14:paraId="7F0548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0EC714D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10</w:t>
            </w:r>
          </w:p>
        </w:tc>
        <w:tc>
          <w:tcPr>
            <w:tcW w:w="1855" w:type="dxa"/>
            <w:vAlign w:val="center"/>
          </w:tcPr>
          <w:p w14:paraId="34D042D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磋商响应文件递交地址及截止时间</w:t>
            </w:r>
          </w:p>
        </w:tc>
        <w:tc>
          <w:tcPr>
            <w:tcW w:w="6627" w:type="dxa"/>
            <w:vAlign w:val="center"/>
          </w:tcPr>
          <w:p w14:paraId="483168F7">
            <w:pPr>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详见磋商公告</w:t>
            </w:r>
          </w:p>
        </w:tc>
      </w:tr>
      <w:tr w14:paraId="45E0FC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4EFF1249">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11</w:t>
            </w:r>
          </w:p>
        </w:tc>
        <w:tc>
          <w:tcPr>
            <w:tcW w:w="1855" w:type="dxa"/>
            <w:vAlign w:val="center"/>
          </w:tcPr>
          <w:p w14:paraId="6E780362">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开标时间、地点</w:t>
            </w:r>
          </w:p>
        </w:tc>
        <w:tc>
          <w:tcPr>
            <w:tcW w:w="6627" w:type="dxa"/>
            <w:vAlign w:val="center"/>
          </w:tcPr>
          <w:p w14:paraId="10A5C39D">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开标时间：</w:t>
            </w:r>
            <w:r>
              <w:rPr>
                <w:rFonts w:hint="eastAsia" w:ascii="宋体" w:hAnsi="宋体" w:eastAsia="宋体" w:cs="宋体"/>
                <w:color w:val="auto"/>
                <w:highlight w:val="none"/>
              </w:rPr>
              <w:t>详见磋商公告</w:t>
            </w:r>
          </w:p>
          <w:p w14:paraId="228EC412">
            <w:pPr>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highlight w:val="none"/>
              </w:rPr>
              <w:t>开标地点：</w:t>
            </w:r>
            <w:r>
              <w:rPr>
                <w:rFonts w:hint="eastAsia" w:ascii="宋体" w:hAnsi="宋体" w:eastAsia="宋体" w:cs="宋体"/>
                <w:color w:val="auto"/>
                <w:highlight w:val="none"/>
              </w:rPr>
              <w:t>详见磋商公告</w:t>
            </w:r>
          </w:p>
        </w:tc>
      </w:tr>
      <w:tr w14:paraId="497B8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14:paraId="006CD75D">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12</w:t>
            </w:r>
          </w:p>
        </w:tc>
        <w:tc>
          <w:tcPr>
            <w:tcW w:w="1855" w:type="dxa"/>
            <w:vAlign w:val="center"/>
          </w:tcPr>
          <w:p w14:paraId="492A4F3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磋商响应文件有效期</w:t>
            </w:r>
          </w:p>
        </w:tc>
        <w:tc>
          <w:tcPr>
            <w:tcW w:w="6627" w:type="dxa"/>
            <w:vAlign w:val="center"/>
          </w:tcPr>
          <w:p w14:paraId="46C93954">
            <w:pPr>
              <w:snapToGrid w:val="0"/>
              <w:ind w:firstLine="400" w:firstLineChars="200"/>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响应文件有效期为从提交响应文件的截止之日起90天。供应商的响应文件中承诺的响应文件有效期少于磋商文件中载明的响应文件有效期的，磋商无效。</w:t>
            </w:r>
          </w:p>
        </w:tc>
      </w:tr>
      <w:tr w14:paraId="646639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648" w:type="dxa"/>
            <w:vAlign w:val="center"/>
          </w:tcPr>
          <w:p w14:paraId="73785F4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13</w:t>
            </w:r>
          </w:p>
        </w:tc>
        <w:tc>
          <w:tcPr>
            <w:tcW w:w="1855" w:type="dxa"/>
            <w:vAlign w:val="center"/>
          </w:tcPr>
          <w:p w14:paraId="720E98E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履约保证金</w:t>
            </w:r>
          </w:p>
        </w:tc>
        <w:tc>
          <w:tcPr>
            <w:tcW w:w="6627" w:type="dxa"/>
            <w:vAlign w:val="center"/>
          </w:tcPr>
          <w:p w14:paraId="048361B4">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rPr>
              <w:t>本项目不设置履约保证金</w:t>
            </w:r>
          </w:p>
        </w:tc>
      </w:tr>
      <w:tr w14:paraId="791F7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371420F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14</w:t>
            </w:r>
          </w:p>
        </w:tc>
        <w:tc>
          <w:tcPr>
            <w:tcW w:w="1855" w:type="dxa"/>
            <w:vAlign w:val="center"/>
          </w:tcPr>
          <w:p w14:paraId="4BD656C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磋商公告及成交结果公告发布媒体</w:t>
            </w:r>
          </w:p>
        </w:tc>
        <w:tc>
          <w:tcPr>
            <w:tcW w:w="6627" w:type="dxa"/>
            <w:vAlign w:val="center"/>
          </w:tcPr>
          <w:p w14:paraId="100AB2AF">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浙江省政府采购网、 绍兴市上虞区公共资源交易中心网站</w:t>
            </w:r>
          </w:p>
        </w:tc>
      </w:tr>
      <w:tr w14:paraId="67E042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021E7BF5">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855" w:type="dxa"/>
            <w:vAlign w:val="center"/>
          </w:tcPr>
          <w:p w14:paraId="21FE236B">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质疑</w:t>
            </w:r>
          </w:p>
        </w:tc>
        <w:tc>
          <w:tcPr>
            <w:tcW w:w="6627" w:type="dxa"/>
            <w:vAlign w:val="center"/>
          </w:tcPr>
          <w:p w14:paraId="037456EC">
            <w:pPr>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根据《中华人民共和国政府采购法》第五十二条、《中华人民共和国政府采购法实施条例》第五十三条、《浙江省政府采购供应商质疑处理办法》的规定：</w:t>
            </w:r>
          </w:p>
          <w:p w14:paraId="78ADAC93">
            <w:pPr>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认为磋商文件使自己的权益受到损害的，可以在磋商文件公告期限届满之日起7个工作日内，以书面形式向采购人和采购代理机构提出质疑。供应商在法定质疑期内应一次性提出针对同一采购程序环节的质疑。</w:t>
            </w:r>
          </w:p>
          <w:p w14:paraId="562AD798">
            <w:pPr>
              <w:ind w:firstLine="40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供应商如认为采购过程使自身的合法权益受到损害的，应于各采购程序环节结束之日起七个工作日内以书面形式向采购机构提出质疑；</w:t>
            </w:r>
          </w:p>
          <w:p w14:paraId="0C19B923">
            <w:pPr>
              <w:snapToGrid w:val="0"/>
              <w:ind w:firstLine="400" w:firstLineChars="200"/>
              <w:jc w:val="left"/>
              <w:rPr>
                <w:rFonts w:hint="eastAsia" w:ascii="宋体" w:hAnsi="宋体" w:eastAsia="宋体" w:cs="宋体"/>
                <w:snapToGrid w:val="0"/>
                <w:color w:val="auto"/>
                <w:highlight w:val="none"/>
              </w:rPr>
            </w:pPr>
            <w:r>
              <w:rPr>
                <w:rFonts w:hint="eastAsia" w:ascii="宋体" w:hAnsi="宋体" w:eastAsia="宋体" w:cs="宋体"/>
                <w:color w:val="auto"/>
                <w:highlight w:val="none"/>
              </w:rPr>
              <w:t>供应商如认为中标结果使自身的合法权益受到损害的，应于中标或者成交结果公告期限届满之日起七个工作日内以书面形式向采购机构提出质疑</w:t>
            </w:r>
            <w:r>
              <w:rPr>
                <w:rFonts w:hint="eastAsia" w:ascii="宋体" w:hAnsi="宋体" w:eastAsia="宋体" w:cs="宋体"/>
                <w:snapToGrid w:val="0"/>
                <w:color w:val="auto"/>
                <w:highlight w:val="none"/>
              </w:rPr>
              <w:t>。</w:t>
            </w:r>
          </w:p>
        </w:tc>
      </w:tr>
      <w:tr w14:paraId="69566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648" w:type="dxa"/>
            <w:vAlign w:val="center"/>
          </w:tcPr>
          <w:p w14:paraId="0CBD1FAE">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16</w:t>
            </w:r>
          </w:p>
        </w:tc>
        <w:tc>
          <w:tcPr>
            <w:tcW w:w="1855" w:type="dxa"/>
            <w:vAlign w:val="center"/>
          </w:tcPr>
          <w:p w14:paraId="1A59DC1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投诉</w:t>
            </w:r>
          </w:p>
        </w:tc>
        <w:tc>
          <w:tcPr>
            <w:tcW w:w="6627" w:type="dxa"/>
            <w:vAlign w:val="center"/>
          </w:tcPr>
          <w:p w14:paraId="702361AA">
            <w:pPr>
              <w:snapToGrid w:val="0"/>
              <w:ind w:firstLine="400" w:firstLineChars="200"/>
              <w:jc w:val="left"/>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根据</w:t>
            </w:r>
            <w:r>
              <w:rPr>
                <w:rFonts w:hint="eastAsia" w:ascii="宋体" w:hAnsi="宋体" w:eastAsia="宋体" w:cs="宋体"/>
                <w:color w:val="auto"/>
                <w:highlight w:val="none"/>
              </w:rPr>
              <w:t>《中华人民共和国政府采购法》</w:t>
            </w:r>
            <w:r>
              <w:rPr>
                <w:rFonts w:hint="eastAsia" w:ascii="宋体" w:hAnsi="宋体" w:eastAsia="宋体" w:cs="宋体"/>
                <w:snapToGrid w:val="0"/>
                <w:color w:val="auto"/>
                <w:highlight w:val="none"/>
              </w:rPr>
              <w:t>第五十五条的规定，质疑供应商对采购人、招标代理机构的答复不满意或者采购人、招标代理机构未在规定的时间内作出答复的，可以在答复期满后十五个工作日内向同级政府采购监督管理部门投诉。</w:t>
            </w:r>
          </w:p>
        </w:tc>
      </w:tr>
      <w:tr w14:paraId="3E21DF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4AB5604C">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17</w:t>
            </w:r>
          </w:p>
        </w:tc>
        <w:tc>
          <w:tcPr>
            <w:tcW w:w="1855" w:type="dxa"/>
            <w:vAlign w:val="center"/>
          </w:tcPr>
          <w:p w14:paraId="007CD676">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特别说明</w:t>
            </w:r>
          </w:p>
        </w:tc>
        <w:tc>
          <w:tcPr>
            <w:tcW w:w="6627" w:type="dxa"/>
            <w:vAlign w:val="center"/>
          </w:tcPr>
          <w:p w14:paraId="578326DB">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无条件的、认真仔细的阅读本磋商文件及其澄清答疑、修改答复的补充文件，严格按照磋商文件及补充文件的规定和要求编制响应文件。在编制响应文件过程中，应严格遵循实事求是、诚信投标的原则，针对磋商文件中的采购需求、合同条款等各项内容进行确认，如有偏离，应如实填写响应偏离表。</w:t>
            </w:r>
          </w:p>
          <w:p w14:paraId="61AB68F6">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该项目结果公告期间，供应商不得通过非正当途径、更不得通过非正当手段获取法律法规规定评标委员会（包括其他相关人员）应当保密的相关内容。即便由此获得资料并作为向采购人或招标代理机构或监督管理部门提出异（质）疑或投诉或法院起诉的理由，均属于非法索取的依据。</w:t>
            </w:r>
          </w:p>
          <w:p w14:paraId="69B1BB81">
            <w:pPr>
              <w:pStyle w:val="14"/>
              <w:snapToGrid w:val="0"/>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质疑、投诉人未按</w:t>
            </w:r>
            <w:r>
              <w:rPr>
                <w:rFonts w:hint="eastAsia" w:ascii="宋体" w:hAnsi="宋体" w:eastAsia="宋体" w:cs="宋体"/>
                <w:color w:val="auto"/>
                <w:highlight w:val="none"/>
                <w:lang w:eastAsia="zh-CN"/>
              </w:rPr>
              <w:t>前例</w:t>
            </w:r>
            <w:r>
              <w:rPr>
                <w:rFonts w:hint="eastAsia" w:ascii="宋体" w:hAnsi="宋体" w:eastAsia="宋体" w:cs="宋体"/>
                <w:color w:val="auto"/>
                <w:highlight w:val="none"/>
              </w:rPr>
              <w:t>进行质疑、投诉（申诉），均属于扰乱政府采购市场不良行为。</w:t>
            </w:r>
          </w:p>
          <w:p w14:paraId="55EAEBEC">
            <w:pPr>
              <w:pStyle w:val="14"/>
              <w:snapToGrid w:val="0"/>
              <w:ind w:firstLine="400" w:firstLineChars="200"/>
              <w:rPr>
                <w:rFonts w:hint="eastAsia" w:ascii="宋体" w:hAnsi="宋体" w:eastAsia="宋体" w:cs="宋体"/>
                <w:b/>
                <w:bCs/>
                <w:color w:val="auto"/>
                <w:highlight w:val="none"/>
              </w:rPr>
            </w:pPr>
            <w:r>
              <w:rPr>
                <w:rFonts w:hint="eastAsia" w:ascii="宋体" w:hAnsi="宋体" w:eastAsia="宋体" w:cs="宋体"/>
                <w:color w:val="auto"/>
                <w:highlight w:val="none"/>
              </w:rPr>
              <w:t>磋商文件中凡标注“★”的条款均为实质性要求，不响应的响应文件将作无效标处理。</w:t>
            </w:r>
          </w:p>
        </w:tc>
      </w:tr>
      <w:tr w14:paraId="60BA58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648" w:type="dxa"/>
            <w:vAlign w:val="center"/>
          </w:tcPr>
          <w:p w14:paraId="5AB4A1B3">
            <w:pPr>
              <w:snapToGrid w:val="0"/>
              <w:jc w:val="center"/>
              <w:rPr>
                <w:rFonts w:hint="eastAsia" w:ascii="宋体" w:hAnsi="宋体" w:eastAsia="宋体" w:cs="宋体"/>
                <w:snapToGrid w:val="0"/>
                <w:color w:val="auto"/>
                <w:highlight w:val="none"/>
              </w:rPr>
            </w:pPr>
            <w:r>
              <w:rPr>
                <w:rFonts w:hint="eastAsia" w:ascii="宋体" w:hAnsi="宋体" w:eastAsia="宋体" w:cs="宋体"/>
                <w:snapToGrid w:val="0"/>
                <w:color w:val="auto"/>
                <w:highlight w:val="none"/>
              </w:rPr>
              <w:t>18</w:t>
            </w:r>
          </w:p>
        </w:tc>
        <w:tc>
          <w:tcPr>
            <w:tcW w:w="1855" w:type="dxa"/>
            <w:vAlign w:val="center"/>
          </w:tcPr>
          <w:p w14:paraId="358C3593">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支</w:t>
            </w:r>
          </w:p>
          <w:p w14:paraId="45D6143A">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持</w:t>
            </w:r>
          </w:p>
          <w:p w14:paraId="1B501019">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中</w:t>
            </w:r>
          </w:p>
          <w:p w14:paraId="3E39CA80">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小</w:t>
            </w:r>
          </w:p>
          <w:p w14:paraId="033E610C">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企</w:t>
            </w:r>
          </w:p>
          <w:p w14:paraId="43A2D455">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业</w:t>
            </w:r>
          </w:p>
        </w:tc>
        <w:tc>
          <w:tcPr>
            <w:tcW w:w="6627" w:type="dxa"/>
            <w:vAlign w:val="center"/>
          </w:tcPr>
          <w:p w14:paraId="215C4BAF">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小微企业是指在中华人民共和国境内依法设立，依据国务院批准的中小企业划分标准确定的小型企业和微型企业，但与大企业的负责人为同一人，或者与大企业存在直接控股、管理关系的除外。</w:t>
            </w:r>
          </w:p>
          <w:p w14:paraId="79238A2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符合中小企业划分标准的个体工商户，在政府采购活动中视同中小企业。</w:t>
            </w:r>
          </w:p>
          <w:p w14:paraId="358477CF">
            <w:pPr>
              <w:bidi w:val="0"/>
              <w:spacing w:line="24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在货物采购项目中，货物由小微企业制造，即货物由小微企业生产且使用该小微企业商号或者注册商标。供应商提供的货物既有中小企业制造货物，也有大型企业制造货物的，不享受中小企业扶持政策。</w:t>
            </w:r>
          </w:p>
          <w:p w14:paraId="59D0FD16">
            <w:pPr>
              <w:bidi w:val="0"/>
              <w:spacing w:line="24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在服务采购项目中，服务由小微企业承接，即提供服务的人员为小微企业依照《中华人民共和国劳动合同法》订立劳动合同的从业人员。</w:t>
            </w:r>
          </w:p>
          <w:p w14:paraId="575C8771">
            <w:pPr>
              <w:bidi w:val="0"/>
              <w:ind w:firstLine="400" w:firstLineChars="200"/>
              <w:rPr>
                <w:rFonts w:hint="eastAsia" w:ascii="宋体" w:hAnsi="宋体" w:eastAsia="宋体" w:cs="宋体"/>
                <w:color w:val="auto"/>
                <w:highlight w:val="none"/>
              </w:rPr>
            </w:pPr>
            <w:bookmarkStart w:id="27" w:name="_Toc16526"/>
            <w:r>
              <w:rPr>
                <w:rFonts w:hint="eastAsia" w:ascii="宋体" w:hAnsi="宋体" w:eastAsia="宋体" w:cs="宋体"/>
                <w:color w:val="auto"/>
                <w:highlight w:val="none"/>
              </w:rPr>
              <w:t>联合体各方均为小型、微型企业的，联合体视同为小型、微型企业。</w:t>
            </w:r>
            <w:bookmarkEnd w:id="27"/>
          </w:p>
          <w:p w14:paraId="11DCE052">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符合上述条件的中小微型企业应按照招标文件附件11的格式要求提供《中小企业声明函》。符合《关于促进残疾人就业政府采购政策的通知》（财库〔2017〕141号）规定的条件并提供《残疾人福利性单位声明函》（附件13）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B57CFBB">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根据</w:t>
            </w:r>
            <w:r>
              <w:rPr>
                <w:rFonts w:hint="eastAsia" w:ascii="宋体" w:hAnsi="宋体" w:eastAsia="宋体" w:cs="宋体"/>
                <w:color w:val="auto"/>
                <w:highlight w:val="none"/>
                <w:lang w:val="en-US" w:eastAsia="zh-CN"/>
              </w:rPr>
              <w:t>财政部</w:t>
            </w:r>
            <w:r>
              <w:rPr>
                <w:rFonts w:hint="eastAsia" w:ascii="宋体" w:hAnsi="宋体" w:eastAsia="宋体" w:cs="宋体"/>
                <w:color w:val="auto"/>
                <w:highlight w:val="none"/>
              </w:rPr>
              <w:t>的《关于进一步加大政府采购支持中小企业力度的通知》（</w:t>
            </w:r>
            <w:r>
              <w:rPr>
                <w:rFonts w:hint="eastAsia" w:ascii="宋体" w:hAnsi="宋体" w:eastAsia="宋体" w:cs="宋体"/>
                <w:color w:val="auto"/>
                <w:highlight w:val="none"/>
                <w:lang w:val="en-US" w:eastAsia="zh-CN"/>
              </w:rPr>
              <w:t>财库</w:t>
            </w:r>
            <w:r>
              <w:rPr>
                <w:rFonts w:hint="eastAsia" w:ascii="宋体" w:hAnsi="宋体" w:eastAsia="宋体" w:cs="宋体"/>
                <w:color w:val="auto"/>
                <w:highlight w:val="none"/>
              </w:rPr>
              <w:t>〔2022〕</w:t>
            </w:r>
            <w:r>
              <w:rPr>
                <w:rFonts w:hint="eastAsia" w:ascii="宋体" w:hAnsi="宋体" w:eastAsia="宋体" w:cs="宋体"/>
                <w:color w:val="auto"/>
                <w:highlight w:val="none"/>
                <w:lang w:val="en-US" w:eastAsia="zh-CN"/>
              </w:rPr>
              <w:t>19</w:t>
            </w:r>
            <w:r>
              <w:rPr>
                <w:rFonts w:hint="eastAsia" w:ascii="宋体" w:hAnsi="宋体" w:eastAsia="宋体" w:cs="宋体"/>
                <w:color w:val="auto"/>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给予扣除，用扣除后的价格参加评审。</w:t>
            </w:r>
          </w:p>
          <w:p w14:paraId="5AAA2C7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组成联合体或者接受分包的小微企业与联合体内其他企业、分包企业之间存在直接控股、管理关系的，不享受价格扣除优惠政策。</w:t>
            </w:r>
          </w:p>
        </w:tc>
      </w:tr>
      <w:tr w14:paraId="0FA40F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648" w:type="dxa"/>
            <w:vAlign w:val="center"/>
          </w:tcPr>
          <w:p w14:paraId="08A775FF">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19</w:t>
            </w:r>
          </w:p>
        </w:tc>
        <w:tc>
          <w:tcPr>
            <w:tcW w:w="1855" w:type="dxa"/>
            <w:vAlign w:val="center"/>
          </w:tcPr>
          <w:p w14:paraId="1D7785C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采购标的对应的中小企业划分标准所属行业</w:t>
            </w:r>
          </w:p>
        </w:tc>
        <w:tc>
          <w:tcPr>
            <w:tcW w:w="6627" w:type="dxa"/>
            <w:vAlign w:val="center"/>
          </w:tcPr>
          <w:p w14:paraId="2D384827">
            <w:pPr>
              <w:ind w:firstLine="40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（1）标的：</w:t>
            </w:r>
            <w:r>
              <w:rPr>
                <w:rFonts w:hint="eastAsia" w:ascii="宋体" w:hAnsi="宋体" w:cs="宋体"/>
                <w:b/>
                <w:bCs/>
                <w:color w:val="auto"/>
                <w:highlight w:val="none"/>
                <w:u w:val="single"/>
                <w:lang w:eastAsia="zh-CN"/>
              </w:rPr>
              <w:t>绍兴市上虞区曹娥街道社区卫生服务中心物业管理服务项目</w:t>
            </w:r>
            <w:r>
              <w:rPr>
                <w:rFonts w:hint="eastAsia" w:ascii="宋体" w:hAnsi="宋体" w:eastAsia="宋体" w:cs="宋体"/>
                <w:color w:val="auto"/>
                <w:highlight w:val="none"/>
              </w:rPr>
              <w:t xml:space="preserve"> ，属于</w:t>
            </w:r>
            <w:r>
              <w:rPr>
                <w:rFonts w:hint="eastAsia" w:ascii="宋体" w:hAnsi="宋体" w:eastAsia="宋体" w:cs="宋体"/>
                <w:b/>
                <w:bCs/>
                <w:color w:val="auto"/>
                <w:highlight w:val="none"/>
                <w:u w:val="single"/>
              </w:rPr>
              <w:t xml:space="preserve">物业管理 </w:t>
            </w:r>
            <w:r>
              <w:rPr>
                <w:rFonts w:hint="eastAsia" w:ascii="宋体" w:hAnsi="宋体" w:eastAsia="宋体" w:cs="宋体"/>
                <w:color w:val="auto"/>
                <w:highlight w:val="none"/>
              </w:rPr>
              <w:t>行业</w:t>
            </w:r>
            <w:r>
              <w:rPr>
                <w:rFonts w:hint="eastAsia" w:ascii="宋体" w:hAnsi="宋体" w:eastAsia="宋体" w:cs="宋体"/>
                <w:color w:val="auto"/>
                <w:highlight w:val="none"/>
                <w:lang w:eastAsia="zh-CN"/>
              </w:rPr>
              <w:t>。</w:t>
            </w:r>
          </w:p>
        </w:tc>
      </w:tr>
      <w:tr w14:paraId="200E63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648" w:type="dxa"/>
            <w:vAlign w:val="center"/>
          </w:tcPr>
          <w:p w14:paraId="43F5EC88">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20</w:t>
            </w:r>
          </w:p>
        </w:tc>
        <w:tc>
          <w:tcPr>
            <w:tcW w:w="1855" w:type="dxa"/>
            <w:vAlign w:val="center"/>
          </w:tcPr>
          <w:p w14:paraId="40BA84EF">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是否允许分包</w:t>
            </w:r>
          </w:p>
        </w:tc>
        <w:tc>
          <w:tcPr>
            <w:tcW w:w="6627" w:type="dxa"/>
            <w:vAlign w:val="center"/>
          </w:tcPr>
          <w:p w14:paraId="2F8508DA">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u w:val="single"/>
              </w:rPr>
              <w:t>不允许</w:t>
            </w:r>
            <w:r>
              <w:rPr>
                <w:rFonts w:hint="eastAsia" w:ascii="宋体" w:hAnsi="宋体" w:eastAsia="宋体" w:cs="宋体"/>
                <w:color w:val="auto"/>
                <w:highlight w:val="none"/>
              </w:rPr>
              <w:t>分包</w:t>
            </w:r>
          </w:p>
        </w:tc>
      </w:tr>
      <w:tr w14:paraId="353065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jc w:val="center"/>
        </w:trPr>
        <w:tc>
          <w:tcPr>
            <w:tcW w:w="648" w:type="dxa"/>
            <w:vAlign w:val="center"/>
          </w:tcPr>
          <w:p w14:paraId="398A411B">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21</w:t>
            </w:r>
          </w:p>
        </w:tc>
        <w:tc>
          <w:tcPr>
            <w:tcW w:w="1855" w:type="dxa"/>
            <w:tcBorders>
              <w:top w:val="single" w:color="auto" w:sz="4" w:space="0"/>
            </w:tcBorders>
            <w:vAlign w:val="center"/>
          </w:tcPr>
          <w:p w14:paraId="621BAE45">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是否提供演示</w:t>
            </w:r>
          </w:p>
        </w:tc>
        <w:tc>
          <w:tcPr>
            <w:tcW w:w="6627" w:type="dxa"/>
            <w:tcBorders>
              <w:top w:val="single" w:color="auto" w:sz="4" w:space="0"/>
            </w:tcBorders>
            <w:vAlign w:val="center"/>
          </w:tcPr>
          <w:p w14:paraId="189EC847">
            <w:pPr>
              <w:ind w:firstLine="40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u w:val="single"/>
              </w:rPr>
              <w:t>不需要</w:t>
            </w:r>
            <w:r>
              <w:rPr>
                <w:rFonts w:hint="eastAsia" w:ascii="宋体" w:hAnsi="宋体" w:eastAsia="宋体" w:cs="宋体"/>
                <w:color w:val="auto"/>
                <w:highlight w:val="none"/>
              </w:rPr>
              <w:t>提供演示</w:t>
            </w:r>
          </w:p>
        </w:tc>
      </w:tr>
      <w:tr w14:paraId="08A48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6DDB8F79">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22</w:t>
            </w:r>
          </w:p>
        </w:tc>
        <w:tc>
          <w:tcPr>
            <w:tcW w:w="1855" w:type="dxa"/>
            <w:vAlign w:val="center"/>
          </w:tcPr>
          <w:p w14:paraId="4CFFC29C">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供应商信用信息查询渠道及截止时点、信用信息查询记录和证据留存的具体方式、信用信息的使用规则</w:t>
            </w:r>
          </w:p>
        </w:tc>
        <w:tc>
          <w:tcPr>
            <w:tcW w:w="6627" w:type="dxa"/>
            <w:vAlign w:val="center"/>
          </w:tcPr>
          <w:p w14:paraId="576E74B8">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1、查询渠道：信用中国（网址：http://www.creditchina.gov.cn）、中国政府采购网(网址：http://www.ccgp.gov.cn）。</w:t>
            </w:r>
          </w:p>
          <w:p w14:paraId="4D5E8387">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2、截止时点：开标后评标前。</w:t>
            </w:r>
          </w:p>
          <w:p w14:paraId="7A0EF9B7">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3、信用信息查询记录和证据留存的具体方式：由采购组织机构在规定查询时间内打印信用信息查询记录并归入项目档案。</w:t>
            </w:r>
          </w:p>
          <w:p w14:paraId="56580B9A">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4、使用规则：对列入失信被执行人、</w:t>
            </w:r>
            <w:r>
              <w:rPr>
                <w:rFonts w:hint="eastAsia" w:ascii="宋体" w:hAnsi="宋体" w:eastAsia="宋体" w:cs="宋体"/>
                <w:color w:val="auto"/>
                <w:highlight w:val="none"/>
                <w:lang w:eastAsia="zh-CN"/>
              </w:rPr>
              <w:t>重大税收违法失信主体</w:t>
            </w:r>
            <w:r>
              <w:rPr>
                <w:rFonts w:hint="eastAsia" w:ascii="宋体" w:hAnsi="宋体" w:eastAsia="宋体" w:cs="宋体"/>
                <w:color w:val="auto"/>
                <w:highlight w:val="none"/>
              </w:rPr>
              <w:t>、政府采购严重违法失信行为记录名单及其他不符合《中华人民共和国政府采购法》第二十二条规定条件的供应商，将被拒绝其参与政府采购活动。</w:t>
            </w:r>
          </w:p>
        </w:tc>
      </w:tr>
      <w:tr w14:paraId="4DCC6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2966E695">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23</w:t>
            </w:r>
          </w:p>
        </w:tc>
        <w:tc>
          <w:tcPr>
            <w:tcW w:w="1855" w:type="dxa"/>
            <w:vAlign w:val="center"/>
          </w:tcPr>
          <w:p w14:paraId="2FB5B584">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金融支持</w:t>
            </w:r>
          </w:p>
        </w:tc>
        <w:tc>
          <w:tcPr>
            <w:tcW w:w="6627" w:type="dxa"/>
            <w:vAlign w:val="center"/>
          </w:tcPr>
          <w:p w14:paraId="04F2BFF1">
            <w:pPr>
              <w:ind w:firstLine="40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本次项目采购所涉及的商品包装和快递包装要求均应符合《关于印发《商品包装政府采购需求标准（试行）》、 《快递包装政府采购需求标准（试行）》的通知》（财办库〔2020〕123号）文件要求，必要时由采购人在履约验收环节根据实际情况要求供应商出具检测报告。</w:t>
            </w:r>
          </w:p>
        </w:tc>
      </w:tr>
      <w:tr w14:paraId="379E94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648" w:type="dxa"/>
            <w:vMerge w:val="restart"/>
            <w:vAlign w:val="center"/>
          </w:tcPr>
          <w:p w14:paraId="280FDAAF">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24</w:t>
            </w:r>
          </w:p>
        </w:tc>
        <w:tc>
          <w:tcPr>
            <w:tcW w:w="1855" w:type="dxa"/>
            <w:vMerge w:val="restart"/>
            <w:vAlign w:val="center"/>
          </w:tcPr>
          <w:p w14:paraId="344610FD">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预付款</w:t>
            </w:r>
          </w:p>
        </w:tc>
        <w:tc>
          <w:tcPr>
            <w:tcW w:w="6627" w:type="dxa"/>
            <w:vAlign w:val="center"/>
          </w:tcPr>
          <w:p w14:paraId="4A555585">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本项目涉及预付款，预付款比例为</w:t>
            </w:r>
            <w:r>
              <w:rPr>
                <w:rFonts w:hint="eastAsia" w:ascii="宋体" w:hAnsi="宋体" w:eastAsia="宋体" w:cs="宋体"/>
                <w:color w:val="auto"/>
                <w:highlight w:val="none"/>
                <w:u w:val="single"/>
                <w:lang w:val="en-US" w:eastAsia="zh-CN"/>
              </w:rPr>
              <w:t xml:space="preserve"> 2</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w:t>
            </w:r>
          </w:p>
        </w:tc>
      </w:tr>
      <w:tr w14:paraId="0B074D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Merge w:val="continue"/>
            <w:vAlign w:val="center"/>
          </w:tcPr>
          <w:p w14:paraId="5C07DCE3">
            <w:pPr>
              <w:snapToGrid w:val="0"/>
              <w:jc w:val="center"/>
              <w:rPr>
                <w:rFonts w:hint="eastAsia" w:ascii="宋体" w:hAnsi="宋体" w:eastAsia="宋体" w:cs="宋体"/>
                <w:snapToGrid w:val="0"/>
                <w:color w:val="auto"/>
                <w:highlight w:val="none"/>
              </w:rPr>
            </w:pPr>
          </w:p>
        </w:tc>
        <w:tc>
          <w:tcPr>
            <w:tcW w:w="1855" w:type="dxa"/>
            <w:vMerge w:val="continue"/>
            <w:vAlign w:val="center"/>
          </w:tcPr>
          <w:p w14:paraId="1D22C570">
            <w:pPr>
              <w:snapToGrid w:val="0"/>
              <w:jc w:val="center"/>
              <w:rPr>
                <w:rFonts w:hint="eastAsia" w:ascii="宋体" w:hAnsi="宋体" w:eastAsia="宋体" w:cs="宋体"/>
                <w:color w:val="auto"/>
                <w:highlight w:val="none"/>
              </w:rPr>
            </w:pPr>
          </w:p>
        </w:tc>
        <w:tc>
          <w:tcPr>
            <w:tcW w:w="6627" w:type="dxa"/>
            <w:vAlign w:val="center"/>
          </w:tcPr>
          <w:p w14:paraId="30EA345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根据《浙江省财政厅关于进一步发挥政府采购政策功能全力推动经济稳进提质的通知》[浙财采监〔2022）3号]文件第二条第五点关于“进一步提高政府采购预付款比例”的规定：</w:t>
            </w:r>
          </w:p>
          <w:p w14:paraId="738350BC">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1、采购单位应当在政府采购合同中约定预付款；</w:t>
            </w:r>
          </w:p>
          <w:p w14:paraId="18BB4569">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2、项目涉及中小企业合同预付款的，合同签订后，采购人可以根据项目特点、供应商诚信等因素要求中标人提交银行、保险公司等金融机构出具的预付款保函或其他担保措施，采购人在合同生效以及具备实施条件后7个工作日内向中标人支付40%-70%的合同款作为预付款（项目为分年安排预算的，预付款按年度计划支付资金额的上述比例执行）；项目如以人工投入为主，采购人在合同生效以及具备实施条件后7个工作日内向中标人支付20%-70%的合同款作为预付款。</w:t>
            </w:r>
          </w:p>
          <w:p w14:paraId="5AA19D81">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3、本项目涉及投标人为大型企业，或者以人工投入为主且实行按月定期结算支付款项的，预付款可低于上述比例或者不约定预付款（相应字样应在合同中体现）。</w:t>
            </w:r>
          </w:p>
          <w:p w14:paraId="60337804">
            <w:pPr>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4、在签订合同时，中标人明确表示无需预付款或者主动要求降低预付款比例的，应提交相应申请函经采购人确认后，可不适用前述规定。</w:t>
            </w:r>
          </w:p>
        </w:tc>
      </w:tr>
      <w:tr w14:paraId="77EDB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48" w:type="dxa"/>
            <w:vAlign w:val="center"/>
          </w:tcPr>
          <w:p w14:paraId="5BFEE1B9">
            <w:pPr>
              <w:snapToGrid w:val="0"/>
              <w:jc w:val="center"/>
              <w:rPr>
                <w:rFonts w:hint="eastAsia" w:ascii="宋体" w:hAnsi="宋体" w:eastAsia="宋体" w:cs="宋体"/>
                <w:snapToGrid w:val="0"/>
                <w:color w:val="auto"/>
                <w:highlight w:val="none"/>
                <w:lang w:val="en-US" w:eastAsia="zh-CN"/>
              </w:rPr>
            </w:pPr>
            <w:r>
              <w:rPr>
                <w:rFonts w:hint="eastAsia" w:ascii="宋体" w:hAnsi="宋体" w:eastAsia="宋体" w:cs="宋体"/>
                <w:snapToGrid w:val="0"/>
                <w:color w:val="auto"/>
                <w:highlight w:val="none"/>
                <w:lang w:val="en-US" w:eastAsia="zh-CN"/>
              </w:rPr>
              <w:t>25</w:t>
            </w:r>
          </w:p>
        </w:tc>
        <w:tc>
          <w:tcPr>
            <w:tcW w:w="1855" w:type="dxa"/>
            <w:vAlign w:val="center"/>
          </w:tcPr>
          <w:p w14:paraId="0E07CF93">
            <w:pPr>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627" w:type="dxa"/>
            <w:vAlign w:val="center"/>
          </w:tcPr>
          <w:p w14:paraId="12B5C763">
            <w:pPr>
              <w:ind w:firstLine="40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本磋商文件要求提供的身份证复印件皆需提供正反面，否则按不提供处理。</w:t>
            </w:r>
          </w:p>
          <w:p w14:paraId="59E5B6D9">
            <w:pPr>
              <w:ind w:firstLine="402"/>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2.本项目实施如涉及柴油动力移动源，柴油动力移动源应当符合低排放要求。</w:t>
            </w:r>
          </w:p>
        </w:tc>
      </w:tr>
      <w:tr w14:paraId="33F9E5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9130" w:type="dxa"/>
            <w:gridSpan w:val="3"/>
            <w:vAlign w:val="center"/>
          </w:tcPr>
          <w:p w14:paraId="61EC4536">
            <w:pPr>
              <w:ind w:firstLine="402"/>
              <w:rPr>
                <w:rFonts w:hint="eastAsia" w:ascii="宋体" w:hAnsi="宋体" w:eastAsia="宋体" w:cs="宋体"/>
                <w:b/>
                <w:bCs/>
                <w:color w:val="auto"/>
                <w:highlight w:val="none"/>
                <w:lang w:val="en-US" w:eastAsia="zh-CN"/>
              </w:rPr>
            </w:pPr>
            <w:r>
              <w:rPr>
                <w:rFonts w:hint="eastAsia" w:ascii="宋体" w:hAnsi="宋体" w:eastAsia="宋体" w:cs="宋体"/>
                <w:color w:val="auto"/>
                <w:sz w:val="24"/>
                <w:highlight w:val="none"/>
              </w:rPr>
              <w:t>解释：凡涉及本</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文件的解释权属于采购人。</w:t>
            </w:r>
          </w:p>
        </w:tc>
      </w:tr>
      <w:tr w14:paraId="6FC34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30" w:type="dxa"/>
            <w:gridSpan w:val="3"/>
            <w:tcBorders>
              <w:bottom w:val="double" w:color="auto" w:sz="4" w:space="0"/>
            </w:tcBorders>
            <w:vAlign w:val="center"/>
          </w:tcPr>
          <w:p w14:paraId="5EB45FA8">
            <w:pPr>
              <w:ind w:firstLine="402"/>
              <w:rPr>
                <w:rFonts w:hint="eastAsia" w:ascii="宋体" w:hAnsi="宋体" w:eastAsia="宋体" w:cs="宋体"/>
                <w:b/>
                <w:bCs/>
                <w:color w:val="auto"/>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成交供应商</w:t>
            </w:r>
            <w:r>
              <w:rPr>
                <w:rFonts w:hint="eastAsia" w:ascii="宋体" w:hAnsi="宋体" w:eastAsia="宋体" w:cs="宋体"/>
                <w:color w:val="auto"/>
                <w:sz w:val="24"/>
                <w:highlight w:val="none"/>
              </w:rPr>
              <w:t>放弃</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资格或因质疑、投诉被取消中标资格或不能履行合同的，本项目重新组织采购。</w:t>
            </w:r>
          </w:p>
        </w:tc>
      </w:tr>
    </w:tbl>
    <w:p w14:paraId="7CDD4F4C">
      <w:pPr>
        <w:pStyle w:val="7"/>
        <w:spacing w:line="360" w:lineRule="auto"/>
        <w:rPr>
          <w:rFonts w:hint="eastAsia" w:ascii="宋体" w:hAnsi="宋体" w:eastAsia="宋体" w:cs="宋体"/>
          <w:color w:val="auto"/>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rPr>
        <w:t>注：以上内容如有变化将另行通知。如通知其中某一内容发生变化，其余未提及的将不作变动。</w:t>
      </w:r>
    </w:p>
    <w:p w14:paraId="471B5F06">
      <w:pPr>
        <w:pStyle w:val="3"/>
        <w:numPr>
          <w:ilvl w:val="0"/>
          <w:numId w:val="0"/>
        </w:numPr>
        <w:jc w:val="center"/>
        <w:rPr>
          <w:rFonts w:hint="eastAsia" w:ascii="宋体" w:hAnsi="宋体" w:eastAsia="宋体" w:cs="宋体"/>
          <w:color w:val="auto"/>
          <w:highlight w:val="none"/>
        </w:rPr>
      </w:pPr>
      <w:bookmarkStart w:id="28" w:name="_Toc20690"/>
      <w:r>
        <w:rPr>
          <w:rFonts w:hint="eastAsia" w:ascii="宋体" w:hAnsi="宋体" w:eastAsia="宋体" w:cs="宋体"/>
          <w:b/>
          <w:bCs/>
          <w:color w:val="auto"/>
          <w:sz w:val="24"/>
          <w:szCs w:val="28"/>
          <w:highlight w:val="none"/>
          <w:lang w:val="en-US" w:eastAsia="zh-CN" w:bidi="ar-SA"/>
        </w:rPr>
        <w:t>一、</w:t>
      </w:r>
      <w:r>
        <w:rPr>
          <w:rFonts w:hint="eastAsia" w:ascii="宋体" w:hAnsi="宋体" w:eastAsia="宋体" w:cs="宋体"/>
          <w:color w:val="auto"/>
          <w:highlight w:val="none"/>
        </w:rPr>
        <w:t xml:space="preserve"> </w:t>
      </w:r>
      <w:bookmarkStart w:id="29" w:name="_Toc25187"/>
      <w:bookmarkStart w:id="30" w:name="_Toc24554"/>
      <w:r>
        <w:rPr>
          <w:rFonts w:hint="eastAsia" w:ascii="宋体" w:hAnsi="宋体" w:eastAsia="宋体" w:cs="宋体"/>
          <w:color w:val="auto"/>
          <w:highlight w:val="none"/>
        </w:rPr>
        <w:t>总则</w:t>
      </w:r>
      <w:bookmarkEnd w:id="28"/>
      <w:bookmarkEnd w:id="29"/>
      <w:bookmarkEnd w:id="30"/>
    </w:p>
    <w:p w14:paraId="622B5DC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本次招标工作是按照《中华人民共和国政府采购法》、《中华人民共和国政府采购法实施条例》《政府采购竞争性磋商采购方式管理暂行办法》等相关法律、组织和实施，并由政府采购管理部门指导和监督。</w:t>
      </w:r>
    </w:p>
    <w:p w14:paraId="218C4312">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适用范围</w:t>
      </w:r>
    </w:p>
    <w:p w14:paraId="6518D876">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1.1本次磋商工作仅适用于</w:t>
      </w:r>
      <w:r>
        <w:rPr>
          <w:rFonts w:hint="eastAsia" w:ascii="宋体" w:hAnsi="宋体" w:cs="宋体"/>
          <w:color w:val="auto"/>
          <w:sz w:val="24"/>
          <w:szCs w:val="24"/>
          <w:highlight w:val="none"/>
          <w:u w:val="single"/>
          <w:lang w:val="en-US" w:eastAsia="zh-CN"/>
        </w:rPr>
        <w:t>绍兴市上虞区曹娥街道社区卫生服务中心物业管理服务项目</w:t>
      </w:r>
      <w:r>
        <w:rPr>
          <w:rFonts w:hint="eastAsia" w:ascii="宋体" w:hAnsi="宋体" w:eastAsia="宋体" w:cs="宋体"/>
          <w:color w:val="auto"/>
          <w:sz w:val="24"/>
          <w:szCs w:val="24"/>
          <w:highlight w:val="none"/>
        </w:rPr>
        <w:t>。</w:t>
      </w:r>
    </w:p>
    <w:p w14:paraId="206B4489">
      <w:pPr>
        <w:pStyle w:val="11"/>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1.2本项目采购方式采用竞争性磋商方式。</w:t>
      </w:r>
    </w:p>
    <w:p w14:paraId="5289EB58">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定义</w:t>
      </w:r>
    </w:p>
    <w:p w14:paraId="3D67546F">
      <w:pPr>
        <w:spacing w:line="336"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zh-CN"/>
        </w:rPr>
        <w:t>采购人”系指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32"/>
          <w:highlight w:val="none"/>
          <w:u w:val="single"/>
          <w:lang w:eastAsia="zh-CN"/>
        </w:rPr>
        <w:t>绍兴市上虞区曹娥街道社区卫生服务中心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绍兴市上虞区公共资源交易中心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为本项目采购代理机构。</w:t>
      </w:r>
    </w:p>
    <w:p w14:paraId="2A3705F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2.2“磋商供应商”系指响应本次采购，参加本次竞争性磋商的供应商。</w:t>
      </w:r>
    </w:p>
    <w:p w14:paraId="14F0CCC5">
      <w:pPr>
        <w:spacing w:line="336"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lang w:val="zh-CN"/>
        </w:rPr>
        <w:t>“服务”系指</w:t>
      </w:r>
      <w:r>
        <w:rPr>
          <w:rFonts w:hint="eastAsia" w:ascii="宋体" w:hAnsi="宋体" w:eastAsia="宋体" w:cs="宋体"/>
          <w:color w:val="auto"/>
          <w:sz w:val="24"/>
          <w:szCs w:val="24"/>
          <w:highlight w:val="none"/>
        </w:rPr>
        <w:t>磋商供应商按合同规定，须承担的服务的义务</w:t>
      </w:r>
      <w:r>
        <w:rPr>
          <w:rFonts w:hint="eastAsia" w:ascii="宋体" w:hAnsi="宋体" w:eastAsia="宋体" w:cs="宋体"/>
          <w:color w:val="auto"/>
          <w:sz w:val="24"/>
          <w:szCs w:val="24"/>
          <w:highlight w:val="none"/>
          <w:lang w:val="zh-CN"/>
        </w:rPr>
        <w:t>。</w:t>
      </w:r>
    </w:p>
    <w:p w14:paraId="1C8894D4">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电子签名”系指数据电文中以电子形式所含、所附用于识别签名人身份并表明签名人认可其中内容的数据；“公章”系指单位法定名称章。</w:t>
      </w:r>
    </w:p>
    <w:p w14:paraId="6FD2CDE1">
      <w:pPr>
        <w:spacing w:line="336" w:lineRule="auto"/>
        <w:ind w:firstLine="480" w:firstLineChars="200"/>
        <w:rPr>
          <w:rFonts w:hint="eastAsia" w:ascii="宋体" w:hAnsi="宋体" w:eastAsia="宋体" w:cs="宋体"/>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“电子交易平台”系指本项目政府采购活动所依托的政府采购云平台（https://www.zcygov.cn/）。</w:t>
      </w:r>
    </w:p>
    <w:p w14:paraId="593A5B52">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采购项目概况</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ab/>
      </w:r>
    </w:p>
    <w:p w14:paraId="778B706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详见竞争性磋商公告相关内容，主要要求参见本文件第</w:t>
      </w:r>
      <w:r>
        <w:rPr>
          <w:rFonts w:hint="eastAsia" w:ascii="宋体" w:hAnsi="宋体" w:eastAsia="宋体" w:cs="宋体"/>
          <w:color w:val="auto"/>
          <w:sz w:val="24"/>
          <w:szCs w:val="24"/>
          <w:highlight w:val="none"/>
          <w:u w:val="single"/>
        </w:rPr>
        <w:t xml:space="preserve"> 三 </w:t>
      </w:r>
      <w:r>
        <w:rPr>
          <w:rFonts w:hint="eastAsia" w:ascii="宋体" w:hAnsi="宋体" w:eastAsia="宋体" w:cs="宋体"/>
          <w:color w:val="auto"/>
          <w:sz w:val="24"/>
          <w:szCs w:val="24"/>
          <w:highlight w:val="none"/>
        </w:rPr>
        <w:t>部分。</w:t>
      </w:r>
    </w:p>
    <w:p w14:paraId="2880A712">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合格的磋商供应商</w:t>
      </w:r>
    </w:p>
    <w:p w14:paraId="060B1489">
      <w:pPr>
        <w:spacing w:line="336" w:lineRule="auto"/>
        <w:ind w:firstLine="480" w:firstLineChars="200"/>
        <w:rPr>
          <w:rFonts w:hint="eastAsia" w:ascii="宋体" w:hAnsi="宋体" w:eastAsia="宋体" w:cs="宋体"/>
          <w:color w:val="auto"/>
          <w:sz w:val="24"/>
          <w:szCs w:val="24"/>
          <w:highlight w:val="none"/>
        </w:rPr>
      </w:pPr>
      <w:bookmarkStart w:id="31" w:name="_Toc197163261"/>
      <w:bookmarkStart w:id="32" w:name="_Toc204683265"/>
      <w:bookmarkStart w:id="33" w:name="_Toc197053926"/>
      <w:bookmarkStart w:id="34" w:name="_Toc193523219"/>
      <w:bookmarkStart w:id="35" w:name="_Toc193538208"/>
      <w:bookmarkStart w:id="36" w:name="_Toc211412066"/>
      <w:bookmarkStart w:id="37" w:name="_Toc209504018"/>
      <w:bookmarkStart w:id="38" w:name="_Toc209435242"/>
      <w:bookmarkStart w:id="39" w:name="_Toc208913145"/>
      <w:bookmarkStart w:id="40" w:name="_Toc197657950"/>
      <w:bookmarkStart w:id="41" w:name="_Toc197156227"/>
      <w:bookmarkStart w:id="42" w:name="_Toc209520993"/>
      <w:bookmarkStart w:id="43" w:name="_Toc207946571"/>
      <w:bookmarkStart w:id="44" w:name="_Toc208287611"/>
      <w:r>
        <w:rPr>
          <w:rFonts w:hint="eastAsia" w:ascii="宋体" w:hAnsi="宋体" w:eastAsia="宋体" w:cs="宋体"/>
          <w:color w:val="auto"/>
          <w:sz w:val="24"/>
          <w:szCs w:val="24"/>
          <w:highlight w:val="none"/>
        </w:rPr>
        <w:t>详见竞争性磋商采购公告磋商供应商的资格要求规定。</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D6BC4CE">
      <w:pPr>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采购项目需要落实的政府采购政策</w:t>
      </w:r>
    </w:p>
    <w:p w14:paraId="567B53D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并严格执行《关于在政府采购中实施本国产品标准及相关政策的通知》（国办发〔2025〕34 号）要求。</w:t>
      </w:r>
    </w:p>
    <w:p w14:paraId="26815D0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支持绿色发展</w:t>
      </w:r>
    </w:p>
    <w:p w14:paraId="568153F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6FF190D4">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5.2.2采购人拟采购的产品属于政府强制采购的节能产品品目清单范围的，投标人未按招标文件要求提供国家确定的认证机构出具的、处于有效期之内的节能产品认证证书，投标无效。</w:t>
      </w:r>
    </w:p>
    <w:p w14:paraId="27D30B56">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纳入政府采购管理的修缮、装修类项目采购建材的，采购单位应将绿色建材性能、指标等作为实质性条件纳入采购文件和合同，具体性能指标要求按照相关绿色建材政府采购需求标准执行。</w:t>
      </w:r>
    </w:p>
    <w:p w14:paraId="4D2355E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5.2.4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372601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5.2.5根据《绍兴市柴油动力移动源排气污染防治办法》第九条、第十三条的规定，使用的柴油动力移动源（柴油货车、非道路移动机械）必须符合低排放要求并已向生态环境部门申领绿色编码，在进入作业现场前须如实向采购人登记报备绿色编码，未申领绿色编码的柴油动力移动源不得进入作业现场施工。</w:t>
      </w:r>
    </w:p>
    <w:p w14:paraId="2E8C98A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5.3小微企业价格扣除（按财库〔2022〕19号文件规定执行）</w:t>
      </w:r>
    </w:p>
    <w:p w14:paraId="32C4EF9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5.3.1小微企业是指在中华人民共和国境内依法设立，依据国务院批准的中小企业划分标准确定的小型企业和微型企业，但与大企业的负责人为同一人，或者与大企业存在直接控股、管理关系的除外。</w:t>
      </w:r>
    </w:p>
    <w:p w14:paraId="4776C11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符合中小企业划分标准的个体工商户，在政府采购活动中视同中小企业。</w:t>
      </w:r>
    </w:p>
    <w:p w14:paraId="5AD210B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5.3.2在货物采购项目中，货物由小微企业制造，即货物由小微企业生产且使用该小微企业商号或者注册商标。供应商提供的货物既有中小企业制造货物，也有大型企业制造货物的，不享受中小企业扶持政策。</w:t>
      </w:r>
    </w:p>
    <w:p w14:paraId="2E4DFB2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5.3.3在服务采购项目中，服务由小微企业承接，即提供服务的人员为小微企业依照《中华人民共和国劳动合同法》订立劳动合同的从业人员。</w:t>
      </w:r>
    </w:p>
    <w:p w14:paraId="3252519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5.3.4小微企业应按照招标文件格式要求提供《中小企业声明函》。</w:t>
      </w:r>
    </w:p>
    <w:p w14:paraId="011F0B8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5.3.5对于经主管预算单位统筹后未预留份额专门面向中小企业采购的采购项目，以及预留份额项目中的非预留部分采购包，采购人、采购代理机构将对符合规定的小微企业报价给予10%的扣除，用扣除后的价格参加评审。</w:t>
      </w:r>
    </w:p>
    <w:p w14:paraId="4797A62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5.3.6接受大中型企业与小微企业组成联合体或者允许大中型企业向一家或者多家小微企业分包的采购项目，对于联合协议或者分包意向协议约定小微企业的合同份额占到合同总金额30%以上的，采购人、采购代理机构将对联合体或者大中型企业的报价给予4%的扣除，用扣除后的价格参加评审。组成联合体或者接受分包的小微企业与联合体内其他企业、分包企业之间存在直接控股、管理关系的，不享受价格扣除优惠政策。</w:t>
      </w:r>
    </w:p>
    <w:p w14:paraId="3802CE9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1A657B8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5.3.7符合《关于促进残疾人就业政府采购政策的通知》（财库〔2017〕141号）规定的条件并提供《残疾人福利性单位声明函》的残疾人福利性单位视同小微企业；</w:t>
      </w:r>
    </w:p>
    <w:p w14:paraId="755AACEC">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符合《关于政府采购支持监狱企业发展有关问题的通知》（财库[2014]68号）规定的监狱企业并提供由省级以上监狱管理局、戒毒管理局（含新疆生产建设兵团）出具的属于监狱企业证明文件的，视同为小微企业。</w:t>
      </w:r>
    </w:p>
    <w:p w14:paraId="589B579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5.4支持科技创新发展</w:t>
      </w:r>
    </w:p>
    <w:p w14:paraId="00D9C95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对省级以上主管部门认定的首台套产品，自纳入《省推广应用指导目录》起三年内参加政府采购活动，视同已具备相应销售业绩，业绩分为满分。</w:t>
      </w:r>
    </w:p>
    <w:p w14:paraId="74A82DE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5.5平等对待内外资企业和符合条件的破产重整企业</w:t>
      </w:r>
    </w:p>
    <w:p w14:paraId="79619A5E">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平等对待内外资企业和符合条件的破产重整企业，切实保障企业公平竞争，平等维护企业的合法利益。</w:t>
      </w:r>
    </w:p>
    <w:p w14:paraId="0609702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5.6本国产品的支持政策</w:t>
      </w:r>
    </w:p>
    <w:p w14:paraId="69423580">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2B224A9">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5.6.2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w:t>
      </w:r>
    </w:p>
    <w:p w14:paraId="2F6055D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3E7381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5.6.3产品在中国境内生产的组件成本核算规则。产品在中国境内生产的组件成本，按照《中国境内生产的组件成本核算基本规则》计算。</w:t>
      </w:r>
    </w:p>
    <w:p w14:paraId="2A900512">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5.6.4供应商对其提供的产品出具《关于符合本国产品标准的声明函》或财政部会同有关部门规定的有关证明文件，《声明函》或有关证明文件符合要求的，该产品视为本国产品。</w:t>
      </w:r>
    </w:p>
    <w:p w14:paraId="73FFDDE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供应商还应出具成本占比达到80%以上承诺函。</w:t>
      </w:r>
    </w:p>
    <w:p w14:paraId="25FBC26D">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5.6.5供应商提供虚假《声明函》、虚假证明文件谋取中标、成交的，依照《中华人民共和国政府采购法》等法律法规规定追究相应责任。</w:t>
      </w:r>
    </w:p>
    <w:p w14:paraId="15A0CBB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5.6.6采购人、采购代理机构按规定随中标、成交结果同时公告中标、成交供应商提供的《声明函》或有关证明文件、承诺函。</w:t>
      </w:r>
    </w:p>
    <w:p w14:paraId="1D8CD4F5">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5.7本国产品价格扣除与小微企业价格扣除叠加。具体计算公式为：参加评审价格=产品报价-产品报价*（小微企业价格扣除率+本国产品价格扣除率）。</w:t>
      </w:r>
    </w:p>
    <w:p w14:paraId="0D6BEB4D">
      <w:pPr>
        <w:pStyle w:val="3"/>
        <w:rPr>
          <w:rFonts w:hint="eastAsia" w:ascii="宋体" w:hAnsi="宋体" w:eastAsia="宋体" w:cs="宋体"/>
          <w:color w:val="auto"/>
          <w:highlight w:val="none"/>
        </w:rPr>
      </w:pPr>
    </w:p>
    <w:p w14:paraId="7A83F3D4">
      <w:pPr>
        <w:pStyle w:val="3"/>
        <w:numPr>
          <w:ilvl w:val="0"/>
          <w:numId w:val="0"/>
        </w:numPr>
        <w:jc w:val="center"/>
        <w:rPr>
          <w:rFonts w:hint="eastAsia" w:ascii="宋体" w:hAnsi="宋体" w:eastAsia="宋体" w:cs="宋体"/>
          <w:color w:val="auto"/>
          <w:highlight w:val="none"/>
        </w:rPr>
      </w:pPr>
      <w:bookmarkStart w:id="45" w:name="_Toc25923"/>
      <w:bookmarkStart w:id="46" w:name="_Toc28205"/>
      <w:bookmarkStart w:id="47" w:name="_Toc416992151"/>
      <w:bookmarkStart w:id="48" w:name="_Toc32689"/>
      <w:r>
        <w:rPr>
          <w:rFonts w:hint="eastAsia" w:ascii="宋体" w:hAnsi="宋体" w:eastAsia="宋体" w:cs="宋体"/>
          <w:b/>
          <w:bCs/>
          <w:color w:val="auto"/>
          <w:sz w:val="24"/>
          <w:szCs w:val="28"/>
          <w:highlight w:val="none"/>
          <w:lang w:val="en-US" w:eastAsia="zh-CN" w:bidi="ar-SA"/>
        </w:rPr>
        <w:t>二、</w:t>
      </w:r>
      <w:r>
        <w:rPr>
          <w:rFonts w:hint="eastAsia" w:ascii="宋体" w:hAnsi="宋体" w:eastAsia="宋体" w:cs="宋体"/>
          <w:color w:val="auto"/>
          <w:highlight w:val="none"/>
        </w:rPr>
        <w:t xml:space="preserve"> </w:t>
      </w:r>
      <w:bookmarkStart w:id="49" w:name="_Toc187"/>
      <w:bookmarkStart w:id="50" w:name="_Toc11814"/>
      <w:r>
        <w:rPr>
          <w:rFonts w:hint="eastAsia" w:ascii="宋体" w:hAnsi="宋体" w:eastAsia="宋体" w:cs="宋体"/>
          <w:color w:val="auto"/>
          <w:highlight w:val="none"/>
        </w:rPr>
        <w:t>竞争性磋商文件</w:t>
      </w:r>
      <w:bookmarkEnd w:id="45"/>
      <w:bookmarkEnd w:id="46"/>
      <w:bookmarkEnd w:id="47"/>
      <w:bookmarkEnd w:id="48"/>
      <w:bookmarkEnd w:id="49"/>
      <w:bookmarkEnd w:id="50"/>
    </w:p>
    <w:p w14:paraId="5BB5D8C2">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磋商文件的组成</w:t>
      </w:r>
    </w:p>
    <w:p w14:paraId="66552CE2">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6.1本磋商文件包括目录所示内容及所有按本须知发出的补充资料（如果有）。</w:t>
      </w:r>
    </w:p>
    <w:p w14:paraId="3DF6397E">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6.2除上述所列内容外，采购人及采购代理机构的任何工作人员对磋商供应商所作的任何口头解释、介绍、答复，只能供磋商供应商参考，对采购人和磋商供应商无任何约束力。</w:t>
      </w:r>
    </w:p>
    <w:p w14:paraId="41D578DC">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6.3磋商供应商应仔细阅读磋商文件的所有内容，按照文件要求提交响应文件，并保证所提交的全部资料的真实性。不按磋商文件的要求提供的响应文件和资料，可能导致磋商被拒绝。</w:t>
      </w:r>
    </w:p>
    <w:p w14:paraId="47B8917A">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是磋商过程进行的有效依据，也是成交后签订合同的依据，对双方均具有约束力，凡不遵守磋商文件规定或对磋商文件的实质性内容不响应的报价，将可能被拒绝或以无效标处理。本磋商文件由采购人或采购代理机构进行解释。</w:t>
      </w:r>
    </w:p>
    <w:p w14:paraId="02968E21">
      <w:pPr>
        <w:adjustRightInd w:val="0"/>
        <w:spacing w:line="336"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磋商文件的澄清与修改</w:t>
      </w:r>
    </w:p>
    <w:p w14:paraId="51C6B014">
      <w:pPr>
        <w:pStyle w:val="12"/>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磋商供应商在收到竞争性磋商文件后，若有问题需要澄清或认为有必要与采购人进行技术交流，应于前附表规定时间前，将问题按前附表要求发至指定邮箱里。（电子邮件只作方便工作之用，与书面文件有不一致的，以书面文件为准）。截止期后的疑问将不予受理、答复。</w:t>
      </w:r>
    </w:p>
    <w:p w14:paraId="650D2D35">
      <w:pPr>
        <w:pStyle w:val="12"/>
        <w:spacing w:line="336" w:lineRule="auto"/>
        <w:ind w:right="-240" w:rightChars="-12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7.2磋商供应商要求解释或澄清的问题应以书面形式，并加盖公章、写明日期。</w:t>
      </w:r>
    </w:p>
    <w:p w14:paraId="74932907">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7.3提交响应文件截止之日前，采购人、采购代理机构或者磋商小组可以对已发出的磋商文件进行必要的澄清或者修改，澄清或者修改的内容作为磋商文件的组成部分。</w:t>
      </w:r>
    </w:p>
    <w:p w14:paraId="6EED7B4A">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7.4竞争性磋商文件的澄清修改文件及更正补充公告，请自行登录浙江政府采购网或绍兴市上虞区公共资源交易中心网站，在采购公告页面中下载。</w:t>
      </w:r>
    </w:p>
    <w:p w14:paraId="769BB328">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澄清或者修改的内容可能影响响应文件编制的，采购人、采购代理机构将在提交响应文件截止时间至少5日前，以公告形式通知所有获取磋商文件的供应商；不足5日的，采购人、采购代理机构可能会顺延提交首次响应文件截止时间。澄清或者修改的内容未对原磋商文件作出重大修改或不会影响响应文件编制的，递交首次响应文件截止时间不变。</w:t>
      </w:r>
    </w:p>
    <w:p w14:paraId="67BE858D">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7.6竞争性磋商文件澄清、答复、修改、补充的内容为竞争性磋商文件的组成部分。</w:t>
      </w:r>
    </w:p>
    <w:p w14:paraId="0A89BA3B">
      <w:pPr>
        <w:pStyle w:val="7"/>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7.7磋商文件发售截止日后，经采购人同意后购买磋商文件的磋商供应商不得对磋商文件和补充文件提出答疑或质疑。</w:t>
      </w:r>
    </w:p>
    <w:p w14:paraId="73857B40">
      <w:pPr>
        <w:pStyle w:val="12"/>
        <w:rPr>
          <w:rFonts w:hint="eastAsia" w:ascii="宋体" w:hAnsi="宋体" w:eastAsia="宋体" w:cs="宋体"/>
          <w:color w:val="auto"/>
          <w:highlight w:val="none"/>
        </w:rPr>
      </w:pPr>
    </w:p>
    <w:p w14:paraId="33A6F752">
      <w:pPr>
        <w:pStyle w:val="3"/>
        <w:numPr>
          <w:ilvl w:val="0"/>
          <w:numId w:val="0"/>
        </w:numPr>
        <w:jc w:val="center"/>
        <w:rPr>
          <w:rFonts w:hint="eastAsia" w:ascii="宋体" w:hAnsi="宋体" w:eastAsia="宋体" w:cs="宋体"/>
          <w:color w:val="auto"/>
          <w:highlight w:val="none"/>
        </w:rPr>
      </w:pPr>
      <w:bookmarkStart w:id="51" w:name="_Toc26603"/>
      <w:bookmarkStart w:id="52" w:name="_Toc26992"/>
      <w:bookmarkStart w:id="53" w:name="_Toc24622"/>
      <w:bookmarkStart w:id="54" w:name="_Toc31748"/>
      <w:bookmarkStart w:id="55" w:name="_Toc6273"/>
      <w:bookmarkStart w:id="56" w:name="_Toc23135"/>
      <w:bookmarkStart w:id="57" w:name="_Toc23975"/>
      <w:bookmarkStart w:id="58" w:name="_Toc6457"/>
      <w:bookmarkStart w:id="59" w:name="_Toc14650"/>
      <w:bookmarkStart w:id="60" w:name="_Toc1202"/>
      <w:bookmarkStart w:id="61" w:name="_Toc1729"/>
      <w:bookmarkStart w:id="62" w:name="_Toc7126"/>
      <w:bookmarkStart w:id="63" w:name="_Toc11692"/>
      <w:bookmarkStart w:id="64" w:name="_Toc10810"/>
      <w:bookmarkStart w:id="65" w:name="_Toc10669"/>
      <w:bookmarkStart w:id="66" w:name="_Toc1828"/>
      <w:bookmarkStart w:id="67" w:name="_Toc6079"/>
      <w:bookmarkStart w:id="68" w:name="_Toc26027"/>
      <w:bookmarkStart w:id="69" w:name="_Toc11093"/>
      <w:bookmarkStart w:id="70" w:name="_Toc391298957"/>
      <w:bookmarkStart w:id="71" w:name="_Toc11669"/>
      <w:bookmarkStart w:id="72" w:name="_Toc8860"/>
      <w:bookmarkStart w:id="73" w:name="_Toc18702"/>
      <w:r>
        <w:rPr>
          <w:rFonts w:hint="eastAsia" w:ascii="宋体" w:hAnsi="宋体" w:eastAsia="宋体" w:cs="宋体"/>
          <w:b/>
          <w:bCs/>
          <w:color w:val="auto"/>
          <w:sz w:val="24"/>
          <w:szCs w:val="28"/>
          <w:highlight w:val="none"/>
          <w:lang w:val="en-US" w:eastAsia="zh-CN" w:bidi="ar-SA"/>
        </w:rPr>
        <w:t>三、</w:t>
      </w:r>
      <w:r>
        <w:rPr>
          <w:rFonts w:hint="eastAsia" w:ascii="宋体" w:hAnsi="宋体" w:eastAsia="宋体" w:cs="宋体"/>
          <w:color w:val="auto"/>
          <w:highlight w:val="none"/>
        </w:rPr>
        <w:t xml:space="preserve"> </w:t>
      </w:r>
      <w:bookmarkStart w:id="74" w:name="_Toc27018"/>
      <w:bookmarkStart w:id="75" w:name="_Toc11515"/>
      <w:r>
        <w:rPr>
          <w:rFonts w:hint="eastAsia" w:ascii="宋体" w:hAnsi="宋体" w:eastAsia="宋体" w:cs="宋体"/>
          <w:color w:val="auto"/>
          <w:highlight w:val="none"/>
        </w:rPr>
        <w:t>竞争性磋商响应文件的编写</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71119A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要求</w:t>
      </w:r>
    </w:p>
    <w:p w14:paraId="6E326D5B">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仔细阅读竞争性磋商文件的所有内容，按照竞争性磋商文件的要求提交竞争性磋商响应文件。竞争性磋商响应文件应对竞争性磋商文件的要求做出实质性响应，并保证所提供的全部资料的真实性，否则视其为虚假响应，其响应将被否决。</w:t>
      </w:r>
    </w:p>
    <w:p w14:paraId="72C29C30">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8.2报价</w:t>
      </w:r>
    </w:p>
    <w:p w14:paraId="5D95F9D4">
      <w:pPr>
        <w:spacing w:line="336" w:lineRule="auto"/>
        <w:ind w:firstLine="480" w:firstLineChars="200"/>
        <w:rPr>
          <w:rFonts w:hint="eastAsia" w:ascii="宋体" w:hAnsi="宋体" w:eastAsia="宋体" w:cs="宋体"/>
          <w:b/>
          <w:bCs/>
          <w:color w:val="auto"/>
          <w:sz w:val="24"/>
          <w:szCs w:val="24"/>
          <w:highlight w:val="none"/>
          <w:shd w:val="clear" w:color="FFFFFF" w:fill="D9D9D9"/>
        </w:rPr>
      </w:pPr>
      <w:r>
        <w:rPr>
          <w:rFonts w:hint="eastAsia" w:ascii="宋体" w:hAnsi="宋体" w:eastAsia="宋体" w:cs="宋体"/>
          <w:color w:val="auto"/>
          <w:sz w:val="24"/>
          <w:szCs w:val="24"/>
          <w:highlight w:val="none"/>
        </w:rPr>
        <w:t>8.2.1本次报价非一次性报价，报价币种为人民币。在磋商后根据磋商情况（包括细化采购方案和要求，增补部分采购内容等），供应商须二次报价（最终报价），</w:t>
      </w:r>
      <w:r>
        <w:rPr>
          <w:rFonts w:hint="eastAsia" w:ascii="宋体" w:hAnsi="宋体" w:eastAsia="宋体" w:cs="宋体"/>
          <w:b/>
          <w:bCs/>
          <w:color w:val="auto"/>
          <w:sz w:val="24"/>
          <w:szCs w:val="24"/>
          <w:highlight w:val="none"/>
        </w:rPr>
        <w:t>如果供应商在规定时间30分钟内未提交第二次报价，视该供应商放弃本次投标，作无效标处理</w:t>
      </w:r>
      <w:r>
        <w:rPr>
          <w:rFonts w:hint="eastAsia" w:ascii="宋体" w:hAnsi="宋体" w:eastAsia="宋体" w:cs="宋体"/>
          <w:color w:val="auto"/>
          <w:sz w:val="24"/>
          <w:szCs w:val="24"/>
          <w:highlight w:val="none"/>
        </w:rPr>
        <w:t>。</w:t>
      </w:r>
    </w:p>
    <w:p w14:paraId="33FAEF86">
      <w:pPr>
        <w:pStyle w:val="72"/>
        <w:tabs>
          <w:tab w:val="left" w:pos="0"/>
        </w:tabs>
        <w:spacing w:before="0" w:line="336" w:lineRule="auto"/>
        <w:ind w:firstLine="480"/>
        <w:rPr>
          <w:rFonts w:hint="eastAsia" w:ascii="宋体" w:hAnsi="宋体" w:eastAsia="宋体" w:cs="宋体"/>
          <w:color w:val="auto"/>
          <w:highlight w:val="none"/>
          <w:u w:val="single"/>
        </w:rPr>
      </w:pPr>
      <w:r>
        <w:rPr>
          <w:rFonts w:hint="eastAsia" w:ascii="宋体" w:hAnsi="宋体" w:eastAsia="宋体" w:cs="宋体"/>
          <w:color w:val="auto"/>
          <w:highlight w:val="none"/>
          <w:u w:val="none"/>
        </w:rPr>
        <w:t>8.2.2</w:t>
      </w:r>
      <w:r>
        <w:rPr>
          <w:rFonts w:hint="eastAsia" w:ascii="宋体" w:hAnsi="宋体" w:eastAsia="宋体" w:cs="宋体"/>
          <w:b/>
          <w:bCs/>
          <w:color w:val="auto"/>
          <w:highlight w:val="none"/>
        </w:rPr>
        <w:t>投标报价应包含项目所需全部服务，不得缺漏，是履行合同的最终价格，包括但不限于人员费用、按规定缴纳的各类保险，交通费，加班费，福利费，管理费用、税费、办公用品、服装费、劳保用品、维修工具、安保器材、保洁用具等。</w:t>
      </w:r>
      <w:r>
        <w:rPr>
          <w:rFonts w:hint="eastAsia" w:ascii="宋体" w:hAnsi="宋体" w:eastAsia="宋体" w:cs="宋体"/>
          <w:b/>
          <w:bCs/>
          <w:color w:val="auto"/>
          <w:kern w:val="2"/>
          <w:sz w:val="24"/>
          <w:szCs w:val="24"/>
          <w:highlight w:val="none"/>
          <w:lang w:val="en-US" w:eastAsia="zh-CN" w:bidi="ar-SA"/>
        </w:rPr>
        <w:t>投标报价为供应商所能承受的最低、最终报价，供应商不得再要求追加任何费用。凡供应商在报价中未列明但又为本次采购所必备的项目或遗漏项目，采购方将一律视为已包括在合同价中，在合同执行中将不予考虑。</w:t>
      </w:r>
    </w:p>
    <w:p w14:paraId="13C32B1F">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投标报价固定是指供应商所填写的投标报价在合同实施期间不因市场因素而变动，供应商在计算报价时可考虑一定的风险系数（由供应商自行考虑）。</w:t>
      </w:r>
    </w:p>
    <w:p w14:paraId="20422F44">
      <w:pPr>
        <w:spacing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8.2.3供应商的报价作为供应商计算单价或总价的依据，应是完成技术文件中的所有要求，不得以任何理由予以重复，供应商对报价若有说明应在报价一览表备注处注明。任何有选择的报价方案及价格将不予接受。</w:t>
      </w:r>
    </w:p>
    <w:p w14:paraId="38617769">
      <w:pPr>
        <w:pStyle w:val="14"/>
        <w:spacing w:line="336"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响应文件的组成</w:t>
      </w:r>
      <w:r>
        <w:rPr>
          <w:rFonts w:hint="eastAsia" w:ascii="宋体" w:hAnsi="宋体" w:eastAsia="宋体" w:cs="宋体"/>
          <w:b/>
          <w:bCs/>
          <w:color w:val="auto"/>
          <w:sz w:val="24"/>
          <w:szCs w:val="24"/>
          <w:highlight w:val="none"/>
          <w:u w:val="single"/>
        </w:rPr>
        <w:t>（供应商应根据采购文件的要求提供相应的内容且设置关联定位，供应商可查看《供应商-政府采购项目电子交易操作指南》进行操作：https://help.zcygov.cn/web/site_2/2018/12-28/2573.html）</w:t>
      </w:r>
    </w:p>
    <w:p w14:paraId="642EC2DE">
      <w:pPr>
        <w:pStyle w:val="72"/>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响应文件应当包括以下主要内容：资格文件、商务技术文件、报价文件。</w:t>
      </w:r>
    </w:p>
    <w:p w14:paraId="55BD0F6C">
      <w:pPr>
        <w:pStyle w:val="72"/>
        <w:numPr>
          <w:ilvl w:val="0"/>
          <w:numId w:val="9"/>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资格文件包括以下内容：</w:t>
      </w:r>
    </w:p>
    <w:p w14:paraId="7F16DC73">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法定代表人身份证明书（法定代表人参加）或法定代表人授权书（被授权人参加）（格式见附件）；</w:t>
      </w:r>
    </w:p>
    <w:p w14:paraId="3F1F48C1">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事业单位的，则提供有效的《事业单位法人证书》副本复印件并加盖单位公章；</w:t>
      </w:r>
    </w:p>
    <w:p w14:paraId="4EE5C2F3">
      <w:pPr>
        <w:pStyle w:val="72"/>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708577A9">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具有履行合同所必需的产品和专业技术能力的承诺函（格式自拟）；</w:t>
      </w:r>
    </w:p>
    <w:p w14:paraId="35CC1324">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投标人承诺函（格式见附件）；</w:t>
      </w:r>
    </w:p>
    <w:p w14:paraId="4747F7D8">
      <w:pPr>
        <w:pStyle w:val="72"/>
        <w:numPr>
          <w:ilvl w:val="0"/>
          <w:numId w:val="10"/>
        </w:numPr>
        <w:spacing w:before="0" w:line="336" w:lineRule="auto"/>
        <w:ind w:firstLine="480"/>
        <w:rPr>
          <w:rFonts w:hint="eastAsia" w:ascii="宋体" w:hAnsi="宋体" w:eastAsia="宋体" w:cs="宋体"/>
          <w:color w:val="auto"/>
          <w:highlight w:val="none"/>
        </w:rPr>
      </w:pPr>
      <w:bookmarkStart w:id="76" w:name="OLE_LINK13"/>
      <w:r>
        <w:rPr>
          <w:rFonts w:hint="eastAsia" w:ascii="宋体" w:hAnsi="宋体" w:eastAsia="宋体" w:cs="宋体"/>
          <w:color w:val="auto"/>
          <w:highlight w:val="none"/>
        </w:rPr>
        <w:t>中小企业声明函（格式见附件）；</w:t>
      </w:r>
    </w:p>
    <w:bookmarkEnd w:id="76"/>
    <w:p w14:paraId="7EFA4DE9">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残疾人福利性单位声明函（如有）（格式见附件）；</w:t>
      </w:r>
    </w:p>
    <w:p w14:paraId="783ECB32">
      <w:pPr>
        <w:pStyle w:val="72"/>
        <w:numPr>
          <w:ilvl w:val="0"/>
          <w:numId w:val="10"/>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监狱企业证明文件（如有）（格式见附件）。</w:t>
      </w:r>
    </w:p>
    <w:p w14:paraId="3440EC5B">
      <w:pPr>
        <w:pStyle w:val="72"/>
        <w:numPr>
          <w:ilvl w:val="0"/>
          <w:numId w:val="9"/>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商务技术文件，本次磋商需要供应商提供以下项所列的技术文件：</w:t>
      </w:r>
    </w:p>
    <w:p w14:paraId="4DBE78B6">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评分对应表（格式见附件，主要用于评委对应评分内容）</w:t>
      </w:r>
      <w:r>
        <w:rPr>
          <w:rFonts w:hint="eastAsia" w:ascii="宋体" w:hAnsi="宋体" w:cs="宋体"/>
          <w:color w:val="auto"/>
          <w:highlight w:val="none"/>
          <w:lang w:eastAsia="zh-CN"/>
        </w:rPr>
        <w:t>；</w:t>
      </w:r>
    </w:p>
    <w:p w14:paraId="4E7DA0C8">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供应商商务技术文件中资信分自评表（格式见附件）；</w:t>
      </w:r>
    </w:p>
    <w:p w14:paraId="4F82EBBB">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磋商项目明细清单（格式见附件）；</w:t>
      </w:r>
    </w:p>
    <w:p w14:paraId="439D61CB">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技术响应及建议表（格式见附件）；</w:t>
      </w:r>
    </w:p>
    <w:p w14:paraId="7A5A9A2A">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商务响应表（格式见附件）；</w:t>
      </w:r>
    </w:p>
    <w:p w14:paraId="455470F5">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物业管理服务理念；</w:t>
      </w:r>
    </w:p>
    <w:p w14:paraId="5862376B">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物业管理组织架构；</w:t>
      </w:r>
    </w:p>
    <w:p w14:paraId="6D77041F">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物业保洁服务方案；</w:t>
      </w:r>
    </w:p>
    <w:p w14:paraId="747233B4">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房屋及设施维护工作方案；</w:t>
      </w:r>
    </w:p>
    <w:p w14:paraId="028E86EE">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安全管理方案；</w:t>
      </w:r>
    </w:p>
    <w:p w14:paraId="0E5D2ABB">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安全服务工作实施方案；</w:t>
      </w:r>
    </w:p>
    <w:p w14:paraId="33B9C468">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物业突发事件的应急措施；</w:t>
      </w:r>
    </w:p>
    <w:p w14:paraId="1E432B39">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设备方案；</w:t>
      </w:r>
    </w:p>
    <w:p w14:paraId="392ACBAA">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人员配备；</w:t>
      </w:r>
    </w:p>
    <w:p w14:paraId="049AF394">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队伍稳定措施；</w:t>
      </w:r>
    </w:p>
    <w:p w14:paraId="55ABE557">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培训能力、经验及机制；</w:t>
      </w:r>
    </w:p>
    <w:p w14:paraId="7CE31CBC">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售后服务；</w:t>
      </w:r>
    </w:p>
    <w:p w14:paraId="171F9FCE">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认证证书；</w:t>
      </w:r>
    </w:p>
    <w:p w14:paraId="72FFCDA8">
      <w:pPr>
        <w:pStyle w:val="72"/>
        <w:numPr>
          <w:ilvl w:val="0"/>
          <w:numId w:val="11"/>
        </w:numPr>
        <w:spacing w:before="0" w:line="336" w:lineRule="auto"/>
        <w:ind w:left="0" w:leftChars="0" w:firstLine="400" w:firstLineChars="0"/>
        <w:rPr>
          <w:rFonts w:hint="eastAsia" w:ascii="宋体" w:hAnsi="宋体" w:eastAsia="宋体" w:cs="宋体"/>
          <w:color w:val="auto"/>
          <w:highlight w:val="none"/>
        </w:rPr>
      </w:pPr>
      <w:r>
        <w:rPr>
          <w:rFonts w:hint="eastAsia" w:ascii="宋体" w:hAnsi="宋体" w:eastAsia="宋体" w:cs="宋体"/>
          <w:color w:val="auto"/>
          <w:highlight w:val="none"/>
        </w:rPr>
        <w:t>供应商认为需要的其他文件资料。</w:t>
      </w:r>
    </w:p>
    <w:p w14:paraId="36CAD2AC">
      <w:pPr>
        <w:pStyle w:val="72"/>
        <w:numPr>
          <w:ilvl w:val="0"/>
          <w:numId w:val="0"/>
        </w:numPr>
        <w:spacing w:before="0" w:line="336" w:lineRule="auto"/>
        <w:ind w:left="400" w:leftChars="0"/>
        <w:rPr>
          <w:rFonts w:hint="eastAsia" w:ascii="宋体" w:hAnsi="宋体" w:eastAsia="宋体" w:cs="宋体"/>
          <w:color w:val="auto"/>
          <w:highlight w:val="none"/>
        </w:rPr>
      </w:pPr>
      <w:r>
        <w:rPr>
          <w:rFonts w:hint="eastAsia" w:ascii="宋体" w:hAnsi="宋体" w:eastAsia="宋体" w:cs="宋体"/>
          <w:color w:val="auto"/>
          <w:highlight w:val="none"/>
        </w:rPr>
        <w:t>注：以上内容应与评标办法中内容具有一致性。</w:t>
      </w:r>
    </w:p>
    <w:p w14:paraId="3FB32D3D">
      <w:pPr>
        <w:pStyle w:val="72"/>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在响应文件中应对项目技术规范和服务要求中所提出各项要求进行答复、说明和解释。如果供应商在技术偏离表中注明无偏离，评标结束后、签订采购合同前又认为其实际产品与响应技术需求不一致的，视为供应商在磋商响应文件有效期内对其响应文件进行了实质性修改，其磋商将被追认为无效磋商。</w:t>
      </w:r>
      <w:r>
        <w:rPr>
          <w:rFonts w:hint="eastAsia" w:ascii="宋体" w:hAnsi="宋体" w:eastAsia="宋体" w:cs="宋体"/>
          <w:b/>
          <w:bCs/>
          <w:color w:val="auto"/>
          <w:highlight w:val="none"/>
        </w:rPr>
        <w:t>采购代理机构将把这一情况报送采购监管部门。实质性指标、关键性指标和重要指标需提供证明材料，如技术偏离表中仅复制粘贴而未说明或提供证明材料的，其产生的影响直至被认定为未实质性响应的后果将由供应商自行承担。</w:t>
      </w:r>
    </w:p>
    <w:p w14:paraId="397B4ED9">
      <w:pPr>
        <w:pStyle w:val="72"/>
        <w:numPr>
          <w:ilvl w:val="0"/>
          <w:numId w:val="9"/>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报价文件包括以下内容：</w:t>
      </w:r>
    </w:p>
    <w:p w14:paraId="18523D83">
      <w:pPr>
        <w:pStyle w:val="72"/>
        <w:numPr>
          <w:ilvl w:val="0"/>
          <w:numId w:val="0"/>
        </w:numPr>
        <w:spacing w:before="0"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SA"/>
        </w:rPr>
        <w:t>①　</w:t>
      </w:r>
      <w:r>
        <w:rPr>
          <w:rFonts w:hint="eastAsia" w:ascii="宋体" w:hAnsi="宋体" w:eastAsia="宋体" w:cs="宋体"/>
          <w:color w:val="auto"/>
          <w:highlight w:val="none"/>
        </w:rPr>
        <w:t>磋商函（格式见附件）；</w:t>
      </w:r>
    </w:p>
    <w:p w14:paraId="574878A0">
      <w:pPr>
        <w:pStyle w:val="72"/>
        <w:numPr>
          <w:ilvl w:val="0"/>
          <w:numId w:val="0"/>
        </w:numPr>
        <w:spacing w:before="0"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SA"/>
        </w:rPr>
        <w:t>②　</w:t>
      </w:r>
      <w:r>
        <w:rPr>
          <w:rFonts w:hint="eastAsia" w:ascii="宋体" w:hAnsi="宋体" w:eastAsia="宋体" w:cs="宋体"/>
          <w:color w:val="auto"/>
          <w:highlight w:val="none"/>
        </w:rPr>
        <w:t>报价一览表（格式见附件）；</w:t>
      </w:r>
    </w:p>
    <w:p w14:paraId="725C00B0">
      <w:pPr>
        <w:pStyle w:val="72"/>
        <w:numPr>
          <w:ilvl w:val="0"/>
          <w:numId w:val="0"/>
        </w:numPr>
        <w:spacing w:before="0" w:line="336"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bidi="ar-SA"/>
        </w:rPr>
        <w:t>③　</w:t>
      </w:r>
      <w:r>
        <w:rPr>
          <w:rFonts w:hint="eastAsia" w:ascii="宋体" w:hAnsi="宋体" w:eastAsia="宋体" w:cs="宋体"/>
          <w:color w:val="auto"/>
          <w:highlight w:val="none"/>
        </w:rPr>
        <w:t>磋商报价明细表（格式见附件）。</w:t>
      </w:r>
    </w:p>
    <w:p w14:paraId="296A6CE4">
      <w:pPr>
        <w:pStyle w:val="72"/>
        <w:spacing w:before="0" w:line="336" w:lineRule="auto"/>
        <w:ind w:firstLine="241" w:firstLineChars="1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注：“资格文件”、“商务技术文件”、“报价文件”须分3个PDF格式分别导入。</w:t>
      </w:r>
    </w:p>
    <w:p w14:paraId="097B0314">
      <w:pPr>
        <w:pStyle w:val="72"/>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10．响应文件有效期</w:t>
      </w:r>
    </w:p>
    <w:p w14:paraId="13CFC51E">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10.1 响应文件未在磋商响应截止时间前完成传输的或者未按时解密的，视为放弃磋商；响应文件解密失败后未提供备份文件或者备份文件也出现异常情况无法进行评审的，亦视为放弃磋商。</w:t>
      </w:r>
    </w:p>
    <w:p w14:paraId="61E271CB">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10.2 响应文件上传后，自磋商响应截止日期起，在前附表所列的磋商响应文件有效期内有效。</w:t>
      </w:r>
    </w:p>
    <w:p w14:paraId="5D69E5FE">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10.3 在原定有效期满之前，如果出现特殊情况，采购代理机构可以以书面形式向磋商供应商提出延长磋商有效期的要求，磋商供应商对此须以书面形式予以答复。</w:t>
      </w:r>
    </w:p>
    <w:p w14:paraId="66E11FD6">
      <w:pPr>
        <w:pStyle w:val="72"/>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11．供应商如有下列情况之一者列入不良行为记录：</w:t>
      </w:r>
    </w:p>
    <w:p w14:paraId="26F07E7D">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11.1 供应商在磋商响应文件有效期内撤回投标的；</w:t>
      </w:r>
    </w:p>
    <w:p w14:paraId="3B63A5CC">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11.2 供应商或中标候选人放弃中标或中标候选人资格的；</w:t>
      </w:r>
    </w:p>
    <w:p w14:paraId="6A8A6008">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11.3 擅自修改或拒绝接受已经确认的条款；</w:t>
      </w:r>
    </w:p>
    <w:p w14:paraId="0C9958B6">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11.4 成交供应商未按规定与采购人签订合同；</w:t>
      </w:r>
    </w:p>
    <w:p w14:paraId="45E23DF6">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11.5 供应商采取提供虚假资料等不正当手段的；</w:t>
      </w:r>
    </w:p>
    <w:p w14:paraId="12678971">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11.6 供应商在投标过程中串通投标的。</w:t>
      </w:r>
    </w:p>
    <w:p w14:paraId="35BE80D4">
      <w:pPr>
        <w:pStyle w:val="72"/>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12．响应文件的编制和签署</w:t>
      </w:r>
    </w:p>
    <w:p w14:paraId="5D2949E8">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12.1 按磋商文件9.1条、9.2条、9.3条要求提供的各种文件，响应文件分为资格文件、商务技术文件和报价文件三部分。</w:t>
      </w:r>
    </w:p>
    <w:p w14:paraId="026B4F80">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12.2 响应文件须按附件格式要求进行电子签章，供应商应写全称。（电子磋商响应文件中所须加盖公章部分均应采用电子签章）</w:t>
      </w:r>
    </w:p>
    <w:p w14:paraId="5DE506AF">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12.3 全套响应文件应无涂改和行间插字，除非这些删改是根据采购代理机构要求进行，或者是供应商造成的必须修改的错误。所修改处应由法定代表人或其授权代表签字盖章予以确认。</w:t>
      </w:r>
    </w:p>
    <w:p w14:paraId="5E31CDA4">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12.4 由于字迹模糊或表达不清引起的后果由供应商负责。</w:t>
      </w:r>
    </w:p>
    <w:p w14:paraId="1B0E052B">
      <w:pPr>
        <w:pStyle w:val="72"/>
        <w:spacing w:before="0" w:line="336" w:lineRule="auto"/>
        <w:ind w:left="400" w:leftChars="20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13．响应文件的形式</w:t>
      </w:r>
    </w:p>
    <w:p w14:paraId="2F82E1ED">
      <w:pPr>
        <w:pStyle w:val="72"/>
        <w:spacing w:before="0" w:line="336" w:lineRule="auto"/>
        <w:ind w:left="40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响应文件为电子磋商响应文件，电子磋商响应文件按“政采云供应商项目采购-电子招投标操作指南”及本磋商文件要求制作、加密传输。</w:t>
      </w:r>
    </w:p>
    <w:p w14:paraId="6F2C70D4">
      <w:pPr>
        <w:pStyle w:val="72"/>
        <w:spacing w:before="0" w:line="336" w:lineRule="auto"/>
        <w:ind w:left="400" w:leftChars="200" w:firstLine="0" w:firstLineChars="0"/>
        <w:rPr>
          <w:rFonts w:hint="eastAsia" w:ascii="宋体" w:hAnsi="宋体" w:eastAsia="宋体" w:cs="宋体"/>
          <w:color w:val="auto"/>
          <w:highlight w:val="none"/>
        </w:rPr>
      </w:pPr>
    </w:p>
    <w:p w14:paraId="7EF909FE">
      <w:pPr>
        <w:pStyle w:val="3"/>
        <w:numPr>
          <w:ilvl w:val="0"/>
          <w:numId w:val="0"/>
        </w:numPr>
        <w:jc w:val="center"/>
        <w:rPr>
          <w:rFonts w:hint="eastAsia" w:ascii="宋体" w:hAnsi="宋体" w:eastAsia="宋体" w:cs="宋体"/>
          <w:color w:val="auto"/>
          <w:highlight w:val="none"/>
        </w:rPr>
      </w:pPr>
      <w:bookmarkStart w:id="77" w:name="_Toc3164"/>
      <w:bookmarkStart w:id="78" w:name="_Toc1420"/>
      <w:r>
        <w:rPr>
          <w:rFonts w:hint="eastAsia" w:ascii="宋体" w:hAnsi="宋体" w:eastAsia="宋体" w:cs="宋体"/>
          <w:b/>
          <w:bCs/>
          <w:color w:val="auto"/>
          <w:sz w:val="24"/>
          <w:szCs w:val="28"/>
          <w:highlight w:val="none"/>
          <w:lang w:val="en-US" w:eastAsia="zh-CN" w:bidi="ar-SA"/>
        </w:rPr>
        <w:t>四、</w:t>
      </w:r>
      <w:r>
        <w:rPr>
          <w:rFonts w:hint="eastAsia" w:ascii="宋体" w:hAnsi="宋体" w:eastAsia="宋体" w:cs="宋体"/>
          <w:color w:val="auto"/>
          <w:highlight w:val="none"/>
        </w:rPr>
        <w:t xml:space="preserve"> </w:t>
      </w:r>
      <w:bookmarkStart w:id="79" w:name="_Toc21266"/>
      <w:bookmarkStart w:id="80" w:name="_Toc32523"/>
      <w:r>
        <w:rPr>
          <w:rFonts w:hint="eastAsia" w:ascii="宋体" w:hAnsi="宋体" w:eastAsia="宋体" w:cs="宋体"/>
          <w:color w:val="auto"/>
          <w:highlight w:val="none"/>
        </w:rPr>
        <w:t>响应文件的递交</w:t>
      </w:r>
      <w:bookmarkEnd w:id="77"/>
      <w:bookmarkEnd w:id="78"/>
      <w:bookmarkEnd w:id="79"/>
      <w:bookmarkEnd w:id="80"/>
    </w:p>
    <w:p w14:paraId="034F10FC">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磋商响应截止期</w:t>
      </w:r>
    </w:p>
    <w:p w14:paraId="429D1080">
      <w:pPr>
        <w:pStyle w:val="72"/>
        <w:numPr>
          <w:ilvl w:val="0"/>
          <w:numId w:val="12"/>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响应文件必须在规定的磋商响应截止时间前在政采云系统内完成传输，以纸质、电报、电话、传真形式的投标概不接受。为应对响应文件解密失败等异常情况，供应商可指派授权代表在磋商响应截止时间之前到达开标地点提交备份文件。</w:t>
      </w:r>
    </w:p>
    <w:p w14:paraId="08477834">
      <w:pPr>
        <w:pStyle w:val="72"/>
        <w:numPr>
          <w:ilvl w:val="0"/>
          <w:numId w:val="12"/>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采购人因故推迟磋商响应截止时间，将以公告形式通知。在这种情况下，采购人和供应商的权利和义务将受到新的截止时间的约束。</w:t>
      </w:r>
    </w:p>
    <w:p w14:paraId="231AECA6">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15、响应文件的修改、撤销</w:t>
      </w:r>
    </w:p>
    <w:p w14:paraId="398279D5">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在磋商响应截止时间前完成电子交易文件的传输递交，磋商响应截止时间前可以补充、修改或者撤回电子交易文件。补充或者修改电子交易文件的，应当先行撤回原文件，补充、修改后重新传输递交。磋商响应截止时间前未完成传输的，视为响应文件撤回。</w:t>
      </w:r>
    </w:p>
    <w:p w14:paraId="07ABF11E">
      <w:pPr>
        <w:rPr>
          <w:rFonts w:hint="eastAsia" w:ascii="宋体" w:hAnsi="宋体" w:eastAsia="宋体" w:cs="宋体"/>
          <w:color w:val="auto"/>
          <w:highlight w:val="none"/>
        </w:rPr>
      </w:pPr>
    </w:p>
    <w:p w14:paraId="7AB5FAC5">
      <w:pPr>
        <w:pStyle w:val="3"/>
        <w:numPr>
          <w:ilvl w:val="0"/>
          <w:numId w:val="0"/>
        </w:numPr>
        <w:jc w:val="center"/>
        <w:rPr>
          <w:rFonts w:hint="eastAsia" w:ascii="宋体" w:hAnsi="宋体" w:eastAsia="宋体" w:cs="宋体"/>
          <w:color w:val="auto"/>
          <w:highlight w:val="none"/>
        </w:rPr>
      </w:pPr>
      <w:bookmarkStart w:id="81" w:name="_Toc31084"/>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 xml:space="preserve"> </w:t>
      </w:r>
      <w:bookmarkStart w:id="82" w:name="_Toc31149"/>
      <w:bookmarkStart w:id="83" w:name="_Toc24120"/>
      <w:r>
        <w:rPr>
          <w:rFonts w:hint="eastAsia" w:ascii="宋体" w:hAnsi="宋体" w:eastAsia="宋体" w:cs="宋体"/>
          <w:color w:val="auto"/>
          <w:highlight w:val="none"/>
        </w:rPr>
        <w:t>磋商无效的情形</w:t>
      </w:r>
      <w:bookmarkEnd w:id="81"/>
      <w:bookmarkEnd w:id="82"/>
      <w:bookmarkEnd w:id="83"/>
    </w:p>
    <w:p w14:paraId="292FED52">
      <w:pPr>
        <w:pStyle w:val="14"/>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16.无效响应</w:t>
      </w:r>
    </w:p>
    <w:p w14:paraId="6EC18908">
      <w:pPr>
        <w:pStyle w:val="14"/>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经过审查，凡不符合有关规定，不响应磋商文件的实质性条款，存在以下重大偏离之一的，经磋商小组认定，并由采购人报采购办、监督办备案，将因未通过资格性或符合性审查而被作为无效响应处理：</w:t>
      </w:r>
    </w:p>
    <w:p w14:paraId="484576AA">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1未按照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规定要求电子签章、签字或盖章的；</w:t>
      </w:r>
    </w:p>
    <w:p w14:paraId="3BD88114">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2单位负责人为同一人或者存在直接控股、管理关系的不同供应商参加同一合同项下的政府采购活动的（均无效）；</w:t>
      </w:r>
    </w:p>
    <w:p w14:paraId="2A785577">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3为采购项目提供整体设计、规范编制或者项目管理、监理、检测等服务的供应商参加该采购项目的其他采购活动的；</w:t>
      </w:r>
    </w:p>
    <w:p w14:paraId="747158F8">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未提供</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中规定的基本资格条件书面承诺函的，或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未提供有效的特定资格证明文件的，视为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不具备</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中规定的资格要求；</w:t>
      </w:r>
    </w:p>
    <w:p w14:paraId="619A2CCD">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5《法定代表人身份证明书》与提供的身份证扫描件信息不符的；《法定代表人授权委托书》与提供的身份证扫描件信息不符的；</w:t>
      </w:r>
    </w:p>
    <w:p w14:paraId="348C5246">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6《法定代表人授权委托书》或《法定代表人身份证明书》填写不全、错误、未电子签章(《法定代表人授权委托书》要求“电子签章”和“签字或盖章”缺一不可）的；</w:t>
      </w:r>
    </w:p>
    <w:p w14:paraId="5EA6CE12">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7授权代表非投标单位正式职工的（以社保证明为准，如授权代表为离退休返聘人员的，需提供退休证明及单位聘用证明；如由第三方代理社保事项的，则需提供加盖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公章的委托代理协议扫描件），法定代表人及个体工商户除外；</w:t>
      </w:r>
    </w:p>
    <w:p w14:paraId="1088D210">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8报价一经涂改，未在涂改处加盖投标单位公章或者未经法定代表人或其授权代表签字或盖章的；</w:t>
      </w:r>
    </w:p>
    <w:p w14:paraId="3932C9ED">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未按</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规定的格式填写，或对服务或技术等要求未详细应答或应答内容不全、有缺失的</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认定为无法评审的；</w:t>
      </w:r>
    </w:p>
    <w:p w14:paraId="02BF5CB4">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出现同一标的物或本次服务内的主要产品(重要组成部分)出现商务技术文件、报价文件资料描述不一致或前后描述不一致，经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认定后为无法评审的；</w:t>
      </w:r>
    </w:p>
    <w:p w14:paraId="3B7ECC49">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含有采购人不能接受的附加条件；</w:t>
      </w:r>
    </w:p>
    <w:p w14:paraId="490B2025">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的报价明显低于其他通过符合性审查</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的报价，有可能影响产品质量或者不能诚信履约的，未能按要求提供书面说明或者提交相关证明材料证明其报价合理性的</w:t>
      </w:r>
      <w:r>
        <w:rPr>
          <w:rFonts w:hint="eastAsia" w:ascii="宋体" w:hAnsi="宋体" w:eastAsia="宋体" w:cs="宋体"/>
          <w:b/>
          <w:bCs/>
          <w:color w:val="auto"/>
          <w:sz w:val="24"/>
          <w:szCs w:val="24"/>
          <w:highlight w:val="none"/>
          <w:lang w:eastAsia="zh-CN"/>
        </w:rPr>
        <w:t>；</w:t>
      </w:r>
    </w:p>
    <w:p w14:paraId="4F024D8A">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报价超过</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中规定的预算金额或最高限价的；</w:t>
      </w:r>
    </w:p>
    <w:p w14:paraId="5A744A64">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lang w:val="en-US" w:eastAsia="zh-CN"/>
        </w:rPr>
        <w:t>资格文件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“商务技术文件”部分中出现《报价一览表》相关内容的；</w:t>
      </w:r>
    </w:p>
    <w:p w14:paraId="387470E7">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《报价一览表》填写不完整或字迹不能辨认或有漏项的，经</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认定属于重大偏差的；</w:t>
      </w:r>
    </w:p>
    <w:p w14:paraId="55CA2D66">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对根据修正原则修正后的报价不确认的；</w:t>
      </w:r>
    </w:p>
    <w:p w14:paraId="524A3A7C">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提供虚假材料投标的（包括但不限于以下情节）；</w:t>
      </w:r>
    </w:p>
    <w:p w14:paraId="79D1E58E">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1使用伪造、变造的许可证件；</w:t>
      </w:r>
    </w:p>
    <w:p w14:paraId="09DAB210">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2提供虚假的财务状况或者业绩；</w:t>
      </w:r>
    </w:p>
    <w:p w14:paraId="5D72EFC1">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3提供虚假的项目负责人或者主要技术人员简历、劳动关系证明；</w:t>
      </w:r>
    </w:p>
    <w:p w14:paraId="7D31E91B">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4提供虚假的信用状况；</w:t>
      </w:r>
    </w:p>
    <w:p w14:paraId="6EB793FA">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16.1</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5其他弄虚作假的行为</w:t>
      </w:r>
      <w:r>
        <w:rPr>
          <w:rFonts w:hint="eastAsia" w:ascii="宋体" w:hAnsi="宋体" w:eastAsia="宋体" w:cs="宋体"/>
          <w:b w:val="0"/>
          <w:bCs w:val="0"/>
          <w:color w:val="auto"/>
          <w:sz w:val="24"/>
          <w:szCs w:val="24"/>
          <w:highlight w:val="none"/>
          <w:lang w:eastAsia="zh-CN"/>
        </w:rPr>
        <w:t>；</w:t>
      </w:r>
    </w:p>
    <w:p w14:paraId="3C41A089">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下列情形之一的，视为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串通投标，其投标无效：</w:t>
      </w:r>
    </w:p>
    <w:p w14:paraId="48259004">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.1不同供应商的响应文件由同一单位或者个人编制；</w:t>
      </w:r>
    </w:p>
    <w:p w14:paraId="0A5F7CEE">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.2不同供应商委托同一单位或者个人办理投标事宜；</w:t>
      </w:r>
    </w:p>
    <w:p w14:paraId="015B156F">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.3不同供应商的响应文件载明的项目管理成员或者联系人员为同一人；</w:t>
      </w:r>
    </w:p>
    <w:p w14:paraId="461DABB0">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.4不同供应商的响应文件异常一致或者投标报价呈规律性差异；</w:t>
      </w:r>
    </w:p>
    <w:p w14:paraId="3B2F65CE">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.5不同供应商的响应文件相互混装；</w:t>
      </w:r>
    </w:p>
    <w:p w14:paraId="28C033B2">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.6有二份及二份以上响应文件的相互之间有特别相同或相似之处，且经询标澄清供应商无令人信服的理由和可靠证据证明其合理性的，经磋商小组半数以上成员确认有串通投标嫌疑的；</w:t>
      </w:r>
    </w:p>
    <w:p w14:paraId="629AF74B">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有下列情形之一的，属于恶意串通，其投标无效：</w:t>
      </w:r>
    </w:p>
    <w:p w14:paraId="5E254A14">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.1供应商直接或者间接从采购人或者采购机构处获得其他供应商的相关情况并修改其响应文件；</w:t>
      </w:r>
    </w:p>
    <w:p w14:paraId="14EE57A8">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.2供应商按照采购人或者采购机构的授意撤换、修改响应文件；</w:t>
      </w:r>
    </w:p>
    <w:p w14:paraId="1686A3B5">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.3供应商之间协商报价、技术方案等响应文件的实质性内容；</w:t>
      </w:r>
    </w:p>
    <w:p w14:paraId="0D8DE7E4">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.4属于同一集团、协会、商会等组织成员的供应商按照该组织要求协同参加政府采购活动；</w:t>
      </w:r>
    </w:p>
    <w:p w14:paraId="759EF2AB">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.5供应商之间事先约定由某一特定供应商中标、成交；</w:t>
      </w:r>
    </w:p>
    <w:p w14:paraId="32736102">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.6供应商之间商定部分供应商放弃参加政府采购活动或者放弃中标、成交；</w:t>
      </w:r>
    </w:p>
    <w:p w14:paraId="1D15483A">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w:t>
      </w:r>
      <w:r>
        <w:rPr>
          <w:rFonts w:hint="eastAsia" w:ascii="宋体" w:hAnsi="宋体" w:eastAsia="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.7供应商与采购人或者采购机构之间、供应商相互之间，为谋求特定供应商中标、成交或者排斥其他供应商的其他串通行为；</w:t>
      </w:r>
    </w:p>
    <w:p w14:paraId="2BF90748">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认定有重大偏差或实质性不响应</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要求的；</w:t>
      </w:r>
    </w:p>
    <w:p w14:paraId="3CAF6C51">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出现不是唯一的、有选择性投标报价的；</w:t>
      </w:r>
    </w:p>
    <w:p w14:paraId="2B9A0DFF">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16.</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参与同一个采购包(标段)的供应商存在下列情形之一的其投标(响应)文件无效:</w:t>
      </w:r>
    </w:p>
    <w:p w14:paraId="78B7265D">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.1不同供应商的电子投标(响应)文件上传计算机的网卡MAC地址、CPU序列号和硬盘序列号等硬件信息相同的；</w:t>
      </w:r>
    </w:p>
    <w:p w14:paraId="233BBCF0">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.2上传的电子投标(响应)文件若出现使用本项目其他投标(响应)供应商的数字证书加密的，或者加盖本项目其他投标(响应)供应商的电子印章的；</w:t>
      </w:r>
    </w:p>
    <w:p w14:paraId="0CDB9DE1">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.3不同供应商的投标(响应)文件的内容存在三处(含)以上错误一致，且无法合理解释的；</w:t>
      </w:r>
    </w:p>
    <w:p w14:paraId="54FDA486">
      <w:pPr>
        <w:tabs>
          <w:tab w:val="left" w:pos="3870"/>
          <w:tab w:val="left" w:pos="4085"/>
        </w:tabs>
        <w:snapToGrid w:val="0"/>
        <w:spacing w:line="336"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16.2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.4不同供应商联系人为同一人或不同联系人的联系电话一致，且无法合理解释的。</w:t>
      </w:r>
    </w:p>
    <w:p w14:paraId="7E0C9742">
      <w:pPr>
        <w:tabs>
          <w:tab w:val="left" w:pos="3870"/>
          <w:tab w:val="left" w:pos="4085"/>
        </w:tabs>
        <w:snapToGrid w:val="0"/>
        <w:spacing w:line="336"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其他违反法律、法规的情形。</w:t>
      </w:r>
    </w:p>
    <w:p w14:paraId="2A3F43B7">
      <w:pPr>
        <w:pStyle w:val="3"/>
        <w:rPr>
          <w:rFonts w:hint="eastAsia" w:ascii="宋体" w:hAnsi="宋体" w:eastAsia="宋体" w:cs="宋体"/>
          <w:color w:val="auto"/>
          <w:highlight w:val="none"/>
        </w:rPr>
      </w:pPr>
    </w:p>
    <w:p w14:paraId="7BD9C0C1">
      <w:pPr>
        <w:pStyle w:val="3"/>
        <w:numPr>
          <w:ilvl w:val="0"/>
          <w:numId w:val="0"/>
        </w:numPr>
        <w:jc w:val="center"/>
        <w:rPr>
          <w:rFonts w:hint="eastAsia" w:ascii="宋体" w:hAnsi="宋体" w:eastAsia="宋体" w:cs="宋体"/>
          <w:color w:val="auto"/>
          <w:highlight w:val="none"/>
        </w:rPr>
      </w:pPr>
      <w:bookmarkStart w:id="84" w:name="_Toc13555"/>
      <w:r>
        <w:rPr>
          <w:rFonts w:hint="eastAsia" w:ascii="宋体" w:hAnsi="宋体" w:eastAsia="宋体" w:cs="宋体"/>
          <w:b/>
          <w:bCs/>
          <w:color w:val="auto"/>
          <w:sz w:val="24"/>
          <w:szCs w:val="28"/>
          <w:highlight w:val="none"/>
          <w:lang w:val="en-US" w:eastAsia="zh-CN" w:bidi="ar-SA"/>
        </w:rPr>
        <w:t>六、</w:t>
      </w:r>
      <w:r>
        <w:rPr>
          <w:rFonts w:hint="eastAsia" w:ascii="宋体" w:hAnsi="宋体" w:eastAsia="宋体" w:cs="宋体"/>
          <w:color w:val="auto"/>
          <w:highlight w:val="none"/>
        </w:rPr>
        <w:t xml:space="preserve"> </w:t>
      </w:r>
      <w:bookmarkStart w:id="85" w:name="_Toc6023"/>
      <w:bookmarkStart w:id="86" w:name="_Toc21752"/>
      <w:r>
        <w:rPr>
          <w:rFonts w:hint="eastAsia" w:ascii="宋体" w:hAnsi="宋体" w:eastAsia="宋体" w:cs="宋体"/>
          <w:color w:val="auto"/>
          <w:highlight w:val="none"/>
        </w:rPr>
        <w:t>采购中止的情形</w:t>
      </w:r>
      <w:bookmarkEnd w:id="84"/>
      <w:bookmarkEnd w:id="85"/>
      <w:bookmarkEnd w:id="86"/>
    </w:p>
    <w:p w14:paraId="79C8012E">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zh-CN"/>
        </w:rPr>
        <w:t>中止电子交易活动和</w:t>
      </w:r>
      <w:r>
        <w:rPr>
          <w:rFonts w:hint="eastAsia" w:ascii="宋体" w:hAnsi="宋体" w:eastAsia="宋体" w:cs="宋体"/>
          <w:b/>
          <w:bCs/>
          <w:color w:val="auto"/>
          <w:sz w:val="24"/>
          <w:szCs w:val="24"/>
          <w:highlight w:val="none"/>
        </w:rPr>
        <w:t>重新组织采购</w:t>
      </w:r>
    </w:p>
    <w:p w14:paraId="37069793">
      <w:pPr>
        <w:pStyle w:val="72"/>
        <w:tabs>
          <w:tab w:val="left" w:pos="0"/>
        </w:tabs>
        <w:spacing w:before="0" w:line="336" w:lineRule="auto"/>
        <w:ind w:left="400" w:leftChars="20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17.1</w:t>
      </w:r>
      <w:r>
        <w:rPr>
          <w:rFonts w:hint="eastAsia" w:ascii="宋体" w:hAnsi="宋体" w:eastAsia="宋体" w:cs="宋体"/>
          <w:color w:val="auto"/>
          <w:highlight w:val="none"/>
          <w:lang w:val="zh-CN"/>
        </w:rPr>
        <w:t>采购过程中出现以下情形，导致电子交易平台无法正常运行，或者无法保证电子交易的公平、公正和安全时，采购组织机构可中止电子交易活动：</w:t>
      </w:r>
    </w:p>
    <w:p w14:paraId="5CCD4BDB">
      <w:pPr>
        <w:numPr>
          <w:ilvl w:val="0"/>
          <w:numId w:val="13"/>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电子交易平台发生故障而无法登录访问的； </w:t>
      </w:r>
    </w:p>
    <w:p w14:paraId="352D5C5D">
      <w:pPr>
        <w:numPr>
          <w:ilvl w:val="0"/>
          <w:numId w:val="13"/>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电子交易平台应用或数据库出现错误，不能进行正常操作的；</w:t>
      </w:r>
    </w:p>
    <w:p w14:paraId="46F233F1">
      <w:pPr>
        <w:numPr>
          <w:ilvl w:val="0"/>
          <w:numId w:val="13"/>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电子交易平台发现严重安全漏洞，有潜在泄密危险的；</w:t>
      </w:r>
    </w:p>
    <w:p w14:paraId="59528A33">
      <w:pPr>
        <w:numPr>
          <w:ilvl w:val="0"/>
          <w:numId w:val="13"/>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病毒发作导致不能进行正常操作的； </w:t>
      </w:r>
    </w:p>
    <w:p w14:paraId="30A0BB34">
      <w:pPr>
        <w:numPr>
          <w:ilvl w:val="0"/>
          <w:numId w:val="13"/>
        </w:numPr>
        <w:tabs>
          <w:tab w:val="left" w:pos="0"/>
        </w:tabs>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其他无法保证电子交易的公平、公正和安全的情况。</w:t>
      </w:r>
    </w:p>
    <w:p w14:paraId="4F79709B">
      <w:pPr>
        <w:pStyle w:val="72"/>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17.2磋商小组发现磋商文件存在歧义、重大缺陷导致评标工作无法进行，或者磋商文件内容违反国家有关强制性规定的，将停止评标工作，并与采购人、采购代理机构沟通并作书面记录。采购人、采购代理机构确认后，将修改磋商文件，重新组织采购活动。</w:t>
      </w:r>
    </w:p>
    <w:p w14:paraId="7979D1F8">
      <w:pPr>
        <w:pStyle w:val="72"/>
        <w:tabs>
          <w:tab w:val="left" w:pos="0"/>
        </w:tabs>
        <w:spacing w:before="0" w:line="336" w:lineRule="auto"/>
        <w:ind w:firstLine="480"/>
        <w:rPr>
          <w:rFonts w:hint="eastAsia" w:ascii="宋体" w:hAnsi="宋体" w:eastAsia="宋体" w:cs="宋体"/>
          <w:color w:val="auto"/>
          <w:highlight w:val="none"/>
        </w:rPr>
      </w:pPr>
    </w:p>
    <w:p w14:paraId="4C09AEA7">
      <w:pPr>
        <w:pStyle w:val="3"/>
        <w:numPr>
          <w:ilvl w:val="0"/>
          <w:numId w:val="0"/>
        </w:numPr>
        <w:jc w:val="center"/>
        <w:rPr>
          <w:rFonts w:hint="eastAsia" w:ascii="宋体" w:hAnsi="宋体" w:eastAsia="宋体" w:cs="宋体"/>
          <w:color w:val="auto"/>
          <w:highlight w:val="none"/>
        </w:rPr>
      </w:pPr>
      <w:bookmarkStart w:id="87" w:name="_Toc11691"/>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 xml:space="preserve"> </w:t>
      </w:r>
      <w:bookmarkStart w:id="88" w:name="_Toc5935"/>
      <w:bookmarkStart w:id="89" w:name="_Toc14029"/>
      <w:r>
        <w:rPr>
          <w:rFonts w:hint="eastAsia" w:ascii="宋体" w:hAnsi="宋体" w:eastAsia="宋体" w:cs="宋体"/>
          <w:color w:val="auto"/>
          <w:highlight w:val="none"/>
        </w:rPr>
        <w:t>确定成交供应商与签订合同</w:t>
      </w:r>
      <w:bookmarkEnd w:id="87"/>
      <w:bookmarkEnd w:id="88"/>
      <w:bookmarkEnd w:id="89"/>
    </w:p>
    <w:p w14:paraId="0C98581E">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推荐成交候选供应商</w:t>
      </w:r>
    </w:p>
    <w:p w14:paraId="5A3768C2">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磋商小组应当根据综合评分情况，按照评审得分由高到低顺序推荐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名成交候选供应商，并编写评审报告。评审得分相同的，按照最后报价由低到高的顺序推荐。评审得分且最后报价相同的，按照技术指标优劣顺序推荐。</w:t>
      </w:r>
    </w:p>
    <w:p w14:paraId="1C8A7DEB">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采购代理机构应当在评审结束后2个工作日内将评审报告送采购人确认。</w:t>
      </w:r>
    </w:p>
    <w:p w14:paraId="30338E83">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确定成交供应商</w:t>
      </w:r>
    </w:p>
    <w:p w14:paraId="53811DEA">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4BAF6F8">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19.2采购人或者采购代理机构应当在成交供应商确定后2个工作日内，在省级以上财政部门指定的政府采购信息发布媒体上公告成交结果，同时向成交供应商发出成交通知书。</w:t>
      </w:r>
    </w:p>
    <w:p w14:paraId="2340EC2C">
      <w:pPr>
        <w:adjustRightIn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签订合同</w:t>
      </w:r>
    </w:p>
    <w:p w14:paraId="1C59AF68">
      <w:pPr>
        <w:pStyle w:val="72"/>
        <w:snapToGrid w:val="0"/>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20.1. 采购人与成交供应商应当在成交通知书发出之日起30日内，按照磋商文件确定的合同文本以及采购标的、规格型号、采购金额、采购数量、技术和服务要求等事项签订政府采购合同。</w:t>
      </w:r>
    </w:p>
    <w:p w14:paraId="0DD3FF0D">
      <w:pPr>
        <w:pStyle w:val="72"/>
        <w:snapToGrid w:val="0"/>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20.2. 成交供应商拒绝签订政府采购合同的，采购人可以按照《政府采购竞争性磋商采购方式管理暂行办法》（财库〔2014〕214号）第二十八条第二款规定的原则确定其他供应商作为成交供应商并签订政府采购合同，也可以重新开展采购活动。拒绝签订政府采购合同的成交供应商不得参加对该项目重新开展的采购活动。</w:t>
      </w:r>
    </w:p>
    <w:p w14:paraId="3AAFBEBD">
      <w:pPr>
        <w:pStyle w:val="3"/>
        <w:numPr>
          <w:ilvl w:val="0"/>
          <w:numId w:val="0"/>
        </w:numPr>
        <w:jc w:val="center"/>
        <w:rPr>
          <w:rFonts w:hint="eastAsia" w:ascii="宋体" w:hAnsi="宋体" w:eastAsia="宋体" w:cs="宋体"/>
          <w:color w:val="auto"/>
          <w:highlight w:val="none"/>
        </w:rPr>
      </w:pPr>
      <w:bookmarkStart w:id="90" w:name="_Toc26442"/>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 xml:space="preserve"> 询问、质疑与投诉</w:t>
      </w:r>
      <w:bookmarkEnd w:id="90"/>
    </w:p>
    <w:p w14:paraId="484122F6">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4"/>
          <w:highlight w:val="none"/>
          <w:vertAlign w:val="baseline"/>
          <w:lang w:val="en-US" w:eastAsia="zh-CN" w:bidi="ar-SA"/>
        </w:rPr>
      </w:pPr>
      <w:r>
        <w:rPr>
          <w:rFonts w:hint="eastAsia" w:ascii="宋体" w:hAnsi="宋体" w:eastAsia="宋体" w:cs="宋体"/>
          <w:b/>
          <w:bCs/>
          <w:i w:val="0"/>
          <w:iCs w:val="0"/>
          <w:color w:val="auto"/>
          <w:kern w:val="2"/>
          <w:sz w:val="24"/>
          <w:szCs w:val="24"/>
          <w:highlight w:val="none"/>
          <w:vertAlign w:val="baseline"/>
          <w:lang w:val="en-US" w:eastAsia="zh-CN" w:bidi="ar-SA"/>
        </w:rPr>
        <w:t>21.在线询问、质疑、投诉</w:t>
      </w:r>
    </w:p>
    <w:p w14:paraId="5355371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val="en-US" w:eastAsia="zh-CN"/>
        </w:rPr>
        <w:t>《浙江省政府采购询问和质疑实施办法》（浙财采监〔2025〕11 号）</w:t>
      </w:r>
      <w:r>
        <w:rPr>
          <w:rFonts w:hint="eastAsia" w:ascii="宋体" w:hAnsi="宋体" w:eastAsia="宋体" w:cs="宋体"/>
          <w:color w:val="auto"/>
          <w:sz w:val="24"/>
          <w:highlight w:val="none"/>
        </w:rPr>
        <w:t>文件要求，供应商可以通过电子交易平台向采购人、采购代理机构提出询问和质疑。鼓励供应商在线提起询问，路径为：政采云-项目采购-询问质疑投诉-询问列表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鼓励供应商在线提起质疑，路径为：政采云-项目采购-询问质疑投诉-质疑列表。</w:t>
      </w:r>
      <w:r>
        <w:rPr>
          <w:rFonts w:hint="eastAsia" w:ascii="宋体" w:hAnsi="宋体" w:eastAsia="宋体" w:cs="宋体"/>
          <w:color w:val="auto"/>
          <w:sz w:val="24"/>
          <w:highlight w:val="none"/>
          <w:lang w:eastAsia="zh-CN"/>
        </w:rPr>
        <w:t>根据</w:t>
      </w:r>
      <w:r>
        <w:rPr>
          <w:rFonts w:hint="eastAsia" w:ascii="宋体" w:hAnsi="宋体" w:eastAsia="宋体" w:cs="宋体"/>
          <w:color w:val="auto"/>
          <w:sz w:val="24"/>
          <w:highlight w:val="none"/>
          <w:lang w:eastAsia="zh"/>
        </w:rPr>
        <w:t>《</w:t>
      </w:r>
      <w:r>
        <w:rPr>
          <w:rFonts w:hint="eastAsia" w:ascii="宋体" w:hAnsi="宋体" w:eastAsia="宋体" w:cs="宋体"/>
          <w:color w:val="auto"/>
          <w:sz w:val="24"/>
          <w:highlight w:val="none"/>
          <w:lang w:val="en-US" w:eastAsia="zh"/>
        </w:rPr>
        <w:t>浙江省政府采购行政裁决工作</w:t>
      </w:r>
      <w:r>
        <w:rPr>
          <w:rFonts w:hint="eastAsia" w:ascii="宋体" w:hAnsi="宋体" w:eastAsia="宋体" w:cs="宋体"/>
          <w:color w:val="auto"/>
          <w:sz w:val="24"/>
          <w:highlight w:val="none"/>
          <w:lang w:val="en-US" w:eastAsia="zh-CN"/>
        </w:rPr>
        <w:t>规</w:t>
      </w:r>
      <w:r>
        <w:rPr>
          <w:rFonts w:hint="eastAsia" w:ascii="宋体" w:hAnsi="宋体" w:eastAsia="宋体" w:cs="宋体"/>
          <w:color w:val="auto"/>
          <w:sz w:val="24"/>
          <w:highlight w:val="none"/>
          <w:lang w:val="en-US" w:eastAsia="zh"/>
        </w:rPr>
        <w:t>程</w:t>
      </w:r>
      <w:r>
        <w:rPr>
          <w:rFonts w:hint="eastAsia" w:ascii="宋体" w:hAnsi="宋体" w:eastAsia="宋体" w:cs="宋体"/>
          <w:color w:val="auto"/>
          <w:sz w:val="24"/>
          <w:highlight w:val="none"/>
          <w:lang w:eastAsia="zh"/>
        </w:rPr>
        <w:t>》的通知</w:t>
      </w:r>
      <w:r>
        <w:rPr>
          <w:rFonts w:hint="eastAsia" w:ascii="宋体" w:hAnsi="宋体" w:eastAsia="宋体" w:cs="宋体"/>
          <w:color w:val="auto"/>
          <w:sz w:val="24"/>
          <w:highlight w:val="none"/>
          <w:lang w:eastAsia="zh-CN"/>
        </w:rPr>
        <w:t>（浙财采监〔2025〕7号）</w:t>
      </w:r>
      <w:r>
        <w:rPr>
          <w:rFonts w:hint="eastAsia" w:ascii="宋体" w:hAnsi="宋体" w:eastAsia="宋体" w:cs="宋体"/>
          <w:color w:val="auto"/>
          <w:sz w:val="24"/>
          <w:highlight w:val="none"/>
        </w:rPr>
        <w:t>文件</w:t>
      </w:r>
      <w:r>
        <w:rPr>
          <w:rFonts w:hint="eastAsia" w:ascii="宋体" w:hAnsi="宋体" w:eastAsia="宋体" w:cs="宋体"/>
          <w:strike w:val="0"/>
          <w:dstrike w:val="0"/>
          <w:color w:val="auto"/>
          <w:sz w:val="24"/>
          <w:highlight w:val="none"/>
        </w:rPr>
        <w:t>关于“健全行政裁决机制”</w:t>
      </w:r>
      <w:r>
        <w:rPr>
          <w:rFonts w:hint="eastAsia" w:ascii="宋体" w:hAnsi="宋体" w:eastAsia="宋体" w:cs="宋体"/>
          <w:strike w:val="0"/>
          <w:color w:val="auto"/>
          <w:sz w:val="24"/>
          <w:highlight w:val="none"/>
        </w:rPr>
        <w:t>要求</w:t>
      </w:r>
      <w:r>
        <w:rPr>
          <w:rFonts w:hint="eastAsia" w:ascii="宋体" w:hAnsi="宋体" w:eastAsia="宋体" w:cs="宋体"/>
          <w:strike w:val="0"/>
          <w:color w:val="auto"/>
          <w:sz w:val="24"/>
          <w:highlight w:val="none"/>
          <w:lang w:eastAsia="zh-CN"/>
        </w:rPr>
        <w:t>，</w:t>
      </w:r>
      <w:r>
        <w:rPr>
          <w:rFonts w:hint="eastAsia" w:ascii="宋体" w:hAnsi="宋体" w:eastAsia="宋体" w:cs="宋体"/>
          <w:color w:val="auto"/>
          <w:sz w:val="24"/>
          <w:highlight w:val="none"/>
        </w:rPr>
        <w:t>质疑供应商对在线质疑答复不满意的，可在线提起投诉，路径为：政采云-项目采购-询问质疑投诉-投诉列</w:t>
      </w:r>
      <w:r>
        <w:rPr>
          <w:rFonts w:hint="eastAsia" w:ascii="宋体" w:hAnsi="宋体" w:eastAsia="宋体" w:cs="宋体"/>
          <w:color w:val="auto"/>
          <w:sz w:val="24"/>
          <w:highlight w:val="none"/>
          <w:lang w:eastAsia="zh-CN"/>
        </w:rPr>
        <w:t>表或</w:t>
      </w:r>
      <w:r>
        <w:rPr>
          <w:rFonts w:hint="eastAsia" w:ascii="宋体" w:hAnsi="宋体" w:eastAsia="宋体" w:cs="宋体"/>
          <w:color w:val="auto"/>
          <w:sz w:val="24"/>
          <w:highlight w:val="none"/>
        </w:rPr>
        <w:t>浙江</w:t>
      </w:r>
      <w:r>
        <w:rPr>
          <w:rFonts w:hint="eastAsia" w:ascii="宋体" w:hAnsi="宋体" w:eastAsia="宋体" w:cs="宋体"/>
          <w:color w:val="auto"/>
          <w:sz w:val="24"/>
          <w:highlight w:val="none"/>
          <w:lang w:eastAsia="zh-CN"/>
        </w:rPr>
        <w:t>政务</w:t>
      </w:r>
      <w:r>
        <w:rPr>
          <w:rFonts w:hint="eastAsia" w:ascii="宋体" w:hAnsi="宋体" w:eastAsia="宋体" w:cs="宋体"/>
          <w:color w:val="auto"/>
          <w:sz w:val="24"/>
          <w:highlight w:val="none"/>
        </w:rPr>
        <w:t>服务网-政府采购投诉处理-在线办理</w:t>
      </w:r>
      <w:r>
        <w:rPr>
          <w:rFonts w:hint="eastAsia" w:ascii="宋体" w:hAnsi="宋体" w:eastAsia="宋体" w:cs="宋体"/>
          <w:color w:val="auto"/>
          <w:sz w:val="24"/>
          <w:highlight w:val="none"/>
          <w:lang w:eastAsia="zh-CN"/>
        </w:rPr>
        <w:t>。</w:t>
      </w:r>
    </w:p>
    <w:p w14:paraId="0030F7E1">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22.供应商询问</w:t>
      </w:r>
    </w:p>
    <w:p w14:paraId="1670658C">
      <w:pPr>
        <w:keepNext w:val="0"/>
        <w:keepLines w:val="0"/>
        <w:pageBreakBefore w:val="0"/>
        <w:widowControl w:val="0"/>
        <w:kinsoku/>
        <w:wordWrap/>
        <w:overflowPunct/>
        <w:topLinePunct w:val="0"/>
        <w:autoSpaceDE w:val="0"/>
        <w:autoSpaceDN w:val="0"/>
        <w:bidi w:val="0"/>
        <w:adjustRightInd w:val="0"/>
        <w:spacing w:line="336" w:lineRule="auto"/>
        <w:ind w:firstLine="480" w:firstLineChars="200"/>
        <w:jc w:val="left"/>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0"/>
          <w:sz w:val="24"/>
          <w:szCs w:val="24"/>
          <w:highlight w:val="none"/>
          <w:vertAlign w:val="baseline"/>
          <w:lang w:val="zh-CN" w:eastAsia="zh-CN" w:bidi="ar-SA"/>
        </w:rPr>
        <w:t>供应商对政府采购活动事项有疑问的，可以提出询问，采购人或者采购代理机构应当在3个工作日内对供应商依法提出的询问作出答复，但答复的内容不得提供有差别的项目信息、错误解释说明、不作明确解释说明、不得涉及商业秘密或影响采购公平、公正的其他行为。供应商提出的询问超出采购人对采购代理机构委托授权范围的，采购代理机构应当告知供应商向采购人提出。供应商通过电话、现场提出询问的，采购人、采购代理机构可通过电话、现场直接答复。询问答复实质上改变了采购文件内容且影响或者可能影响供应商编制投标（响应）文件的，采购人或者采购代理机构应对采购文件进行必要的澄清或者修改，并按规定公告以及通知相关当事人。</w:t>
      </w:r>
    </w:p>
    <w:p w14:paraId="6284A630">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23.供应商质疑</w:t>
      </w:r>
    </w:p>
    <w:p w14:paraId="6600DF19">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0"/>
          <w:sz w:val="24"/>
          <w:szCs w:val="20"/>
          <w:highlight w:val="none"/>
          <w:vertAlign w:val="baseline"/>
          <w:lang w:val="en-US" w:eastAsia="zh-CN" w:bidi="ar-SA"/>
        </w:rPr>
        <w:t>23</w:t>
      </w:r>
      <w:r>
        <w:rPr>
          <w:rFonts w:hint="eastAsia" w:ascii="宋体" w:hAnsi="宋体" w:eastAsia="宋体" w:cs="宋体"/>
          <w:b/>
          <w:bCs/>
          <w:i w:val="0"/>
          <w:iCs w:val="0"/>
          <w:color w:val="auto"/>
          <w:kern w:val="2"/>
          <w:sz w:val="24"/>
          <w:szCs w:val="20"/>
          <w:highlight w:val="none"/>
          <w:vertAlign w:val="baseline"/>
          <w:lang w:val="en-US" w:eastAsia="zh-CN" w:bidi="ar-SA"/>
        </w:rPr>
        <w:t>.1质疑提出时效</w:t>
      </w:r>
    </w:p>
    <w:p w14:paraId="012D0FF1">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23.1.1提出质疑的供应商应当是参与所质疑项目采购活动的供应商。潜在供应商已依法获取其可质疑的采购文件的，可以对该文件提出质疑。</w:t>
      </w:r>
    </w:p>
    <w:p w14:paraId="0DF63992">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0"/>
          <w:sz w:val="24"/>
          <w:szCs w:val="20"/>
          <w:highlight w:val="none"/>
          <w:vertAlign w:val="baseline"/>
          <w:lang w:val="en-US" w:eastAsia="zh-CN" w:bidi="ar-SA"/>
        </w:rPr>
        <w:t>23</w:t>
      </w:r>
      <w:r>
        <w:rPr>
          <w:rFonts w:hint="eastAsia" w:ascii="宋体" w:hAnsi="宋体" w:eastAsia="宋体" w:cs="宋体"/>
          <w:b w:val="0"/>
          <w:bCs w:val="0"/>
          <w:i w:val="0"/>
          <w:iCs w:val="0"/>
          <w:color w:val="auto"/>
          <w:kern w:val="2"/>
          <w:sz w:val="24"/>
          <w:szCs w:val="20"/>
          <w:highlight w:val="none"/>
          <w:vertAlign w:val="baseline"/>
          <w:lang w:val="en-US" w:eastAsia="zh-CN" w:bidi="ar-SA"/>
        </w:rPr>
        <w:t>.1.2供应商认为采购文件、采购过程和成交结果使自己的权益受到损害的，可以在知道或者应知其权益受到损害之日起七个工作日内，鼓励用在线或以书面形式向采购人或者采购代理机构提出质疑，否则，采购人或者采购代理机构不予受理：</w:t>
      </w:r>
    </w:p>
    <w:p w14:paraId="7434EF67">
      <w:pPr>
        <w:keepNext w:val="0"/>
        <w:keepLines w:val="0"/>
        <w:pageBreakBefore w:val="0"/>
        <w:widowControl w:val="0"/>
        <w:kinsoku/>
        <w:wordWrap/>
        <w:overflowPunct/>
        <w:topLinePunct w:val="0"/>
        <w:bidi w:val="0"/>
        <w:adjustRightInd w:val="0"/>
        <w:snapToGrid w:val="0"/>
        <w:spacing w:line="336" w:lineRule="auto"/>
        <w:ind w:firstLine="434" w:firstLineChars="181"/>
        <w:jc w:val="both"/>
        <w:textAlignment w:val="auto"/>
        <w:rPr>
          <w:rFonts w:hint="eastAsia" w:ascii="宋体" w:hAnsi="宋体" w:eastAsia="宋体" w:cs="宋体"/>
          <w:b w:val="0"/>
          <w:bCs w:val="0"/>
          <w:i w:val="0"/>
          <w:iCs w:val="0"/>
          <w:snapToGrid/>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23.1.2.1对采购文件提出质疑的，质疑期限为供应商获得采购文件之日或者采购文件公告期限届满之日起计算，采购文件在获取截止之日后获得的，应当自采购文件公告期限届满之日起计算。</w:t>
      </w:r>
    </w:p>
    <w:p w14:paraId="6D248401">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23.1.2.2对采购过程提出质疑的，质疑期限为各采购程序环节结束之日起计算。</w:t>
      </w:r>
    </w:p>
    <w:p w14:paraId="1E4ED37B">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23.1.2.3对采购结果提出质疑的，质疑期限自采购结果公告期限届满之日起计算。</w:t>
      </w:r>
    </w:p>
    <w:p w14:paraId="33B72936">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color w:val="auto"/>
          <w:kern w:val="2"/>
          <w:sz w:val="24"/>
          <w:szCs w:val="20"/>
          <w:highlight w:val="none"/>
          <w:vertAlign w:val="baseline"/>
          <w:lang w:val="en-US" w:eastAsia="zh-CN" w:bidi="ar-SA"/>
        </w:rPr>
        <w:t>23.1.2.4对同一采购程序环节的质疑，供应商须一次性提出。</w:t>
      </w:r>
    </w:p>
    <w:p w14:paraId="6FE5ADBE">
      <w:pPr>
        <w:keepNext w:val="0"/>
        <w:keepLines w:val="0"/>
        <w:pageBreakBefore w:val="0"/>
        <w:widowControl w:val="0"/>
        <w:kinsoku/>
        <w:wordWrap/>
        <w:overflowPunct/>
        <w:topLinePunct w:val="0"/>
        <w:bidi w:val="0"/>
        <w:adjustRightInd w:val="0"/>
        <w:snapToGrid w:val="0"/>
        <w:spacing w:line="336" w:lineRule="auto"/>
        <w:ind w:firstLine="434" w:firstLineChars="181"/>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23.1.2.5采购文件、采购过程、中标或者成交结果发生澄清、修改、更正的，对经澄清、修改、更正的部分内容提出质疑的，为通知送达供应商之日或者澄清公告、更正公告发布之日。</w:t>
      </w:r>
    </w:p>
    <w:p w14:paraId="24E32817">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snapToGrid/>
          <w:color w:val="auto"/>
          <w:kern w:val="2"/>
          <w:sz w:val="24"/>
          <w:szCs w:val="20"/>
          <w:highlight w:val="none"/>
          <w:vertAlign w:val="baseline"/>
          <w:lang w:val="en-US" w:eastAsia="zh-CN" w:bidi="ar-SA"/>
        </w:rPr>
        <w:t>23.1.2.6</w:t>
      </w:r>
      <w:r>
        <w:rPr>
          <w:rFonts w:hint="eastAsia" w:ascii="宋体" w:hAnsi="宋体" w:eastAsia="宋体" w:cs="宋体"/>
          <w:b w:val="0"/>
          <w:bCs w:val="0"/>
          <w:i w:val="0"/>
          <w:iCs w:val="0"/>
          <w:color w:val="auto"/>
          <w:kern w:val="2"/>
          <w:sz w:val="24"/>
          <w:szCs w:val="20"/>
          <w:highlight w:val="none"/>
          <w:vertAlign w:val="baseline"/>
          <w:lang w:val="en-US" w:eastAsia="zh-CN" w:bidi="ar-SA"/>
        </w:rPr>
        <w:t>项目设立、项目预算、采购方式、组织形式、进口产品核准、采购需求调查过程、专门面向中小企业采购、合同履约等不属于可质疑事项。</w:t>
      </w:r>
    </w:p>
    <w:p w14:paraId="041AAA49">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0"/>
          <w:sz w:val="24"/>
          <w:szCs w:val="20"/>
          <w:highlight w:val="none"/>
          <w:vertAlign w:val="baseline"/>
          <w:lang w:val="en-US" w:eastAsia="zh-CN" w:bidi="ar-SA"/>
        </w:rPr>
        <w:t>23</w:t>
      </w:r>
      <w:r>
        <w:rPr>
          <w:rFonts w:hint="eastAsia" w:ascii="宋体" w:hAnsi="宋体" w:eastAsia="宋体" w:cs="宋体"/>
          <w:b/>
          <w:bCs/>
          <w:i w:val="0"/>
          <w:iCs w:val="0"/>
          <w:color w:val="auto"/>
          <w:kern w:val="0"/>
          <w:sz w:val="24"/>
          <w:szCs w:val="20"/>
          <w:highlight w:val="none"/>
          <w:vertAlign w:val="baseline"/>
          <w:lang w:val="zh-CN" w:eastAsia="zh-CN" w:bidi="ar-SA"/>
        </w:rPr>
        <w:t>.</w:t>
      </w:r>
      <w:r>
        <w:rPr>
          <w:rFonts w:hint="eastAsia" w:ascii="宋体" w:hAnsi="宋体" w:eastAsia="宋体" w:cs="宋体"/>
          <w:b/>
          <w:bCs/>
          <w:i w:val="0"/>
          <w:iCs w:val="0"/>
          <w:color w:val="auto"/>
          <w:kern w:val="0"/>
          <w:sz w:val="24"/>
          <w:szCs w:val="20"/>
          <w:highlight w:val="none"/>
          <w:vertAlign w:val="baseline"/>
          <w:lang w:val="en-US" w:eastAsia="zh-CN" w:bidi="ar-SA"/>
        </w:rPr>
        <w:t>2</w:t>
      </w:r>
      <w:r>
        <w:rPr>
          <w:rFonts w:hint="eastAsia" w:ascii="宋体" w:hAnsi="宋体" w:eastAsia="宋体" w:cs="宋体"/>
          <w:b/>
          <w:bCs/>
          <w:i w:val="0"/>
          <w:iCs w:val="0"/>
          <w:color w:val="auto"/>
          <w:kern w:val="0"/>
          <w:sz w:val="24"/>
          <w:szCs w:val="20"/>
          <w:highlight w:val="none"/>
          <w:vertAlign w:val="baseline"/>
          <w:lang w:val="zh-CN" w:eastAsia="zh-CN" w:bidi="ar-SA"/>
        </w:rPr>
        <w:t>质疑函</w:t>
      </w:r>
    </w:p>
    <w:p w14:paraId="2A6B0588">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23.2.1供应商提出质疑应当提交质疑函和必要的证明材料。质疑函应当包括下列内容：</w:t>
      </w:r>
    </w:p>
    <w:p w14:paraId="5BDC4BF7">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供应商的姓名或者名称、地址、邮编、联系人及联系电话；</w:t>
      </w:r>
    </w:p>
    <w:p w14:paraId="69DA0F09">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质疑项目的名称、编号；</w:t>
      </w:r>
    </w:p>
    <w:p w14:paraId="53689B70">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具体、明确的质疑事项和与质疑事项相关的请求；</w:t>
      </w:r>
    </w:p>
    <w:p w14:paraId="736744DC">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事实依据；</w:t>
      </w:r>
    </w:p>
    <w:p w14:paraId="0C84B2B2">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必要的法律依据；</w:t>
      </w:r>
    </w:p>
    <w:p w14:paraId="5FBBF683">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4"/>
          <w:highlight w:val="none"/>
          <w:vertAlign w:val="baseline"/>
          <w:lang w:val="en-US" w:eastAsia="zh-CN" w:bidi="ar-SA"/>
        </w:rPr>
        <w:t>提出质疑的日期。</w:t>
      </w:r>
    </w:p>
    <w:p w14:paraId="09A89C34">
      <w:pPr>
        <w:keepNext w:val="0"/>
        <w:keepLines w:val="0"/>
        <w:pageBreakBefore w:val="0"/>
        <w:widowControl w:val="0"/>
        <w:kinsoku/>
        <w:wordWrap/>
        <w:overflowPunct/>
        <w:topLinePunct w:val="0"/>
        <w:bidi w:val="0"/>
        <w:adjustRightInd w:val="0"/>
        <w:spacing w:line="336" w:lineRule="auto"/>
        <w:ind w:firstLine="480" w:firstLineChars="200"/>
        <w:jc w:val="both"/>
        <w:textAlignment w:val="auto"/>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供应商提交的质疑函需一式三份。供应商为自然人的，应当由本人签字；供应商为法人或者其他组织的，应当由法定代表人、主要负责人，或者其授权代表签字或者盖章，并加盖公章。</w:t>
      </w:r>
    </w:p>
    <w:p w14:paraId="10588A14">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采购代理机构应向质疑供应商出具签收回执，注明接收日期。</w:t>
      </w:r>
    </w:p>
    <w:p w14:paraId="5291F744">
      <w:pPr>
        <w:keepNext w:val="0"/>
        <w:keepLines w:val="0"/>
        <w:pageBreakBefore w:val="0"/>
        <w:widowControl w:val="0"/>
        <w:kinsoku/>
        <w:wordWrap/>
        <w:overflowPunct/>
        <w:topLinePunct w:val="0"/>
        <w:bidi w:val="0"/>
        <w:adjustRightInd w:val="0"/>
        <w:spacing w:line="336" w:lineRule="auto"/>
        <w:ind w:firstLine="482" w:firstLineChars="200"/>
        <w:jc w:val="both"/>
        <w:textAlignment w:val="auto"/>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供应商不得通过提出质疑、撤回质疑等方式谋取不正当利益，实施敲诈勒索、强迫交易的，依法承担法律责任。</w:t>
      </w:r>
    </w:p>
    <w:p w14:paraId="3004E494">
      <w:pPr>
        <w:adjustRightInd w:val="0"/>
        <w:spacing w:line="336" w:lineRule="auto"/>
        <w:ind w:firstLine="482" w:firstLineChars="200"/>
        <w:jc w:val="both"/>
        <w:rPr>
          <w:rFonts w:hint="eastAsia" w:ascii="宋体" w:hAnsi="宋体" w:eastAsia="宋体" w:cs="宋体"/>
          <w:b/>
          <w:color w:val="auto"/>
          <w:sz w:val="32"/>
          <w:szCs w:val="32"/>
          <w:highlight w:val="none"/>
        </w:rPr>
      </w:pPr>
      <w:r>
        <w:rPr>
          <w:rFonts w:hint="eastAsia" w:ascii="宋体" w:hAnsi="宋体" w:eastAsia="宋体" w:cs="宋体"/>
          <w:b/>
          <w:bCs/>
          <w:i w:val="0"/>
          <w:iCs w:val="0"/>
          <w:color w:val="auto"/>
          <w:kern w:val="2"/>
          <w:sz w:val="24"/>
          <w:szCs w:val="24"/>
          <w:highlight w:val="none"/>
          <w:vertAlign w:val="baseline"/>
          <w:lang w:val="en-US" w:eastAsia="zh-CN" w:bidi="ar-SA"/>
        </w:rPr>
        <w:t>24.供应商投诉</w:t>
      </w:r>
    </w:p>
    <w:p w14:paraId="19B7AB6D">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24.1质疑供应商对采购人或采购代理机构的答复不满意或者采购人、采购代理机构未在规定的时间内作出答复的，可以在答复期满后十五个工作日内向同级政府采购监督管理部门提出投诉。</w:t>
      </w:r>
    </w:p>
    <w:p w14:paraId="418ADDC0">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24.2供应商投诉的事项不得超出已质疑事项的范围，基于质疑答复内容提出的投诉事项除外。</w:t>
      </w:r>
    </w:p>
    <w:p w14:paraId="4D8BD240">
      <w:pPr>
        <w:adjustRightInd w:val="0"/>
        <w:spacing w:line="336" w:lineRule="auto"/>
        <w:ind w:firstLine="480" w:firstLineChars="200"/>
        <w:jc w:val="both"/>
        <w:rPr>
          <w:rFonts w:hint="eastAsia" w:ascii="宋体" w:hAnsi="宋体" w:eastAsia="宋体" w:cs="宋体"/>
          <w:b/>
          <w:color w:val="auto"/>
          <w:sz w:val="32"/>
          <w:szCs w:val="32"/>
          <w:highlight w:val="none"/>
        </w:rPr>
      </w:pPr>
      <w:r>
        <w:rPr>
          <w:rFonts w:hint="eastAsia" w:ascii="宋体" w:hAnsi="宋体" w:eastAsia="宋体" w:cs="宋体"/>
          <w:b w:val="0"/>
          <w:bCs w:val="0"/>
          <w:i w:val="0"/>
          <w:iCs w:val="0"/>
          <w:color w:val="auto"/>
          <w:kern w:val="2"/>
          <w:sz w:val="24"/>
          <w:szCs w:val="20"/>
          <w:highlight w:val="none"/>
          <w:vertAlign w:val="baseline"/>
          <w:lang w:val="en-US" w:eastAsia="zh-CN" w:bidi="ar-SA"/>
        </w:rPr>
        <w:t>24.3供应商投诉应当有明确的请求和必要的证明材料。</w:t>
      </w:r>
    </w:p>
    <w:p w14:paraId="6EDFDC16">
      <w:pPr>
        <w:adjustRightInd w:val="0"/>
        <w:spacing w:line="336" w:lineRule="auto"/>
        <w:ind w:firstLine="480" w:firstLineChars="200"/>
        <w:jc w:val="both"/>
        <w:rPr>
          <w:rFonts w:hint="eastAsia" w:ascii="宋体" w:hAnsi="宋体" w:eastAsia="宋体" w:cs="宋体"/>
          <w:b w:val="0"/>
          <w:bCs w:val="0"/>
          <w:i w:val="0"/>
          <w:iCs w:val="0"/>
          <w:color w:val="auto"/>
          <w:kern w:val="2"/>
          <w:sz w:val="24"/>
          <w:szCs w:val="20"/>
          <w:highlight w:val="none"/>
          <w:vertAlign w:val="baseline"/>
          <w:lang w:val="en-US" w:eastAsia="zh-CN" w:bidi="ar-SA"/>
        </w:rPr>
      </w:pPr>
      <w:r>
        <w:rPr>
          <w:rFonts w:hint="eastAsia" w:ascii="宋体" w:hAnsi="宋体" w:eastAsia="宋体" w:cs="宋体"/>
          <w:b w:val="0"/>
          <w:bCs w:val="0"/>
          <w:i w:val="0"/>
          <w:iCs w:val="0"/>
          <w:color w:val="auto"/>
          <w:kern w:val="2"/>
          <w:sz w:val="24"/>
          <w:szCs w:val="20"/>
          <w:highlight w:val="none"/>
          <w:vertAlign w:val="baseline"/>
          <w:lang w:val="en-US" w:eastAsia="zh-CN" w:bidi="ar-SA"/>
        </w:rPr>
        <w:t>24.4以联合体形式参加政府采购活动的，其投诉应当由组成联合体的所有供应商共同提出。</w:t>
      </w:r>
    </w:p>
    <w:p w14:paraId="611ADCEB">
      <w:pPr>
        <w:adjustRightInd w:val="0"/>
        <w:spacing w:line="336" w:lineRule="auto"/>
        <w:ind w:firstLine="482" w:firstLineChars="200"/>
        <w:jc w:val="both"/>
        <w:rPr>
          <w:rFonts w:hint="eastAsia" w:ascii="宋体" w:hAnsi="宋体" w:eastAsia="宋体" w:cs="宋体"/>
          <w:b/>
          <w:bCs/>
          <w:i w:val="0"/>
          <w:iCs w:val="0"/>
          <w:color w:val="auto"/>
          <w:kern w:val="2"/>
          <w:sz w:val="24"/>
          <w:szCs w:val="20"/>
          <w:highlight w:val="none"/>
          <w:vertAlign w:val="baseline"/>
          <w:lang w:val="en-US" w:eastAsia="zh-CN" w:bidi="ar-SA"/>
        </w:rPr>
      </w:pPr>
      <w:r>
        <w:rPr>
          <w:rFonts w:hint="eastAsia" w:ascii="宋体" w:hAnsi="宋体" w:eastAsia="宋体" w:cs="宋体"/>
          <w:b/>
          <w:bCs/>
          <w:i w:val="0"/>
          <w:iCs w:val="0"/>
          <w:color w:val="auto"/>
          <w:kern w:val="2"/>
          <w:sz w:val="24"/>
          <w:szCs w:val="20"/>
          <w:highlight w:val="none"/>
          <w:vertAlign w:val="baseline"/>
          <w:lang w:val="en-US" w:eastAsia="zh-CN" w:bidi="ar-SA"/>
        </w:rPr>
        <w:t>24.5供应商在全国范围12个月内三次以上质疑不成立提起投诉查无实据的，由财政部门列入不良行为记录名单。</w:t>
      </w:r>
    </w:p>
    <w:p w14:paraId="4AE8824B">
      <w:pPr>
        <w:adjustRightInd w:val="0"/>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解释权</w:t>
      </w:r>
    </w:p>
    <w:p w14:paraId="63C15700">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磋商文件的解释权均属于</w:t>
      </w:r>
      <w:r>
        <w:rPr>
          <w:rFonts w:hint="eastAsia" w:ascii="宋体" w:hAnsi="宋体" w:cs="宋体"/>
          <w:color w:val="auto"/>
          <w:sz w:val="24"/>
          <w:highlight w:val="none"/>
          <w:u w:val="single"/>
          <w:lang w:eastAsia="zh-CN"/>
        </w:rPr>
        <w:t>绍兴市上虞区曹娥街道社区卫生服务中心</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u w:val="single"/>
          <w:lang w:eastAsia="zh-CN"/>
        </w:rPr>
        <w:t>绍兴市上虞区公共资源交易中心</w:t>
      </w:r>
      <w:r>
        <w:rPr>
          <w:rFonts w:hint="eastAsia" w:ascii="宋体" w:hAnsi="宋体" w:eastAsia="宋体" w:cs="宋体"/>
          <w:color w:val="auto"/>
          <w:sz w:val="24"/>
          <w:szCs w:val="24"/>
          <w:highlight w:val="none"/>
        </w:rPr>
        <w:t>。</w:t>
      </w:r>
    </w:p>
    <w:p w14:paraId="35866F5F">
      <w:pPr>
        <w:pStyle w:val="2"/>
        <w:jc w:val="center"/>
        <w:rPr>
          <w:rFonts w:hint="eastAsia" w:ascii="宋体" w:hAnsi="宋体" w:eastAsia="宋体" w:cs="宋体"/>
          <w:color w:val="auto"/>
          <w:sz w:val="36"/>
          <w:szCs w:val="36"/>
          <w:highlight w:val="none"/>
        </w:rPr>
      </w:pPr>
      <w:bookmarkStart w:id="91" w:name="_Toc21248"/>
      <w:bookmarkStart w:id="92" w:name="_Toc17731"/>
      <w:bookmarkStart w:id="93" w:name="_Toc7688"/>
      <w:r>
        <w:rPr>
          <w:rFonts w:hint="eastAsia" w:ascii="宋体" w:hAnsi="宋体" w:eastAsia="宋体" w:cs="宋体"/>
          <w:color w:val="auto"/>
          <w:sz w:val="36"/>
          <w:szCs w:val="36"/>
          <w:highlight w:val="none"/>
        </w:rPr>
        <w:t>第三部分 采购内容及要求</w:t>
      </w:r>
      <w:bookmarkEnd w:id="91"/>
      <w:bookmarkEnd w:id="92"/>
      <w:bookmarkEnd w:id="93"/>
    </w:p>
    <w:p w14:paraId="24FF859D">
      <w:pPr>
        <w:pStyle w:val="3"/>
        <w:bidi w:val="0"/>
        <w:jc w:val="center"/>
        <w:rPr>
          <w:rFonts w:hint="eastAsia" w:ascii="宋体" w:hAnsi="宋体" w:eastAsia="宋体" w:cs="宋体"/>
          <w:color w:val="auto"/>
          <w:sz w:val="28"/>
          <w:szCs w:val="28"/>
          <w:highlight w:val="none"/>
        </w:rPr>
      </w:pPr>
      <w:bookmarkStart w:id="94" w:name="_Toc8750"/>
      <w:bookmarkStart w:id="95" w:name="_Toc15284"/>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章　采购内容及要求</w:t>
      </w:r>
      <w:bookmarkEnd w:id="94"/>
    </w:p>
    <w:p w14:paraId="0F1A8C73">
      <w:pPr>
        <w:numPr>
          <w:ilvl w:val="0"/>
          <w:numId w:val="14"/>
        </w:numPr>
        <w:spacing w:line="360" w:lineRule="auto"/>
        <w:ind w:firstLine="482" w:firstLineChars="200"/>
        <w:rPr>
          <w:rFonts w:hint="eastAsia" w:ascii="宋体" w:hAnsi="宋体" w:cs="宋体"/>
          <w:b/>
          <w:bCs/>
          <w:color w:val="auto"/>
          <w:sz w:val="24"/>
          <w:highlight w:val="none"/>
        </w:rPr>
      </w:pPr>
      <w:bookmarkStart w:id="96" w:name="_Toc19604"/>
      <w:bookmarkStart w:id="97" w:name="_Toc23971"/>
      <w:bookmarkStart w:id="98" w:name="_Toc28855"/>
      <w:bookmarkStart w:id="99" w:name="_Toc23926"/>
      <w:bookmarkStart w:id="100" w:name="_Toc26793"/>
      <w:bookmarkStart w:id="101" w:name="_Toc18895"/>
      <w:r>
        <w:rPr>
          <w:rFonts w:hint="eastAsia" w:ascii="宋体" w:hAnsi="宋体" w:cs="宋体"/>
          <w:b/>
          <w:bCs/>
          <w:color w:val="auto"/>
          <w:sz w:val="24"/>
          <w:highlight w:val="none"/>
        </w:rPr>
        <w:t>项目概况</w:t>
      </w:r>
    </w:p>
    <w:p w14:paraId="7C3C085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绍兴市上虞区曹娥街道社区卫生服务中心物业管理服务</w:t>
      </w:r>
      <w:r>
        <w:rPr>
          <w:rFonts w:hint="eastAsia" w:ascii="宋体" w:hAnsi="宋体" w:cs="宋体"/>
          <w:color w:val="auto"/>
          <w:sz w:val="24"/>
          <w:highlight w:val="none"/>
          <w:lang w:val="en-US" w:eastAsia="zh-CN"/>
        </w:rPr>
        <w:t>项目服务内容</w:t>
      </w:r>
      <w:r>
        <w:rPr>
          <w:rFonts w:hint="eastAsia" w:ascii="宋体" w:hAnsi="宋体" w:cs="宋体"/>
          <w:color w:val="auto"/>
          <w:sz w:val="24"/>
          <w:highlight w:val="none"/>
        </w:rPr>
        <w:t>包括</w:t>
      </w:r>
      <w:r>
        <w:rPr>
          <w:rFonts w:hint="eastAsia" w:ascii="宋体" w:hAnsi="宋体" w:cs="宋体"/>
          <w:color w:val="auto"/>
          <w:sz w:val="24"/>
          <w:highlight w:val="none"/>
          <w:lang w:val="en-US" w:eastAsia="zh-CN"/>
        </w:rPr>
        <w:t>但不限于医院以及下属五个卫生站内的卫生保洁、安保消控管理、医疗废物收集、物品配送服务、绿化养护等。</w:t>
      </w:r>
    </w:p>
    <w:p w14:paraId="3D02D915">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服务期限</w:t>
      </w:r>
    </w:p>
    <w:p w14:paraId="75723F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本次采购的物业管理服务年限定为</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年，具体时间以合同签订期限为准。</w:t>
      </w:r>
    </w:p>
    <w:p w14:paraId="43F542D8">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供应商服务范围</w:t>
      </w:r>
    </w:p>
    <w:p w14:paraId="24BA2A19">
      <w:pPr>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w:t>
      </w:r>
    </w:p>
    <w:p w14:paraId="7ED29C1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保洁服务区域为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现有医院</w:t>
      </w:r>
      <w:r>
        <w:rPr>
          <w:rFonts w:hint="eastAsia" w:ascii="宋体" w:hAnsi="宋体" w:cs="宋体"/>
          <w:color w:val="auto"/>
          <w:sz w:val="24"/>
          <w:highlight w:val="none"/>
          <w:lang w:val="en-US" w:eastAsia="zh-CN"/>
        </w:rPr>
        <w:t>以及下属五个卫生站点</w:t>
      </w:r>
      <w:r>
        <w:rPr>
          <w:rFonts w:hint="eastAsia" w:ascii="宋体" w:hAnsi="宋体" w:eastAsia="宋体" w:cs="宋体"/>
          <w:color w:val="auto"/>
          <w:sz w:val="24"/>
          <w:szCs w:val="24"/>
          <w:highlight w:val="none"/>
        </w:rPr>
        <w:t>范围内所有公共场所、建筑物内的卫生保洁</w:t>
      </w:r>
      <w:r>
        <w:rPr>
          <w:rFonts w:hint="eastAsia" w:ascii="宋体" w:hAnsi="宋体" w:eastAsia="宋体" w:cs="宋体"/>
          <w:color w:val="auto"/>
          <w:sz w:val="24"/>
          <w:szCs w:val="24"/>
          <w:highlight w:val="none"/>
          <w:lang w:val="en-US" w:eastAsia="zh-CN"/>
        </w:rPr>
        <w:t>养护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地面、墙面、天花板等各区域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、电梯保养、垃圾分类、医疗废物及生活垃圾回收工作等。</w:t>
      </w:r>
    </w:p>
    <w:p w14:paraId="09B41346">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保洁服务要求为：在合同期内按照医院工作的服务需要，承担清卫设备配备、负责清卫工具、清卫桶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袋（除医疗废物收集容器、袋以外）等相关材料的及时供应，严格按照合同各项服务标准，做好各项服务工作，保障医院日常工作正常运行。</w:t>
      </w:r>
    </w:p>
    <w:p w14:paraId="40679CB6">
      <w:pPr>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安保消控</w:t>
      </w:r>
    </w:p>
    <w:p w14:paraId="31DD4A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安保消控</w:t>
      </w:r>
      <w:r>
        <w:rPr>
          <w:rFonts w:hint="eastAsia" w:ascii="宋体" w:hAnsi="宋体" w:eastAsia="宋体" w:cs="宋体"/>
          <w:color w:val="auto"/>
          <w:sz w:val="24"/>
          <w:szCs w:val="24"/>
          <w:highlight w:val="none"/>
        </w:rPr>
        <w:t>服务区域为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全院范围</w:t>
      </w:r>
      <w:r>
        <w:rPr>
          <w:rFonts w:hint="eastAsia" w:ascii="宋体" w:hAnsi="宋体" w:eastAsia="宋体" w:cs="宋体"/>
          <w:color w:val="auto"/>
          <w:sz w:val="24"/>
          <w:szCs w:val="24"/>
          <w:highlight w:val="none"/>
        </w:rPr>
        <w:t>。</w:t>
      </w:r>
    </w:p>
    <w:p w14:paraId="0696E32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消控服务要求为：在合同期内按照医院工作的服务需要，承担24小时全天候消防治安监控、消防巡查、设备报警处置及联动、发生火灾后第一时间应急处置和灭火疏散，同时承担医院门卫、医疗维序、安保等工作，保障医院日常工作正常运行。</w:t>
      </w:r>
    </w:p>
    <w:p w14:paraId="4181F3D7">
      <w:pPr>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医疗废物收集及物品配送服务</w:t>
      </w:r>
    </w:p>
    <w:p w14:paraId="73D60228">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范围：现有医院</w:t>
      </w:r>
      <w:r>
        <w:rPr>
          <w:rFonts w:hint="eastAsia" w:ascii="宋体" w:hAnsi="宋体" w:cs="宋体"/>
          <w:color w:val="auto"/>
          <w:sz w:val="24"/>
          <w:highlight w:val="none"/>
          <w:lang w:val="en-US" w:eastAsia="zh-CN"/>
        </w:rPr>
        <w:t>以及下属五个卫生站点</w:t>
      </w:r>
      <w:r>
        <w:rPr>
          <w:rFonts w:hint="eastAsia" w:ascii="宋体" w:hAnsi="宋体" w:eastAsia="宋体" w:cs="宋体"/>
          <w:color w:val="auto"/>
          <w:sz w:val="24"/>
          <w:szCs w:val="24"/>
          <w:highlight w:val="none"/>
        </w:rPr>
        <w:t>产生的医疗垃圾及生活垃圾。</w:t>
      </w:r>
    </w:p>
    <w:p w14:paraId="0C04ACF4">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回收工作职责：根据保洁要求，每天产生的垃圾必须及时收集运送到医院指定垃圾存放地点统一打包，垃圾收集点每天必须清理干净，医疗垃圾存放时间不得超过24小时，并做好消防安全及防盗防偷工作，严禁在医院走廊、 电梯厅等一些公共场所临时堆放。</w:t>
      </w:r>
    </w:p>
    <w:p w14:paraId="0271B0C1">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严禁私自出售医疗垃圾及其它医院不允许出售的物品，一经发现除追查、归还物品外，并处以出售所得的十倍罚款，发生违法行为的负全部法律责任。</w:t>
      </w:r>
    </w:p>
    <w:p w14:paraId="07E56ACB">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医疗、生活垃圾从产生处到垃圾房的周转车由采购人提供。</w:t>
      </w:r>
    </w:p>
    <w:p w14:paraId="7796D948">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生活垃圾及医疗垃圾转运车在转运垃圾途中，垃圾不得高于垃圾车。</w:t>
      </w:r>
    </w:p>
    <w:p w14:paraId="5BBFA13F">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做好医疗垃圾登记工作，并存档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随时接受医院及第三方检查。</w:t>
      </w:r>
    </w:p>
    <w:p w14:paraId="71BF4337">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及时清洗垃圾桶表面（含膳食科）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根据院感要求做好紫外线消毒、转运车的清洗消毒工作。</w:t>
      </w:r>
    </w:p>
    <w:p w14:paraId="25B5D875">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严格按照医院指定的路线运送垃圾，严格使用医院指定的电梯运送垃圾。</w:t>
      </w:r>
    </w:p>
    <w:p w14:paraId="260B9CD2">
      <w:pPr>
        <w:keepNext w:val="0"/>
        <w:keepLines w:val="0"/>
        <w:pageBreakBefore w:val="0"/>
        <w:widowControl w:val="0"/>
        <w:numPr>
          <w:ilvl w:val="0"/>
          <w:numId w:val="16"/>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做好个人防护工作，做好每年一次体检工作。</w:t>
      </w:r>
    </w:p>
    <w:p w14:paraId="7728DCB0">
      <w:pPr>
        <w:keepNext w:val="0"/>
        <w:keepLines w:val="0"/>
        <w:pageBreakBefore w:val="0"/>
        <w:widowControl w:val="0"/>
        <w:numPr>
          <w:ilvl w:val="0"/>
          <w:numId w:val="15"/>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污水处理及绿化养护</w:t>
      </w:r>
    </w:p>
    <w:p w14:paraId="183D715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服务区域为：全院范围。</w:t>
      </w:r>
    </w:p>
    <w:p w14:paraId="664B70A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服务要求为：承担绿化养护工作，根据花木生长季节性需要进行浇水、拔草、修剪等。污水池根据实际情况及时提前进行清掏</w:t>
      </w:r>
      <w:r>
        <w:rPr>
          <w:rFonts w:hint="eastAsia" w:ascii="宋体" w:hAnsi="宋体" w:cs="宋体"/>
          <w:color w:val="auto"/>
          <w:sz w:val="24"/>
          <w:szCs w:val="24"/>
          <w:highlight w:val="none"/>
          <w:lang w:val="en-US" w:eastAsia="zh-CN"/>
        </w:rPr>
        <w:t>。</w:t>
      </w:r>
    </w:p>
    <w:p w14:paraId="26D6B2A9">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服务内容要求</w:t>
      </w:r>
    </w:p>
    <w:p w14:paraId="40011C29">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物业管理供应商应按本次招标的范围及内容，并结合自身的实际情况，按专业、工种配备相关的人员。</w:t>
      </w:r>
    </w:p>
    <w:p w14:paraId="4DF3E5F0">
      <w:pPr>
        <w:pStyle w:val="113"/>
        <w:ind w:left="0" w:leftChars="0" w:firstLine="0" w:firstLineChars="0"/>
        <w:jc w:val="center"/>
        <w:rPr>
          <w:rFonts w:hint="eastAsia"/>
          <w:color w:val="auto"/>
          <w:highlight w:val="none"/>
          <w:lang w:val="en-US" w:eastAsia="zh-CN"/>
        </w:rPr>
      </w:pPr>
      <w:r>
        <w:rPr>
          <w:rFonts w:hint="eastAsia" w:ascii="宋体" w:hAnsi="宋体" w:cs="宋体"/>
          <w:b/>
          <w:bCs/>
          <w:color w:val="auto"/>
          <w:sz w:val="24"/>
          <w:highlight w:val="none"/>
          <w:lang w:eastAsia="zh-CN"/>
        </w:rPr>
        <w:t>岗位</w:t>
      </w:r>
      <w:r>
        <w:rPr>
          <w:rFonts w:hint="eastAsia" w:hAnsi="宋体" w:cs="宋体"/>
          <w:b/>
          <w:bCs/>
          <w:color w:val="auto"/>
          <w:sz w:val="24"/>
          <w:highlight w:val="none"/>
          <w:lang w:val="en-US" w:eastAsia="zh-CN"/>
        </w:rPr>
        <w:t>需求</w:t>
      </w:r>
      <w:r>
        <w:rPr>
          <w:rFonts w:hint="eastAsia" w:ascii="宋体" w:hAnsi="宋体" w:cs="宋体"/>
          <w:b/>
          <w:bCs/>
          <w:color w:val="auto"/>
          <w:sz w:val="24"/>
          <w:highlight w:val="none"/>
          <w:lang w:eastAsia="zh-CN"/>
        </w:rPr>
        <w:t>表</w:t>
      </w:r>
    </w:p>
    <w:p w14:paraId="7674B8C6">
      <w:pPr>
        <w:pStyle w:val="7"/>
        <w:rPr>
          <w:rFonts w:hint="eastAsia"/>
          <w:color w:val="auto"/>
          <w:highlight w:val="none"/>
        </w:rPr>
      </w:pPr>
    </w:p>
    <w:tbl>
      <w:tblPr>
        <w:tblStyle w:val="28"/>
        <w:tblW w:w="93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8"/>
        <w:gridCol w:w="2362"/>
        <w:gridCol w:w="4662"/>
        <w:gridCol w:w="1377"/>
      </w:tblGrid>
      <w:tr w14:paraId="45CDD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239317D">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2362" w:type="dxa"/>
            <w:noWrap w:val="0"/>
            <w:vAlign w:val="center"/>
          </w:tcPr>
          <w:p w14:paraId="7436E03B">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val="en-US" w:eastAsia="zh-CN"/>
              </w:rPr>
              <w:t>需求</w:t>
            </w:r>
          </w:p>
        </w:tc>
        <w:tc>
          <w:tcPr>
            <w:tcW w:w="6039" w:type="dxa"/>
            <w:gridSpan w:val="2"/>
            <w:noWrap w:val="0"/>
            <w:vAlign w:val="center"/>
          </w:tcPr>
          <w:p w14:paraId="4DD16064">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eastAsia="zh-CN"/>
              </w:rPr>
              <w:t>职责</w:t>
            </w:r>
            <w:r>
              <w:rPr>
                <w:rFonts w:hint="eastAsia" w:ascii="宋体" w:hAnsi="宋体" w:eastAsia="宋体" w:cs="宋体"/>
                <w:b/>
                <w:color w:val="auto"/>
                <w:sz w:val="24"/>
                <w:szCs w:val="24"/>
                <w:highlight w:val="none"/>
                <w:lang w:val="en-US" w:eastAsia="zh-CN"/>
              </w:rPr>
              <w:t>要求</w:t>
            </w:r>
          </w:p>
        </w:tc>
      </w:tr>
      <w:tr w14:paraId="7F1C7E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99" w:type="dxa"/>
            <w:gridSpan w:val="4"/>
            <w:noWrap w:val="0"/>
            <w:vAlign w:val="center"/>
          </w:tcPr>
          <w:p w14:paraId="3EF1EFE2">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综合管理</w:t>
            </w:r>
          </w:p>
        </w:tc>
      </w:tr>
      <w:tr w14:paraId="0BA15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2E21BC8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62" w:type="dxa"/>
            <w:noWrap w:val="0"/>
            <w:vAlign w:val="center"/>
          </w:tcPr>
          <w:p w14:paraId="69FF57E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lang w:val="en-US" w:eastAsia="zh-CN"/>
              </w:rPr>
              <w:t>岗位</w:t>
            </w:r>
          </w:p>
        </w:tc>
        <w:tc>
          <w:tcPr>
            <w:tcW w:w="6039" w:type="dxa"/>
            <w:gridSpan w:val="2"/>
            <w:noWrap w:val="0"/>
            <w:vAlign w:val="center"/>
          </w:tcPr>
          <w:p w14:paraId="5FAF25B5">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负责物业服务管理工作，全面负责员工的招聘、培训、考勤、考核、工作安排等，做好与采购人的沟通、协调（允许兼任）</w:t>
            </w:r>
            <w:r>
              <w:rPr>
                <w:rFonts w:hint="eastAsia" w:ascii="宋体" w:hAnsi="宋体" w:cs="宋体"/>
                <w:color w:val="auto"/>
                <w:sz w:val="24"/>
                <w:szCs w:val="24"/>
                <w:highlight w:val="none"/>
                <w:lang w:val="en-US" w:eastAsia="zh-CN"/>
              </w:rPr>
              <w:t>。</w:t>
            </w:r>
          </w:p>
        </w:tc>
      </w:tr>
      <w:tr w14:paraId="5F8D4A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99" w:type="dxa"/>
            <w:gridSpan w:val="4"/>
            <w:noWrap w:val="0"/>
            <w:vAlign w:val="center"/>
          </w:tcPr>
          <w:p w14:paraId="676A938B">
            <w:pPr>
              <w:tabs>
                <w:tab w:val="left" w:pos="5129"/>
              </w:tabs>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二、服务岗</w:t>
            </w:r>
            <w:r>
              <w:rPr>
                <w:rFonts w:hint="eastAsia" w:ascii="宋体" w:hAnsi="宋体" w:eastAsia="宋体" w:cs="宋体"/>
                <w:color w:val="auto"/>
                <w:sz w:val="24"/>
                <w:szCs w:val="24"/>
                <w:highlight w:val="none"/>
                <w:lang w:val="en-US" w:eastAsia="zh-CN"/>
              </w:rPr>
              <w:tab/>
            </w:r>
          </w:p>
        </w:tc>
      </w:tr>
      <w:tr w14:paraId="0390E4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3732C1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62" w:type="dxa"/>
            <w:noWrap w:val="0"/>
            <w:vAlign w:val="center"/>
          </w:tcPr>
          <w:p w14:paraId="6A3ED27A">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门诊一号保洁岗</w:t>
            </w:r>
          </w:p>
        </w:tc>
        <w:tc>
          <w:tcPr>
            <w:tcW w:w="4662" w:type="dxa"/>
            <w:noWrap w:val="0"/>
            <w:vAlign w:val="center"/>
          </w:tcPr>
          <w:p w14:paraId="6F1099AA">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负责门诊1楼的大厅、公共厕所、走廊、输液厅、各科室、办公室、消防通道等的卫生。</w:t>
            </w:r>
          </w:p>
        </w:tc>
        <w:tc>
          <w:tcPr>
            <w:tcW w:w="1377" w:type="dxa"/>
            <w:vMerge w:val="restart"/>
            <w:noWrap w:val="0"/>
            <w:vAlign w:val="center"/>
          </w:tcPr>
          <w:p w14:paraId="4899C3FB">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负责医疗垃圾清运，地面清洁养护，玻璃、纱窗、天花板等区域清洁、电梯保养等。</w:t>
            </w:r>
          </w:p>
        </w:tc>
      </w:tr>
      <w:tr w14:paraId="01E1F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BFF6CD0">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62" w:type="dxa"/>
            <w:shd w:val="clear" w:color="auto" w:fill="auto"/>
            <w:noWrap w:val="0"/>
            <w:vAlign w:val="center"/>
          </w:tcPr>
          <w:p w14:paraId="2D999F8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1D5BF9B2">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负责门诊1楼的大厅、公共厕所、走廊、输液厅、各科室、办公室、消防通道等的卫生。</w:t>
            </w:r>
          </w:p>
        </w:tc>
        <w:tc>
          <w:tcPr>
            <w:tcW w:w="1377" w:type="dxa"/>
            <w:vMerge w:val="continue"/>
            <w:noWrap w:val="0"/>
            <w:vAlign w:val="center"/>
          </w:tcPr>
          <w:p w14:paraId="787A4855">
            <w:pPr>
              <w:jc w:val="both"/>
              <w:rPr>
                <w:rFonts w:hint="eastAsia" w:ascii="宋体" w:hAnsi="宋体" w:eastAsia="宋体" w:cs="宋体"/>
                <w:color w:val="auto"/>
                <w:sz w:val="24"/>
                <w:szCs w:val="24"/>
                <w:highlight w:val="none"/>
                <w:lang w:val="en-US" w:eastAsia="zh-CN"/>
              </w:rPr>
            </w:pPr>
          </w:p>
        </w:tc>
      </w:tr>
      <w:tr w14:paraId="0CAB89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7064F63">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62" w:type="dxa"/>
            <w:shd w:val="clear" w:color="auto" w:fill="auto"/>
            <w:noWrap w:val="0"/>
            <w:vAlign w:val="center"/>
          </w:tcPr>
          <w:p w14:paraId="7E51AB1A">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6E03C821">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楼的大厅、公共厕所、走廊、各科室、办公室、消防通道等的卫生。</w:t>
            </w:r>
          </w:p>
        </w:tc>
        <w:tc>
          <w:tcPr>
            <w:tcW w:w="1377" w:type="dxa"/>
            <w:vMerge w:val="continue"/>
            <w:noWrap w:val="0"/>
            <w:vAlign w:val="center"/>
          </w:tcPr>
          <w:p w14:paraId="0453F1F6">
            <w:pPr>
              <w:jc w:val="both"/>
              <w:rPr>
                <w:rFonts w:hint="eastAsia" w:ascii="宋体" w:hAnsi="宋体" w:eastAsia="宋体" w:cs="宋体"/>
                <w:color w:val="auto"/>
                <w:sz w:val="24"/>
                <w:szCs w:val="24"/>
                <w:highlight w:val="none"/>
                <w:lang w:val="en-US" w:eastAsia="zh-CN"/>
              </w:rPr>
            </w:pPr>
          </w:p>
        </w:tc>
      </w:tr>
      <w:tr w14:paraId="41BD2F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0E06B43">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62" w:type="dxa"/>
            <w:shd w:val="clear" w:color="auto" w:fill="auto"/>
            <w:noWrap w:val="0"/>
            <w:vAlign w:val="center"/>
          </w:tcPr>
          <w:p w14:paraId="0692D40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437457EB">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楼的大厅、公共厕所、走廊、各科室、办公室、消防通道等的卫生。</w:t>
            </w:r>
          </w:p>
        </w:tc>
        <w:tc>
          <w:tcPr>
            <w:tcW w:w="1377" w:type="dxa"/>
            <w:vMerge w:val="continue"/>
            <w:noWrap w:val="0"/>
            <w:vAlign w:val="center"/>
          </w:tcPr>
          <w:p w14:paraId="73F474D7">
            <w:pPr>
              <w:jc w:val="both"/>
              <w:rPr>
                <w:rFonts w:hint="eastAsia" w:ascii="宋体" w:hAnsi="宋体" w:eastAsia="宋体" w:cs="宋体"/>
                <w:color w:val="auto"/>
                <w:sz w:val="24"/>
                <w:szCs w:val="24"/>
                <w:highlight w:val="none"/>
                <w:lang w:val="en-US" w:eastAsia="zh-CN"/>
              </w:rPr>
            </w:pPr>
          </w:p>
        </w:tc>
      </w:tr>
      <w:tr w14:paraId="3E313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DC71BA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62" w:type="dxa"/>
            <w:noWrap w:val="0"/>
            <w:vAlign w:val="center"/>
          </w:tcPr>
          <w:p w14:paraId="14AC161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号保洁岗</w:t>
            </w:r>
          </w:p>
        </w:tc>
        <w:tc>
          <w:tcPr>
            <w:tcW w:w="4662" w:type="dxa"/>
            <w:noWrap w:val="0"/>
            <w:vAlign w:val="center"/>
          </w:tcPr>
          <w:p w14:paraId="1EB94008">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负责门诊3楼大厅、公共厕所、走廊、消防通道及各科室等的卫生。</w:t>
            </w:r>
          </w:p>
        </w:tc>
        <w:tc>
          <w:tcPr>
            <w:tcW w:w="1377" w:type="dxa"/>
            <w:vMerge w:val="continue"/>
            <w:noWrap w:val="0"/>
            <w:vAlign w:val="center"/>
          </w:tcPr>
          <w:p w14:paraId="4FAA4415">
            <w:pPr>
              <w:jc w:val="both"/>
              <w:rPr>
                <w:rFonts w:hint="eastAsia" w:ascii="宋体" w:hAnsi="宋体" w:eastAsia="宋体" w:cs="宋体"/>
                <w:color w:val="auto"/>
                <w:sz w:val="24"/>
                <w:szCs w:val="24"/>
                <w:highlight w:val="none"/>
                <w:lang w:val="en-US" w:eastAsia="zh-CN"/>
              </w:rPr>
            </w:pPr>
          </w:p>
        </w:tc>
      </w:tr>
      <w:tr w14:paraId="67A6DA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00F926F5">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2362" w:type="dxa"/>
            <w:noWrap w:val="0"/>
            <w:vAlign w:val="center"/>
          </w:tcPr>
          <w:p w14:paraId="6695A434">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号保洁岗</w:t>
            </w:r>
          </w:p>
        </w:tc>
        <w:tc>
          <w:tcPr>
            <w:tcW w:w="4662" w:type="dxa"/>
            <w:noWrap w:val="0"/>
            <w:vAlign w:val="center"/>
          </w:tcPr>
          <w:p w14:paraId="17012F6A">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楼大厅、公共厕所、走廊、消防通道及各科室等的卫生。</w:t>
            </w:r>
          </w:p>
        </w:tc>
        <w:tc>
          <w:tcPr>
            <w:tcW w:w="1377" w:type="dxa"/>
            <w:vMerge w:val="continue"/>
            <w:noWrap w:val="0"/>
            <w:vAlign w:val="center"/>
          </w:tcPr>
          <w:p w14:paraId="2EA513F3">
            <w:pPr>
              <w:jc w:val="both"/>
              <w:rPr>
                <w:rFonts w:hint="eastAsia" w:ascii="宋体" w:hAnsi="宋体" w:eastAsia="宋体" w:cs="宋体"/>
                <w:color w:val="auto"/>
                <w:sz w:val="24"/>
                <w:szCs w:val="24"/>
                <w:highlight w:val="none"/>
                <w:lang w:val="en-US" w:eastAsia="zh-CN"/>
              </w:rPr>
            </w:pPr>
          </w:p>
        </w:tc>
      </w:tr>
      <w:tr w14:paraId="6F160E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C85F911">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362" w:type="dxa"/>
            <w:noWrap w:val="0"/>
            <w:vAlign w:val="center"/>
          </w:tcPr>
          <w:p w14:paraId="640CAD35">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保安一号岗</w:t>
            </w:r>
          </w:p>
        </w:tc>
        <w:tc>
          <w:tcPr>
            <w:tcW w:w="6039" w:type="dxa"/>
            <w:gridSpan w:val="2"/>
            <w:shd w:val="clear" w:color="auto" w:fill="auto"/>
            <w:noWrap w:val="0"/>
            <w:vAlign w:val="center"/>
          </w:tcPr>
          <w:p w14:paraId="4BA26AC5">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w:t>
            </w:r>
            <w:r>
              <w:rPr>
                <w:rFonts w:hint="eastAsia" w:ascii="宋体" w:hAnsi="宋体" w:cs="宋体"/>
                <w:color w:val="000000"/>
                <w:sz w:val="24"/>
                <w:szCs w:val="24"/>
                <w:highlight w:val="none"/>
                <w:lang w:val="en-US" w:eastAsia="zh-CN"/>
              </w:rPr>
              <w:t>门诊</w:t>
            </w:r>
            <w:r>
              <w:rPr>
                <w:rFonts w:hint="eastAsia" w:ascii="宋体" w:hAnsi="宋体" w:eastAsia="宋体" w:cs="宋体"/>
                <w:color w:val="000000"/>
                <w:sz w:val="24"/>
                <w:szCs w:val="24"/>
                <w:highlight w:val="none"/>
                <w:lang w:eastAsia="zh-CN"/>
              </w:rPr>
              <w:t>日常治安、人员等管理</w:t>
            </w:r>
          </w:p>
        </w:tc>
      </w:tr>
      <w:tr w14:paraId="6153AC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C47BCBB">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2362" w:type="dxa"/>
            <w:noWrap w:val="0"/>
            <w:vAlign w:val="center"/>
          </w:tcPr>
          <w:p w14:paraId="5A11502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站点保洁岗</w:t>
            </w:r>
          </w:p>
        </w:tc>
        <w:tc>
          <w:tcPr>
            <w:tcW w:w="6039" w:type="dxa"/>
            <w:gridSpan w:val="2"/>
            <w:noWrap w:val="0"/>
            <w:vAlign w:val="center"/>
          </w:tcPr>
          <w:p w14:paraId="754E8611">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个站点的卫生。</w:t>
            </w:r>
          </w:p>
        </w:tc>
      </w:tr>
      <w:tr w14:paraId="5B810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79802CC">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2362" w:type="dxa"/>
            <w:noWrap w:val="0"/>
            <w:vAlign w:val="center"/>
          </w:tcPr>
          <w:p w14:paraId="6389F47B">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消控服务白天岗</w:t>
            </w:r>
          </w:p>
        </w:tc>
        <w:tc>
          <w:tcPr>
            <w:tcW w:w="6039" w:type="dxa"/>
            <w:gridSpan w:val="2"/>
            <w:noWrap w:val="0"/>
            <w:vAlign w:val="center"/>
          </w:tcPr>
          <w:p w14:paraId="03BE9A42">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负责白天的消控室内消防设施监控情况、全院监控巡查监管处置、日常工作记录等。</w:t>
            </w:r>
          </w:p>
        </w:tc>
      </w:tr>
      <w:tr w14:paraId="5F0D11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22C2A91">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2362" w:type="dxa"/>
            <w:noWrap w:val="0"/>
            <w:vAlign w:val="center"/>
          </w:tcPr>
          <w:p w14:paraId="7209E9FA">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消控服务夜间岗</w:t>
            </w:r>
          </w:p>
        </w:tc>
        <w:tc>
          <w:tcPr>
            <w:tcW w:w="6039" w:type="dxa"/>
            <w:gridSpan w:val="2"/>
            <w:noWrap w:val="0"/>
            <w:vAlign w:val="center"/>
          </w:tcPr>
          <w:p w14:paraId="65FEEBA4">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负责夜间的消控室内消防设施监控情况、全院监控巡查监管处置、日常工作记录等。</w:t>
            </w:r>
          </w:p>
        </w:tc>
      </w:tr>
      <w:tr w14:paraId="377FCA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98" w:type="dxa"/>
            <w:noWrap w:val="0"/>
            <w:vAlign w:val="center"/>
          </w:tcPr>
          <w:p w14:paraId="3390D612">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2362" w:type="dxa"/>
            <w:noWrap w:val="0"/>
            <w:vAlign w:val="center"/>
          </w:tcPr>
          <w:p w14:paraId="141AC974">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门卫一号岗</w:t>
            </w:r>
          </w:p>
        </w:tc>
        <w:tc>
          <w:tcPr>
            <w:tcW w:w="6039" w:type="dxa"/>
            <w:gridSpan w:val="2"/>
            <w:noWrap w:val="0"/>
            <w:vAlign w:val="center"/>
          </w:tcPr>
          <w:p w14:paraId="748649D3">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门卫的</w:t>
            </w:r>
            <w:r>
              <w:rPr>
                <w:rFonts w:hint="eastAsia" w:ascii="宋体" w:hAnsi="宋体" w:eastAsia="宋体" w:cs="宋体"/>
                <w:color w:val="auto"/>
                <w:sz w:val="24"/>
                <w:szCs w:val="24"/>
                <w:highlight w:val="none"/>
                <w:lang w:val="en-US" w:eastAsia="zh-CN"/>
              </w:rPr>
              <w:t>日常安保、人员与车辆的管理等工作。</w:t>
            </w:r>
          </w:p>
        </w:tc>
      </w:tr>
      <w:tr w14:paraId="314FDF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98" w:type="dxa"/>
            <w:noWrap w:val="0"/>
            <w:vAlign w:val="center"/>
          </w:tcPr>
          <w:p w14:paraId="10A8AA37">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362" w:type="dxa"/>
            <w:shd w:val="clear" w:color="auto" w:fill="auto"/>
            <w:noWrap w:val="0"/>
            <w:vAlign w:val="center"/>
          </w:tcPr>
          <w:p w14:paraId="5B45A602">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门卫二号岗</w:t>
            </w:r>
          </w:p>
        </w:tc>
        <w:tc>
          <w:tcPr>
            <w:tcW w:w="6039" w:type="dxa"/>
            <w:gridSpan w:val="2"/>
            <w:shd w:val="clear" w:color="auto" w:fill="auto"/>
            <w:noWrap w:val="0"/>
            <w:vAlign w:val="center"/>
          </w:tcPr>
          <w:p w14:paraId="24F94A1C">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门卫的</w:t>
            </w:r>
            <w:r>
              <w:rPr>
                <w:rFonts w:hint="eastAsia" w:ascii="宋体" w:hAnsi="宋体" w:eastAsia="宋体" w:cs="宋体"/>
                <w:color w:val="auto"/>
                <w:sz w:val="24"/>
                <w:szCs w:val="24"/>
                <w:highlight w:val="none"/>
                <w:lang w:val="en-US" w:eastAsia="zh-CN"/>
              </w:rPr>
              <w:t>日常安保、人员与车辆的管理等工作。</w:t>
            </w:r>
          </w:p>
        </w:tc>
      </w:tr>
      <w:tr w14:paraId="3E61F6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4234CC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362" w:type="dxa"/>
            <w:noWrap w:val="0"/>
            <w:vAlign w:val="center"/>
          </w:tcPr>
          <w:p w14:paraId="159E3E9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药品运送岗</w:t>
            </w:r>
          </w:p>
        </w:tc>
        <w:tc>
          <w:tcPr>
            <w:tcW w:w="6039" w:type="dxa"/>
            <w:gridSpan w:val="2"/>
            <w:noWrap w:val="0"/>
            <w:vAlign w:val="center"/>
          </w:tcPr>
          <w:p w14:paraId="65FBA634">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负责总院及站点、村卫生室药品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耗材、总务物质运送</w:t>
            </w:r>
            <w:r>
              <w:rPr>
                <w:rFonts w:hint="eastAsia" w:ascii="宋体" w:hAnsi="宋体" w:cs="宋体"/>
                <w:color w:val="auto"/>
                <w:kern w:val="2"/>
                <w:sz w:val="24"/>
                <w:szCs w:val="24"/>
                <w:highlight w:val="none"/>
                <w:lang w:val="en-US" w:eastAsia="zh-CN" w:bidi="ar-SA"/>
              </w:rPr>
              <w:t>。</w:t>
            </w:r>
          </w:p>
        </w:tc>
      </w:tr>
      <w:tr w14:paraId="5523E9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5B632A1">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2362" w:type="dxa"/>
            <w:noWrap w:val="0"/>
            <w:vAlign w:val="center"/>
          </w:tcPr>
          <w:p w14:paraId="4003BF91">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医疗废物回收岗</w:t>
            </w:r>
          </w:p>
        </w:tc>
        <w:tc>
          <w:tcPr>
            <w:tcW w:w="6039" w:type="dxa"/>
            <w:gridSpan w:val="2"/>
            <w:noWrap w:val="0"/>
            <w:vAlign w:val="center"/>
          </w:tcPr>
          <w:p w14:paraId="6FD666F7">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负责总院及站点、村卫生室医疗废物</w:t>
            </w:r>
            <w:r>
              <w:rPr>
                <w:rFonts w:hint="eastAsia" w:ascii="宋体" w:hAnsi="宋体" w:cs="宋体"/>
                <w:color w:val="auto"/>
                <w:kern w:val="2"/>
                <w:sz w:val="24"/>
                <w:szCs w:val="24"/>
                <w:highlight w:val="none"/>
                <w:lang w:val="en-US" w:eastAsia="zh-CN" w:bidi="ar-SA"/>
              </w:rPr>
              <w:t>回收</w:t>
            </w:r>
            <w:r>
              <w:rPr>
                <w:rFonts w:hint="eastAsia" w:ascii="宋体" w:hAnsi="宋体" w:eastAsia="宋体" w:cs="宋体"/>
                <w:color w:val="auto"/>
                <w:kern w:val="2"/>
                <w:sz w:val="24"/>
                <w:szCs w:val="24"/>
                <w:highlight w:val="none"/>
                <w:lang w:val="en-US" w:eastAsia="zh-CN" w:bidi="ar-SA"/>
              </w:rPr>
              <w:t>。</w:t>
            </w:r>
          </w:p>
        </w:tc>
      </w:tr>
      <w:tr w14:paraId="011012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3224F8B">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362" w:type="dxa"/>
            <w:noWrap w:val="0"/>
            <w:vAlign w:val="center"/>
          </w:tcPr>
          <w:p w14:paraId="693AE3FB">
            <w:pPr>
              <w:jc w:val="center"/>
              <w:rPr>
                <w:rFonts w:hint="default" w:ascii="宋体" w:hAnsi="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水电工（高配电工）岗</w:t>
            </w:r>
          </w:p>
        </w:tc>
        <w:tc>
          <w:tcPr>
            <w:tcW w:w="6039" w:type="dxa"/>
            <w:gridSpan w:val="2"/>
            <w:noWrap w:val="0"/>
            <w:vAlign w:val="center"/>
          </w:tcPr>
          <w:p w14:paraId="0DBB71EB">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 巡查各类设施、设备运行情况，负责所有水电等各类系统的维修、配件更换及其他零星小修并负责电力及配套设施巡检、操作、维修。必须持高压电工作业证。每天24小时有人在岗。</w:t>
            </w:r>
          </w:p>
        </w:tc>
      </w:tr>
      <w:tr w14:paraId="18E0B3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C13E024">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2362" w:type="dxa"/>
            <w:noWrap w:val="0"/>
            <w:vAlign w:val="center"/>
          </w:tcPr>
          <w:p w14:paraId="5A49A386">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保安二号岗</w:t>
            </w:r>
          </w:p>
        </w:tc>
        <w:tc>
          <w:tcPr>
            <w:tcW w:w="6039" w:type="dxa"/>
            <w:gridSpan w:val="2"/>
            <w:noWrap w:val="0"/>
            <w:vAlign w:val="center"/>
          </w:tcPr>
          <w:p w14:paraId="70610CA3">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负责场外日常治安、人员</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管理</w:t>
            </w:r>
            <w:r>
              <w:rPr>
                <w:rFonts w:hint="eastAsia" w:ascii="宋体" w:hAnsi="宋体" w:cs="宋体"/>
                <w:color w:val="000000"/>
                <w:sz w:val="24"/>
                <w:szCs w:val="24"/>
                <w:highlight w:val="none"/>
                <w:lang w:eastAsia="zh-CN"/>
              </w:rPr>
              <w:t>、</w:t>
            </w:r>
            <w:r>
              <w:rPr>
                <w:rFonts w:hint="eastAsia" w:ascii="宋体" w:hAnsi="宋体" w:eastAsia="宋体" w:cs="宋体"/>
                <w:color w:val="auto"/>
                <w:sz w:val="24"/>
                <w:szCs w:val="24"/>
                <w:highlight w:val="none"/>
                <w:lang w:val="en-US" w:eastAsia="zh-CN"/>
              </w:rPr>
              <w:t>按需定期对医院内的绿化进行养护</w:t>
            </w:r>
            <w:r>
              <w:rPr>
                <w:rFonts w:hint="eastAsia" w:ascii="宋体" w:hAnsi="宋体" w:cs="宋体"/>
                <w:color w:val="auto"/>
                <w:sz w:val="24"/>
                <w:szCs w:val="24"/>
                <w:highlight w:val="none"/>
                <w:lang w:val="en-US" w:eastAsia="zh-CN"/>
              </w:rPr>
              <w:t>及污水处理。</w:t>
            </w:r>
          </w:p>
        </w:tc>
      </w:tr>
      <w:tr w14:paraId="61003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1A096D8D">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2362" w:type="dxa"/>
            <w:noWrap w:val="0"/>
            <w:vAlign w:val="center"/>
          </w:tcPr>
          <w:p w14:paraId="71A4E332">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保安三号岗</w:t>
            </w:r>
          </w:p>
        </w:tc>
        <w:tc>
          <w:tcPr>
            <w:tcW w:w="6039" w:type="dxa"/>
            <w:gridSpan w:val="2"/>
            <w:noWrap w:val="0"/>
            <w:vAlign w:val="center"/>
          </w:tcPr>
          <w:p w14:paraId="51261ACD">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负责场外日常治安、人员</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管理</w:t>
            </w:r>
            <w:r>
              <w:rPr>
                <w:rFonts w:hint="eastAsia" w:ascii="宋体" w:hAnsi="宋体" w:cs="宋体"/>
                <w:color w:val="000000"/>
                <w:sz w:val="24"/>
                <w:szCs w:val="24"/>
                <w:highlight w:val="none"/>
                <w:lang w:val="en-US" w:eastAsia="zh-CN"/>
              </w:rPr>
              <w:t>、</w:t>
            </w:r>
            <w:r>
              <w:rPr>
                <w:rFonts w:hint="eastAsia" w:ascii="宋体" w:hAnsi="宋体" w:eastAsia="宋体" w:cs="宋体"/>
                <w:color w:val="auto"/>
                <w:sz w:val="24"/>
                <w:szCs w:val="24"/>
                <w:highlight w:val="none"/>
                <w:lang w:val="en-US" w:eastAsia="zh-CN"/>
              </w:rPr>
              <w:t>按需定期对医院内的绿化进行养护</w:t>
            </w:r>
            <w:r>
              <w:rPr>
                <w:rFonts w:hint="eastAsia" w:ascii="宋体" w:hAnsi="宋体" w:cs="宋体"/>
                <w:color w:val="auto"/>
                <w:sz w:val="24"/>
                <w:szCs w:val="24"/>
                <w:highlight w:val="none"/>
                <w:lang w:val="en-US" w:eastAsia="zh-CN"/>
              </w:rPr>
              <w:t>及污水处理。</w:t>
            </w:r>
          </w:p>
        </w:tc>
      </w:tr>
    </w:tbl>
    <w:p w14:paraId="313E13E0">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注:以上</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岗之间不可兼任</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特别注明的除外</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可对本表的人员岗位安排分配进行优化完善。</w:t>
      </w:r>
    </w:p>
    <w:p w14:paraId="54EFD616">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人员要求</w:t>
      </w:r>
    </w:p>
    <w:p w14:paraId="61438FC7">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（一）总体要求</w:t>
      </w:r>
    </w:p>
    <w:p w14:paraId="68B9C2C1">
      <w:pPr>
        <w:numPr>
          <w:ilvl w:val="0"/>
          <w:numId w:val="17"/>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建立质量管理体系和管理制度，严格按照ISO9001质量管理体系要求进行管理和运作。</w:t>
      </w:r>
    </w:p>
    <w:p w14:paraId="12D94031">
      <w:pPr>
        <w:numPr>
          <w:ilvl w:val="0"/>
          <w:numId w:val="17"/>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有从事相关物业管理的经验和完善的物业管理实施方案。</w:t>
      </w:r>
    </w:p>
    <w:p w14:paraId="6DFB438B">
      <w:pPr>
        <w:numPr>
          <w:ilvl w:val="0"/>
          <w:numId w:val="17"/>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有本企业</w:t>
      </w:r>
      <w:r>
        <w:rPr>
          <w:rFonts w:hint="eastAsia" w:ascii="宋体" w:hAnsi="宋体" w:cs="宋体"/>
          <w:color w:val="auto"/>
          <w:sz w:val="24"/>
          <w:highlight w:val="none"/>
          <w:lang w:eastAsia="zh-CN"/>
        </w:rPr>
        <w:t>的形象</w:t>
      </w:r>
      <w:r>
        <w:rPr>
          <w:rFonts w:hint="eastAsia" w:ascii="宋体" w:hAnsi="宋体" w:cs="宋体"/>
          <w:color w:val="auto"/>
          <w:sz w:val="24"/>
          <w:highlight w:val="none"/>
        </w:rPr>
        <w:t>识别系统、服务理念、行为规范（专业着装、佩戴标志、语言规范、文明服务）、现场标识等。</w:t>
      </w:r>
    </w:p>
    <w:p w14:paraId="53D24DB7">
      <w:pPr>
        <w:numPr>
          <w:ilvl w:val="0"/>
          <w:numId w:val="17"/>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建立了完善的档案管理制度（物业管理设备管理档案、日常管理档案等）。</w:t>
      </w:r>
    </w:p>
    <w:p w14:paraId="707F1B36">
      <w:pPr>
        <w:numPr>
          <w:ilvl w:val="0"/>
          <w:numId w:val="17"/>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建立了健全的财务管理制度，依法做好财务管理工作。</w:t>
      </w:r>
    </w:p>
    <w:p w14:paraId="7DCBB51F">
      <w:pPr>
        <w:pStyle w:val="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（二）人员基本要求</w:t>
      </w:r>
    </w:p>
    <w:p w14:paraId="75B7F870">
      <w:pPr>
        <w:pStyle w:val="7"/>
        <w:numPr>
          <w:ilvl w:val="0"/>
          <w:numId w:val="1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所有物业工作人员应身体健康，形象端正，具有一定的政治文化素养，基本的服务素质和相应的服务技能。所有人员要求政治上可靠，身体素质好，无不良行为记录。</w:t>
      </w:r>
    </w:p>
    <w:p w14:paraId="1C34D6A7">
      <w:pPr>
        <w:pStyle w:val="7"/>
        <w:numPr>
          <w:ilvl w:val="0"/>
          <w:numId w:val="1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项目经理：大专及以上学历，年龄</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rPr>
        <w:t>周岁以下，从事物业管理服务工作3年以上，具备丰富的物业管理与服务经验。项目经理必须由采购人考核、政治审查通过方可录用。</w:t>
      </w:r>
    </w:p>
    <w:p w14:paraId="140C245C">
      <w:pPr>
        <w:pStyle w:val="7"/>
        <w:numPr>
          <w:ilvl w:val="0"/>
          <w:numId w:val="1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服务岗人员</w:t>
      </w:r>
      <w:r>
        <w:rPr>
          <w:rFonts w:hint="eastAsia" w:ascii="宋体" w:hAnsi="宋体" w:cs="宋体"/>
          <w:color w:val="auto"/>
          <w:sz w:val="24"/>
          <w:szCs w:val="24"/>
          <w:highlight w:val="none"/>
        </w:rPr>
        <w:t>：年龄要求女性</w:t>
      </w:r>
      <w:r>
        <w:rPr>
          <w:rFonts w:hint="eastAsia" w:ascii="宋体" w:hAnsi="宋体" w:cs="宋体"/>
          <w:color w:val="auto"/>
          <w:sz w:val="24"/>
          <w:szCs w:val="24"/>
          <w:highlight w:val="none"/>
          <w:lang w:val="en-US" w:eastAsia="zh-CN"/>
        </w:rPr>
        <w:t>65</w:t>
      </w:r>
      <w:r>
        <w:rPr>
          <w:rFonts w:hint="eastAsia" w:ascii="宋体" w:hAnsi="宋体" w:cs="宋体"/>
          <w:color w:val="auto"/>
          <w:sz w:val="24"/>
          <w:szCs w:val="24"/>
          <w:highlight w:val="none"/>
        </w:rPr>
        <w:t>周岁</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以下，男性</w:t>
      </w: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周岁</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以下；品貌端正，身体健康，朴实肯干，经培训具保洁员标准操作技能，注重个人仪表，礼貌待人。</w:t>
      </w:r>
    </w:p>
    <w:p w14:paraId="59796EE4">
      <w:pPr>
        <w:pStyle w:val="7"/>
        <w:numPr>
          <w:ilvl w:val="0"/>
          <w:numId w:val="1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所用人员必须符合劳动部门有关用工规定，所有工作人员在工作时间必须根据不同岗位分别穿着工作服，佩戴胸牌。相关人员的配备如需获得相关主管部门认证的，均需配证并持证上岗。</w:t>
      </w:r>
    </w:p>
    <w:p w14:paraId="29F4E30E">
      <w:pPr>
        <w:pStyle w:val="7"/>
        <w:numPr>
          <w:ilvl w:val="0"/>
          <w:numId w:val="1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持员工队伍相对稳定，调动技术骨干，须提前告知采购人。按招标、投标文件岗位配置配足员工，不得擅自减少、变更项目经理。经抽查，发现员工数减少，且无正当理由，采购人有权按考核办法执行，同时要求供应商补足规定人数。</w:t>
      </w:r>
    </w:p>
    <w:p w14:paraId="5FF0952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（三）工作时间要求</w:t>
      </w:r>
    </w:p>
    <w:p w14:paraId="3C412EA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提供24小时的后勤服务值班调度，维持医院正常工作及处理突发事件的所需服务。卫生保洁为门诊早上6：00到晚上8：00；公卫、医技、公共场所清洁时间原则上安排在医院正常上班时间前后，上班时间保洁以不影响医疗工作为要求作安排；安保消控人员为24小时全天候轮换。</w:t>
      </w:r>
    </w:p>
    <w:p w14:paraId="491089BE">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工作时间必须满足</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的工作要求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w:t>
      </w:r>
      <w:r>
        <w:rPr>
          <w:rFonts w:hint="eastAsia" w:ascii="宋体" w:hAnsi="宋体" w:cs="宋体"/>
          <w:color w:val="auto"/>
          <w:sz w:val="24"/>
          <w:highlight w:val="none"/>
          <w:lang w:eastAsia="zh-CN"/>
        </w:rPr>
        <w:t>星期</w:t>
      </w:r>
      <w:r>
        <w:rPr>
          <w:rFonts w:hint="eastAsia" w:ascii="宋体" w:hAnsi="宋体" w:cs="宋体"/>
          <w:color w:val="auto"/>
          <w:sz w:val="24"/>
          <w:highlight w:val="none"/>
          <w:lang w:val="en-US" w:eastAsia="zh-CN"/>
        </w:rPr>
        <w:t>六、星期日</w:t>
      </w:r>
      <w:r>
        <w:rPr>
          <w:rFonts w:hint="eastAsia" w:ascii="宋体" w:hAnsi="宋体" w:cs="宋体"/>
          <w:color w:val="auto"/>
          <w:sz w:val="24"/>
          <w:highlight w:val="none"/>
          <w:lang w:eastAsia="zh-CN"/>
        </w:rPr>
        <w:t>及公众假期</w:t>
      </w:r>
      <w:r>
        <w:rPr>
          <w:rFonts w:hint="eastAsia" w:ascii="宋体" w:hAnsi="宋体" w:cs="宋体"/>
          <w:color w:val="auto"/>
          <w:sz w:val="24"/>
          <w:highlight w:val="none"/>
        </w:rPr>
        <w:t>。如遇特殊情况发生，</w:t>
      </w:r>
      <w:r>
        <w:rPr>
          <w:rFonts w:hint="eastAsia" w:ascii="宋体" w:hAnsi="宋体" w:cs="宋体"/>
          <w:color w:val="auto"/>
          <w:sz w:val="24"/>
          <w:highlight w:val="none"/>
          <w:lang w:val="en-US" w:eastAsia="zh-CN"/>
        </w:rPr>
        <w:t>供应商须</w:t>
      </w:r>
      <w:r>
        <w:rPr>
          <w:rFonts w:hint="eastAsia" w:ascii="宋体" w:hAnsi="宋体" w:cs="宋体"/>
          <w:color w:val="auto"/>
          <w:sz w:val="24"/>
          <w:highlight w:val="none"/>
        </w:rPr>
        <w:t>调整工作时间直至全天二十四小时工作</w:t>
      </w:r>
      <w:r>
        <w:rPr>
          <w:rFonts w:hint="eastAsia" w:ascii="宋体" w:hAnsi="宋体" w:cs="宋体"/>
          <w:color w:val="auto"/>
          <w:sz w:val="24"/>
          <w:highlight w:val="none"/>
          <w:lang w:eastAsia="zh-CN"/>
        </w:rPr>
        <w:t>。</w:t>
      </w:r>
    </w:p>
    <w:p w14:paraId="125D12DD">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服务</w:t>
      </w:r>
      <w:r>
        <w:rPr>
          <w:rFonts w:hint="eastAsia" w:ascii="宋体" w:hAnsi="宋体" w:cs="宋体"/>
          <w:b/>
          <w:bCs/>
          <w:color w:val="auto"/>
          <w:sz w:val="24"/>
          <w:highlight w:val="none"/>
          <w:lang w:val="en-US" w:eastAsia="zh-CN"/>
        </w:rPr>
        <w:t>工作</w:t>
      </w:r>
      <w:r>
        <w:rPr>
          <w:rFonts w:hint="eastAsia" w:ascii="宋体" w:hAnsi="宋体" w:cs="宋体"/>
          <w:b/>
          <w:bCs/>
          <w:color w:val="auto"/>
          <w:sz w:val="24"/>
          <w:highlight w:val="none"/>
        </w:rPr>
        <w:t>要求</w:t>
      </w:r>
    </w:p>
    <w:p w14:paraId="64B8F017">
      <w:pPr>
        <w:numPr>
          <w:ilvl w:val="0"/>
          <w:numId w:val="19"/>
        </w:numPr>
        <w:spacing w:line="360" w:lineRule="auto"/>
        <w:ind w:left="400" w:leftChars="200"/>
        <w:rPr>
          <w:rFonts w:hint="eastAsia" w:ascii="宋体" w:hAnsi="宋体" w:cs="宋体"/>
          <w:b/>
          <w:bCs/>
          <w:color w:val="auto"/>
          <w:sz w:val="24"/>
          <w:highlight w:val="none"/>
        </w:rPr>
      </w:pPr>
      <w:r>
        <w:rPr>
          <w:rFonts w:hint="eastAsia" w:ascii="宋体" w:hAnsi="宋体" w:cs="宋体"/>
          <w:b/>
          <w:bCs/>
          <w:color w:val="auto"/>
          <w:sz w:val="24"/>
          <w:highlight w:val="none"/>
        </w:rPr>
        <w:t>项目</w:t>
      </w:r>
      <w:r>
        <w:rPr>
          <w:rFonts w:hint="eastAsia" w:ascii="宋体" w:hAnsi="宋体" w:cs="宋体"/>
          <w:b/>
          <w:bCs/>
          <w:color w:val="auto"/>
          <w:sz w:val="24"/>
          <w:highlight w:val="none"/>
          <w:lang w:val="en-US" w:eastAsia="zh-CN"/>
        </w:rPr>
        <w:t>经理</w:t>
      </w:r>
      <w:r>
        <w:rPr>
          <w:rFonts w:hint="eastAsia" w:ascii="宋体" w:hAnsi="宋体" w:cs="宋体"/>
          <w:b/>
          <w:bCs/>
          <w:color w:val="auto"/>
          <w:sz w:val="24"/>
          <w:highlight w:val="none"/>
        </w:rPr>
        <w:t>要求</w:t>
      </w:r>
    </w:p>
    <w:p w14:paraId="5F5AAC05">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配合</w:t>
      </w:r>
      <w:r>
        <w:rPr>
          <w:rFonts w:hint="eastAsia" w:ascii="宋体" w:hAnsi="宋体" w:cs="宋体"/>
          <w:color w:val="auto"/>
          <w:sz w:val="24"/>
          <w:highlight w:val="none"/>
          <w:lang w:eastAsia="zh-CN"/>
        </w:rPr>
        <w:t>医院</w:t>
      </w:r>
      <w:r>
        <w:rPr>
          <w:rFonts w:hint="eastAsia" w:ascii="宋体" w:hAnsi="宋体" w:cs="宋体"/>
          <w:color w:val="auto"/>
          <w:sz w:val="24"/>
          <w:highlight w:val="none"/>
        </w:rPr>
        <w:t>统筹物业内务管理工作，协调各员工之间的工作关系；</w:t>
      </w:r>
    </w:p>
    <w:p w14:paraId="5C78E004">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负责组织制定、修订各员工工作的分工及相关管理制度，与每个岗位</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签订</w:t>
      </w:r>
      <w:r>
        <w:rPr>
          <w:rFonts w:hint="eastAsia" w:ascii="宋体" w:hAnsi="宋体" w:cs="宋体"/>
          <w:color w:val="auto"/>
          <w:sz w:val="24"/>
          <w:highlight w:val="none"/>
          <w:lang w:val="en-US" w:eastAsia="zh-CN"/>
        </w:rPr>
        <w:t>劳动</w:t>
      </w:r>
      <w:r>
        <w:rPr>
          <w:rFonts w:hint="eastAsia" w:ascii="宋体" w:hAnsi="宋体" w:cs="宋体"/>
          <w:color w:val="auto"/>
          <w:sz w:val="24"/>
          <w:highlight w:val="none"/>
        </w:rPr>
        <w:t>合同，并监督实施；</w:t>
      </w:r>
    </w:p>
    <w:p w14:paraId="07C97DD1">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主持召开日常工作例会、政治和业务学习，每月至少1次；</w:t>
      </w:r>
    </w:p>
    <w:p w14:paraId="704C8863">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负责对本部门人员的考核及奖罚制度的落实，经常巡视</w:t>
      </w:r>
      <w:r>
        <w:rPr>
          <w:rFonts w:hint="eastAsia" w:ascii="宋体" w:hAnsi="宋体" w:cs="宋体"/>
          <w:color w:val="auto"/>
          <w:sz w:val="24"/>
          <w:highlight w:val="none"/>
          <w:lang w:val="en-US" w:eastAsia="zh-CN"/>
        </w:rPr>
        <w:t>医院</w:t>
      </w:r>
      <w:r>
        <w:rPr>
          <w:rFonts w:hint="eastAsia" w:ascii="宋体" w:hAnsi="宋体" w:cs="宋体"/>
          <w:color w:val="auto"/>
          <w:sz w:val="24"/>
          <w:highlight w:val="none"/>
        </w:rPr>
        <w:t>，检查</w:t>
      </w:r>
      <w:r>
        <w:rPr>
          <w:rFonts w:hint="eastAsia" w:ascii="宋体" w:hAnsi="宋体" w:cs="宋体"/>
          <w:color w:val="auto"/>
          <w:sz w:val="24"/>
          <w:highlight w:val="none"/>
          <w:lang w:eastAsia="zh-CN"/>
        </w:rPr>
        <w:t>医院</w:t>
      </w:r>
      <w:r>
        <w:rPr>
          <w:rFonts w:hint="eastAsia" w:ascii="宋体" w:hAnsi="宋体" w:cs="宋体"/>
          <w:color w:val="auto"/>
          <w:sz w:val="24"/>
          <w:highlight w:val="none"/>
        </w:rPr>
        <w:t>设施及卫生状况，发现问题及时处理，并记录；</w:t>
      </w:r>
    </w:p>
    <w:p w14:paraId="11DAC997">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负责物业员工的日常作业安排，作业量的考核，并现场指导；</w:t>
      </w:r>
    </w:p>
    <w:p w14:paraId="53F41634">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加强监督检查，注意听取和收集员工对物业工作的意见和建议，及时发现、处理问题，化解各种矛盾；</w:t>
      </w:r>
    </w:p>
    <w:p w14:paraId="73096FA2">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的</w:t>
      </w:r>
      <w:r>
        <w:rPr>
          <w:rFonts w:hint="eastAsia" w:ascii="宋体" w:hAnsi="宋体" w:cs="宋体"/>
          <w:color w:val="auto"/>
          <w:sz w:val="24"/>
          <w:highlight w:val="none"/>
        </w:rPr>
        <w:t>手机必须24小时开机状态，3次电话未接当1次旷缺处理，如遇急事外出，需向</w:t>
      </w:r>
      <w:r>
        <w:rPr>
          <w:rFonts w:hint="eastAsia" w:ascii="宋体" w:hAnsi="宋体" w:cs="宋体"/>
          <w:color w:val="auto"/>
          <w:sz w:val="24"/>
          <w:highlight w:val="none"/>
          <w:lang w:val="en-US" w:eastAsia="zh-CN"/>
        </w:rPr>
        <w:t>医院</w:t>
      </w:r>
      <w:r>
        <w:rPr>
          <w:rFonts w:hint="eastAsia" w:ascii="宋体" w:hAnsi="宋体" w:cs="宋体"/>
          <w:color w:val="auto"/>
          <w:sz w:val="24"/>
          <w:highlight w:val="none"/>
        </w:rPr>
        <w:t>请假；</w:t>
      </w:r>
    </w:p>
    <w:p w14:paraId="7FD1D43A">
      <w:pPr>
        <w:numPr>
          <w:ilvl w:val="0"/>
          <w:numId w:val="2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根据管理工作需要做好突击性、临时性工作，完成</w:t>
      </w:r>
      <w:r>
        <w:rPr>
          <w:rFonts w:hint="eastAsia" w:ascii="宋体" w:hAnsi="宋体" w:cs="宋体"/>
          <w:color w:val="auto"/>
          <w:sz w:val="24"/>
          <w:highlight w:val="none"/>
          <w:lang w:eastAsia="zh-CN"/>
        </w:rPr>
        <w:t>医院</w:t>
      </w:r>
      <w:r>
        <w:rPr>
          <w:rFonts w:hint="eastAsia" w:ascii="宋体" w:hAnsi="宋体" w:cs="宋体"/>
          <w:color w:val="auto"/>
          <w:sz w:val="24"/>
          <w:highlight w:val="none"/>
        </w:rPr>
        <w:t>领导交办的其他工作。</w:t>
      </w:r>
    </w:p>
    <w:p w14:paraId="3B8D264B">
      <w:pPr>
        <w:numPr>
          <w:ilvl w:val="0"/>
          <w:numId w:val="19"/>
        </w:numPr>
        <w:spacing w:line="360" w:lineRule="auto"/>
        <w:ind w:left="400" w:left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服务岗位工作</w:t>
      </w:r>
      <w:r>
        <w:rPr>
          <w:rFonts w:hint="eastAsia" w:ascii="宋体" w:hAnsi="宋体" w:cs="宋体"/>
          <w:b/>
          <w:bCs/>
          <w:color w:val="auto"/>
          <w:sz w:val="24"/>
          <w:highlight w:val="none"/>
        </w:rPr>
        <w:t>要求</w:t>
      </w:r>
    </w:p>
    <w:p w14:paraId="765C41DD">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负责卫生保洁、电梯保养服务、垃圾分类、医疗废物及生活垃圾回收工作，在合同期内按照医院工作需要，保障医院日常工作正常运行。</w:t>
      </w:r>
    </w:p>
    <w:p w14:paraId="42DF63C3">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严格按医院卫生标准要求提供室内外清洁服务，并针对特殊情况，制定勤杂工防止交叉感染、消毒隔离制度和医院工作所要求的工作标准、流程。</w:t>
      </w:r>
    </w:p>
    <w:p w14:paraId="0D050138">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负责</w:t>
      </w:r>
      <w:r>
        <w:rPr>
          <w:rFonts w:hint="eastAsia" w:ascii="宋体" w:hAnsi="宋体" w:cs="宋体"/>
          <w:color w:val="auto"/>
          <w:sz w:val="24"/>
          <w:szCs w:val="24"/>
          <w:highlight w:val="none"/>
        </w:rPr>
        <w:t>全院公共场所、所有医疗用房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卫生站</w:t>
      </w:r>
      <w:r>
        <w:rPr>
          <w:rFonts w:hint="eastAsia" w:ascii="宋体" w:hAnsi="宋体" w:cs="宋体"/>
          <w:color w:val="auto"/>
          <w:sz w:val="24"/>
          <w:szCs w:val="24"/>
          <w:highlight w:val="none"/>
        </w:rPr>
        <w:t>的卫生保洁服务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负责</w:t>
      </w:r>
      <w:r>
        <w:rPr>
          <w:rFonts w:hint="eastAsia" w:ascii="宋体" w:hAnsi="宋体" w:cs="宋体"/>
          <w:color w:val="auto"/>
          <w:sz w:val="24"/>
          <w:szCs w:val="24"/>
          <w:highlight w:val="none"/>
        </w:rPr>
        <w:t>综合大楼、辅助房、配电房、食堂等屋顶天沟、沿沟的排水疏通，</w:t>
      </w:r>
      <w:r>
        <w:rPr>
          <w:rFonts w:hint="eastAsia" w:ascii="宋体" w:hAnsi="宋体" w:cs="宋体"/>
          <w:color w:val="auto"/>
          <w:sz w:val="24"/>
          <w:szCs w:val="24"/>
          <w:highlight w:val="none"/>
          <w:lang w:val="en-US" w:eastAsia="zh-CN"/>
        </w:rPr>
        <w:t>以及</w:t>
      </w:r>
      <w:r>
        <w:rPr>
          <w:rFonts w:hint="eastAsia" w:ascii="宋体" w:hAnsi="宋体" w:cs="宋体"/>
          <w:color w:val="auto"/>
          <w:sz w:val="24"/>
          <w:szCs w:val="24"/>
          <w:highlight w:val="none"/>
        </w:rPr>
        <w:t>全院范围内下水道及马桶的疏通。</w:t>
      </w:r>
    </w:p>
    <w:p w14:paraId="4E52DE2C">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保洁区域内玻璃窗、</w:t>
      </w:r>
      <w:r>
        <w:rPr>
          <w:rFonts w:hint="eastAsia" w:ascii="宋体" w:hAnsi="宋体" w:cs="宋体"/>
          <w:color w:val="auto"/>
          <w:sz w:val="24"/>
          <w:szCs w:val="24"/>
          <w:highlight w:val="none"/>
          <w:lang w:eastAsia="zh-CN"/>
        </w:rPr>
        <w:t>纱窗、</w:t>
      </w:r>
      <w:r>
        <w:rPr>
          <w:rFonts w:hint="eastAsia" w:ascii="宋体" w:hAnsi="宋体" w:cs="宋体"/>
          <w:color w:val="auto"/>
          <w:sz w:val="24"/>
          <w:szCs w:val="24"/>
          <w:highlight w:val="none"/>
        </w:rPr>
        <w:t>天花板、中央空调风口、挂式及立式空调、灯罩、各类标识牌、窗帘、床隔帘、电视机、候诊椅等定期除尘、清洗，</w:t>
      </w:r>
      <w:r>
        <w:rPr>
          <w:rFonts w:hint="eastAsia" w:ascii="宋体" w:hAnsi="宋体" w:cs="宋体"/>
          <w:color w:val="auto"/>
          <w:sz w:val="24"/>
          <w:szCs w:val="24"/>
          <w:highlight w:val="none"/>
          <w:lang w:val="en-US" w:eastAsia="zh-CN"/>
        </w:rPr>
        <w:t>地面清洁养护。大规模</w:t>
      </w:r>
      <w:r>
        <w:rPr>
          <w:rFonts w:hint="eastAsia" w:ascii="宋体" w:hAnsi="宋体" w:cs="宋体"/>
          <w:color w:val="auto"/>
          <w:sz w:val="24"/>
          <w:szCs w:val="24"/>
          <w:highlight w:val="none"/>
        </w:rPr>
        <w:t>清洁</w:t>
      </w:r>
      <w:r>
        <w:rPr>
          <w:rFonts w:hint="eastAsia" w:ascii="宋体" w:hAnsi="宋体" w:cs="宋体"/>
          <w:color w:val="auto"/>
          <w:sz w:val="24"/>
          <w:szCs w:val="24"/>
          <w:highlight w:val="none"/>
          <w:lang w:val="en-US" w:eastAsia="zh-CN"/>
        </w:rPr>
        <w:t>频率不少于一季度一次，其他临检等特殊情况按采购人要求执行</w:t>
      </w:r>
      <w:r>
        <w:rPr>
          <w:rFonts w:hint="eastAsia" w:ascii="宋体" w:hAnsi="宋体" w:cs="宋体"/>
          <w:color w:val="auto"/>
          <w:sz w:val="24"/>
          <w:szCs w:val="24"/>
          <w:highlight w:val="none"/>
        </w:rPr>
        <w:t>。</w:t>
      </w:r>
    </w:p>
    <w:p w14:paraId="17775C1D">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按医院要求及时将垃圾（包括医疗垃圾）运送至指定地点。负责及时清理回收医院各科日常消耗的药品包装物品</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及</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经医院认可后的可回收废品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及时整理回收病区内无主可回收物品。</w:t>
      </w:r>
    </w:p>
    <w:p w14:paraId="6441AAFF">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承担医院上级部门检查及应急性工作的各项保洁服务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24小时为医院提供保洁及突发事件后的清洁，维持医院全天候正常运行。</w:t>
      </w:r>
    </w:p>
    <w:p w14:paraId="49C5AEB1">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承担医院除“四害”工作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按医院要求进行季节性的防蝇灭蚊药水喷洒。</w:t>
      </w:r>
    </w:p>
    <w:p w14:paraId="1A607402">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承担各科室紫外线消毒工作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根据科室时间要求开启和关闭紫外线灯。</w:t>
      </w:r>
    </w:p>
    <w:p w14:paraId="6F5D210F">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须及时提供足够的清卫工具及材料、保洁用清洁剂、洗涤剂、垃圾袋（所有生活垃圾必须装袋后暂存于垃圾暂存处）等相关易耗品（医疗废品收集包装的废物桶、利器盒、黄色医疗垃圾收集袋由医院负责统一提供除外），及时更换破损清洁卫生设施（包括所有公共场所、病区所需的垃圾桶）</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个人防护用品由供应商负责，如口罩等</w:t>
      </w:r>
      <w:r>
        <w:rPr>
          <w:rFonts w:hint="eastAsia" w:ascii="宋体" w:hAnsi="宋体" w:cs="宋体"/>
          <w:color w:val="auto"/>
          <w:sz w:val="24"/>
          <w:szCs w:val="24"/>
        </w:rPr>
        <w:t>。</w:t>
      </w:r>
    </w:p>
    <w:p w14:paraId="7385163C">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承担24小时全天候消防监控、消防巡查、设备报警处置及联动、发生火灾后第一时间应急处置和灭火疏散，同时承担医院门卫、医疗维序、安保等工作，保障医院日常工作正常运行。</w:t>
      </w:r>
    </w:p>
    <w:p w14:paraId="68A3B091">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承担医院及下属站点、村卫生室、私人诊所所有医疗废物的收集；负责总院、站点及村卫生室所有药品的配送和氧气桶的更换</w:t>
      </w:r>
      <w:r>
        <w:rPr>
          <w:rFonts w:hint="eastAsia" w:ascii="宋体" w:hAnsi="宋体" w:cs="宋体"/>
          <w:color w:val="auto"/>
          <w:sz w:val="24"/>
          <w:szCs w:val="24"/>
          <w:highlight w:val="none"/>
          <w:lang w:val="en-US" w:eastAsia="zh-CN"/>
        </w:rPr>
        <w:t>工作</w:t>
      </w:r>
      <w:r>
        <w:rPr>
          <w:rFonts w:hint="eastAsia" w:ascii="宋体" w:hAnsi="宋体" w:cs="宋体"/>
          <w:color w:val="auto"/>
          <w:sz w:val="24"/>
          <w:szCs w:val="24"/>
          <w:highlight w:val="none"/>
        </w:rPr>
        <w:t>。</w:t>
      </w:r>
    </w:p>
    <w:p w14:paraId="548BDDF2">
      <w:pPr>
        <w:pStyle w:val="7"/>
        <w:numPr>
          <w:ilvl w:val="0"/>
          <w:numId w:val="21"/>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承担医院范围内绿化养护工作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w:t>
      </w:r>
      <w:r>
        <w:rPr>
          <w:rFonts w:hint="eastAsia" w:ascii="宋体" w:hAnsi="宋体" w:cs="宋体"/>
          <w:color w:val="auto"/>
          <w:sz w:val="24"/>
          <w:szCs w:val="24"/>
          <w:highlight w:val="none"/>
        </w:rPr>
        <w:t>乔木、灌木、绿地草皮修剪、树木整枝、苗木色块修剪、除草、施肥、治虫、浇水及防冻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室内绿植</w:t>
      </w:r>
      <w:r>
        <w:rPr>
          <w:rFonts w:hint="eastAsia" w:ascii="宋体" w:hAnsi="宋体" w:cs="宋体"/>
          <w:color w:val="auto"/>
          <w:sz w:val="24"/>
          <w:szCs w:val="24"/>
          <w:highlight w:val="none"/>
        </w:rPr>
        <w:t>等养护内容，完成</w:t>
      </w:r>
      <w:r>
        <w:rPr>
          <w:rFonts w:hint="eastAsia" w:ascii="宋体" w:hAnsi="宋体" w:cs="宋体"/>
          <w:color w:val="auto"/>
          <w:sz w:val="24"/>
          <w:szCs w:val="24"/>
          <w:highlight w:val="none"/>
          <w:lang w:eastAsia="zh-CN"/>
        </w:rPr>
        <w:t>医院</w:t>
      </w:r>
      <w:r>
        <w:rPr>
          <w:rFonts w:hint="eastAsia" w:ascii="宋体" w:hAnsi="宋体" w:cs="宋体"/>
          <w:color w:val="auto"/>
          <w:sz w:val="24"/>
          <w:szCs w:val="24"/>
          <w:highlight w:val="none"/>
        </w:rPr>
        <w:t>领导交办</w:t>
      </w:r>
      <w:r>
        <w:rPr>
          <w:rFonts w:hint="eastAsia" w:ascii="宋体" w:hAnsi="宋体" w:cs="宋体"/>
          <w:color w:val="auto"/>
          <w:sz w:val="24"/>
          <w:szCs w:val="24"/>
          <w:highlight w:val="none"/>
          <w:lang w:eastAsia="zh-CN"/>
        </w:rPr>
        <w:t>的其他</w:t>
      </w:r>
      <w:r>
        <w:rPr>
          <w:rFonts w:hint="eastAsia" w:ascii="宋体" w:hAnsi="宋体" w:cs="宋体"/>
          <w:color w:val="auto"/>
          <w:sz w:val="24"/>
          <w:szCs w:val="24"/>
          <w:highlight w:val="none"/>
        </w:rPr>
        <w:t>绿化任务。</w:t>
      </w:r>
    </w:p>
    <w:p w14:paraId="2F277561">
      <w:pPr>
        <w:numPr>
          <w:ilvl w:val="0"/>
          <w:numId w:val="0"/>
        </w:numPr>
        <w:autoSpaceDE w:val="0"/>
        <w:autoSpaceDN w:val="0"/>
        <w:adjustRightInd w:val="0"/>
        <w:spacing w:line="360" w:lineRule="auto"/>
        <w:ind w:left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污水池根据</w:t>
      </w:r>
      <w:r>
        <w:rPr>
          <w:rFonts w:hint="eastAsia" w:ascii="宋体" w:hAnsi="宋体" w:cs="宋体"/>
          <w:b w:val="0"/>
          <w:bCs w:val="0"/>
          <w:color w:val="auto"/>
          <w:sz w:val="24"/>
          <w:szCs w:val="24"/>
          <w:highlight w:val="none"/>
          <w:lang w:eastAsia="zh-CN"/>
        </w:rPr>
        <w:t>实际情况及时提前</w:t>
      </w:r>
      <w:r>
        <w:rPr>
          <w:rFonts w:hint="eastAsia" w:ascii="宋体" w:hAnsi="宋体" w:eastAsia="宋体" w:cs="宋体"/>
          <w:b w:val="0"/>
          <w:bCs w:val="0"/>
          <w:color w:val="auto"/>
          <w:sz w:val="24"/>
          <w:szCs w:val="24"/>
          <w:highlight w:val="none"/>
          <w:lang w:eastAsia="zh-CN"/>
        </w:rPr>
        <w:t>进行清掏。</w:t>
      </w:r>
    </w:p>
    <w:p w14:paraId="7E25B958">
      <w:pPr>
        <w:numPr>
          <w:ilvl w:val="0"/>
          <w:numId w:val="14"/>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其他要求</w:t>
      </w:r>
    </w:p>
    <w:p w14:paraId="4A82335E">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应依法用人，负责支付上岗人员的工资、津贴、社会保险及根据国家规定应支付的各项费用。承担体检、培训、服装费用，并负责办理上岗人员的暂住证、计划生育证明等有关证件。</w:t>
      </w:r>
    </w:p>
    <w:p w14:paraId="2D976A3B">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必须认真履行职责，严格按符合招标文件服务要求的质量保证体系实施管理，做好院内的清卫、运送等工作，每日进行检查，发现问题及时整改。</w:t>
      </w:r>
    </w:p>
    <w:p w14:paraId="7F781E1E">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对各工作岗位的服务质量随时进行抽查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发现问题，及时口头或书面通知整改。</w:t>
      </w:r>
    </w:p>
    <w:p w14:paraId="7586DF85">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定期对上岗人员进行职业道德教育和职业技能培训，教育其端正服务态度，提高服务质量，遵守院方的各项规章制度及工作规范，维护医院形象，尊重病人及其家属，服从所在科室长领导。对不遵守劳动纪律、被病人投诉、索取、收受病人钱物的员工，经查实后酌情处理，情节严重的医院有权辞退。采购人有权进行审核，该类费用开支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负担。</w:t>
      </w:r>
    </w:p>
    <w:p w14:paraId="1E360111">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对所有岗位建立岗位责任制与运作程序、工作质量标准。医院方根据爱卫会卫生考核及各科室对后勤服务人员及卫生保洁的满意率作为考核依据，（具体考核办法由总务科、院感科、护理部、公共卫生科另确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须积极配合采购人对其进行的物业服务综合考评。根据综合考评或工作情况，采购人有权要求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在一个星期内更换经理（负责人）、相关骨干人员。</w:t>
      </w:r>
    </w:p>
    <w:p w14:paraId="65F583A0">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应加强能源和用水管理，节约公用场所用水用电，无长明灯、长流水。对发现供电、给排水设施损坏及时报修。</w:t>
      </w:r>
    </w:p>
    <w:p w14:paraId="6632743C">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在医院的应急事件中，应积极配合院方采取相应的措施。遇突发事件或安全检查时，</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必须配合有关部门执行任务，并指定专职人员协助工作，直至完成。</w:t>
      </w:r>
    </w:p>
    <w:p w14:paraId="0B034F88">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不以任何形式转租、转让、抵押承包区域，在承包区域只从事采购人认可的服务工作。在承包期间，</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的任何股份配置变动应通知采购人。未经采购人书面批准，任何占有支配地位的股份转让都将视为</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出租、转让的行为。</w:t>
      </w:r>
    </w:p>
    <w:p w14:paraId="78F071D2">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未经采购人同意，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无权在承包区域中从事任何广告活动或类似宣传， 采购人有权依照广告法和采购人相关的规定责令</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限期改正，并接受处罚；但采购人在该区域发布的广告宣传保证不致影响</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的正常工作；</w:t>
      </w:r>
    </w:p>
    <w:p w14:paraId="45052FCF">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不得以采购人的名义从事任何经济活动，且由此发生的一切债权、债务与采购人无关。</w:t>
      </w:r>
    </w:p>
    <w:p w14:paraId="2BD5A094">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应保证承包区域内的设施、设备良好的运营状况和环境状况，并接受采购人或其授权人员的检查，对由</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引起或造成设施、设备的损坏及环境卫生不理想状况，采购人将书面通知</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修复或整改，在书面通知下达一周后，仍未按要求修复或整改，采购人将负责完成这一工作，所需费用连同15%行政附加费全部由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承担。</w:t>
      </w:r>
    </w:p>
    <w:p w14:paraId="471E34B8">
      <w:pPr>
        <w:pStyle w:val="7"/>
        <w:numPr>
          <w:ilvl w:val="0"/>
          <w:numId w:val="22"/>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在承包区域因作业所需增加机械、电力设备及设施应征得采购人同意，并聘请有资格的</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进行安装、保养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并将施工安装保养记录手册</w:t>
      </w:r>
      <w:r>
        <w:rPr>
          <w:rFonts w:hint="eastAsia" w:ascii="宋体" w:hAnsi="宋体" w:eastAsia="宋体" w:cs="宋体"/>
          <w:color w:val="auto"/>
          <w:sz w:val="24"/>
          <w:szCs w:val="24"/>
          <w:highlight w:val="none"/>
          <w:lang w:val="en-US" w:eastAsia="zh-CN"/>
        </w:rPr>
        <w:t>等相关材料</w:t>
      </w:r>
      <w:r>
        <w:rPr>
          <w:rFonts w:hint="eastAsia" w:ascii="宋体" w:hAnsi="宋体" w:eastAsia="宋体" w:cs="宋体"/>
          <w:color w:val="auto"/>
          <w:sz w:val="24"/>
          <w:szCs w:val="24"/>
          <w:highlight w:val="none"/>
        </w:rPr>
        <w:t>交由采购人备案。</w:t>
      </w:r>
    </w:p>
    <w:p w14:paraId="63A65763">
      <w:pPr>
        <w:numPr>
          <w:ilvl w:val="0"/>
          <w:numId w:val="14"/>
        </w:num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禁止事项</w:t>
      </w:r>
    </w:p>
    <w:p w14:paraId="1351111B">
      <w:pPr>
        <w:pStyle w:val="7"/>
        <w:numPr>
          <w:ilvl w:val="0"/>
          <w:numId w:val="2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不得以任何理由向采购人工作人员支付费用或赠送实物，违者将终止合同。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人员也不得以任何形式向采购人相关人员索取小费或钱物等。</w:t>
      </w:r>
    </w:p>
    <w:p w14:paraId="3A06F7E5">
      <w:pPr>
        <w:pStyle w:val="7"/>
        <w:numPr>
          <w:ilvl w:val="0"/>
          <w:numId w:val="2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不得在承包区域住宿或从事非法活动，也不得从事有损采购人利益的活动，同时不允许在承包区域对采购人经营活动进行滋扰性的行为。</w:t>
      </w:r>
    </w:p>
    <w:p w14:paraId="2AA743C9">
      <w:pPr>
        <w:pStyle w:val="7"/>
        <w:numPr>
          <w:ilvl w:val="0"/>
          <w:numId w:val="2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除经采购人批准进行必要的维修工程外，</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不得损毁承包区域原有的设施和装潢，不得更改已铺设的电缆、电线等电力装置。同时，也不得安装任何可能造成电缆负载过大的电器设备，以免无线电受干扰。</w:t>
      </w:r>
    </w:p>
    <w:p w14:paraId="1037E591">
      <w:pPr>
        <w:pStyle w:val="7"/>
        <w:numPr>
          <w:ilvl w:val="0"/>
          <w:numId w:val="23"/>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未获采购人书面同意，</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任何时候都不能在承包区域存放易燃物品、挥发性大或气味浓烈的液体等。</w:t>
      </w:r>
    </w:p>
    <w:p w14:paraId="49B98536">
      <w:pPr>
        <w:numPr>
          <w:ilvl w:val="0"/>
          <w:numId w:val="14"/>
        </w:num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安全事宜</w:t>
      </w:r>
    </w:p>
    <w:p w14:paraId="5D5567CE">
      <w:pPr>
        <w:pStyle w:val="7"/>
        <w:numPr>
          <w:ilvl w:val="0"/>
          <w:numId w:val="2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在承包期间，</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所有人员仅与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建立劳动合同关系，按《中华人民共和国劳动合同法》和政府有关各部门规定为全体服务人员交纳所有相关的社会保险及其他相关费用。</w:t>
      </w:r>
    </w:p>
    <w:p w14:paraId="51AB14B3">
      <w:pPr>
        <w:pStyle w:val="7"/>
        <w:numPr>
          <w:ilvl w:val="0"/>
          <w:numId w:val="2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人员发生任何事故或与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发生劳动争议均由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自行全权负责，相关费用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自行承担，以保证采购人在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人员索赔时不受任何责任的约束。</w:t>
      </w:r>
    </w:p>
    <w:p w14:paraId="016D3B9C">
      <w:pPr>
        <w:pStyle w:val="7"/>
        <w:numPr>
          <w:ilvl w:val="0"/>
          <w:numId w:val="2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的责任区内由于</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原因导致第三方的事故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负责，采购人不承担任何责任。</w:t>
      </w:r>
    </w:p>
    <w:p w14:paraId="3CD7CAFC">
      <w:pPr>
        <w:pStyle w:val="7"/>
        <w:numPr>
          <w:ilvl w:val="0"/>
          <w:numId w:val="24"/>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及其员工遵守行政大楼内的一切行政管理、消防安全等规定和制度，保证承包区域的消防设施能正常使用，消防通道畅通，同时承担违规责任。</w:t>
      </w:r>
    </w:p>
    <w:p w14:paraId="6F6F79E0">
      <w:pPr>
        <w:pStyle w:val="12"/>
        <w:rPr>
          <w:rFonts w:cs="宋体"/>
          <w:b/>
          <w:color w:val="auto"/>
          <w:highlight w:val="none"/>
        </w:rPr>
      </w:pPr>
      <w:bookmarkStart w:id="102" w:name="_Toc14873"/>
      <w:bookmarkStart w:id="103" w:name="_Toc2996"/>
    </w:p>
    <w:p w14:paraId="0D7D9EFF">
      <w:pPr>
        <w:spacing w:line="600" w:lineRule="auto"/>
        <w:jc w:val="center"/>
        <w:outlineLvl w:val="1"/>
        <w:rPr>
          <w:rFonts w:hint="eastAsia" w:ascii="宋体" w:hAnsi="宋体" w:cs="宋体"/>
          <w:b/>
          <w:bCs/>
          <w:color w:val="auto"/>
          <w:sz w:val="30"/>
          <w:szCs w:val="30"/>
          <w:highlight w:val="none"/>
        </w:rPr>
      </w:pPr>
      <w:bookmarkStart w:id="104" w:name="_Toc25358"/>
      <w:bookmarkStart w:id="105" w:name="_Toc28631"/>
      <w:r>
        <w:rPr>
          <w:rFonts w:hint="eastAsia" w:ascii="宋体" w:hAnsi="宋体" w:cs="宋体"/>
          <w:b/>
          <w:bCs/>
          <w:color w:val="auto"/>
          <w:sz w:val="30"/>
          <w:szCs w:val="30"/>
          <w:highlight w:val="none"/>
        </w:rPr>
        <w:t>第</w:t>
      </w:r>
      <w:r>
        <w:rPr>
          <w:rFonts w:hint="eastAsia" w:ascii="宋体" w:hAnsi="宋体" w:cs="宋体"/>
          <w:b/>
          <w:bCs/>
          <w:color w:val="auto"/>
          <w:sz w:val="30"/>
          <w:szCs w:val="30"/>
          <w:highlight w:val="none"/>
          <w:lang w:val="en-US" w:eastAsia="zh-CN"/>
        </w:rPr>
        <w:t>二</w:t>
      </w:r>
      <w:r>
        <w:rPr>
          <w:rFonts w:hint="eastAsia" w:ascii="宋体" w:hAnsi="宋体" w:cs="宋体"/>
          <w:b/>
          <w:bCs/>
          <w:color w:val="auto"/>
          <w:sz w:val="30"/>
          <w:szCs w:val="30"/>
          <w:highlight w:val="none"/>
        </w:rPr>
        <w:t>章 考核及其他要求</w:t>
      </w:r>
      <w:bookmarkEnd w:id="104"/>
      <w:bookmarkEnd w:id="105"/>
    </w:p>
    <w:bookmarkEnd w:id="102"/>
    <w:bookmarkEnd w:id="103"/>
    <w:p w14:paraId="5AAD2EA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为加强绍兴市上虞区曹娥街道社区卫生服务中心的管理，达到管理工作的制度化、规范化、标准化目标，确保医院规范、高效、安全运行，结合医院管理实际，制定以下考核办法：</w:t>
      </w:r>
    </w:p>
    <w:p w14:paraId="31D8F465">
      <w:pPr>
        <w:numPr>
          <w:ilvl w:val="0"/>
          <w:numId w:val="25"/>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考核时间及评定方法</w:t>
      </w:r>
    </w:p>
    <w:p w14:paraId="08BA34B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本项目考核采用百分制，每月考核一次，并按以下原则评定考核等级，具体如下：</w:t>
      </w:r>
    </w:p>
    <w:p w14:paraId="33687D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优秀：考核分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95分，</w:t>
      </w:r>
      <w:r>
        <w:rPr>
          <w:rFonts w:hint="eastAsia" w:ascii="宋体" w:hAnsi="宋体" w:cs="宋体"/>
          <w:color w:val="auto"/>
          <w:sz w:val="24"/>
          <w:highlight w:val="none"/>
          <w:lang w:val="en-US" w:eastAsia="zh-CN"/>
        </w:rPr>
        <w:t>采购人不作扣罚</w:t>
      </w:r>
      <w:r>
        <w:rPr>
          <w:rFonts w:hint="eastAsia" w:ascii="宋体" w:hAnsi="宋体" w:cs="宋体"/>
          <w:color w:val="auto"/>
          <w:sz w:val="24"/>
          <w:highlight w:val="none"/>
        </w:rPr>
        <w:t>；</w:t>
      </w:r>
    </w:p>
    <w:p w14:paraId="15B0506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良好：90</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考核分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95分，按</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00元/分在当期物业管理服务费用中扣除；</w:t>
      </w:r>
    </w:p>
    <w:p w14:paraId="465D24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中等</w:t>
      </w:r>
      <w:r>
        <w:rPr>
          <w:rFonts w:hint="eastAsia" w:ascii="宋体" w:hAnsi="宋体" w:cs="宋体"/>
          <w:color w:val="auto"/>
          <w:sz w:val="24"/>
          <w:highlight w:val="none"/>
        </w:rPr>
        <w:t>：8</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分≤考核分＜9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分，按300元/分在当期物业管理服务费用中扣除；</w:t>
      </w:r>
    </w:p>
    <w:p w14:paraId="7A546F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：8</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分≤考核分＜</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分，按500元/分在当期物业管理服务费用中扣除；</w:t>
      </w:r>
    </w:p>
    <w:p w14:paraId="4668F9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不合格：考核分＜80分，</w:t>
      </w:r>
      <w:r>
        <w:rPr>
          <w:rFonts w:hint="eastAsia" w:ascii="宋体" w:hAnsi="宋体" w:cs="宋体"/>
          <w:color w:val="auto"/>
          <w:sz w:val="24"/>
          <w:highlight w:val="none"/>
        </w:rPr>
        <w:t>按</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00元/分在当期物业管理服务费用中扣除</w:t>
      </w:r>
      <w:r>
        <w:rPr>
          <w:rFonts w:hint="eastAsia" w:ascii="宋体" w:hAnsi="宋体" w:cs="宋体"/>
          <w:color w:val="auto"/>
          <w:sz w:val="24"/>
          <w:highlight w:val="none"/>
          <w:lang w:val="en-US" w:eastAsia="zh-CN"/>
        </w:rPr>
        <w:t>并予以口头警告；</w:t>
      </w:r>
      <w:r>
        <w:rPr>
          <w:rFonts w:hint="eastAsia" w:ascii="宋体" w:hAnsi="宋体" w:cs="宋体"/>
          <w:color w:val="auto"/>
          <w:sz w:val="24"/>
          <w:highlight w:val="none"/>
        </w:rPr>
        <w:t>连续两个月属于不合格的，</w:t>
      </w:r>
      <w:r>
        <w:rPr>
          <w:rFonts w:hint="eastAsia" w:ascii="宋体" w:hAnsi="宋体" w:cs="宋体"/>
          <w:color w:val="auto"/>
          <w:sz w:val="24"/>
          <w:highlight w:val="none"/>
          <w:lang w:val="en-US" w:eastAsia="zh-CN"/>
        </w:rPr>
        <w:t>除以上处罚外，</w:t>
      </w:r>
      <w:r>
        <w:rPr>
          <w:rFonts w:hint="eastAsia" w:ascii="宋体" w:hAnsi="宋体" w:cs="宋体"/>
          <w:color w:val="auto"/>
          <w:sz w:val="24"/>
          <w:highlight w:val="none"/>
        </w:rPr>
        <w:t>采购人有权单方面与服务单位终止服务合同。</w:t>
      </w:r>
    </w:p>
    <w:p w14:paraId="3126448E">
      <w:pPr>
        <w:numPr>
          <w:ilvl w:val="0"/>
          <w:numId w:val="25"/>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特别条款：</w:t>
      </w:r>
    </w:p>
    <w:p w14:paraId="582334AA">
      <w:pPr>
        <w:numPr>
          <w:ilvl w:val="0"/>
          <w:numId w:val="26"/>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订合同后，15天内必须向采购人递交所有人员清单，包括名字、性别、年龄、身份证号、照片、相关人员证书、岗位等，岗位需满足采购要求，否则均视为未递交人员清单，在履约保证金中按500元/天扣除，履约保证金全部扣没后，采购人有权单方面终止合同。</w:t>
      </w:r>
    </w:p>
    <w:p w14:paraId="37420F49">
      <w:pPr>
        <w:numPr>
          <w:ilvl w:val="0"/>
          <w:numId w:val="26"/>
        </w:num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服务</w:t>
      </w:r>
      <w:r>
        <w:rPr>
          <w:rFonts w:hint="eastAsia" w:ascii="宋体" w:hAnsi="宋体" w:eastAsia="宋体" w:cs="宋体"/>
          <w:color w:val="auto"/>
          <w:sz w:val="24"/>
          <w:highlight w:val="none"/>
        </w:rPr>
        <w:t>期间如有人员更换或调动的，需提前7天递交申请，并及时补足符合本项目要求的岗位人员。</w:t>
      </w:r>
    </w:p>
    <w:p w14:paraId="3461F9F1">
      <w:pPr>
        <w:numPr>
          <w:ilvl w:val="0"/>
          <w:numId w:val="26"/>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采购人不定期抽查</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投入的人员数量，如果抽查时发现</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安排在岗的人员数量少于投标承诺的数量，采购人可以按中标单价累计在应付款中扣除。如遇因事假、病假等特殊情况的，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需及时向采购人报备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否则视为缺岗</w:t>
      </w:r>
      <w:r>
        <w:rPr>
          <w:rFonts w:hint="eastAsia" w:ascii="宋体" w:hAnsi="宋体" w:eastAsia="宋体" w:cs="宋体"/>
          <w:color w:val="auto"/>
          <w:sz w:val="24"/>
          <w:highlight w:val="none"/>
        </w:rPr>
        <w:t>。</w:t>
      </w:r>
    </w:p>
    <w:p w14:paraId="2AE3312F">
      <w:pPr>
        <w:numPr>
          <w:ilvl w:val="0"/>
          <w:numId w:val="25"/>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考核方式</w:t>
      </w:r>
    </w:p>
    <w:p w14:paraId="49094DE3">
      <w:pPr>
        <w:numPr>
          <w:ilvl w:val="0"/>
          <w:numId w:val="2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检查形式</w:t>
      </w:r>
    </w:p>
    <w:p w14:paraId="573E3A7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月度考核检查由采购人组织相关人员每月对现场检查发现的问题为依据进行考核，平时巡查考核、月度考核相结合，对工作台账进行抽查，对热点难点解决情况进行督察，对上级主要工作、重大活动安排及有关创建评比活动有针对性地开展检查，对发现的问题进行告知，要求落实整改，并根据相关考核细则进行评分。</w:t>
      </w:r>
    </w:p>
    <w:p w14:paraId="218EB66B">
      <w:pPr>
        <w:numPr>
          <w:ilvl w:val="0"/>
          <w:numId w:val="2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评分依据</w:t>
      </w:r>
    </w:p>
    <w:p w14:paraId="7BCC6C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评分依据为考核细则。</w:t>
      </w:r>
    </w:p>
    <w:p w14:paraId="1340C903">
      <w:pPr>
        <w:numPr>
          <w:ilvl w:val="0"/>
          <w:numId w:val="2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成绩计算方式</w:t>
      </w:r>
    </w:p>
    <w:p w14:paraId="04E2AF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按照考核细则，实行分级分类考核，考核基准分为100分，实行倒扣分制，通过每月的不定期巡查、综合考评进行打分，以平均分作为最终得分。</w:t>
      </w:r>
    </w:p>
    <w:p w14:paraId="46E41DC3">
      <w:pPr>
        <w:numPr>
          <w:ilvl w:val="0"/>
          <w:numId w:val="25"/>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考核结果的运用</w:t>
      </w:r>
    </w:p>
    <w:p w14:paraId="67A3B1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考核成绩将作为每月物业服务费付款依据。</w:t>
      </w:r>
    </w:p>
    <w:p w14:paraId="66A775B7">
      <w:pPr>
        <w:numPr>
          <w:ilvl w:val="0"/>
          <w:numId w:val="25"/>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考核细则</w:t>
      </w:r>
    </w:p>
    <w:tbl>
      <w:tblPr>
        <w:tblStyle w:val="29"/>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370"/>
        <w:gridCol w:w="810"/>
        <w:gridCol w:w="825"/>
      </w:tblGrid>
      <w:tr w14:paraId="674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0"/>
            <w:vAlign w:val="center"/>
          </w:tcPr>
          <w:p w14:paraId="0AB12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项目及分值</w:t>
            </w:r>
          </w:p>
        </w:tc>
        <w:tc>
          <w:tcPr>
            <w:tcW w:w="5370" w:type="dxa"/>
            <w:noWrap w:val="0"/>
            <w:vAlign w:val="center"/>
          </w:tcPr>
          <w:p w14:paraId="2BC84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考核内容及标准</w:t>
            </w:r>
          </w:p>
        </w:tc>
        <w:tc>
          <w:tcPr>
            <w:tcW w:w="810" w:type="dxa"/>
            <w:noWrap w:val="0"/>
            <w:vAlign w:val="center"/>
          </w:tcPr>
          <w:p w14:paraId="1E133C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825" w:type="dxa"/>
            <w:noWrap w:val="0"/>
            <w:vAlign w:val="center"/>
          </w:tcPr>
          <w:p w14:paraId="77F3E5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备往</w:t>
            </w:r>
          </w:p>
        </w:tc>
      </w:tr>
      <w:tr w14:paraId="136C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1C9D7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一、遵守各项规章制度</w:t>
            </w:r>
          </w:p>
          <w:p w14:paraId="2B5B2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370" w:type="dxa"/>
            <w:noWrap w:val="0"/>
            <w:vAlign w:val="center"/>
          </w:tcPr>
          <w:p w14:paraId="3E4EC4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1.按时上下班，不迟到不早退，按规定穿工作服上岗，坚守上作岗位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7437E2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45B877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0A41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56CF3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589764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2.工作时间不干私物，不干与本职无关的事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59DDBC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F1AD3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1CD0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F577E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49AFF8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3.不喝酒上岗，工作时间不吸烟，不吃零食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73D6EB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23C6A1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C1F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59B2E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404295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4.医院内捡拾的一切物品一律上交，医院财物不得私自带走。严禁偷盗行为，对服务对象赠送的物品应向主管人员报告，经批准后方可带走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087B54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62CB7E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2F5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C76F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094944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5.认真做好防偷防盗、防火等安全生产工作，发现可疑情况立即汇报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2615FB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738B12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3843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77C7A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二、服务态度</w:t>
            </w:r>
          </w:p>
          <w:p w14:paraId="6F5BC2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page"/>
            </w:r>
          </w:p>
        </w:tc>
        <w:tc>
          <w:tcPr>
            <w:tcW w:w="5370" w:type="dxa"/>
            <w:noWrap w:val="0"/>
            <w:vAlign w:val="center"/>
          </w:tcPr>
          <w:p w14:paraId="5067E53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1.服从医院的管理，对应急性任务能及时完成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665AE0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4CE9DE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4B0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0FA25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2A268CB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2.主动为服务对象服务，有较强的责任性，想病人所想，为病人提供热情、细心、周到的服务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358B62E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5AEEEB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6926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F9E9B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2547CE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3.语言文明，举止大方，不与服务服务对象发生争吵不高声喧哗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43ACCA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F7AB0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BE5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5AB94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62E926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.及时关闭水、电，做好节能消耗工作，对一切浪费行为及时阻止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4E620AB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04E325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F4C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4C4E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16B824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.对病人提出的问题能主动回答，自己不能回答的要主动联系科室负责人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810" w:type="dxa"/>
            <w:noWrap w:val="0"/>
            <w:vAlign w:val="center"/>
          </w:tcPr>
          <w:p w14:paraId="520DA64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6C1EEC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8C6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00FB1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、人员培训</w:t>
            </w:r>
          </w:p>
          <w:p w14:paraId="67F358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370" w:type="dxa"/>
            <w:noWrap w:val="0"/>
            <w:vAlign w:val="center"/>
          </w:tcPr>
          <w:p w14:paraId="5837BE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1.新来员工必须进行上岗前培训，有记录。书面知识与实践操作相结合，包括医院内部科室分布、各项规章制度，保洁要求、院感要求、自我防护、文明用语举止等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718011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654C51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70F9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9D42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455431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2.组织员工进行安全意识，服务态度，操作技能的培训每月不少于一次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5559CB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0AE9A66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7D25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414315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01999A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每季一次对全体人员进行岗位培训，分析工作中存在的问题，以及新的工作要求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31BBC8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17C406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18B9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062CF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、院感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370" w:type="dxa"/>
            <w:noWrap w:val="0"/>
            <w:vAlign w:val="center"/>
          </w:tcPr>
          <w:p w14:paraId="7AB92B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1.工具按颜色、规定摆放合理，符合院感要求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18352DB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28CD00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1BE8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81D4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113A3B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2.消毒药剂配比符合消杀浓度，消毒程序规范，物品达到消毒目的，清洁液、消毒液符合医用要求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2B9112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49B21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3583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23D3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17AB50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3.防止交叉感染，每一专项卫生必须要有专用清洁工具，结束后按规定存放，同时员工要规定清洗手后再重来另一项工种。下班时要清洗手及更换工作衣后才可以离岗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017CA5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2873DA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02F1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429EBD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7B2F73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4.医疗垃圾按规范存贮处理，帐目齐全，防止二次污染，严禁有生活垃圾掺入，生活垃圾及时倾倒不能超过垃圾桶2/3，运输车辆干净不渗漏，不产生二次污染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321649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28596B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30F2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3F52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79DDCA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5.出院病人在出院后3分钟内做好终末消毒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6E2D84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174EDF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B94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0BE679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清洁卫生</w:t>
            </w:r>
          </w:p>
          <w:p w14:paraId="51BA9D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p w14:paraId="7F6F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c>
        <w:tc>
          <w:tcPr>
            <w:tcW w:w="5370" w:type="dxa"/>
            <w:noWrap w:val="0"/>
            <w:vAlign w:val="center"/>
          </w:tcPr>
          <w:p w14:paraId="1D3CD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1.整体感觉整洁明亮，表面无积灰、物品摆放有序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503788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5F7661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7791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8D27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60B3E7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2.无棚、灯饰干净无积灰，墙角无蜘蛛网家俱、设备表面无灰尘、无水迹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3CCB077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12A973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3FCB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2678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5C364B4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3.墙面无污迹、无灰尘，无乱贴乱画、无挂衣物，乳胶墙面每周用掸子进行掸尘，墙地砖墙面每季度用全能清洁剂清洗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5BEB4F2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1DCC3B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032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5A76B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1F8783F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.地面无烟蒂，纸宵、痰迹、污迹、泥沙，整体要有较强的光洁度。雨雪天保持地面干燥无水迹，做好防滑工作，发现垃圾杂物及时清理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2204181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576B13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590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4C25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042CD7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.卫生间保持清洁无明显异味、无污垢，水池、下水道保持通畅，镜子清洗明亮无污迹及污渍，每天不少于二次保洁，洁具每天消毒无明显黄迹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04CF34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36613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5EDD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B53D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6D56369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.不锈钢器具表面清洁光亮无积灰、无污迹，防止硬物划伤，每月上油保养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2864CE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B93FE5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56A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FB4A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5FFB3A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.玻璃门、窗及框明亮无污迹、无尘、无手印，主要场所每周对玻璃清统一次.普通场所每季度一次请洗，框槽每周清扫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74DE26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092D5D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0F5E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D1980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45DF676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.垃圾分类处理，按规定套放垃圾袋。垃圾箱内外保持清洁，无积水、无异味，箱内垃圾超过2/3及时频倒，每天下班前将垃圾桶擦洗干净并消毒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672454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713E5AF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AA8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FDBB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3D6321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.顶棚、露天阳台每周巡视，沟槽无阻塞，地面无垃圾，</w:t>
            </w:r>
          </w:p>
          <w:p w14:paraId="762B1C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玻璃雨棚每月一次冲洗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4D0768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1B92F89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67F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29D73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1C88E6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.道路清洗，广场干净，花盆内无烟蒂草坪无垃圾</w:t>
            </w:r>
            <w:r>
              <w:rPr>
                <w:rFonts w:hint="eastAsia" w:ascii="宋体" w:hAnsi="宋体" w:cs="宋体"/>
                <w:color w:val="auto"/>
                <w:sz w:val="21"/>
                <w:szCs w:val="21"/>
                <w:highlight w:val="none"/>
                <w:lang w:eastAsia="zh-CN"/>
              </w:rPr>
              <w:t>。</w:t>
            </w:r>
          </w:p>
          <w:p w14:paraId="267928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810" w:type="dxa"/>
            <w:noWrap w:val="0"/>
            <w:vAlign w:val="center"/>
          </w:tcPr>
          <w:p w14:paraId="76E798A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5715D8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8BC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7C132C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科室考核</w:t>
            </w:r>
          </w:p>
          <w:p w14:paraId="63F9B2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370" w:type="dxa"/>
            <w:noWrap w:val="0"/>
            <w:vAlign w:val="center"/>
          </w:tcPr>
          <w:p w14:paraId="2D87AAE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1.每月一次有科室组织对保洁公司人员考核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3B60AC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444764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4DB9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F049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38C69C7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.公司有考核制度，每月一次向医院反馈，有质量持续改进措施成效明显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477A004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45D6E5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6EBB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BAC6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370" w:type="dxa"/>
            <w:noWrap w:val="0"/>
            <w:vAlign w:val="center"/>
          </w:tcPr>
          <w:p w14:paraId="212794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.对考核存在问题能及时纠正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810" w:type="dxa"/>
            <w:noWrap w:val="0"/>
            <w:vAlign w:val="center"/>
          </w:tcPr>
          <w:p w14:paraId="285412F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3F4119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r w14:paraId="25AF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0"/>
            <w:vAlign w:val="center"/>
          </w:tcPr>
          <w:p w14:paraId="3B1C5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、综合评价</w:t>
            </w:r>
          </w:p>
          <w:p w14:paraId="1D6D6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370" w:type="dxa"/>
            <w:noWrap w:val="0"/>
            <w:vAlign w:val="center"/>
          </w:tcPr>
          <w:p w14:paraId="65E654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考核组成员对保洁公司综合评价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810" w:type="dxa"/>
            <w:noWrap w:val="0"/>
            <w:vAlign w:val="center"/>
          </w:tcPr>
          <w:p w14:paraId="38A9CD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c>
          <w:tcPr>
            <w:tcW w:w="825" w:type="dxa"/>
            <w:noWrap w:val="0"/>
            <w:vAlign w:val="center"/>
          </w:tcPr>
          <w:p w14:paraId="2FAAA3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1"/>
                <w:szCs w:val="21"/>
                <w:highlight w:val="none"/>
              </w:rPr>
            </w:pPr>
          </w:p>
        </w:tc>
      </w:tr>
    </w:tbl>
    <w:p w14:paraId="25504856">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注：本办法由采购人负责解释，可根据实际情况</w:t>
      </w:r>
      <w:r>
        <w:rPr>
          <w:rFonts w:hint="eastAsia" w:ascii="宋体" w:hAnsi="宋体" w:cs="宋体"/>
          <w:color w:val="auto"/>
          <w:sz w:val="24"/>
          <w:highlight w:val="none"/>
          <w:lang w:eastAsia="zh-CN"/>
        </w:rPr>
        <w:t>调整</w:t>
      </w:r>
      <w:r>
        <w:rPr>
          <w:rFonts w:hint="eastAsia" w:ascii="宋体" w:hAnsi="宋体" w:cs="宋体"/>
          <w:color w:val="auto"/>
          <w:sz w:val="24"/>
          <w:highlight w:val="none"/>
        </w:rPr>
        <w:t>。</w:t>
      </w:r>
    </w:p>
    <w:p w14:paraId="7089A960">
      <w:pPr>
        <w:autoSpaceDE w:val="0"/>
        <w:autoSpaceDN w:val="0"/>
        <w:adjustRightInd w:val="0"/>
        <w:spacing w:line="360" w:lineRule="auto"/>
        <w:ind w:firstLine="480" w:firstLineChars="200"/>
        <w:jc w:val="left"/>
        <w:rPr>
          <w:rFonts w:hint="eastAsia" w:ascii="宋体" w:hAnsi="宋体" w:cs="宋体"/>
          <w:color w:val="auto"/>
          <w:sz w:val="24"/>
          <w:highlight w:val="none"/>
        </w:rPr>
      </w:pPr>
    </w:p>
    <w:bookmarkEnd w:id="96"/>
    <w:bookmarkEnd w:id="97"/>
    <w:bookmarkEnd w:id="98"/>
    <w:bookmarkEnd w:id="99"/>
    <w:bookmarkEnd w:id="100"/>
    <w:p w14:paraId="724DCB23">
      <w:pPr>
        <w:rPr>
          <w:rFonts w:hint="eastAsia" w:ascii="宋体" w:hAnsi="宋体" w:cs="宋体"/>
          <w:b/>
          <w:bCs/>
          <w:color w:val="auto"/>
          <w:sz w:val="30"/>
          <w:szCs w:val="30"/>
          <w:highlight w:val="none"/>
        </w:rPr>
      </w:pPr>
      <w:bookmarkStart w:id="106" w:name="_Toc16327"/>
      <w:bookmarkStart w:id="107" w:name="_Toc9508"/>
      <w:r>
        <w:rPr>
          <w:rFonts w:hint="eastAsia" w:ascii="宋体" w:hAnsi="宋体" w:cs="宋体"/>
          <w:b/>
          <w:bCs/>
          <w:color w:val="auto"/>
          <w:sz w:val="30"/>
          <w:szCs w:val="30"/>
          <w:highlight w:val="none"/>
        </w:rPr>
        <w:br w:type="page"/>
      </w:r>
    </w:p>
    <w:p w14:paraId="5A88C7D3">
      <w:pPr>
        <w:spacing w:line="600" w:lineRule="auto"/>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第</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rPr>
        <w:t>章 付款方式及要求</w:t>
      </w:r>
      <w:bookmarkEnd w:id="106"/>
      <w:bookmarkEnd w:id="107"/>
    </w:p>
    <w:p w14:paraId="3DC40402">
      <w:pPr>
        <w:numPr>
          <w:ilvl w:val="0"/>
          <w:numId w:val="28"/>
        </w:num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付款方式</w:t>
      </w:r>
    </w:p>
    <w:p w14:paraId="54F1E6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采购人在合同生效以及具备实施条件后7个工作日内向</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支付2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%的合同款作为预付款，</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需提交银行、保险公司等金融机构出具的预付款保函或其他担保措施；</w:t>
      </w:r>
    </w:p>
    <w:p w14:paraId="65FBE7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剩余服务费按合同约定的价款按月平均支付，应先做后付，以每月考核结果来确定当月支付款额，在次月底前支付上月经考核后的服务费。（其中合同终止期最后一个月的经费支付应同时递交保洁员</w:t>
      </w:r>
      <w:r>
        <w:rPr>
          <w:rFonts w:hint="eastAsia" w:ascii="宋体" w:hAnsi="宋体" w:cs="宋体"/>
          <w:color w:val="auto"/>
          <w:sz w:val="24"/>
          <w:highlight w:val="none"/>
          <w:lang w:eastAsia="zh-CN"/>
        </w:rPr>
        <w:t>工</w:t>
      </w:r>
      <w:r>
        <w:rPr>
          <w:rFonts w:hint="eastAsia" w:ascii="宋体" w:hAnsi="宋体" w:cs="宋体"/>
          <w:color w:val="auto"/>
          <w:sz w:val="24"/>
          <w:highlight w:val="none"/>
        </w:rPr>
        <w:t>工资已发放清单）</w:t>
      </w:r>
    </w:p>
    <w:p w14:paraId="43B2DD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特殊条款：</w:t>
      </w:r>
    </w:p>
    <w:p w14:paraId="0D305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如供应商根据《浙江省财政厅关于进一步发挥政府采购政策功能全力推动经济稳进提质的通知》[浙财采监〔2022）3号]文件，在签订合同时，供应商明确表示无需预付款或者主动要求降低预付款比例的，需提交相应申请函经采购人确认后，可不适用前述付款方式，按以下方式执行：</w:t>
      </w:r>
    </w:p>
    <w:p w14:paraId="1FD24C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auto"/>
          <w:highlight w:val="none"/>
          <w:lang w:eastAsia="zh-CN"/>
        </w:rPr>
      </w:pP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在合同生效</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按合同约定的价款按月平均支付，应先做后付，以每月考核结果来确定当月支付款额，在次月底前支付上月经考核后的服务费。（其中合同终止期最后一个月的经费支付应同时递交保洁员工工资已发放清单）</w:t>
      </w:r>
      <w:r>
        <w:rPr>
          <w:rFonts w:hint="eastAsia" w:ascii="宋体" w:hAnsi="宋体" w:cs="宋体"/>
          <w:color w:val="auto"/>
          <w:sz w:val="24"/>
          <w:highlight w:val="none"/>
          <w:lang w:eastAsia="zh-CN"/>
        </w:rPr>
        <w:t>。</w:t>
      </w:r>
    </w:p>
    <w:p w14:paraId="61008492">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付款要求</w:t>
      </w:r>
    </w:p>
    <w:p w14:paraId="506F37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在收款之前，应向采购人提供等额、合法、有效的发票，采购人凭发票付款。如</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未按约定提供发票的，采购人有权拒绝付款，直至收到</w:t>
      </w:r>
      <w:r>
        <w:rPr>
          <w:rFonts w:hint="eastAsia" w:ascii="宋体" w:hAnsi="宋体" w:cs="宋体"/>
          <w:color w:val="auto"/>
          <w:sz w:val="24"/>
          <w:highlight w:val="none"/>
          <w:lang w:eastAsia="zh-CN"/>
        </w:rPr>
        <w:t>供应商</w:t>
      </w:r>
      <w:r>
        <w:rPr>
          <w:rFonts w:hint="eastAsia" w:ascii="宋体"/>
          <w:color w:val="auto"/>
          <w:kern w:val="0"/>
          <w:sz w:val="24"/>
          <w:highlight w:val="none"/>
        </w:rPr>
        <w:t>提交的相应发票为止，在此情况下，采购人不承担逾期付款违约责任。</w:t>
      </w:r>
    </w:p>
    <w:p w14:paraId="2FA3E103">
      <w:pPr>
        <w:rPr>
          <w:rFonts w:hint="eastAsia" w:ascii="宋体" w:hAnsi="宋体" w:eastAsia="宋体" w:cs="宋体"/>
          <w:color w:val="auto"/>
          <w:sz w:val="36"/>
          <w:szCs w:val="36"/>
          <w:highlight w:val="none"/>
        </w:rPr>
      </w:pPr>
      <w:bookmarkStart w:id="108" w:name="_Toc19120"/>
      <w:r>
        <w:rPr>
          <w:rFonts w:hint="eastAsia" w:ascii="宋体" w:hAnsi="宋体" w:eastAsia="宋体" w:cs="宋体"/>
          <w:color w:val="auto"/>
          <w:sz w:val="36"/>
          <w:szCs w:val="36"/>
          <w:highlight w:val="none"/>
        </w:rPr>
        <w:br w:type="page"/>
      </w:r>
    </w:p>
    <w:p w14:paraId="43E0EEBC">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第四部分 磋商原则及磋商方法</w:t>
      </w:r>
      <w:bookmarkEnd w:id="95"/>
      <w:bookmarkEnd w:id="101"/>
      <w:bookmarkEnd w:id="108"/>
    </w:p>
    <w:p w14:paraId="3586C572">
      <w:pPr>
        <w:pStyle w:val="3"/>
        <w:numPr>
          <w:ilvl w:val="0"/>
          <w:numId w:val="29"/>
        </w:numPr>
        <w:jc w:val="center"/>
        <w:rPr>
          <w:rFonts w:hint="eastAsia" w:ascii="宋体" w:hAnsi="宋体" w:eastAsia="宋体" w:cs="宋体"/>
          <w:color w:val="auto"/>
          <w:highlight w:val="none"/>
        </w:rPr>
      </w:pPr>
      <w:bookmarkStart w:id="109" w:name="_Toc1265"/>
      <w:r>
        <w:rPr>
          <w:rFonts w:hint="eastAsia" w:ascii="宋体" w:hAnsi="宋体" w:eastAsia="宋体" w:cs="宋体"/>
          <w:color w:val="auto"/>
          <w:highlight w:val="none"/>
        </w:rPr>
        <w:t xml:space="preserve"> </w:t>
      </w:r>
      <w:bookmarkStart w:id="110" w:name="_Toc26831"/>
      <w:bookmarkStart w:id="111" w:name="_Toc3582"/>
      <w:r>
        <w:rPr>
          <w:rFonts w:hint="eastAsia" w:ascii="宋体" w:hAnsi="宋体" w:eastAsia="宋体" w:cs="宋体"/>
          <w:color w:val="auto"/>
          <w:highlight w:val="none"/>
        </w:rPr>
        <w:t>磋商原则</w:t>
      </w:r>
      <w:bookmarkEnd w:id="109"/>
      <w:bookmarkEnd w:id="110"/>
      <w:bookmarkEnd w:id="111"/>
    </w:p>
    <w:p w14:paraId="0EEF5819">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1、本次竞争性磋商本着公平、公正、科学、择优的原则，邀请各磋商方参加报价。</w:t>
      </w:r>
    </w:p>
    <w:p w14:paraId="7855D971">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2、磋商小组将严格按照竞争性磋商文件的要求，对供应商的响应性文件进行认真评审；磋商小组对响应性文件的评审仅依据响应性文件本身，而不依据响应性文件以外的任何因素。</w:t>
      </w:r>
    </w:p>
    <w:p w14:paraId="008813CD">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3、磋商小组按照统一的磋商原则和磋商方法，用同一标准对所有响应性文件进行评审。</w:t>
      </w:r>
    </w:p>
    <w:p w14:paraId="14CEDC18">
      <w:pPr>
        <w:pStyle w:val="14"/>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w:t>
      </w:r>
    </w:p>
    <w:p w14:paraId="0468F45F">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4.1在磋商响应截止时间前按规定提交响应文件的供应商在三家（含）以上的，由采购人或采购代理机构组织进行开标。</w:t>
      </w:r>
    </w:p>
    <w:p w14:paraId="15C9DC9C">
      <w:pPr>
        <w:pStyle w:val="14"/>
        <w:spacing w:line="33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供应商登录政采云平台，用“项目采购-开标评标”功能对电子磋商响应文件进行在线解密。在线解密电子磋商响应文件时间为开标时间起30分钟内。若电子磋商响应文件解密失败，则由采购代理机构工作人员上传供应商提供的备份文件。</w:t>
      </w:r>
      <w:r>
        <w:rPr>
          <w:rFonts w:hint="eastAsia" w:ascii="宋体" w:hAnsi="宋体" w:eastAsia="宋体" w:cs="宋体"/>
          <w:color w:val="auto"/>
          <w:sz w:val="24"/>
          <w:szCs w:val="24"/>
          <w:highlight w:val="none"/>
        </w:rPr>
        <w:t>备份文件（后缀名为.bfbs）须存储在U盘中，与上传的电子磋商响应文件一致，用信封进行密封并盖章</w:t>
      </w:r>
      <w:r>
        <w:rPr>
          <w:rFonts w:hint="eastAsia" w:ascii="宋体" w:hAnsi="宋体" w:eastAsia="宋体" w:cs="宋体"/>
          <w:b/>
          <w:bCs/>
          <w:color w:val="auto"/>
          <w:sz w:val="24"/>
          <w:szCs w:val="24"/>
          <w:highlight w:val="none"/>
        </w:rPr>
        <w:t>（信封内仅需放入存储备份文件的U盘）</w:t>
      </w:r>
      <w:r>
        <w:rPr>
          <w:rFonts w:hint="eastAsia" w:ascii="宋体" w:hAnsi="宋体" w:eastAsia="宋体" w:cs="宋体"/>
          <w:color w:val="auto"/>
          <w:sz w:val="24"/>
          <w:szCs w:val="24"/>
          <w:highlight w:val="none"/>
        </w:rPr>
        <w:t>，由授权代表在磋商响应截止时间前递交至开标地点。</w:t>
      </w:r>
    </w:p>
    <w:p w14:paraId="1B0DE1D1">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4.3采购人按磋商文件规定的时间、地点公开开标。开标仪式由采购人或采购代理机构主持及有关人员参加。</w:t>
      </w:r>
    </w:p>
    <w:p w14:paraId="2B1B1076">
      <w:pPr>
        <w:pStyle w:val="72"/>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4.4本项目为电子投标项目，供应商一般不需要参加现场投标和开标，若供应商需要指派授权代表递交备份文件，则授权代表应随身携带法定代表人授权书原件于磋商响应截止时间前到达开标地点递交备份文件。若电子磋商响应文件正常解锁，则U盘退还给供应商；若解锁失败，则由采购代理机构将U盘中的备份文件上传，该U盘将由采购代理机构保存。</w:t>
      </w:r>
    </w:p>
    <w:p w14:paraId="6F2B66ED">
      <w:pPr>
        <w:pStyle w:val="72"/>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23AF169">
      <w:pPr>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5、组建磋商小组</w:t>
      </w:r>
    </w:p>
    <w:p w14:paraId="327F4ECA">
      <w:pPr>
        <w:pStyle w:val="72"/>
        <w:spacing w:before="0" w:line="336" w:lineRule="auto"/>
        <w:ind w:firstLine="480"/>
        <w:rPr>
          <w:rFonts w:hint="eastAsia" w:ascii="宋体" w:hAnsi="宋体" w:eastAsia="宋体" w:cs="宋体"/>
          <w:color w:val="auto"/>
          <w:highlight w:val="none"/>
          <w:lang w:eastAsia="zh-CN"/>
        </w:rPr>
      </w:pPr>
      <w:r>
        <w:rPr>
          <w:rFonts w:hint="eastAsia" w:ascii="宋体" w:hAnsi="宋体" w:eastAsia="宋体" w:cs="宋体"/>
          <w:color w:val="auto"/>
          <w:highlight w:val="none"/>
        </w:rPr>
        <w:t>5.1磋商小组由采购人代表和评审专家共3人或以上单数组成，其中评审专家人数不少于磋商小组成员总数的2/3</w:t>
      </w:r>
      <w:r>
        <w:rPr>
          <w:rFonts w:hint="eastAsia" w:ascii="宋体" w:hAnsi="宋体" w:cs="宋体"/>
          <w:color w:val="auto"/>
          <w:highlight w:val="none"/>
          <w:lang w:eastAsia="zh-CN"/>
        </w:rPr>
        <w:t>；</w:t>
      </w:r>
    </w:p>
    <w:p w14:paraId="1D207C11">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5.2</w:t>
      </w:r>
      <w:r>
        <w:rPr>
          <w:rFonts w:hint="eastAsia" w:ascii="宋体" w:hAnsi="宋体" w:eastAsia="宋体" w:cs="宋体"/>
          <w:color w:val="auto"/>
          <w:highlight w:val="none"/>
          <w:lang w:val="zh-CN"/>
        </w:rPr>
        <w:t>评标工作由评标委员会负责，并推选产生的组长主持；</w:t>
      </w:r>
    </w:p>
    <w:p w14:paraId="0B41DFE2">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lang w:val="zh-CN"/>
        </w:rPr>
        <w:t>本次评标为在线评标。</w:t>
      </w:r>
    </w:p>
    <w:p w14:paraId="76F768B2">
      <w:pPr>
        <w:pStyle w:val="3"/>
        <w:numPr>
          <w:ilvl w:val="0"/>
          <w:numId w:val="29"/>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12" w:name="_Toc4456"/>
      <w:bookmarkStart w:id="113" w:name="_Toc10093"/>
      <w:bookmarkStart w:id="114" w:name="_Toc11160"/>
      <w:r>
        <w:rPr>
          <w:rFonts w:hint="eastAsia" w:ascii="宋体" w:hAnsi="宋体" w:eastAsia="宋体" w:cs="宋体"/>
          <w:color w:val="auto"/>
          <w:highlight w:val="none"/>
        </w:rPr>
        <w:t>磋商程序</w:t>
      </w:r>
      <w:bookmarkEnd w:id="112"/>
      <w:bookmarkEnd w:id="113"/>
      <w:bookmarkEnd w:id="114"/>
    </w:p>
    <w:p w14:paraId="02423905">
      <w:pPr>
        <w:snapToGrid w:val="0"/>
        <w:spacing w:line="336"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1、对所有响应文件的初审</w:t>
      </w:r>
    </w:p>
    <w:p w14:paraId="2E3FC6DB">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w:t>
      </w:r>
    </w:p>
    <w:p w14:paraId="5F262D63">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（1）开标后，磋商小组将依法对供应商的资格进行审查。</w:t>
      </w:r>
    </w:p>
    <w:p w14:paraId="7B6B6184">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（2）磋商小组依据法律法规和磋商文件的规定，对供应商的基本资格条件、特定资格条件进行审查。</w:t>
      </w:r>
    </w:p>
    <w:p w14:paraId="4B144A8D">
      <w:pPr>
        <w:adjustRightInd w:val="0"/>
        <w:snapToGrid w:val="0"/>
        <w:spacing w:line="33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（3）供应商未按照磋商文件要求提供与基本资格条件、特定资格条件相应的有效资格证明材料的，视为供应商不具备磋商文件中规定的资格要求，其磋商无效。并将无效原由告知相关供应商</w:t>
      </w:r>
      <w:r>
        <w:rPr>
          <w:rFonts w:hint="eastAsia" w:ascii="宋体" w:hAnsi="宋体" w:cs="宋体"/>
          <w:color w:val="auto"/>
          <w:sz w:val="24"/>
          <w:szCs w:val="24"/>
          <w:highlight w:val="none"/>
          <w:lang w:eastAsia="zh-CN"/>
        </w:rPr>
        <w:t>。</w:t>
      </w:r>
    </w:p>
    <w:p w14:paraId="772F823A">
      <w:pPr>
        <w:wordWrap w:val="0"/>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（4）采购人或采购代理机构将通过“信用中国”网站(www.creditchina.gov.cn)、中国政府采购网(www.ccgp.gov.cn)渠道查询供应商磋商开标后评标前的信用记录，经查询供应商列入失信被执行人名单、</w:t>
      </w:r>
      <w:r>
        <w:rPr>
          <w:rFonts w:hint="eastAsia" w:ascii="宋体" w:hAnsi="宋体" w:eastAsia="宋体" w:cs="宋体"/>
          <w:color w:val="auto"/>
          <w:sz w:val="24"/>
          <w:szCs w:val="24"/>
          <w:highlight w:val="none"/>
          <w:lang w:eastAsia="zh-CN"/>
        </w:rPr>
        <w:t>重大税收违法失信主体</w:t>
      </w:r>
      <w:r>
        <w:rPr>
          <w:rFonts w:hint="eastAsia" w:ascii="宋体" w:hAnsi="宋体" w:eastAsia="宋体" w:cs="宋体"/>
          <w:color w:val="auto"/>
          <w:sz w:val="24"/>
          <w:szCs w:val="24"/>
          <w:highlight w:val="none"/>
        </w:rPr>
        <w:t>、政府采购严重违法失信行为记录名单的，其磋商无效。</w:t>
      </w:r>
    </w:p>
    <w:p w14:paraId="3C2B841B">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（5）磋商小组出具《供应商资格审查意见表》，供应商未按照磋商文件要求提供与基本资格条件、特定资格条件相应的有效资格证明材料的，视为供应商不具备磋商文件中规定的资格要求，其磋商无效。</w:t>
      </w:r>
    </w:p>
    <w:p w14:paraId="3F724E63">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1.2符合性审查：磋商小组依据磋商文件的规定，从响应文件的有效性、完整性和对磋商文件的响应程度进行审查，以确定是否对磋商文件的要求作出实质性响应。出现以下情况的，视为符合性不通过，磋商无效。</w:t>
      </w:r>
    </w:p>
    <w:p w14:paraId="09AD7A43">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（1）响应文件无法定代表人或其委托授权代表签名或盖章。</w:t>
      </w:r>
    </w:p>
    <w:p w14:paraId="62077A31">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（2）响应文件内容虚假的。</w:t>
      </w:r>
    </w:p>
    <w:p w14:paraId="6B8D3368">
      <w:pPr>
        <w:adjustRightInd w:val="0"/>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（3）响应文件有采购人不能接受的附加条件的。</w:t>
      </w:r>
    </w:p>
    <w:p w14:paraId="53378B8A">
      <w:pPr>
        <w:adjustRightIn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（4）磋商有效期、服务期等商务条款不能满足磋商文件要求的。</w:t>
      </w:r>
    </w:p>
    <w:p w14:paraId="22A6D250">
      <w:pPr>
        <w:widowControl/>
        <w:spacing w:line="336"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（5）投标价格超出预算或最高限价，导致采购单位无法支付的。</w:t>
      </w:r>
    </w:p>
    <w:p w14:paraId="01DF9C27">
      <w:pPr>
        <w:widowControl/>
        <w:spacing w:line="336"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（6）磋商文件明确规定的其他无效条款的。</w:t>
      </w:r>
    </w:p>
    <w:p w14:paraId="72D1BB26">
      <w:pPr>
        <w:adjustRightInd w:val="0"/>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5C549A">
      <w:pPr>
        <w:pStyle w:val="72"/>
        <w:tabs>
          <w:tab w:val="left" w:pos="0"/>
        </w:tabs>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1.4磋商小组要求供应商澄清、说明或者更正响应文件应当以书面形式发出。供应商的澄清、说明或者更正应当由法定代表人或其授权代表签字或者加盖公章。由授权代表签字的，应当附法定代表人授权书。</w:t>
      </w:r>
    </w:p>
    <w:p w14:paraId="2D79A9B3">
      <w:pPr>
        <w:snapToGrid w:val="0"/>
        <w:spacing w:line="336"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、磋商</w:t>
      </w:r>
    </w:p>
    <w:p w14:paraId="4E7D2593">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初审合格的供应商进入下一步的磋商活动。</w:t>
      </w:r>
    </w:p>
    <w:p w14:paraId="75B9D078">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磋商小组所有成员应当集中与单一供应商分别进行磋商，并给予所有参加磋商的供应商平等的磋商机会。</w:t>
      </w:r>
    </w:p>
    <w:p w14:paraId="4A8A6516">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以递交响应文件的时间先后决定磋商顺序。磋商时先听取由供应商拟派的项目负责人就项目采购的重点内容进行磋商，磋商过程中由磋商小组成员提出相关问题，并由供应商拟派项目负责人进行回复与承诺。 </w:t>
      </w:r>
    </w:p>
    <w:p w14:paraId="62DAD953">
      <w:pPr>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在磋商过程中，磋商小组可以根据磋商文件和磋商情况实质性变动采购需求中的技术、服务要求以及合同草案条款。实质性变动的内容，须经采购人代表确认。</w:t>
      </w:r>
    </w:p>
    <w:p w14:paraId="7E1D1AF1">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磋商文件作出的实质性变动是磋商文件的有效组成部分，磋商小组应当及时以书面形式同时通知所有参加磋商的供应商。</w:t>
      </w:r>
    </w:p>
    <w:p w14:paraId="4141D30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A272862">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符合《政府采购竞争性磋商采购方式管理暂行办法》（财库〔2014〕214号）第三条第四项即“市场竞争不充分的科研项目，以及需要扶持的科技成果转化项目”情形的，提交最后报价的供应商可以为2家。</w:t>
      </w:r>
    </w:p>
    <w:p w14:paraId="700388BA">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F333EA2">
      <w:pPr>
        <w:snapToGrid w:val="0"/>
        <w:spacing w:line="336" w:lineRule="auto"/>
        <w:ind w:firstLine="48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、最后报价</w:t>
      </w:r>
    </w:p>
    <w:p w14:paraId="3D627189">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3.1商务技术汇总后，供应商开启报价文件，磋商小组应当要求所有实质性响应的供应商在规定时间内提交最后报价。</w:t>
      </w:r>
    </w:p>
    <w:p w14:paraId="627A0553">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3.2最后报价是供应商响应文件的有效组成部分，若最后报价高于响应文件报价文件报价，则以第一次报价计入评分。</w:t>
      </w:r>
    </w:p>
    <w:p w14:paraId="5B295340">
      <w:pPr>
        <w:snapToGrid w:val="0"/>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3.3已提交响应文件的供应商，在提交最后报价之前，若因磋商文件实质性变动导致供应商无法满足采购需求的，允许供应商退出磋商。</w:t>
      </w:r>
    </w:p>
    <w:p w14:paraId="3B28FC3B">
      <w:pPr>
        <w:pStyle w:val="7"/>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4、电子评标</w:t>
      </w:r>
    </w:p>
    <w:p w14:paraId="58F9484F">
      <w:pPr>
        <w:pStyle w:val="7"/>
        <w:spacing w:line="336"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4.1磋商活动由采购代理机构主持,磋商响应截止时间后,供应商登录政采云平台对电子响应文件进行在线解密；</w:t>
      </w:r>
    </w:p>
    <w:p w14:paraId="3BF66E2E">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4.2响应文件解密结束,开启响应文件,磋商小组对资格和商务技术响应文件进行资格审查和符合性审查；</w:t>
      </w:r>
    </w:p>
    <w:p w14:paraId="0EF131EF">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4.3供应商按递交磋商响应文件的前后顺序决定磋商的顺序,就价格、服务等认为需要磋商的内容进行磋商,供应商逐家回答磋商小组的提问,供应商作出最终承诺；</w:t>
      </w:r>
    </w:p>
    <w:p w14:paraId="2AE14BE6">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4.4磋商小组对商务技术响应文件进行评审；</w:t>
      </w:r>
    </w:p>
    <w:p w14:paraId="3C7FA157">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4.5商务技术汇总后，供应商开启报价文件，进行磋商二次报价（最终报价），</w:t>
      </w:r>
      <w:r>
        <w:rPr>
          <w:rFonts w:hint="eastAsia" w:ascii="宋体" w:hAnsi="宋体" w:eastAsia="宋体" w:cs="宋体"/>
          <w:b/>
          <w:bCs/>
          <w:color w:val="auto"/>
          <w:sz w:val="24"/>
          <w:szCs w:val="24"/>
          <w:highlight w:val="none"/>
        </w:rPr>
        <w:t>如果供应商在规定时间30分钟内未提交第二次报价，视该供应商放弃本次投标，作无效标处理</w:t>
      </w:r>
      <w:r>
        <w:rPr>
          <w:rFonts w:hint="eastAsia" w:ascii="宋体" w:hAnsi="宋体" w:eastAsia="宋体" w:cs="宋体"/>
          <w:color w:val="auto"/>
          <w:sz w:val="24"/>
          <w:szCs w:val="24"/>
          <w:highlight w:val="none"/>
        </w:rPr>
        <w:t>；</w:t>
      </w:r>
    </w:p>
    <w:p w14:paraId="0F4903D8">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4.6在系统上开启最终报价情况；</w:t>
      </w:r>
    </w:p>
    <w:p w14:paraId="2A2E6F02">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4.7磋商小组对报价情况进行评审；</w:t>
      </w:r>
    </w:p>
    <w:p w14:paraId="5CDED8AA">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4.8在系统上公开资格和商务技术评审结果；</w:t>
      </w:r>
    </w:p>
    <w:p w14:paraId="006FC10B">
      <w:pPr>
        <w:pStyle w:val="7"/>
        <w:spacing w:line="336"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4.9在系统上公布评审结果</w:t>
      </w:r>
      <w:r>
        <w:rPr>
          <w:rFonts w:hint="eastAsia" w:ascii="宋体" w:hAnsi="宋体" w:cs="宋体"/>
          <w:color w:val="auto"/>
          <w:sz w:val="24"/>
          <w:szCs w:val="24"/>
          <w:highlight w:val="none"/>
          <w:lang w:eastAsia="zh-CN"/>
        </w:rPr>
        <w:t>；</w:t>
      </w:r>
    </w:p>
    <w:p w14:paraId="5A69F71D">
      <w:pPr>
        <w:pStyle w:val="7"/>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4.10开标会结束。</w:t>
      </w:r>
    </w:p>
    <w:p w14:paraId="5AA802B6">
      <w:pPr>
        <w:snapToGrid w:val="0"/>
        <w:spacing w:line="336"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特别说明:政采云如对电子化开标及评审程序有调整的,按调整后的程序操作。</w:t>
      </w:r>
    </w:p>
    <w:p w14:paraId="7F374AE8">
      <w:pPr>
        <w:snapToGrid w:val="0"/>
        <w:spacing w:line="336"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5.综合评分</w:t>
      </w:r>
    </w:p>
    <w:p w14:paraId="5E0AE6DE">
      <w:pPr>
        <w:tabs>
          <w:tab w:val="left" w:pos="-1080"/>
          <w:tab w:val="left" w:pos="180"/>
          <w:tab w:val="left" w:pos="1080"/>
        </w:tabs>
        <w:snapToGrid w:val="0"/>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5.1本评标办法采用综合评标法，由商务技术分和报价分合计组成，其中商务技术分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分、报价分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分；满分为100分。</w:t>
      </w:r>
    </w:p>
    <w:p w14:paraId="1FAA3ED2">
      <w:pPr>
        <w:spacing w:line="336"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5.2经初步评审合格的响应文件，磋商小组根据竞争性磋商文件确定的评审标准和方法，对其商务技术部分作进一步评审、比较、打分。</w:t>
      </w:r>
    </w:p>
    <w:p w14:paraId="46CDA623">
      <w:pPr>
        <w:pStyle w:val="14"/>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磋商小组成员首先分别对每个供应商商务技术部分进行评审打分，然后计算出算术平均值（保留2位小数），即为供应商的商务技术得分，后计算二次报价，计算公式：投标价格分=(最佳报价/投标报价)*价格权值*100。综合得分=商务技术分+报价分，以综合得分（保留2位小数）由高到低进行排序后推荐第一名为成交供应商候选人；得分相同的，按报价由低到高的顺序排列；得分且报价相同的，在响应文件满足磋商文件全部实质性要求前提下，按照评审因素的量化指标评审得分最高的供应商；确定成交供应商候选人，并提交评审结果。</w:t>
      </w:r>
    </w:p>
    <w:p w14:paraId="6EA9F6B6">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6、修正原则</w:t>
      </w:r>
    </w:p>
    <w:p w14:paraId="030CE7C1">
      <w:pPr>
        <w:pStyle w:val="72"/>
        <w:spacing w:before="0" w:line="336" w:lineRule="auto"/>
        <w:ind w:left="400" w:leftChars="200" w:firstLine="0" w:firstLineChars="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文件报价出现前后不一致的，按照下列规定修正：</w:t>
      </w:r>
    </w:p>
    <w:p w14:paraId="4497519A">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6.1响应</w:t>
      </w:r>
      <w:r>
        <w:rPr>
          <w:rFonts w:hint="eastAsia" w:ascii="宋体" w:hAnsi="宋体" w:eastAsia="宋体" w:cs="宋体"/>
          <w:color w:val="auto"/>
          <w:highlight w:val="none"/>
          <w:lang w:val="zh-CN"/>
        </w:rPr>
        <w:t>文件中</w:t>
      </w:r>
      <w:r>
        <w:rPr>
          <w:rFonts w:hint="eastAsia" w:ascii="宋体" w:hAnsi="宋体" w:eastAsia="宋体" w:cs="宋体"/>
          <w:color w:val="auto"/>
          <w:highlight w:val="none"/>
        </w:rPr>
        <w:t>报价</w:t>
      </w:r>
      <w:r>
        <w:rPr>
          <w:rFonts w:hint="eastAsia" w:ascii="宋体" w:hAnsi="宋体" w:eastAsia="宋体" w:cs="宋体"/>
          <w:color w:val="auto"/>
          <w:highlight w:val="none"/>
          <w:lang w:val="zh-CN"/>
        </w:rPr>
        <w:t>一览表内容与</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文件中相应内容不一致的，以</w:t>
      </w:r>
      <w:r>
        <w:rPr>
          <w:rFonts w:hint="eastAsia" w:ascii="宋体" w:hAnsi="宋体" w:eastAsia="宋体" w:cs="宋体"/>
          <w:color w:val="auto"/>
          <w:highlight w:val="none"/>
        </w:rPr>
        <w:t>报价</w:t>
      </w:r>
      <w:r>
        <w:rPr>
          <w:rFonts w:hint="eastAsia" w:ascii="宋体" w:hAnsi="宋体" w:eastAsia="宋体" w:cs="宋体"/>
          <w:color w:val="auto"/>
          <w:highlight w:val="none"/>
          <w:lang w:val="zh-CN"/>
        </w:rPr>
        <w:t>一览表为准；</w:t>
      </w:r>
    </w:p>
    <w:p w14:paraId="184BF87B">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6.2</w:t>
      </w:r>
      <w:r>
        <w:rPr>
          <w:rFonts w:hint="eastAsia" w:ascii="宋体" w:hAnsi="宋体" w:eastAsia="宋体" w:cs="宋体"/>
          <w:color w:val="auto"/>
          <w:highlight w:val="none"/>
          <w:lang w:val="zh-CN"/>
        </w:rPr>
        <w:t>大写金额和小写金额不一致的，以大写金额为准；</w:t>
      </w:r>
    </w:p>
    <w:p w14:paraId="18FD6D19">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6.3</w:t>
      </w:r>
      <w:r>
        <w:rPr>
          <w:rFonts w:hint="eastAsia" w:ascii="宋体" w:hAnsi="宋体" w:eastAsia="宋体" w:cs="宋体"/>
          <w:color w:val="auto"/>
          <w:highlight w:val="none"/>
          <w:lang w:val="zh-CN"/>
        </w:rPr>
        <w:t>单价金额小数点或者百分比有明显错位的，以</w:t>
      </w:r>
      <w:r>
        <w:rPr>
          <w:rFonts w:hint="eastAsia" w:ascii="宋体" w:hAnsi="宋体" w:eastAsia="宋体" w:cs="宋体"/>
          <w:color w:val="auto"/>
          <w:highlight w:val="none"/>
        </w:rPr>
        <w:t>报价</w:t>
      </w:r>
      <w:r>
        <w:rPr>
          <w:rFonts w:hint="eastAsia" w:ascii="宋体" w:hAnsi="宋体" w:eastAsia="宋体" w:cs="宋体"/>
          <w:color w:val="auto"/>
          <w:highlight w:val="none"/>
          <w:lang w:val="zh-CN"/>
        </w:rPr>
        <w:t>一览表的总价为准，并修改单价；</w:t>
      </w:r>
    </w:p>
    <w:p w14:paraId="3AD1595F">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6.4</w:t>
      </w:r>
      <w:r>
        <w:rPr>
          <w:rFonts w:hint="eastAsia" w:ascii="宋体" w:hAnsi="宋体" w:eastAsia="宋体" w:cs="宋体"/>
          <w:color w:val="auto"/>
          <w:highlight w:val="none"/>
          <w:lang w:val="zh-CN"/>
        </w:rPr>
        <w:t>总价金额与按单价汇总金额不一致的，以单价金额计算结果为准。</w:t>
      </w:r>
    </w:p>
    <w:p w14:paraId="41AD0A4D">
      <w:pPr>
        <w:pStyle w:val="72"/>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同时出现两种以上不一致的，按照前款规定的顺序修正。修正后的报价按照财政部公布第87号令 《政府采购产品和服务招标投标管理办法》第五十一条第二款的规定经</w:t>
      </w: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确认后产生约束力，</w:t>
      </w: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不确认的，其</w:t>
      </w:r>
      <w:r>
        <w:rPr>
          <w:rFonts w:hint="eastAsia" w:ascii="宋体" w:hAnsi="宋体" w:eastAsia="宋体" w:cs="宋体"/>
          <w:color w:val="auto"/>
          <w:highlight w:val="none"/>
        </w:rPr>
        <w:t>磋商</w:t>
      </w:r>
      <w:r>
        <w:rPr>
          <w:rFonts w:hint="eastAsia" w:ascii="宋体" w:hAnsi="宋体" w:eastAsia="宋体" w:cs="宋体"/>
          <w:color w:val="auto"/>
          <w:highlight w:val="none"/>
          <w:lang w:val="zh-CN"/>
        </w:rPr>
        <w:t>无效。</w:t>
      </w:r>
    </w:p>
    <w:p w14:paraId="0BF887BF">
      <w:pPr>
        <w:pStyle w:val="14"/>
        <w:spacing w:line="336" w:lineRule="auto"/>
        <w:ind w:left="400" w:left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7、响应文件的澄清</w:t>
      </w:r>
    </w:p>
    <w:p w14:paraId="134B067E">
      <w:pPr>
        <w:pStyle w:val="72"/>
        <w:tabs>
          <w:tab w:val="left" w:pos="0"/>
        </w:tabs>
        <w:spacing w:before="0" w:line="336" w:lineRule="auto"/>
        <w:ind w:firstLine="480"/>
        <w:rPr>
          <w:rFonts w:hint="eastAsia" w:ascii="宋体" w:hAnsi="宋体" w:eastAsia="宋体" w:cs="宋体"/>
          <w:color w:val="auto"/>
          <w:highlight w:val="none"/>
          <w:lang w:val="zh-CN"/>
        </w:rPr>
      </w:pPr>
      <w:r>
        <w:rPr>
          <w:rFonts w:hint="eastAsia" w:ascii="宋体" w:hAnsi="宋体" w:eastAsia="宋体" w:cs="宋体"/>
          <w:color w:val="auto"/>
          <w:highlight w:val="none"/>
        </w:rPr>
        <w:t>7.1</w:t>
      </w:r>
      <w:r>
        <w:rPr>
          <w:rFonts w:hint="eastAsia" w:ascii="宋体" w:hAnsi="宋体" w:eastAsia="宋体" w:cs="宋体"/>
          <w:color w:val="auto"/>
          <w:highlight w:val="none"/>
          <w:lang w:val="zh-CN"/>
        </w:rPr>
        <w:t>评审中因</w:t>
      </w: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文件含义不明、表述不一致或有明显计算错误等内容需要供应商作出澄清、说明或者补正的，</w:t>
      </w:r>
      <w:r>
        <w:rPr>
          <w:rFonts w:hint="eastAsia" w:ascii="宋体" w:hAnsi="宋体" w:eastAsia="宋体" w:cs="宋体"/>
          <w:color w:val="auto"/>
          <w:highlight w:val="none"/>
        </w:rPr>
        <w:t>磋商小组</w:t>
      </w:r>
      <w:r>
        <w:rPr>
          <w:rFonts w:hint="eastAsia" w:ascii="宋体" w:hAnsi="宋体" w:eastAsia="宋体" w:cs="宋体"/>
          <w:color w:val="auto"/>
          <w:highlight w:val="none"/>
          <w:lang w:val="zh-CN"/>
        </w:rPr>
        <w:t>和供应商应当通过政采云平台交换数据电文，给予供应商提交澄清说明或补正的时间不少于半小时，供应商已经明确表示澄清说明或补正完毕的除外。</w:t>
      </w:r>
    </w:p>
    <w:p w14:paraId="54901468">
      <w:pPr>
        <w:spacing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供应商通过政采云平台交换的数据电文必须进行电子签章。</w:t>
      </w:r>
    </w:p>
    <w:p w14:paraId="08262A48">
      <w:pPr>
        <w:pStyle w:val="3"/>
        <w:numPr>
          <w:ilvl w:val="0"/>
          <w:numId w:val="29"/>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15" w:name="_Toc12816"/>
      <w:bookmarkStart w:id="116" w:name="_Toc28542"/>
      <w:bookmarkStart w:id="117" w:name="_Toc1778"/>
      <w:r>
        <w:rPr>
          <w:rFonts w:hint="eastAsia" w:ascii="宋体" w:hAnsi="宋体" w:eastAsia="宋体" w:cs="宋体"/>
          <w:color w:val="auto"/>
          <w:highlight w:val="none"/>
        </w:rPr>
        <w:t>注意事项</w:t>
      </w:r>
      <w:bookmarkEnd w:id="115"/>
      <w:bookmarkEnd w:id="116"/>
      <w:bookmarkEnd w:id="117"/>
    </w:p>
    <w:p w14:paraId="6263F270">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政府采购评审中出现下列情形之一的，评审委员会应当启动异常低价投标（响应）审查程序： </w:t>
      </w:r>
    </w:p>
    <w:p w14:paraId="78BED8F7">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1.投标（响应）报价低于全部通过符合性审查供应商投标（响应）报价平均值50%的，即投标（响应）报价&lt;全部通过符合性审查供应商投标（响应）报价平均值×50%； </w:t>
      </w:r>
    </w:p>
    <w:p w14:paraId="626D6604">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2.投标（响应）报价低于通过符合性审查的次低报价供应商投标（响应）报价50%的，即投标（响应）报价&lt;通过符合性审查的次低报价供应商投标（响应）报价×50%； </w:t>
      </w:r>
    </w:p>
    <w:p w14:paraId="34321584">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3.投标（响应）报价低于采购项目最高限价45%的，即投标（响应）报价&lt;采购项目最高限价×45%； </w:t>
      </w:r>
    </w:p>
    <w:p w14:paraId="2E4C5A7B">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4.评审委员会基于专业判断，认为供应商报价过低，有可能影响产品质量或者不能诚信履约的其他情形。 　</w:t>
      </w:r>
    </w:p>
    <w:p w14:paraId="0D8C5EFE">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5F94BAF2">
      <w:pPr>
        <w:pStyle w:val="7"/>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69485416">
      <w:pPr>
        <w:pStyle w:val="3"/>
        <w:numPr>
          <w:ilvl w:val="0"/>
          <w:numId w:val="30"/>
        </w:num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bookmarkStart w:id="118" w:name="_Toc6127"/>
      <w:bookmarkStart w:id="119" w:name="_Toc5114"/>
      <w:bookmarkStart w:id="120" w:name="_Toc13782"/>
      <w:r>
        <w:rPr>
          <w:rFonts w:hint="eastAsia" w:ascii="宋体" w:hAnsi="宋体" w:eastAsia="宋体" w:cs="宋体"/>
          <w:color w:val="auto"/>
          <w:highlight w:val="none"/>
        </w:rPr>
        <w:t>评分细则</w:t>
      </w:r>
      <w:bookmarkEnd w:id="118"/>
      <w:bookmarkEnd w:id="119"/>
      <w:bookmarkEnd w:id="120"/>
    </w:p>
    <w:p w14:paraId="4C5A8A8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一、报价文件评分标准（</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w:t>
      </w:r>
    </w:p>
    <w:p w14:paraId="1A2F5A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报价文件主要是对供应商的有效报价进行评议，其评分标准及分值设置规则如下：</w:t>
      </w:r>
    </w:p>
    <w:p w14:paraId="1A6A19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1、本次采购最高限价规定如下：</w:t>
      </w:r>
    </w:p>
    <w:p w14:paraId="1479DCA7">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本项目投标报价的最高限价</w:t>
      </w:r>
      <w:r>
        <w:rPr>
          <w:rFonts w:hint="eastAsia" w:ascii="宋体" w:hAnsi="宋体" w:eastAsia="宋体" w:cs="宋体"/>
          <w:b/>
          <w:bCs/>
          <w:color w:val="auto"/>
          <w:sz w:val="24"/>
          <w:szCs w:val="24"/>
          <w:highlight w:val="none"/>
        </w:rPr>
        <w:t>人民币</w:t>
      </w:r>
      <w:r>
        <w:rPr>
          <w:rFonts w:hint="eastAsia" w:ascii="宋体" w:hAnsi="宋体" w:cs="宋体"/>
          <w:b/>
          <w:bCs/>
          <w:color w:val="auto"/>
          <w:sz w:val="24"/>
          <w:szCs w:val="24"/>
          <w:highlight w:val="none"/>
          <w:u w:val="single"/>
          <w:lang w:val="en-US" w:eastAsia="zh-CN"/>
        </w:rPr>
        <w:t>壹佰柒拾伍万</w:t>
      </w:r>
      <w:r>
        <w:rPr>
          <w:rFonts w:hint="eastAsia" w:ascii="宋体" w:hAnsi="宋体" w:eastAsia="宋体" w:cs="宋体"/>
          <w:b/>
          <w:bCs/>
          <w:color w:val="auto"/>
          <w:sz w:val="24"/>
          <w:szCs w:val="24"/>
          <w:highlight w:val="none"/>
          <w:u w:val="single"/>
          <w:lang w:val="en-US" w:eastAsia="zh-CN"/>
        </w:rPr>
        <w:t>元</w:t>
      </w:r>
      <w:r>
        <w:rPr>
          <w:rFonts w:hint="eastAsia" w:ascii="宋体" w:hAnsi="宋体" w:eastAsia="宋体" w:cs="宋体"/>
          <w:b/>
          <w:bCs/>
          <w:color w:val="auto"/>
          <w:sz w:val="24"/>
          <w:szCs w:val="24"/>
          <w:highlight w:val="none"/>
          <w:u w:val="none"/>
          <w:lang w:val="en-US" w:eastAsia="zh-CN"/>
        </w:rPr>
        <w:t>整</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u w:val="single"/>
          <w:lang w:val="en-US" w:eastAsia="zh-CN"/>
        </w:rPr>
        <w:t>1750000.00</w:t>
      </w:r>
      <w:r>
        <w:rPr>
          <w:rFonts w:hint="eastAsia" w:ascii="宋体" w:hAnsi="宋体" w:eastAsia="宋体" w:cs="宋体"/>
          <w:b/>
          <w:bCs/>
          <w:color w:val="auto"/>
          <w:sz w:val="24"/>
          <w:szCs w:val="24"/>
          <w:highlight w:val="none"/>
        </w:rPr>
        <w:t>元）。</w:t>
      </w:r>
    </w:p>
    <w:p w14:paraId="0A3665B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2、供应商的报价在最高限价内的，为有效报价。</w:t>
      </w:r>
    </w:p>
    <w:p w14:paraId="761800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3、本次评标设有最佳报价。最佳报价确定方式：根据所有入围供应商有效报价中的最低报价作为最佳报价。</w:t>
      </w:r>
    </w:p>
    <w:p w14:paraId="31908F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4、最佳报价者的报价分为满分，其他供应商的有效报价与最佳报价相比，按下列方法计算其报价分：</w:t>
      </w:r>
    </w:p>
    <w:p w14:paraId="48A294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投标价格分=(最佳报价/投标报价)*价格权值*100。</w:t>
      </w:r>
    </w:p>
    <w:p w14:paraId="0F0E11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5、当报价一览表与磋商报价明细表报价不一致时，以报价一览表为准，磋商报价明细表报价予以修正并由授权代表签字确认，拒绝修正或确认的，则做无效标处理。</w:t>
      </w:r>
    </w:p>
    <w:p w14:paraId="2B7B07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6、响应文件只允许有一个报价，磋商报价应按磋商文件中相关附表格式填报，该磋商报价应与明细报价汇总相等，且不允许出现报价优惠、赠送等字样（明细出现“0”元，视同赠送）,如出现则做</w:t>
      </w:r>
      <w:r>
        <w:rPr>
          <w:rFonts w:hint="eastAsia" w:ascii="宋体" w:hAnsi="宋体" w:eastAsia="宋体" w:cs="宋体"/>
          <w:b/>
          <w:bCs/>
          <w:color w:val="auto"/>
          <w:sz w:val="24"/>
          <w:szCs w:val="24"/>
          <w:highlight w:val="none"/>
        </w:rPr>
        <w:t>无效响应</w:t>
      </w:r>
      <w:r>
        <w:rPr>
          <w:rFonts w:hint="eastAsia" w:ascii="宋体" w:hAnsi="宋体" w:eastAsia="宋体" w:cs="宋体"/>
          <w:color w:val="auto"/>
          <w:sz w:val="24"/>
          <w:szCs w:val="24"/>
          <w:highlight w:val="none"/>
        </w:rPr>
        <w:t>处理。</w:t>
      </w:r>
    </w:p>
    <w:p w14:paraId="54BDDE1C">
      <w:pPr>
        <w:autoSpaceDE w:val="0"/>
        <w:autoSpaceDN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rPr>
        <w:t>投标价格的合理性</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1FD3F2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1"/>
          <w:highlight w:val="none"/>
        </w:rPr>
        <w:t>价格扣除：</w:t>
      </w:r>
      <w:bookmarkStart w:id="121" w:name="_Toc29672"/>
      <w:bookmarkStart w:id="122" w:name="_Toc20488"/>
      <w:r>
        <w:rPr>
          <w:rFonts w:hint="eastAsia" w:ascii="宋体" w:hAnsi="宋体" w:eastAsia="宋体" w:cs="宋体"/>
          <w:color w:val="auto"/>
          <w:sz w:val="24"/>
          <w:szCs w:val="24"/>
          <w:highlight w:val="none"/>
        </w:rPr>
        <w:t>根据工信部等部委发布的《关于印发中小企业划型标准规定的通知》（工信部联企业〔2011〕300号），根据具体品目确定相应标准。符合上述条件的中小微型企业应按照招标文件的格式要求提供《中小企业声明函》及其相关的充分的证明材料。符合《关于促进残疾人就业政府采购政策的通知》（财库〔2017〕141号）规定的条件并提供《残疾人福利性单位声明函》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9E8EF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1"/>
          <w:highlight w:val="none"/>
        </w:rPr>
        <w:t>根据</w:t>
      </w:r>
      <w:r>
        <w:rPr>
          <w:rFonts w:hint="eastAsia" w:ascii="宋体" w:hAnsi="宋体" w:eastAsia="宋体" w:cs="宋体"/>
          <w:color w:val="auto"/>
          <w:sz w:val="24"/>
          <w:szCs w:val="21"/>
          <w:highlight w:val="none"/>
          <w:lang w:val="en-US" w:eastAsia="zh-CN"/>
        </w:rPr>
        <w:t>财政部</w:t>
      </w:r>
      <w:r>
        <w:rPr>
          <w:rFonts w:hint="eastAsia" w:ascii="宋体" w:hAnsi="宋体" w:eastAsia="宋体" w:cs="宋体"/>
          <w:color w:val="auto"/>
          <w:sz w:val="24"/>
          <w:szCs w:val="21"/>
          <w:highlight w:val="none"/>
        </w:rPr>
        <w:t>的《关于进一步加大政府采购支持中小企业力度的通知》（</w:t>
      </w:r>
      <w:r>
        <w:rPr>
          <w:rFonts w:hint="eastAsia" w:ascii="宋体" w:hAnsi="宋体" w:eastAsia="宋体" w:cs="宋体"/>
          <w:color w:val="auto"/>
          <w:sz w:val="24"/>
          <w:szCs w:val="21"/>
          <w:highlight w:val="none"/>
          <w:lang w:val="en-US" w:eastAsia="zh-CN"/>
        </w:rPr>
        <w:t>财库</w:t>
      </w:r>
      <w:r>
        <w:rPr>
          <w:rFonts w:hint="eastAsia" w:ascii="宋体" w:hAnsi="宋体" w:eastAsia="宋体" w:cs="宋体"/>
          <w:color w:val="auto"/>
          <w:sz w:val="24"/>
          <w:szCs w:val="21"/>
          <w:highlight w:val="none"/>
        </w:rPr>
        <w:t>〔2022〕</w:t>
      </w:r>
      <w:r>
        <w:rPr>
          <w:rFonts w:hint="eastAsia" w:ascii="宋体" w:hAnsi="宋体" w:eastAsia="宋体" w:cs="宋体"/>
          <w:color w:val="auto"/>
          <w:sz w:val="24"/>
          <w:szCs w:val="21"/>
          <w:highlight w:val="none"/>
          <w:lang w:val="en-US" w:eastAsia="zh-CN"/>
        </w:rPr>
        <w:t>19</w:t>
      </w:r>
      <w:r>
        <w:rPr>
          <w:rFonts w:hint="eastAsia" w:ascii="宋体" w:hAnsi="宋体" w:eastAsia="宋体" w:cs="宋体"/>
          <w:color w:val="auto"/>
          <w:sz w:val="24"/>
          <w:szCs w:val="21"/>
          <w:highlight w:val="none"/>
        </w:rPr>
        <w:t>号）规定，货物和服务项目中未预留份额专门面向中小企业采购的，以及预留份额项目中的非预留部分采购包，采购单位、采购代理机构应结合项目实际，对符合规定的小微企业报价按</w:t>
      </w:r>
      <w:r>
        <w:rPr>
          <w:rFonts w:hint="eastAsia" w:ascii="宋体" w:hAnsi="宋体" w:eastAsia="宋体" w:cs="宋体"/>
          <w:color w:val="auto"/>
          <w:sz w:val="24"/>
          <w:szCs w:val="21"/>
          <w:highlight w:val="none"/>
          <w:lang w:val="en-US" w:eastAsia="zh-CN"/>
        </w:rPr>
        <w:t>10%</w:t>
      </w:r>
      <w:r>
        <w:rPr>
          <w:rFonts w:hint="eastAsia" w:ascii="宋体" w:hAnsi="宋体" w:eastAsia="宋体" w:cs="宋体"/>
          <w:color w:val="auto"/>
          <w:sz w:val="24"/>
          <w:szCs w:val="21"/>
          <w:highlight w:val="none"/>
        </w:rPr>
        <w:t>给予扣除，用扣除后的价格参加评审；对于联合协议或者分包意向协议约定小微企业的合同份额占到合同总金额30%以上的，采购单位、采购代理机构应结合项目实际，对联合体或者大中型企业的报价按</w:t>
      </w:r>
      <w:r>
        <w:rPr>
          <w:rFonts w:hint="eastAsia" w:ascii="宋体" w:hAnsi="宋体" w:eastAsia="宋体" w:cs="宋体"/>
          <w:color w:val="auto"/>
          <w:sz w:val="24"/>
          <w:szCs w:val="21"/>
          <w:highlight w:val="none"/>
          <w:lang w:val="en-US" w:eastAsia="zh-CN"/>
        </w:rPr>
        <w:t>4%</w:t>
      </w:r>
      <w:r>
        <w:rPr>
          <w:rFonts w:hint="eastAsia" w:ascii="宋体" w:hAnsi="宋体" w:eastAsia="宋体" w:cs="宋体"/>
          <w:color w:val="auto"/>
          <w:sz w:val="24"/>
          <w:szCs w:val="21"/>
          <w:highlight w:val="none"/>
        </w:rPr>
        <w:t>给予扣除，用扣除后的价格参加评审。（中标价及合同价仍以其投标报价为准）</w:t>
      </w:r>
    </w:p>
    <w:p w14:paraId="60E868F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组成联合体或者接受分包的小微企业与联合体内其他企业、分包企业之间存在直接控股、管理关系的，不享受价格扣除优惠政策。联合体各方均为小型、微型企业的，联合体视同为小型、微型企业。</w:t>
      </w:r>
    </w:p>
    <w:bookmarkEnd w:id="121"/>
    <w:bookmarkEnd w:id="122"/>
    <w:p w14:paraId="4F8A4B9B">
      <w:pPr>
        <w:spacing w:line="360" w:lineRule="auto"/>
        <w:rPr>
          <w:rFonts w:hint="eastAsia" w:ascii="宋体" w:hAnsi="宋体" w:eastAsia="宋体" w:cs="宋体"/>
          <w:color w:val="auto"/>
          <w:sz w:val="24"/>
          <w:szCs w:val="24"/>
          <w:highlight w:val="none"/>
        </w:rPr>
      </w:pPr>
      <w:bookmarkStart w:id="123" w:name="_Toc142408712"/>
      <w:r>
        <w:rPr>
          <w:rFonts w:hint="eastAsia" w:ascii="宋体" w:hAnsi="宋体" w:eastAsia="宋体" w:cs="宋体"/>
          <w:color w:val="auto"/>
          <w:sz w:val="24"/>
          <w:szCs w:val="24"/>
          <w:highlight w:val="none"/>
        </w:rPr>
        <w:t xml:space="preserve">二、商务技术文件评标内容及标准（ </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 xml:space="preserve"> 分）</w:t>
      </w:r>
    </w:p>
    <w:p w14:paraId="7105E769">
      <w:pPr>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1、评分细则</w:t>
      </w:r>
    </w:p>
    <w:tbl>
      <w:tblPr>
        <w:tblStyle w:val="28"/>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10"/>
        <w:gridCol w:w="6865"/>
        <w:gridCol w:w="797"/>
      </w:tblGrid>
      <w:tr w14:paraId="25AE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38" w:type="dxa"/>
            <w:gridSpan w:val="2"/>
            <w:tcBorders>
              <w:top w:val="single" w:color="auto" w:sz="4" w:space="0"/>
              <w:left w:val="single" w:color="auto" w:sz="4" w:space="0"/>
              <w:bottom w:val="single" w:color="auto" w:sz="4" w:space="0"/>
              <w:right w:val="single" w:color="auto" w:sz="4" w:space="0"/>
            </w:tcBorders>
            <w:shd w:val="clear" w:color="auto" w:fill="D7D7D7"/>
            <w:noWrap w:val="0"/>
            <w:vAlign w:val="center"/>
          </w:tcPr>
          <w:p w14:paraId="76CF8891">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评分项目</w:t>
            </w:r>
          </w:p>
        </w:tc>
        <w:tc>
          <w:tcPr>
            <w:tcW w:w="686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60BCBC17">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评标要点及说明</w:t>
            </w:r>
          </w:p>
        </w:tc>
        <w:tc>
          <w:tcPr>
            <w:tcW w:w="797"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1C31CB7F">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分值</w:t>
            </w:r>
          </w:p>
        </w:tc>
      </w:tr>
      <w:tr w14:paraId="3576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128" w:type="dxa"/>
            <w:vMerge w:val="restart"/>
            <w:tcBorders>
              <w:left w:val="single" w:color="auto" w:sz="4" w:space="0"/>
              <w:right w:val="single" w:color="auto" w:sz="4" w:space="0"/>
            </w:tcBorders>
            <w:noWrap w:val="0"/>
            <w:vAlign w:val="center"/>
          </w:tcPr>
          <w:p w14:paraId="7BD1378D">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技</w:t>
            </w:r>
            <w:r>
              <w:rPr>
                <w:rFonts w:hint="eastAsia" w:ascii="宋体" w:hAnsi="宋体" w:eastAsia="宋体" w:cs="宋体"/>
                <w:color w:val="auto"/>
                <w:sz w:val="24"/>
                <w:highlight w:val="none"/>
                <w:lang w:eastAsia="zh-CN"/>
              </w:rPr>
              <w:t>术</w:t>
            </w:r>
          </w:p>
          <w:p w14:paraId="53EFA8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67分</w:t>
            </w:r>
            <w:r>
              <w:rPr>
                <w:rFonts w:hint="eastAsia" w:ascii="宋体" w:hAnsi="宋体" w:eastAsia="宋体" w:cs="宋体"/>
                <w:color w:val="auto"/>
                <w:sz w:val="24"/>
                <w:highlight w:val="none"/>
              </w:rPr>
              <w:t>）</w:t>
            </w:r>
          </w:p>
          <w:p w14:paraId="49286A75">
            <w:pPr>
              <w:rPr>
                <w:rFonts w:hint="eastAsia" w:ascii="宋体" w:hAnsi="宋体" w:eastAsia="宋体" w:cs="宋体"/>
                <w:color w:val="auto"/>
                <w:highlight w:val="none"/>
              </w:rPr>
            </w:pPr>
          </w:p>
        </w:tc>
        <w:tc>
          <w:tcPr>
            <w:tcW w:w="1210" w:type="dxa"/>
            <w:tcBorders>
              <w:left w:val="single" w:color="auto" w:sz="4" w:space="0"/>
              <w:right w:val="single" w:color="auto" w:sz="4" w:space="0"/>
            </w:tcBorders>
            <w:noWrap w:val="0"/>
            <w:vAlign w:val="center"/>
          </w:tcPr>
          <w:p w14:paraId="3B6BF1C1">
            <w:pPr>
              <w:widowControl/>
              <w:spacing w:line="400" w:lineRule="exact"/>
              <w:jc w:val="center"/>
              <w:rPr>
                <w:rFonts w:hint="eastAsia" w:ascii="宋体" w:hAnsi="宋体" w:eastAsia="宋体" w:cs="宋体"/>
                <w:color w:val="auto"/>
                <w:kern w:val="0"/>
                <w:sz w:val="24"/>
                <w:highlight w:val="none"/>
                <w:lang w:val="en-US" w:eastAsia="zh-CN"/>
              </w:rPr>
            </w:pPr>
            <w:bookmarkStart w:id="124" w:name="OLE_LINK14"/>
            <w:r>
              <w:rPr>
                <w:rFonts w:hint="eastAsia" w:ascii="宋体" w:hAnsi="宋体" w:eastAsia="宋体" w:cs="宋体"/>
                <w:color w:val="auto"/>
                <w:kern w:val="0"/>
                <w:sz w:val="24"/>
                <w:highlight w:val="none"/>
                <w:lang w:val="en-US" w:eastAsia="zh-CN"/>
              </w:rPr>
              <w:t>物业管理服务理念</w:t>
            </w:r>
            <w:bookmarkEnd w:id="124"/>
          </w:p>
        </w:tc>
        <w:tc>
          <w:tcPr>
            <w:tcW w:w="6865" w:type="dxa"/>
            <w:tcBorders>
              <w:top w:val="single" w:color="auto" w:sz="4" w:space="0"/>
              <w:left w:val="single" w:color="auto" w:sz="4" w:space="0"/>
              <w:right w:val="single" w:color="auto" w:sz="4" w:space="0"/>
            </w:tcBorders>
            <w:noWrap w:val="0"/>
            <w:vAlign w:val="center"/>
          </w:tcPr>
          <w:p w14:paraId="7D1512BF">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25" w:name="OLE_LINK15"/>
            <w:r>
              <w:rPr>
                <w:rFonts w:hint="eastAsia" w:ascii="宋体" w:hAnsi="宋体" w:cs="宋体"/>
                <w:color w:val="auto"/>
                <w:sz w:val="24"/>
                <w:highlight w:val="none"/>
                <w:lang w:val="en-US" w:eastAsia="zh-CN"/>
              </w:rPr>
              <w:t>评委</w:t>
            </w:r>
            <w:r>
              <w:rPr>
                <w:rFonts w:hint="eastAsia" w:ascii="宋体" w:hAnsi="宋体" w:eastAsia="宋体" w:cs="宋体"/>
                <w:color w:val="auto"/>
                <w:sz w:val="24"/>
                <w:highlight w:val="none"/>
                <w:lang w:eastAsia="zh-CN"/>
              </w:rPr>
              <w:t>根据</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针对本项目物业使用特点提出全面合理的物业管理服务理念、目标定位、理解程度</w:t>
            </w:r>
            <w:bookmarkEnd w:id="125"/>
            <w:r>
              <w:rPr>
                <w:rFonts w:hint="eastAsia" w:ascii="宋体" w:hAnsi="宋体" w:eastAsia="宋体" w:cs="宋体"/>
                <w:i w:val="0"/>
                <w:iCs w:val="0"/>
                <w:color w:val="auto"/>
                <w:kern w:val="0"/>
                <w:sz w:val="24"/>
                <w:szCs w:val="24"/>
                <w:highlight w:val="none"/>
                <w:u w:val="none"/>
                <w:lang w:val="en-US" w:eastAsia="zh-CN" w:bidi="ar"/>
              </w:rPr>
              <w:t>进行综合打分。</w:t>
            </w:r>
          </w:p>
        </w:tc>
        <w:tc>
          <w:tcPr>
            <w:tcW w:w="797" w:type="dxa"/>
            <w:tcBorders>
              <w:top w:val="single" w:color="auto" w:sz="4" w:space="0"/>
              <w:left w:val="single" w:color="auto" w:sz="4" w:space="0"/>
              <w:right w:val="single" w:color="auto" w:sz="4" w:space="0"/>
            </w:tcBorders>
            <w:noWrap w:val="0"/>
            <w:vAlign w:val="center"/>
          </w:tcPr>
          <w:p w14:paraId="686E75A0">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7795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52751CC3">
            <w:pPr>
              <w:spacing w:line="360" w:lineRule="auto"/>
              <w:jc w:val="center"/>
              <w:rPr>
                <w:rFonts w:hint="eastAsia" w:ascii="宋体" w:hAnsi="宋体" w:eastAsia="宋体" w:cs="宋体"/>
                <w:color w:val="auto"/>
                <w:sz w:val="24"/>
                <w:highlight w:val="none"/>
              </w:rPr>
            </w:pPr>
          </w:p>
        </w:tc>
        <w:tc>
          <w:tcPr>
            <w:tcW w:w="1210" w:type="dxa"/>
            <w:tcBorders>
              <w:left w:val="single" w:color="auto" w:sz="4" w:space="0"/>
              <w:right w:val="single" w:color="auto" w:sz="4" w:space="0"/>
            </w:tcBorders>
            <w:noWrap w:val="0"/>
            <w:vAlign w:val="center"/>
          </w:tcPr>
          <w:p w14:paraId="56473FDE">
            <w:pPr>
              <w:widowControl/>
              <w:spacing w:line="400" w:lineRule="exact"/>
              <w:jc w:val="center"/>
              <w:rPr>
                <w:rFonts w:hint="eastAsia" w:ascii="宋体" w:hAnsi="宋体" w:eastAsia="宋体" w:cs="宋体"/>
                <w:color w:val="auto"/>
                <w:kern w:val="0"/>
                <w:sz w:val="24"/>
                <w:highlight w:val="none"/>
              </w:rPr>
            </w:pPr>
            <w:bookmarkStart w:id="126" w:name="OLE_LINK16"/>
            <w:r>
              <w:rPr>
                <w:rFonts w:hint="eastAsia" w:ascii="宋体" w:hAnsi="宋体" w:eastAsia="宋体" w:cs="宋体"/>
                <w:color w:val="auto"/>
                <w:sz w:val="24"/>
                <w:szCs w:val="24"/>
                <w:highlight w:val="none"/>
              </w:rPr>
              <w:t>物业管理组织架构</w:t>
            </w:r>
            <w:bookmarkEnd w:id="126"/>
          </w:p>
        </w:tc>
        <w:tc>
          <w:tcPr>
            <w:tcW w:w="6865" w:type="dxa"/>
            <w:tcBorders>
              <w:top w:val="single" w:color="auto" w:sz="4" w:space="0"/>
              <w:left w:val="single" w:color="auto" w:sz="4" w:space="0"/>
              <w:right w:val="single" w:color="auto" w:sz="4" w:space="0"/>
            </w:tcBorders>
            <w:noWrap w:val="0"/>
            <w:vAlign w:val="center"/>
          </w:tcPr>
          <w:p w14:paraId="4E21C57E">
            <w:pPr>
              <w:pStyle w:val="105"/>
              <w:rPr>
                <w:rFonts w:hint="eastAsia" w:ascii="宋体" w:hAnsi="宋体" w:eastAsia="宋体" w:cs="宋体"/>
                <w:color w:val="auto"/>
                <w:highlight w:val="none"/>
              </w:rPr>
            </w:pPr>
            <w:bookmarkStart w:id="127" w:name="OLE_LINK17"/>
            <w:r>
              <w:rPr>
                <w:rFonts w:hint="eastAsia" w:ascii="宋体" w:hAnsi="宋体" w:cs="宋体"/>
                <w:color w:val="auto"/>
                <w:sz w:val="24"/>
                <w:highlight w:val="none"/>
                <w:lang w:val="en-US" w:eastAsia="zh-CN"/>
              </w:rPr>
              <w:t>评委</w:t>
            </w:r>
            <w:r>
              <w:rPr>
                <w:rFonts w:hint="eastAsia" w:cs="宋体"/>
                <w:color w:val="auto"/>
                <w:sz w:val="24"/>
                <w:highlight w:val="none"/>
                <w:lang w:val="en-US" w:eastAsia="zh-CN"/>
              </w:rPr>
              <w:t>根据投标人</w:t>
            </w:r>
            <w:r>
              <w:rPr>
                <w:rFonts w:hint="eastAsia" w:ascii="宋体" w:hAnsi="宋体" w:eastAsia="宋体" w:cs="宋体"/>
                <w:color w:val="auto"/>
                <w:sz w:val="24"/>
                <w:highlight w:val="none"/>
                <w:lang w:val="en-US" w:eastAsia="zh-CN"/>
              </w:rPr>
              <w:t>是否</w:t>
            </w:r>
            <w:r>
              <w:rPr>
                <w:rFonts w:hint="eastAsia" w:ascii="宋体" w:hAnsi="宋体" w:eastAsia="宋体" w:cs="宋体"/>
                <w:color w:val="auto"/>
                <w:sz w:val="24"/>
                <w:highlight w:val="none"/>
              </w:rPr>
              <w:t>有</w:t>
            </w:r>
            <w:r>
              <w:rPr>
                <w:rFonts w:hint="eastAsia" w:cs="宋体"/>
                <w:color w:val="auto"/>
                <w:sz w:val="24"/>
                <w:highlight w:val="none"/>
                <w:lang w:val="en-US" w:eastAsia="zh-CN"/>
              </w:rPr>
              <w:t>详细</w:t>
            </w:r>
            <w:r>
              <w:rPr>
                <w:rFonts w:hint="eastAsia" w:ascii="宋体" w:hAnsi="宋体" w:eastAsia="宋体" w:cs="宋体"/>
                <w:color w:val="auto"/>
                <w:sz w:val="24"/>
                <w:highlight w:val="none"/>
              </w:rPr>
              <w:t>完善的组织架构，</w:t>
            </w:r>
            <w:bookmarkEnd w:id="127"/>
            <w:r>
              <w:rPr>
                <w:rFonts w:hint="eastAsia" w:ascii="宋体" w:hAnsi="宋体" w:eastAsia="宋体" w:cs="宋体"/>
                <w:i w:val="0"/>
                <w:iCs w:val="0"/>
                <w:color w:val="auto"/>
                <w:kern w:val="0"/>
                <w:sz w:val="24"/>
                <w:szCs w:val="24"/>
                <w:highlight w:val="none"/>
                <w:u w:val="none"/>
                <w:lang w:val="en-US" w:eastAsia="zh-CN" w:bidi="ar"/>
              </w:rPr>
              <w:t>能清晰简练地列出主要管理流程等进行综合打分。</w:t>
            </w:r>
          </w:p>
        </w:tc>
        <w:tc>
          <w:tcPr>
            <w:tcW w:w="797" w:type="dxa"/>
            <w:tcBorders>
              <w:top w:val="single" w:color="auto" w:sz="4" w:space="0"/>
              <w:left w:val="single" w:color="auto" w:sz="4" w:space="0"/>
              <w:right w:val="single" w:color="auto" w:sz="4" w:space="0"/>
            </w:tcBorders>
            <w:noWrap w:val="0"/>
            <w:vAlign w:val="center"/>
          </w:tcPr>
          <w:p w14:paraId="2021B013">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39F3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7D505582">
            <w:pPr>
              <w:spacing w:line="360" w:lineRule="auto"/>
              <w:jc w:val="center"/>
              <w:rPr>
                <w:rFonts w:hint="eastAsia" w:ascii="宋体" w:hAnsi="宋体" w:eastAsia="宋体" w:cs="宋体"/>
                <w:color w:val="auto"/>
                <w:sz w:val="24"/>
                <w:highlight w:val="none"/>
              </w:rPr>
            </w:pPr>
          </w:p>
        </w:tc>
        <w:tc>
          <w:tcPr>
            <w:tcW w:w="1210" w:type="dxa"/>
            <w:vMerge w:val="restart"/>
            <w:tcBorders>
              <w:left w:val="single" w:color="auto" w:sz="4" w:space="0"/>
              <w:right w:val="single" w:color="auto" w:sz="4" w:space="0"/>
            </w:tcBorders>
            <w:noWrap w:val="0"/>
            <w:vAlign w:val="center"/>
          </w:tcPr>
          <w:p w14:paraId="7E33D193">
            <w:pPr>
              <w:pStyle w:val="72"/>
              <w:spacing w:before="0" w:line="440" w:lineRule="exact"/>
              <w:ind w:firstLine="0" w:firstLineChars="0"/>
              <w:jc w:val="center"/>
              <w:rPr>
                <w:rFonts w:hint="eastAsia" w:ascii="宋体" w:hAnsi="宋体" w:eastAsia="宋体" w:cs="宋体"/>
                <w:color w:val="auto"/>
                <w:szCs w:val="24"/>
                <w:highlight w:val="none"/>
              </w:rPr>
            </w:pPr>
            <w:bookmarkStart w:id="128" w:name="OLE_LINK18"/>
            <w:r>
              <w:rPr>
                <w:rFonts w:hint="eastAsia" w:ascii="宋体" w:hAnsi="宋体" w:eastAsia="宋体" w:cs="宋体"/>
                <w:color w:val="auto"/>
                <w:szCs w:val="24"/>
                <w:highlight w:val="none"/>
              </w:rPr>
              <w:t>物业保洁服务方案</w:t>
            </w:r>
            <w:bookmarkEnd w:id="128"/>
          </w:p>
        </w:tc>
        <w:tc>
          <w:tcPr>
            <w:tcW w:w="6865" w:type="dxa"/>
            <w:tcBorders>
              <w:top w:val="single" w:color="auto" w:sz="4" w:space="0"/>
              <w:left w:val="single" w:color="auto" w:sz="4" w:space="0"/>
              <w:right w:val="single" w:color="auto" w:sz="4" w:space="0"/>
            </w:tcBorders>
            <w:noWrap w:val="0"/>
            <w:vAlign w:val="center"/>
          </w:tcPr>
          <w:p w14:paraId="7F6C64A1">
            <w:pPr>
              <w:autoSpaceDE w:val="0"/>
              <w:autoSpaceDN w:val="0"/>
              <w:adjustRightInd w:val="0"/>
              <w:spacing w:line="360" w:lineRule="auto"/>
              <w:ind w:firstLine="480" w:firstLineChars="200"/>
              <w:jc w:val="left"/>
              <w:rPr>
                <w:rFonts w:hint="eastAsia" w:ascii="宋体" w:hAnsi="宋体" w:eastAsia="宋体" w:cs="宋体"/>
                <w:color w:val="auto"/>
                <w:highlight w:val="none"/>
              </w:rPr>
            </w:pPr>
            <w:bookmarkStart w:id="129" w:name="OLE_LINK19"/>
            <w:r>
              <w:rPr>
                <w:rFonts w:hint="eastAsia" w:ascii="宋体" w:hAnsi="宋体" w:cs="宋体"/>
                <w:color w:val="auto"/>
                <w:sz w:val="24"/>
                <w:highlight w:val="none"/>
                <w:lang w:val="en-US" w:eastAsia="zh-CN"/>
              </w:rPr>
              <w:t>评委根据投标人针对本项目提供的</w:t>
            </w:r>
            <w:r>
              <w:rPr>
                <w:rFonts w:hint="eastAsia" w:ascii="宋体" w:hAnsi="宋体" w:eastAsia="宋体" w:cs="宋体"/>
                <w:color w:val="auto"/>
                <w:sz w:val="24"/>
                <w:highlight w:val="none"/>
              </w:rPr>
              <w:t>保洁服务工作方案</w:t>
            </w:r>
            <w:bookmarkEnd w:id="129"/>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eastAsia="宋体" w:cs="宋体"/>
                <w:color w:val="auto"/>
                <w:sz w:val="24"/>
                <w:szCs w:val="24"/>
                <w:highlight w:val="none"/>
              </w:rPr>
              <w:t>完整性、有效性、</w:t>
            </w:r>
            <w:r>
              <w:rPr>
                <w:rFonts w:hint="eastAsia" w:ascii="宋体" w:hAnsi="宋体" w:eastAsia="宋体" w:cs="宋体"/>
                <w:color w:val="auto"/>
                <w:sz w:val="24"/>
                <w:szCs w:val="24"/>
                <w:highlight w:val="none"/>
                <w:lang w:eastAsia="zh-CN"/>
              </w:rPr>
              <w:t>可实施性</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综合打分</w:t>
            </w:r>
            <w:r>
              <w:rPr>
                <w:rFonts w:hint="eastAsia" w:ascii="宋体" w:hAnsi="宋体" w:eastAsia="宋体" w:cs="宋体"/>
                <w:i w:val="0"/>
                <w:iCs w:val="0"/>
                <w:color w:val="auto"/>
                <w:kern w:val="0"/>
                <w:sz w:val="24"/>
                <w:szCs w:val="24"/>
                <w:highlight w:val="none"/>
                <w:u w:val="none"/>
                <w:lang w:val="en-US" w:eastAsia="zh-CN" w:bidi="ar"/>
              </w:rPr>
              <w:t>。</w:t>
            </w:r>
          </w:p>
        </w:tc>
        <w:tc>
          <w:tcPr>
            <w:tcW w:w="797" w:type="dxa"/>
            <w:tcBorders>
              <w:top w:val="single" w:color="auto" w:sz="4" w:space="0"/>
              <w:left w:val="single" w:color="auto" w:sz="4" w:space="0"/>
              <w:right w:val="single" w:color="auto" w:sz="4" w:space="0"/>
            </w:tcBorders>
            <w:noWrap w:val="0"/>
            <w:vAlign w:val="center"/>
          </w:tcPr>
          <w:p w14:paraId="18FA1DCE">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5分</w:t>
            </w:r>
          </w:p>
        </w:tc>
      </w:tr>
      <w:tr w14:paraId="448B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3EA87486">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5ECBF26A">
            <w:pPr>
              <w:pStyle w:val="72"/>
              <w:spacing w:before="0" w:line="440" w:lineRule="exact"/>
              <w:ind w:firstLine="0" w:firstLineChars="0"/>
              <w:jc w:val="center"/>
              <w:rPr>
                <w:rFonts w:hint="eastAsia" w:ascii="宋体" w:hAnsi="宋体" w:eastAsia="宋体" w:cs="宋体"/>
                <w:color w:val="auto"/>
                <w:szCs w:val="24"/>
                <w:highlight w:val="none"/>
              </w:rPr>
            </w:pPr>
          </w:p>
        </w:tc>
        <w:tc>
          <w:tcPr>
            <w:tcW w:w="6865" w:type="dxa"/>
            <w:tcBorders>
              <w:top w:val="single" w:color="auto" w:sz="4" w:space="0"/>
              <w:left w:val="single" w:color="auto" w:sz="4" w:space="0"/>
              <w:right w:val="single" w:color="auto" w:sz="4" w:space="0"/>
            </w:tcBorders>
            <w:noWrap w:val="0"/>
            <w:vAlign w:val="center"/>
          </w:tcPr>
          <w:p w14:paraId="6BDE73BC">
            <w:pPr>
              <w:autoSpaceDE w:val="0"/>
              <w:autoSpaceDN w:val="0"/>
              <w:adjustRightInd w:val="0"/>
              <w:spacing w:line="360" w:lineRule="auto"/>
              <w:ind w:firstLine="480" w:firstLineChars="200"/>
              <w:jc w:val="left"/>
              <w:rPr>
                <w:rFonts w:hint="eastAsia" w:ascii="宋体" w:hAnsi="宋体" w:eastAsia="宋体" w:cs="宋体"/>
                <w:color w:val="auto"/>
                <w:highlight w:val="none"/>
              </w:rPr>
            </w:pPr>
            <w:bookmarkStart w:id="130" w:name="OLE_LINK20"/>
            <w:r>
              <w:rPr>
                <w:rFonts w:hint="eastAsia" w:ascii="宋体" w:hAnsi="宋体" w:cs="宋体"/>
                <w:color w:val="auto"/>
                <w:sz w:val="24"/>
                <w:highlight w:val="none"/>
                <w:lang w:val="en-US" w:eastAsia="zh-CN"/>
              </w:rPr>
              <w:t>评委根据投标人</w:t>
            </w:r>
            <w:r>
              <w:rPr>
                <w:rFonts w:hint="eastAsia" w:ascii="宋体" w:hAnsi="宋体" w:eastAsia="宋体" w:cs="宋体"/>
                <w:color w:val="auto"/>
                <w:sz w:val="24"/>
                <w:highlight w:val="none"/>
              </w:rPr>
              <w:t>针对项目实际制定垃圾分类工作方案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包括但不限于规范垃圾集置点管理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垃圾分类分拣</w:t>
            </w:r>
            <w:r>
              <w:rPr>
                <w:rFonts w:hint="eastAsia" w:ascii="宋体" w:hAnsi="宋体" w:cs="宋体"/>
                <w:color w:val="auto"/>
                <w:sz w:val="24"/>
                <w:highlight w:val="none"/>
                <w:lang w:val="en-US" w:eastAsia="zh-CN"/>
              </w:rPr>
              <w:t>等</w:t>
            </w:r>
            <w:r>
              <w:rPr>
                <w:rFonts w:hint="eastAsia" w:ascii="宋体" w:hAnsi="宋体" w:cs="宋体"/>
                <w:color w:val="auto"/>
                <w:sz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eastAsia="宋体" w:cs="宋体"/>
                <w:color w:val="auto"/>
                <w:sz w:val="24"/>
                <w:szCs w:val="24"/>
                <w:highlight w:val="none"/>
              </w:rPr>
              <w:t>完整性、有效性、</w:t>
            </w:r>
            <w:r>
              <w:rPr>
                <w:rFonts w:hint="eastAsia" w:ascii="宋体" w:hAnsi="宋体" w:eastAsia="宋体" w:cs="宋体"/>
                <w:color w:val="auto"/>
                <w:sz w:val="24"/>
                <w:szCs w:val="24"/>
                <w:highlight w:val="none"/>
                <w:lang w:eastAsia="zh-CN"/>
              </w:rPr>
              <w:t>可实施性</w:t>
            </w:r>
            <w:r>
              <w:rPr>
                <w:rFonts w:hint="eastAsia" w:ascii="宋体" w:hAnsi="宋体" w:cs="宋体"/>
                <w:color w:val="auto"/>
                <w:sz w:val="24"/>
                <w:szCs w:val="24"/>
                <w:highlight w:val="none"/>
                <w:lang w:val="en-US" w:eastAsia="zh-CN"/>
              </w:rPr>
              <w:t>进行</w:t>
            </w:r>
            <w:r>
              <w:rPr>
                <w:rFonts w:hint="eastAsia" w:ascii="宋体" w:hAnsi="宋体" w:eastAsia="宋体" w:cs="宋体"/>
                <w:color w:val="auto"/>
                <w:sz w:val="24"/>
                <w:szCs w:val="24"/>
                <w:highlight w:val="none"/>
              </w:rPr>
              <w:t>综合打分</w:t>
            </w:r>
            <w:r>
              <w:rPr>
                <w:rFonts w:hint="eastAsia" w:ascii="宋体" w:hAnsi="宋体" w:eastAsia="宋体" w:cs="宋体"/>
                <w:i w:val="0"/>
                <w:iCs w:val="0"/>
                <w:color w:val="auto"/>
                <w:kern w:val="0"/>
                <w:sz w:val="24"/>
                <w:szCs w:val="24"/>
                <w:highlight w:val="none"/>
                <w:u w:val="none"/>
                <w:lang w:val="en-US" w:eastAsia="zh-CN" w:bidi="ar"/>
              </w:rPr>
              <w:t>。</w:t>
            </w:r>
            <w:bookmarkEnd w:id="130"/>
          </w:p>
        </w:tc>
        <w:tc>
          <w:tcPr>
            <w:tcW w:w="797" w:type="dxa"/>
            <w:tcBorders>
              <w:top w:val="single" w:color="auto" w:sz="4" w:space="0"/>
              <w:left w:val="single" w:color="auto" w:sz="4" w:space="0"/>
              <w:right w:val="single" w:color="auto" w:sz="4" w:space="0"/>
            </w:tcBorders>
            <w:noWrap w:val="0"/>
            <w:vAlign w:val="center"/>
          </w:tcPr>
          <w:p w14:paraId="34793D65">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3分</w:t>
            </w:r>
          </w:p>
        </w:tc>
      </w:tr>
      <w:tr w14:paraId="30E7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41140F36">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0850360D">
            <w:pPr>
              <w:pStyle w:val="72"/>
              <w:spacing w:before="0" w:line="440" w:lineRule="exact"/>
              <w:ind w:firstLine="0" w:firstLineChars="0"/>
              <w:jc w:val="center"/>
              <w:rPr>
                <w:rFonts w:hint="eastAsia" w:ascii="宋体" w:hAnsi="宋体" w:eastAsia="宋体" w:cs="宋体"/>
                <w:color w:val="auto"/>
                <w:szCs w:val="24"/>
                <w:highlight w:val="none"/>
              </w:rPr>
            </w:pPr>
          </w:p>
        </w:tc>
        <w:tc>
          <w:tcPr>
            <w:tcW w:w="6865" w:type="dxa"/>
            <w:tcBorders>
              <w:top w:val="single" w:color="auto" w:sz="4" w:space="0"/>
              <w:left w:val="single" w:color="auto" w:sz="4" w:space="0"/>
              <w:right w:val="single" w:color="auto" w:sz="4" w:space="0"/>
            </w:tcBorders>
            <w:noWrap w:val="0"/>
            <w:vAlign w:val="center"/>
          </w:tcPr>
          <w:p w14:paraId="21D0864C">
            <w:pPr>
              <w:pStyle w:val="105"/>
              <w:rPr>
                <w:rFonts w:hint="eastAsia" w:ascii="宋体" w:hAnsi="宋体" w:eastAsia="宋体" w:cs="宋体"/>
                <w:color w:val="auto"/>
                <w:highlight w:val="none"/>
              </w:rPr>
            </w:pPr>
            <w:bookmarkStart w:id="131" w:name="OLE_LINK21"/>
            <w:r>
              <w:rPr>
                <w:rFonts w:hint="eastAsia" w:ascii="宋体" w:hAnsi="宋体" w:cs="宋体"/>
                <w:color w:val="auto"/>
                <w:sz w:val="24"/>
                <w:highlight w:val="none"/>
                <w:lang w:val="en-US" w:eastAsia="zh-CN"/>
              </w:rPr>
              <w:t>评委根据投标人针对本项目</w:t>
            </w:r>
            <w:r>
              <w:rPr>
                <w:rFonts w:hint="eastAsia" w:ascii="宋体" w:hAnsi="宋体" w:eastAsia="宋体" w:cs="宋体"/>
                <w:color w:val="auto"/>
                <w:sz w:val="24"/>
                <w:highlight w:val="none"/>
              </w:rPr>
              <w:t>围绕洁净厕所管理，制定实施方案</w:t>
            </w:r>
            <w:r>
              <w:rPr>
                <w:rFonts w:hint="eastAsia" w:cs="宋体"/>
                <w:color w:val="auto"/>
                <w:sz w:val="24"/>
                <w:highlight w:val="none"/>
                <w:lang w:eastAsia="zh-CN"/>
              </w:rPr>
              <w:t>（</w:t>
            </w:r>
            <w:r>
              <w:rPr>
                <w:rFonts w:hint="eastAsia" w:ascii="宋体" w:hAnsi="宋体" w:eastAsia="宋体" w:cs="宋体"/>
                <w:color w:val="auto"/>
                <w:sz w:val="24"/>
                <w:highlight w:val="none"/>
              </w:rPr>
              <w:t>包括但不限于洁净厕所的标准、物品摆放、保洁频次、考核管理等</w:t>
            </w:r>
            <w:r>
              <w:rPr>
                <w:rFonts w:hint="eastAsia" w:cs="宋体"/>
                <w:color w:val="auto"/>
                <w:sz w:val="24"/>
                <w:highlight w:val="none"/>
                <w:lang w:eastAsia="zh-CN"/>
              </w:rPr>
              <w:t>）</w:t>
            </w:r>
            <w:bookmarkEnd w:id="131"/>
            <w:r>
              <w:rPr>
                <w:rFonts w:hint="eastAsia" w:cs="宋体"/>
                <w:color w:val="auto"/>
                <w:sz w:val="24"/>
                <w:highlight w:val="none"/>
                <w:lang w:val="en-US" w:eastAsia="zh-CN"/>
              </w:rPr>
              <w:t>的</w:t>
            </w:r>
            <w:r>
              <w:rPr>
                <w:rFonts w:hint="eastAsia" w:ascii="宋体" w:hAnsi="宋体" w:eastAsia="宋体" w:cs="宋体"/>
                <w:color w:val="auto"/>
                <w:sz w:val="24"/>
                <w:szCs w:val="24"/>
                <w:highlight w:val="none"/>
              </w:rPr>
              <w:t>完整性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合理性</w:t>
            </w:r>
            <w:r>
              <w:rPr>
                <w:rFonts w:hint="eastAsia" w:ascii="宋体" w:hAnsi="宋体" w:eastAsia="宋体" w:cs="宋体"/>
                <w:i w:val="0"/>
                <w:iCs w:val="0"/>
                <w:color w:val="auto"/>
                <w:kern w:val="0"/>
                <w:sz w:val="24"/>
                <w:szCs w:val="24"/>
                <w:highlight w:val="none"/>
                <w:u w:val="none"/>
                <w:lang w:val="en-US" w:eastAsia="zh-CN" w:bidi="ar"/>
              </w:rPr>
              <w:t>进行综合打分。</w:t>
            </w:r>
          </w:p>
        </w:tc>
        <w:tc>
          <w:tcPr>
            <w:tcW w:w="797" w:type="dxa"/>
            <w:tcBorders>
              <w:top w:val="single" w:color="auto" w:sz="4" w:space="0"/>
              <w:left w:val="single" w:color="auto" w:sz="4" w:space="0"/>
              <w:right w:val="single" w:color="auto" w:sz="4" w:space="0"/>
            </w:tcBorders>
            <w:noWrap w:val="0"/>
            <w:vAlign w:val="center"/>
          </w:tcPr>
          <w:p w14:paraId="3A3FB642">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1A44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tcBorders>
              <w:left w:val="single" w:color="auto" w:sz="4" w:space="0"/>
              <w:right w:val="single" w:color="auto" w:sz="4" w:space="0"/>
            </w:tcBorders>
            <w:noWrap w:val="0"/>
            <w:vAlign w:val="center"/>
          </w:tcPr>
          <w:p w14:paraId="3E883D62">
            <w:pPr>
              <w:spacing w:line="360" w:lineRule="auto"/>
              <w:jc w:val="center"/>
              <w:rPr>
                <w:rFonts w:hint="eastAsia" w:ascii="宋体" w:hAnsi="宋体" w:eastAsia="宋体" w:cs="宋体"/>
                <w:color w:val="auto"/>
                <w:sz w:val="24"/>
                <w:highlight w:val="none"/>
              </w:rPr>
            </w:pPr>
          </w:p>
        </w:tc>
        <w:tc>
          <w:tcPr>
            <w:tcW w:w="1210" w:type="dxa"/>
            <w:vMerge w:val="restart"/>
            <w:tcBorders>
              <w:top w:val="single" w:color="auto" w:sz="4" w:space="0"/>
              <w:left w:val="single" w:color="auto" w:sz="4" w:space="0"/>
              <w:right w:val="single" w:color="auto" w:sz="4" w:space="0"/>
            </w:tcBorders>
            <w:noWrap w:val="0"/>
            <w:vAlign w:val="center"/>
          </w:tcPr>
          <w:p w14:paraId="590404A8">
            <w:pPr>
              <w:widowControl/>
              <w:spacing w:line="400" w:lineRule="exact"/>
              <w:jc w:val="center"/>
              <w:rPr>
                <w:rFonts w:hint="eastAsia" w:ascii="宋体" w:hAnsi="宋体" w:eastAsia="宋体" w:cs="宋体"/>
                <w:color w:val="auto"/>
                <w:highlight w:val="none"/>
              </w:rPr>
            </w:pPr>
            <w:bookmarkStart w:id="132" w:name="OLE_LINK22"/>
            <w:r>
              <w:rPr>
                <w:rFonts w:hint="eastAsia" w:ascii="宋体" w:hAnsi="宋体" w:eastAsia="宋体" w:cs="宋体"/>
                <w:color w:val="auto"/>
                <w:sz w:val="24"/>
                <w:highlight w:val="none"/>
              </w:rPr>
              <w:t>房屋及设施维护工作方案</w:t>
            </w:r>
            <w:bookmarkEnd w:id="132"/>
          </w:p>
        </w:tc>
        <w:tc>
          <w:tcPr>
            <w:tcW w:w="6865" w:type="dxa"/>
            <w:tcBorders>
              <w:top w:val="single" w:color="auto" w:sz="4" w:space="0"/>
              <w:left w:val="single" w:color="auto" w:sz="4" w:space="0"/>
              <w:right w:val="single" w:color="auto" w:sz="4" w:space="0"/>
            </w:tcBorders>
            <w:noWrap w:val="0"/>
            <w:vAlign w:val="center"/>
          </w:tcPr>
          <w:p w14:paraId="00A0A227">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33" w:name="OLE_LINK23"/>
            <w:r>
              <w:rPr>
                <w:rFonts w:hint="eastAsia" w:ascii="宋体" w:hAnsi="宋体" w:cs="宋体"/>
                <w:color w:val="auto"/>
                <w:sz w:val="24"/>
                <w:highlight w:val="none"/>
                <w:lang w:val="en-US" w:eastAsia="zh-CN"/>
              </w:rPr>
              <w:t>评委根据投标人</w:t>
            </w:r>
            <w:r>
              <w:rPr>
                <w:rFonts w:hint="eastAsia" w:cs="宋体"/>
                <w:color w:val="auto"/>
                <w:sz w:val="24"/>
                <w:highlight w:val="none"/>
                <w:lang w:val="en-US" w:eastAsia="zh-CN"/>
              </w:rPr>
              <w:t>针对本项目</w:t>
            </w:r>
            <w:r>
              <w:rPr>
                <w:rFonts w:hint="eastAsia" w:ascii="宋体" w:hAnsi="宋体" w:eastAsia="宋体" w:cs="宋体"/>
                <w:color w:val="auto"/>
                <w:sz w:val="24"/>
                <w:highlight w:val="none"/>
              </w:rPr>
              <w:t>按照标准化、精细化管理制定设施设备维护方案，包括但不限于房屋维护，消防系统、供配电系统、电梯升降系统、空调通风系统、给排水系统等维护方案进行打分。</w:t>
            </w:r>
            <w:bookmarkEnd w:id="133"/>
          </w:p>
        </w:tc>
        <w:tc>
          <w:tcPr>
            <w:tcW w:w="797" w:type="dxa"/>
            <w:tcBorders>
              <w:top w:val="single" w:color="auto" w:sz="4" w:space="0"/>
              <w:left w:val="single" w:color="auto" w:sz="4" w:space="0"/>
              <w:right w:val="single" w:color="auto" w:sz="4" w:space="0"/>
            </w:tcBorders>
            <w:noWrap w:val="0"/>
            <w:vAlign w:val="center"/>
          </w:tcPr>
          <w:p w14:paraId="181C2E36">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3171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462626DF">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260D056A">
            <w:pPr>
              <w:jc w:val="center"/>
              <w:rPr>
                <w:rFonts w:hint="eastAsia" w:ascii="宋体" w:hAnsi="宋体" w:eastAsia="宋体" w:cs="宋体"/>
                <w:color w:val="auto"/>
                <w:sz w:val="24"/>
                <w:highlight w:val="none"/>
              </w:rPr>
            </w:pPr>
          </w:p>
        </w:tc>
        <w:tc>
          <w:tcPr>
            <w:tcW w:w="6865" w:type="dxa"/>
            <w:tcBorders>
              <w:top w:val="single" w:color="auto" w:sz="4" w:space="0"/>
              <w:left w:val="single" w:color="auto" w:sz="4" w:space="0"/>
              <w:right w:val="single" w:color="auto" w:sz="4" w:space="0"/>
            </w:tcBorders>
            <w:noWrap w:val="0"/>
            <w:vAlign w:val="center"/>
          </w:tcPr>
          <w:p w14:paraId="23369BC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34" w:name="OLE_LINK24"/>
            <w:r>
              <w:rPr>
                <w:rFonts w:hint="eastAsia" w:ascii="宋体" w:hAnsi="宋体" w:cs="宋体"/>
                <w:color w:val="auto"/>
                <w:sz w:val="24"/>
                <w:highlight w:val="none"/>
                <w:lang w:val="en-US" w:eastAsia="zh-CN"/>
              </w:rPr>
              <w:t>评委根据投标人针对本项目</w:t>
            </w:r>
            <w:r>
              <w:rPr>
                <w:rFonts w:hint="eastAsia" w:ascii="宋体" w:hAnsi="宋体" w:eastAsia="宋体" w:cs="宋体"/>
                <w:color w:val="auto"/>
                <w:sz w:val="24"/>
                <w:highlight w:val="none"/>
              </w:rPr>
              <w:t>设施设备维护保养规范、计划，包括但不限于对重点设施设备、消防系统、供配电系统、电梯升降系统等进行定期巡查等方案进行打分。</w:t>
            </w:r>
            <w:bookmarkEnd w:id="134"/>
          </w:p>
        </w:tc>
        <w:tc>
          <w:tcPr>
            <w:tcW w:w="797" w:type="dxa"/>
            <w:tcBorders>
              <w:top w:val="single" w:color="auto" w:sz="4" w:space="0"/>
              <w:left w:val="single" w:color="auto" w:sz="4" w:space="0"/>
              <w:right w:val="single" w:color="auto" w:sz="4" w:space="0"/>
            </w:tcBorders>
            <w:noWrap w:val="0"/>
            <w:vAlign w:val="center"/>
          </w:tcPr>
          <w:p w14:paraId="3E06568C">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5831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20BBECBA">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18730415">
            <w:pPr>
              <w:jc w:val="center"/>
              <w:rPr>
                <w:rFonts w:hint="eastAsia" w:ascii="宋体" w:hAnsi="宋体" w:eastAsia="宋体" w:cs="宋体"/>
                <w:color w:val="auto"/>
                <w:sz w:val="24"/>
                <w:highlight w:val="none"/>
              </w:rPr>
            </w:pPr>
          </w:p>
        </w:tc>
        <w:tc>
          <w:tcPr>
            <w:tcW w:w="6865" w:type="dxa"/>
            <w:tcBorders>
              <w:top w:val="single" w:color="auto" w:sz="4" w:space="0"/>
              <w:left w:val="single" w:color="auto" w:sz="4" w:space="0"/>
              <w:right w:val="single" w:color="auto" w:sz="4" w:space="0"/>
            </w:tcBorders>
            <w:noWrap w:val="0"/>
            <w:vAlign w:val="center"/>
          </w:tcPr>
          <w:p w14:paraId="13FBE831">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35" w:name="OLE_LINK25"/>
            <w:r>
              <w:rPr>
                <w:rFonts w:hint="eastAsia" w:ascii="宋体" w:hAnsi="宋体" w:cs="宋体"/>
                <w:color w:val="auto"/>
                <w:sz w:val="24"/>
                <w:highlight w:val="none"/>
                <w:lang w:val="en-US" w:eastAsia="zh-CN"/>
              </w:rPr>
              <w:t>评委根据投标人针对本项目</w:t>
            </w:r>
            <w:r>
              <w:rPr>
                <w:rFonts w:hint="eastAsia" w:ascii="宋体" w:hAnsi="宋体" w:eastAsia="宋体" w:cs="宋体"/>
                <w:color w:val="auto"/>
                <w:sz w:val="24"/>
                <w:highlight w:val="none"/>
              </w:rPr>
              <w:t>建立高效及时的维修机制，做到第一时间响应反馈，记录归档，管理到位有创新</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方案进行打分。</w:t>
            </w:r>
            <w:bookmarkEnd w:id="135"/>
          </w:p>
        </w:tc>
        <w:tc>
          <w:tcPr>
            <w:tcW w:w="797" w:type="dxa"/>
            <w:tcBorders>
              <w:top w:val="single" w:color="auto" w:sz="4" w:space="0"/>
              <w:left w:val="single" w:color="auto" w:sz="4" w:space="0"/>
              <w:right w:val="single" w:color="auto" w:sz="4" w:space="0"/>
            </w:tcBorders>
            <w:noWrap w:val="0"/>
            <w:vAlign w:val="center"/>
          </w:tcPr>
          <w:p w14:paraId="6F5C0DDA">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533D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28" w:type="dxa"/>
            <w:vMerge w:val="continue"/>
            <w:tcBorders>
              <w:left w:val="single" w:color="auto" w:sz="4" w:space="0"/>
              <w:right w:val="single" w:color="auto" w:sz="4" w:space="0"/>
            </w:tcBorders>
            <w:noWrap w:val="0"/>
            <w:vAlign w:val="center"/>
          </w:tcPr>
          <w:p w14:paraId="7E92BBEE">
            <w:pPr>
              <w:spacing w:line="360" w:lineRule="auto"/>
              <w:jc w:val="center"/>
              <w:rPr>
                <w:rFonts w:hint="eastAsia" w:ascii="宋体" w:hAnsi="宋体" w:eastAsia="宋体" w:cs="宋体"/>
                <w:color w:val="auto"/>
                <w:sz w:val="24"/>
                <w:highlight w:val="none"/>
              </w:rPr>
            </w:pPr>
          </w:p>
        </w:tc>
        <w:tc>
          <w:tcPr>
            <w:tcW w:w="1210" w:type="dxa"/>
            <w:tcBorders>
              <w:top w:val="single" w:color="auto" w:sz="4" w:space="0"/>
              <w:left w:val="single" w:color="auto" w:sz="4" w:space="0"/>
              <w:right w:val="single" w:color="auto" w:sz="4" w:space="0"/>
            </w:tcBorders>
            <w:noWrap w:val="0"/>
            <w:vAlign w:val="center"/>
          </w:tcPr>
          <w:p w14:paraId="3EBDA511">
            <w:pPr>
              <w:widowControl/>
              <w:spacing w:line="400" w:lineRule="exact"/>
              <w:jc w:val="center"/>
              <w:rPr>
                <w:rFonts w:hint="eastAsia" w:ascii="宋体" w:hAnsi="宋体" w:eastAsia="宋体" w:cs="宋体"/>
                <w:color w:val="auto"/>
                <w:sz w:val="24"/>
                <w:highlight w:val="none"/>
                <w:lang w:val="en-US" w:eastAsia="zh-CN"/>
              </w:rPr>
            </w:pPr>
            <w:bookmarkStart w:id="136" w:name="OLE_LINK26"/>
            <w:r>
              <w:rPr>
                <w:rFonts w:hint="eastAsia" w:ascii="宋体" w:hAnsi="宋体" w:eastAsia="宋体" w:cs="宋体"/>
                <w:color w:val="auto"/>
                <w:sz w:val="24"/>
                <w:highlight w:val="none"/>
                <w:lang w:val="en-US" w:eastAsia="zh-CN"/>
              </w:rPr>
              <w:t>安全管理方案</w:t>
            </w:r>
            <w:bookmarkEnd w:id="136"/>
          </w:p>
        </w:tc>
        <w:tc>
          <w:tcPr>
            <w:tcW w:w="6865" w:type="dxa"/>
            <w:tcBorders>
              <w:top w:val="single" w:color="auto" w:sz="4" w:space="0"/>
              <w:left w:val="single" w:color="auto" w:sz="4" w:space="0"/>
              <w:right w:val="single" w:color="auto" w:sz="4" w:space="0"/>
            </w:tcBorders>
            <w:noWrap w:val="0"/>
            <w:vAlign w:val="center"/>
          </w:tcPr>
          <w:p w14:paraId="30A35363">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en-US" w:eastAsia="zh-CN"/>
              </w:rPr>
            </w:pPr>
            <w:bookmarkStart w:id="137" w:name="OLE_LINK27"/>
            <w:r>
              <w:rPr>
                <w:rFonts w:hint="eastAsia" w:ascii="宋体" w:hAnsi="宋体" w:cs="宋体"/>
                <w:color w:val="auto"/>
                <w:sz w:val="24"/>
                <w:highlight w:val="none"/>
                <w:lang w:val="en-US" w:eastAsia="zh-CN"/>
              </w:rPr>
              <w:t>评委根据投标人针</w:t>
            </w:r>
            <w:r>
              <w:rPr>
                <w:rFonts w:hint="eastAsia" w:ascii="宋体" w:hAnsi="宋体" w:eastAsia="宋体" w:cs="宋体"/>
                <w:color w:val="auto"/>
                <w:sz w:val="24"/>
                <w:highlight w:val="none"/>
              </w:rPr>
              <w:t>针对本项目安全管理方面的重难点分析及应对措施的全面性、科学性进行打分</w:t>
            </w:r>
            <w:r>
              <w:rPr>
                <w:rFonts w:hint="eastAsia" w:ascii="宋体" w:hAnsi="宋体" w:eastAsia="宋体" w:cs="宋体"/>
                <w:color w:val="auto"/>
                <w:sz w:val="24"/>
                <w:highlight w:val="none"/>
                <w:lang w:eastAsia="zh-CN"/>
              </w:rPr>
              <w:t>。</w:t>
            </w:r>
            <w:bookmarkEnd w:id="137"/>
          </w:p>
        </w:tc>
        <w:tc>
          <w:tcPr>
            <w:tcW w:w="797" w:type="dxa"/>
            <w:tcBorders>
              <w:top w:val="single" w:color="auto" w:sz="4" w:space="0"/>
              <w:left w:val="single" w:color="auto" w:sz="4" w:space="0"/>
              <w:right w:val="single" w:color="auto" w:sz="4" w:space="0"/>
            </w:tcBorders>
            <w:noWrap w:val="0"/>
            <w:vAlign w:val="center"/>
          </w:tcPr>
          <w:p w14:paraId="39E0ED28">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3分</w:t>
            </w:r>
          </w:p>
        </w:tc>
      </w:tr>
      <w:tr w14:paraId="49EA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5152ABCE">
            <w:pPr>
              <w:spacing w:line="360" w:lineRule="auto"/>
              <w:jc w:val="center"/>
              <w:rPr>
                <w:rFonts w:hint="eastAsia" w:ascii="宋体" w:hAnsi="宋体" w:eastAsia="宋体" w:cs="宋体"/>
                <w:color w:val="auto"/>
                <w:sz w:val="24"/>
                <w:highlight w:val="none"/>
              </w:rPr>
            </w:pPr>
          </w:p>
        </w:tc>
        <w:tc>
          <w:tcPr>
            <w:tcW w:w="1210" w:type="dxa"/>
            <w:vMerge w:val="restart"/>
            <w:tcBorders>
              <w:top w:val="single" w:color="auto" w:sz="4" w:space="0"/>
              <w:left w:val="single" w:color="auto" w:sz="4" w:space="0"/>
              <w:right w:val="single" w:color="auto" w:sz="4" w:space="0"/>
            </w:tcBorders>
            <w:noWrap w:val="0"/>
            <w:vAlign w:val="center"/>
          </w:tcPr>
          <w:p w14:paraId="6B3F015F">
            <w:pPr>
              <w:widowControl/>
              <w:spacing w:line="400" w:lineRule="exact"/>
              <w:jc w:val="center"/>
              <w:rPr>
                <w:rFonts w:hint="eastAsia" w:ascii="宋体" w:hAnsi="宋体" w:eastAsia="宋体" w:cs="宋体"/>
                <w:color w:val="auto"/>
                <w:sz w:val="24"/>
                <w:highlight w:val="none"/>
              </w:rPr>
            </w:pPr>
            <w:bookmarkStart w:id="138" w:name="OLE_LINK28"/>
            <w:r>
              <w:rPr>
                <w:rFonts w:hint="eastAsia" w:ascii="宋体" w:hAnsi="宋体" w:eastAsia="宋体" w:cs="宋体"/>
                <w:color w:val="auto"/>
                <w:sz w:val="24"/>
                <w:highlight w:val="none"/>
              </w:rPr>
              <w:t>安全服务工作</w:t>
            </w:r>
            <w:r>
              <w:rPr>
                <w:rFonts w:hint="eastAsia" w:ascii="宋体" w:hAnsi="宋体" w:eastAsia="宋体" w:cs="宋体"/>
                <w:color w:val="auto"/>
                <w:sz w:val="24"/>
                <w:highlight w:val="none"/>
                <w:lang w:eastAsia="zh-CN"/>
              </w:rPr>
              <w:t>实施</w:t>
            </w:r>
            <w:r>
              <w:rPr>
                <w:rFonts w:hint="eastAsia" w:ascii="宋体" w:hAnsi="宋体" w:eastAsia="宋体" w:cs="宋体"/>
                <w:color w:val="auto"/>
                <w:sz w:val="24"/>
                <w:highlight w:val="none"/>
              </w:rPr>
              <w:t>方案</w:t>
            </w:r>
            <w:bookmarkEnd w:id="138"/>
          </w:p>
        </w:tc>
        <w:tc>
          <w:tcPr>
            <w:tcW w:w="6865" w:type="dxa"/>
            <w:tcBorders>
              <w:top w:val="single" w:color="auto" w:sz="4" w:space="0"/>
              <w:left w:val="single" w:color="auto" w:sz="4" w:space="0"/>
              <w:right w:val="single" w:color="auto" w:sz="4" w:space="0"/>
            </w:tcBorders>
            <w:noWrap w:val="0"/>
            <w:vAlign w:val="center"/>
          </w:tcPr>
          <w:p w14:paraId="7B32DD73">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39" w:name="OLE_LINK29"/>
            <w:r>
              <w:rPr>
                <w:rFonts w:hint="eastAsia" w:ascii="宋体" w:hAnsi="宋体" w:cs="宋体"/>
                <w:color w:val="auto"/>
                <w:sz w:val="24"/>
                <w:highlight w:val="none"/>
                <w:lang w:val="en-US" w:eastAsia="zh-CN"/>
              </w:rPr>
              <w:t>评委根据投标人</w:t>
            </w:r>
            <w:r>
              <w:rPr>
                <w:rFonts w:hint="eastAsia" w:ascii="宋体" w:hAnsi="宋体" w:eastAsia="宋体" w:cs="宋体"/>
                <w:color w:val="auto"/>
                <w:sz w:val="24"/>
                <w:highlight w:val="none"/>
              </w:rPr>
              <w:t>按照标准化、精细化管理要求，针对本项目特点制定整体的安全服务工作方案，包括但不限于人员排岗布置、门岗管理、秩序管理、消防安全管理、用电安全管理、停车服务管理等方案进行打分。</w:t>
            </w:r>
            <w:bookmarkEnd w:id="139"/>
          </w:p>
        </w:tc>
        <w:tc>
          <w:tcPr>
            <w:tcW w:w="797" w:type="dxa"/>
            <w:tcBorders>
              <w:top w:val="single" w:color="auto" w:sz="4" w:space="0"/>
              <w:left w:val="single" w:color="auto" w:sz="4" w:space="0"/>
              <w:right w:val="single" w:color="auto" w:sz="4" w:space="0"/>
            </w:tcBorders>
            <w:noWrap w:val="0"/>
            <w:vAlign w:val="center"/>
          </w:tcPr>
          <w:p w14:paraId="17B02541">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3分</w:t>
            </w:r>
          </w:p>
        </w:tc>
      </w:tr>
      <w:tr w14:paraId="7234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5603928E">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154158F4">
            <w:pPr>
              <w:widowControl/>
              <w:spacing w:line="400" w:lineRule="exact"/>
              <w:jc w:val="center"/>
              <w:rPr>
                <w:rFonts w:hint="eastAsia" w:ascii="宋体" w:hAnsi="宋体" w:eastAsia="宋体" w:cs="宋体"/>
                <w:color w:val="auto"/>
                <w:sz w:val="24"/>
                <w:highlight w:val="none"/>
              </w:rPr>
            </w:pPr>
          </w:p>
        </w:tc>
        <w:tc>
          <w:tcPr>
            <w:tcW w:w="6865" w:type="dxa"/>
            <w:tcBorders>
              <w:top w:val="single" w:color="auto" w:sz="4" w:space="0"/>
              <w:left w:val="single" w:color="auto" w:sz="4" w:space="0"/>
              <w:right w:val="single" w:color="auto" w:sz="4" w:space="0"/>
            </w:tcBorders>
            <w:noWrap w:val="0"/>
            <w:vAlign w:val="center"/>
          </w:tcPr>
          <w:p w14:paraId="7BB3485B">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40" w:name="OLE_LINK30"/>
            <w:r>
              <w:rPr>
                <w:rFonts w:hint="eastAsia" w:ascii="宋体" w:hAnsi="宋体" w:cs="宋体"/>
                <w:color w:val="auto"/>
                <w:sz w:val="24"/>
                <w:highlight w:val="none"/>
                <w:lang w:val="en-US" w:eastAsia="zh-CN"/>
              </w:rPr>
              <w:t>评委根据投标人针对本项目</w:t>
            </w:r>
            <w:r>
              <w:rPr>
                <w:rFonts w:hint="eastAsia" w:cs="宋体"/>
                <w:color w:val="auto"/>
                <w:sz w:val="24"/>
                <w:highlight w:val="none"/>
                <w:lang w:val="en-US" w:eastAsia="zh-CN"/>
              </w:rPr>
              <w:t>制定的</w:t>
            </w:r>
            <w:r>
              <w:rPr>
                <w:rFonts w:hint="eastAsia" w:ascii="宋体" w:hAnsi="宋体" w:eastAsia="宋体" w:cs="宋体"/>
                <w:color w:val="auto"/>
                <w:sz w:val="24"/>
                <w:highlight w:val="none"/>
              </w:rPr>
              <w:t>安全服务装备、设备</w:t>
            </w:r>
            <w:r>
              <w:rPr>
                <w:rFonts w:hint="eastAsia" w:ascii="宋体" w:hAnsi="宋体" w:eastAsia="宋体" w:cs="宋体"/>
                <w:color w:val="auto"/>
                <w:sz w:val="24"/>
                <w:highlight w:val="none"/>
                <w:lang w:val="en-US" w:eastAsia="zh-CN"/>
              </w:rPr>
              <w:t>配备方案</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进行打分。</w:t>
            </w:r>
            <w:bookmarkEnd w:id="140"/>
          </w:p>
        </w:tc>
        <w:tc>
          <w:tcPr>
            <w:tcW w:w="797" w:type="dxa"/>
            <w:tcBorders>
              <w:top w:val="single" w:color="auto" w:sz="4" w:space="0"/>
              <w:left w:val="single" w:color="auto" w:sz="4" w:space="0"/>
              <w:right w:val="single" w:color="auto" w:sz="4" w:space="0"/>
            </w:tcBorders>
            <w:noWrap w:val="0"/>
            <w:vAlign w:val="center"/>
          </w:tcPr>
          <w:p w14:paraId="2709DEB4">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分</w:t>
            </w:r>
          </w:p>
        </w:tc>
      </w:tr>
      <w:tr w14:paraId="244E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128" w:type="dxa"/>
            <w:vMerge w:val="continue"/>
            <w:tcBorders>
              <w:left w:val="single" w:color="auto" w:sz="4" w:space="0"/>
              <w:right w:val="single" w:color="auto" w:sz="4" w:space="0"/>
            </w:tcBorders>
            <w:noWrap w:val="0"/>
            <w:vAlign w:val="center"/>
          </w:tcPr>
          <w:p w14:paraId="06B22C07">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723A7FBD">
            <w:pPr>
              <w:widowControl/>
              <w:spacing w:line="400" w:lineRule="exact"/>
              <w:jc w:val="center"/>
              <w:rPr>
                <w:rFonts w:hint="eastAsia" w:ascii="宋体" w:hAnsi="宋体" w:eastAsia="宋体" w:cs="宋体"/>
                <w:color w:val="auto"/>
                <w:sz w:val="24"/>
                <w:highlight w:val="none"/>
              </w:rPr>
            </w:pPr>
          </w:p>
        </w:tc>
        <w:tc>
          <w:tcPr>
            <w:tcW w:w="6865" w:type="dxa"/>
            <w:tcBorders>
              <w:top w:val="single" w:color="auto" w:sz="4" w:space="0"/>
              <w:left w:val="single" w:color="auto" w:sz="4" w:space="0"/>
              <w:right w:val="single" w:color="auto" w:sz="4" w:space="0"/>
            </w:tcBorders>
            <w:noWrap w:val="0"/>
            <w:vAlign w:val="center"/>
          </w:tcPr>
          <w:p w14:paraId="41D5AA84">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41" w:name="OLE_LINK31"/>
            <w:r>
              <w:rPr>
                <w:rFonts w:hint="eastAsia" w:ascii="宋体" w:hAnsi="宋体" w:cs="宋体"/>
                <w:color w:val="auto"/>
                <w:sz w:val="24"/>
                <w:highlight w:val="none"/>
                <w:lang w:val="en-US" w:eastAsia="zh-CN"/>
              </w:rPr>
              <w:t>评委根据投标人</w:t>
            </w:r>
            <w:r>
              <w:rPr>
                <w:rFonts w:hint="eastAsia" w:ascii="宋体" w:hAnsi="宋体" w:eastAsia="宋体" w:cs="宋体"/>
                <w:color w:val="auto"/>
                <w:sz w:val="24"/>
                <w:highlight w:val="none"/>
              </w:rPr>
              <w:t>针对重大活动、</w:t>
            </w:r>
            <w:r>
              <w:rPr>
                <w:rFonts w:hint="eastAsia" w:ascii="宋体" w:hAnsi="宋体" w:eastAsia="宋体" w:cs="宋体"/>
                <w:color w:val="auto"/>
                <w:sz w:val="24"/>
                <w:highlight w:val="none"/>
                <w:lang w:eastAsia="zh-CN"/>
              </w:rPr>
              <w:t>参观</w:t>
            </w:r>
            <w:r>
              <w:rPr>
                <w:rFonts w:hint="eastAsia" w:ascii="宋体" w:hAnsi="宋体" w:eastAsia="宋体" w:cs="宋体"/>
                <w:color w:val="auto"/>
                <w:sz w:val="24"/>
                <w:highlight w:val="none"/>
              </w:rPr>
              <w:t>接待，制定的安全防控措施</w:t>
            </w:r>
            <w:r>
              <w:rPr>
                <w:rFonts w:hint="eastAsia" w:ascii="宋体" w:hAnsi="宋体" w:eastAsia="宋体" w:cs="宋体"/>
                <w:color w:val="auto"/>
                <w:sz w:val="24"/>
                <w:highlight w:val="none"/>
                <w:lang w:eastAsia="zh-CN"/>
              </w:rPr>
              <w:t>等</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rPr>
              <w:t>进行打分。</w:t>
            </w:r>
            <w:bookmarkEnd w:id="141"/>
          </w:p>
        </w:tc>
        <w:tc>
          <w:tcPr>
            <w:tcW w:w="797" w:type="dxa"/>
            <w:tcBorders>
              <w:top w:val="single" w:color="auto" w:sz="4" w:space="0"/>
              <w:left w:val="single" w:color="auto" w:sz="4" w:space="0"/>
              <w:right w:val="single" w:color="auto" w:sz="4" w:space="0"/>
            </w:tcBorders>
            <w:noWrap w:val="0"/>
            <w:vAlign w:val="center"/>
          </w:tcPr>
          <w:p w14:paraId="0F3105E3">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分</w:t>
            </w:r>
          </w:p>
        </w:tc>
      </w:tr>
      <w:tr w14:paraId="3EF0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1128" w:type="dxa"/>
            <w:vMerge w:val="continue"/>
            <w:tcBorders>
              <w:left w:val="single" w:color="auto" w:sz="4" w:space="0"/>
              <w:right w:val="single" w:color="auto" w:sz="4" w:space="0"/>
            </w:tcBorders>
            <w:noWrap w:val="0"/>
            <w:vAlign w:val="center"/>
          </w:tcPr>
          <w:p w14:paraId="711B1936">
            <w:pPr>
              <w:spacing w:line="360" w:lineRule="auto"/>
              <w:jc w:val="center"/>
              <w:rPr>
                <w:rFonts w:hint="eastAsia" w:ascii="宋体" w:hAnsi="宋体" w:eastAsia="宋体" w:cs="宋体"/>
                <w:color w:val="auto"/>
                <w:sz w:val="24"/>
                <w:highlight w:val="none"/>
              </w:rPr>
            </w:pPr>
          </w:p>
        </w:tc>
        <w:tc>
          <w:tcPr>
            <w:tcW w:w="1210" w:type="dxa"/>
            <w:tcBorders>
              <w:top w:val="single" w:color="auto" w:sz="4" w:space="0"/>
              <w:left w:val="single" w:color="auto" w:sz="4" w:space="0"/>
              <w:right w:val="single" w:color="auto" w:sz="4" w:space="0"/>
            </w:tcBorders>
            <w:noWrap w:val="0"/>
            <w:vAlign w:val="center"/>
          </w:tcPr>
          <w:p w14:paraId="609A2FA1">
            <w:pPr>
              <w:widowControl/>
              <w:spacing w:line="400" w:lineRule="exact"/>
              <w:jc w:val="center"/>
              <w:rPr>
                <w:rFonts w:hint="eastAsia" w:ascii="宋体" w:hAnsi="宋体" w:eastAsia="宋体" w:cs="宋体"/>
                <w:color w:val="auto"/>
                <w:sz w:val="24"/>
                <w:highlight w:val="none"/>
              </w:rPr>
            </w:pPr>
            <w:bookmarkStart w:id="142" w:name="OLE_LINK32"/>
            <w:r>
              <w:rPr>
                <w:rFonts w:hint="eastAsia" w:ascii="宋体" w:hAnsi="宋体" w:eastAsia="宋体" w:cs="宋体"/>
                <w:color w:val="auto"/>
                <w:sz w:val="24"/>
                <w:highlight w:val="none"/>
              </w:rPr>
              <w:t>物业</w:t>
            </w:r>
            <w:r>
              <w:rPr>
                <w:rFonts w:hint="eastAsia" w:ascii="宋体" w:hAnsi="宋体" w:eastAsia="宋体" w:cs="宋体"/>
                <w:color w:val="auto"/>
                <w:sz w:val="24"/>
                <w:highlight w:val="none"/>
                <w:lang w:val="en-US" w:eastAsia="zh-CN"/>
              </w:rPr>
              <w:t>突发事件</w:t>
            </w:r>
            <w:r>
              <w:rPr>
                <w:rFonts w:hint="eastAsia" w:ascii="宋体" w:hAnsi="宋体" w:eastAsia="宋体" w:cs="宋体"/>
                <w:color w:val="auto"/>
                <w:sz w:val="24"/>
                <w:highlight w:val="none"/>
              </w:rPr>
              <w:t>的应急措施</w:t>
            </w:r>
            <w:bookmarkEnd w:id="142"/>
          </w:p>
        </w:tc>
        <w:tc>
          <w:tcPr>
            <w:tcW w:w="6865" w:type="dxa"/>
            <w:tcBorders>
              <w:top w:val="single" w:color="auto" w:sz="4" w:space="0"/>
              <w:left w:val="single" w:color="auto" w:sz="4" w:space="0"/>
              <w:right w:val="single" w:color="auto" w:sz="4" w:space="0"/>
            </w:tcBorders>
            <w:noWrap w:val="0"/>
            <w:vAlign w:val="center"/>
          </w:tcPr>
          <w:p w14:paraId="04DA68C1">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en-US" w:eastAsia="zh-CN"/>
              </w:rPr>
            </w:pPr>
            <w:bookmarkStart w:id="143" w:name="OLE_LINK33"/>
            <w:r>
              <w:rPr>
                <w:rFonts w:hint="eastAsia" w:ascii="宋体" w:hAnsi="宋体" w:cs="宋体"/>
                <w:color w:val="auto"/>
                <w:sz w:val="24"/>
                <w:highlight w:val="none"/>
                <w:lang w:val="en-US" w:eastAsia="zh-CN"/>
              </w:rPr>
              <w:t>评委根据投标人针对本项目</w:t>
            </w:r>
            <w:r>
              <w:rPr>
                <w:rFonts w:hint="eastAsia" w:ascii="宋体" w:hAnsi="宋体" w:eastAsia="宋体" w:cs="宋体"/>
                <w:color w:val="auto"/>
                <w:sz w:val="24"/>
                <w:szCs w:val="24"/>
                <w:highlight w:val="none"/>
              </w:rPr>
              <w:t>对物业突发事件（包括发生台风、暴雨等灾害性天气及其他突发事件）时的应急预案及相应的措施；对物业管理区域内安全防范措施、消防、抗台、抗震等紧急预案；对物业管理区域内的防盗、防火的安全防范巡查、应急供电系统、给排水设备、空调系统、电气照明装置等设备应急检修措施等</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打分</w:t>
            </w:r>
            <w:r>
              <w:rPr>
                <w:rFonts w:hint="eastAsia" w:ascii="宋体" w:hAnsi="宋体" w:eastAsia="宋体" w:cs="宋体"/>
                <w:color w:val="auto"/>
                <w:sz w:val="24"/>
                <w:szCs w:val="24"/>
                <w:highlight w:val="none"/>
                <w:lang w:eastAsia="zh-CN"/>
              </w:rPr>
              <w:t>。</w:t>
            </w:r>
            <w:bookmarkEnd w:id="143"/>
          </w:p>
        </w:tc>
        <w:tc>
          <w:tcPr>
            <w:tcW w:w="797" w:type="dxa"/>
            <w:tcBorders>
              <w:top w:val="single" w:color="auto" w:sz="4" w:space="0"/>
              <w:left w:val="single" w:color="auto" w:sz="4" w:space="0"/>
              <w:right w:val="single" w:color="auto" w:sz="4" w:space="0"/>
            </w:tcBorders>
            <w:noWrap w:val="0"/>
            <w:vAlign w:val="center"/>
          </w:tcPr>
          <w:p w14:paraId="5F893599">
            <w:pPr>
              <w:adjustRightInd w:val="0"/>
              <w:spacing w:before="156"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Cs w:val="24"/>
                <w:highlight w:val="none"/>
                <w:lang w:val="en-US" w:eastAsia="zh-CN"/>
              </w:rPr>
              <w:t>分</w:t>
            </w:r>
          </w:p>
        </w:tc>
      </w:tr>
      <w:tr w14:paraId="4939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28" w:type="dxa"/>
            <w:vMerge w:val="continue"/>
            <w:tcBorders>
              <w:left w:val="single" w:color="auto" w:sz="4" w:space="0"/>
              <w:right w:val="single" w:color="auto" w:sz="4" w:space="0"/>
            </w:tcBorders>
            <w:noWrap w:val="0"/>
            <w:vAlign w:val="center"/>
          </w:tcPr>
          <w:p w14:paraId="37FAC518">
            <w:pPr>
              <w:spacing w:line="360" w:lineRule="auto"/>
              <w:jc w:val="center"/>
              <w:rPr>
                <w:rFonts w:hint="eastAsia" w:ascii="宋体" w:hAnsi="宋体" w:eastAsia="宋体" w:cs="宋体"/>
                <w:color w:val="auto"/>
                <w:sz w:val="24"/>
                <w:highlight w:val="none"/>
              </w:rPr>
            </w:pPr>
          </w:p>
        </w:tc>
        <w:tc>
          <w:tcPr>
            <w:tcW w:w="1210" w:type="dxa"/>
            <w:tcBorders>
              <w:left w:val="single" w:color="auto" w:sz="4" w:space="0"/>
              <w:right w:val="single" w:color="auto" w:sz="4" w:space="0"/>
            </w:tcBorders>
            <w:noWrap w:val="0"/>
            <w:vAlign w:val="center"/>
          </w:tcPr>
          <w:p w14:paraId="44651249">
            <w:pPr>
              <w:widowControl/>
              <w:spacing w:line="400" w:lineRule="exact"/>
              <w:jc w:val="center"/>
              <w:rPr>
                <w:rFonts w:hint="eastAsia" w:ascii="宋体" w:hAnsi="宋体" w:eastAsia="宋体" w:cs="宋体"/>
                <w:i w:val="0"/>
                <w:iCs w:val="0"/>
                <w:color w:val="auto"/>
                <w:kern w:val="0"/>
                <w:sz w:val="24"/>
                <w:szCs w:val="24"/>
                <w:highlight w:val="none"/>
                <w:u w:val="none"/>
                <w:lang w:val="en-US" w:eastAsia="zh-CN" w:bidi="ar"/>
              </w:rPr>
            </w:pPr>
            <w:bookmarkStart w:id="144" w:name="OLE_LINK34"/>
            <w:r>
              <w:rPr>
                <w:rFonts w:hint="eastAsia" w:ascii="宋体" w:hAnsi="宋体" w:eastAsia="宋体" w:cs="宋体"/>
                <w:i w:val="0"/>
                <w:iCs w:val="0"/>
                <w:color w:val="auto"/>
                <w:kern w:val="0"/>
                <w:sz w:val="24"/>
                <w:szCs w:val="24"/>
                <w:highlight w:val="none"/>
                <w:u w:val="none"/>
                <w:lang w:val="en-US" w:eastAsia="zh-CN" w:bidi="ar"/>
              </w:rPr>
              <w:t>设备</w:t>
            </w:r>
          </w:p>
          <w:p w14:paraId="5541358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方案</w:t>
            </w:r>
            <w:bookmarkEnd w:id="144"/>
          </w:p>
        </w:tc>
        <w:tc>
          <w:tcPr>
            <w:tcW w:w="6865" w:type="dxa"/>
            <w:tcBorders>
              <w:top w:val="single" w:color="auto" w:sz="4" w:space="0"/>
              <w:left w:val="single" w:color="auto" w:sz="4" w:space="0"/>
              <w:right w:val="single" w:color="auto" w:sz="4" w:space="0"/>
            </w:tcBorders>
            <w:noWrap w:val="0"/>
            <w:vAlign w:val="center"/>
          </w:tcPr>
          <w:p w14:paraId="676CC390">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lang w:eastAsia="zh-CN"/>
              </w:rPr>
            </w:pPr>
            <w:bookmarkStart w:id="145" w:name="OLE_LINK35"/>
            <w:r>
              <w:rPr>
                <w:rFonts w:hint="eastAsia" w:ascii="宋体" w:hAnsi="宋体" w:cs="宋体"/>
                <w:color w:val="auto"/>
                <w:sz w:val="24"/>
                <w:highlight w:val="none"/>
                <w:lang w:val="en-US" w:eastAsia="zh-CN"/>
              </w:rPr>
              <w:t>评委根据投标人针对本项目</w:t>
            </w:r>
            <w:r>
              <w:rPr>
                <w:rFonts w:hint="eastAsia" w:ascii="宋体" w:hAnsi="宋体" w:cs="宋体"/>
                <w:color w:val="auto"/>
                <w:sz w:val="24"/>
                <w:szCs w:val="24"/>
                <w:highlight w:val="none"/>
                <w:lang w:val="en-US" w:eastAsia="zh-CN"/>
              </w:rPr>
              <w:t>拟</w:t>
            </w:r>
            <w:r>
              <w:rPr>
                <w:rFonts w:hint="eastAsia" w:ascii="宋体" w:hAnsi="宋体" w:eastAsia="宋体" w:cs="宋体"/>
                <w:color w:val="auto"/>
                <w:sz w:val="24"/>
                <w:szCs w:val="24"/>
                <w:highlight w:val="none"/>
              </w:rPr>
              <w:t>投入的相关</w:t>
            </w:r>
            <w:r>
              <w:rPr>
                <w:rFonts w:hint="eastAsia" w:ascii="宋体" w:hAnsi="宋体" w:eastAsia="宋体" w:cs="宋体"/>
                <w:color w:val="auto"/>
                <w:sz w:val="24"/>
                <w:szCs w:val="24"/>
                <w:highlight w:val="none"/>
                <w:lang w:eastAsia="zh-CN"/>
              </w:rPr>
              <w:t>保洁</w:t>
            </w:r>
            <w:r>
              <w:rPr>
                <w:rFonts w:hint="eastAsia" w:ascii="宋体" w:hAnsi="宋体" w:eastAsia="宋体" w:cs="宋体"/>
                <w:color w:val="auto"/>
                <w:sz w:val="24"/>
                <w:szCs w:val="24"/>
                <w:highlight w:val="none"/>
              </w:rPr>
              <w:t>设备从功能、数量及配置运行管理方案是否合理情况进行打分</w:t>
            </w:r>
            <w:r>
              <w:rPr>
                <w:rFonts w:hint="eastAsia" w:ascii="宋体" w:hAnsi="宋体" w:eastAsia="宋体" w:cs="宋体"/>
                <w:color w:val="auto"/>
                <w:sz w:val="24"/>
                <w:szCs w:val="24"/>
                <w:highlight w:val="none"/>
                <w:lang w:eastAsia="zh-CN"/>
              </w:rPr>
              <w:t>。</w:t>
            </w:r>
            <w:bookmarkEnd w:id="145"/>
          </w:p>
        </w:tc>
        <w:tc>
          <w:tcPr>
            <w:tcW w:w="797" w:type="dxa"/>
            <w:tcBorders>
              <w:top w:val="single" w:color="auto" w:sz="4" w:space="0"/>
              <w:left w:val="single" w:color="auto" w:sz="4" w:space="0"/>
              <w:right w:val="single" w:color="auto" w:sz="4" w:space="0"/>
            </w:tcBorders>
            <w:noWrap w:val="0"/>
            <w:vAlign w:val="center"/>
          </w:tcPr>
          <w:p w14:paraId="23834DC6">
            <w:pPr>
              <w:pStyle w:val="72"/>
              <w:spacing w:before="0" w:line="440" w:lineRule="exact"/>
              <w:ind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Cs w:val="24"/>
                <w:highlight w:val="none"/>
                <w:lang w:val="en-US" w:eastAsia="zh-CN"/>
              </w:rPr>
              <w:t>4分</w:t>
            </w:r>
          </w:p>
        </w:tc>
      </w:tr>
      <w:tr w14:paraId="507C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128" w:type="dxa"/>
            <w:vMerge w:val="continue"/>
            <w:tcBorders>
              <w:left w:val="single" w:color="auto" w:sz="4" w:space="0"/>
              <w:right w:val="single" w:color="auto" w:sz="4" w:space="0"/>
            </w:tcBorders>
            <w:noWrap w:val="0"/>
            <w:vAlign w:val="center"/>
          </w:tcPr>
          <w:p w14:paraId="6A936EC1">
            <w:pPr>
              <w:spacing w:line="360" w:lineRule="auto"/>
              <w:jc w:val="center"/>
              <w:rPr>
                <w:rFonts w:hint="eastAsia" w:ascii="宋体" w:hAnsi="宋体" w:eastAsia="宋体" w:cs="宋体"/>
                <w:color w:val="auto"/>
                <w:sz w:val="24"/>
                <w:highlight w:val="none"/>
              </w:rPr>
            </w:pPr>
          </w:p>
        </w:tc>
        <w:tc>
          <w:tcPr>
            <w:tcW w:w="1210" w:type="dxa"/>
            <w:vMerge w:val="restart"/>
            <w:tcBorders>
              <w:left w:val="single" w:color="auto" w:sz="4" w:space="0"/>
              <w:right w:val="single" w:color="auto" w:sz="4" w:space="0"/>
            </w:tcBorders>
            <w:noWrap w:val="0"/>
            <w:vAlign w:val="center"/>
          </w:tcPr>
          <w:p w14:paraId="265CE36D">
            <w:pPr>
              <w:widowControl/>
              <w:spacing w:line="400" w:lineRule="exact"/>
              <w:jc w:val="center"/>
              <w:rPr>
                <w:rFonts w:hint="eastAsia" w:ascii="宋体" w:hAnsi="宋体" w:eastAsia="宋体" w:cs="宋体"/>
                <w:color w:val="auto"/>
                <w:sz w:val="24"/>
                <w:highlight w:val="none"/>
              </w:rPr>
            </w:pPr>
            <w:bookmarkStart w:id="146" w:name="OLE_LINK36"/>
            <w:r>
              <w:rPr>
                <w:rFonts w:hint="eastAsia" w:ascii="宋体" w:hAnsi="宋体" w:eastAsia="宋体" w:cs="宋体"/>
                <w:color w:val="auto"/>
                <w:sz w:val="24"/>
                <w:highlight w:val="none"/>
              </w:rPr>
              <w:t>人员</w:t>
            </w:r>
          </w:p>
          <w:p w14:paraId="18AA30F5">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配备</w:t>
            </w:r>
            <w:bookmarkEnd w:id="146"/>
          </w:p>
        </w:tc>
        <w:tc>
          <w:tcPr>
            <w:tcW w:w="6865" w:type="dxa"/>
            <w:tcBorders>
              <w:top w:val="single" w:color="auto" w:sz="4" w:space="0"/>
              <w:left w:val="single" w:color="auto" w:sz="4" w:space="0"/>
              <w:right w:val="single" w:color="auto" w:sz="4" w:space="0"/>
            </w:tcBorders>
            <w:noWrap w:val="0"/>
            <w:vAlign w:val="center"/>
          </w:tcPr>
          <w:p w14:paraId="7EB4740D">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eastAsia="zh-CN"/>
              </w:rPr>
            </w:pPr>
            <w:bookmarkStart w:id="147" w:name="OLE_LINK37"/>
            <w:r>
              <w:rPr>
                <w:rFonts w:hint="eastAsia" w:ascii="宋体" w:hAnsi="宋体" w:cs="宋体"/>
                <w:color w:val="auto"/>
                <w:sz w:val="24"/>
                <w:highlight w:val="none"/>
                <w:lang w:val="en-US" w:eastAsia="zh-CN"/>
              </w:rPr>
              <w:t>评委根据投标人目</w:t>
            </w:r>
            <w:r>
              <w:rPr>
                <w:rFonts w:hint="eastAsia" w:ascii="宋体" w:hAnsi="宋体" w:eastAsia="宋体" w:cs="宋体"/>
                <w:color w:val="auto"/>
                <w:sz w:val="24"/>
                <w:highlight w:val="none"/>
              </w:rPr>
              <w:t>拟投入项目</w:t>
            </w:r>
            <w:r>
              <w:rPr>
                <w:rFonts w:hint="eastAsia" w:ascii="宋体" w:hAnsi="宋体" w:eastAsia="宋体" w:cs="宋体"/>
                <w:color w:val="auto"/>
                <w:sz w:val="24"/>
                <w:highlight w:val="none"/>
                <w:lang w:val="en-US" w:eastAsia="zh-CN"/>
              </w:rPr>
              <w:t>负责人</w:t>
            </w:r>
            <w:r>
              <w:rPr>
                <w:rFonts w:hint="eastAsia" w:ascii="宋体" w:hAnsi="宋体" w:eastAsia="宋体" w:cs="宋体"/>
                <w:bCs/>
                <w:color w:val="auto"/>
                <w:sz w:val="24"/>
                <w:highlight w:val="none"/>
                <w:lang w:val="zh-TW"/>
              </w:rPr>
              <w:t>的</w:t>
            </w:r>
            <w:r>
              <w:rPr>
                <w:rFonts w:hint="eastAsia" w:ascii="宋体" w:hAnsi="宋体" w:eastAsia="宋体" w:cs="宋体"/>
                <w:color w:val="auto"/>
                <w:sz w:val="24"/>
                <w:highlight w:val="none"/>
              </w:rPr>
              <w:t>文化程度</w:t>
            </w:r>
            <w:r>
              <w:rPr>
                <w:rFonts w:hint="eastAsia" w:ascii="宋体" w:hAnsi="宋体" w:eastAsia="宋体" w:cs="宋体"/>
                <w:bCs/>
                <w:color w:val="auto"/>
                <w:sz w:val="24"/>
                <w:highlight w:val="none"/>
                <w:lang w:val="zh-TW"/>
              </w:rPr>
              <w:t>、</w:t>
            </w:r>
            <w:r>
              <w:rPr>
                <w:rFonts w:hint="eastAsia" w:ascii="宋体" w:hAnsi="宋体" w:eastAsia="宋体" w:cs="宋体"/>
                <w:color w:val="auto"/>
                <w:sz w:val="24"/>
                <w:highlight w:val="none"/>
                <w:lang w:val="en-US" w:eastAsia="zh-CN"/>
              </w:rPr>
              <w:t>专业素质、</w:t>
            </w:r>
            <w:r>
              <w:rPr>
                <w:rFonts w:hint="eastAsia" w:ascii="宋体" w:hAnsi="宋体" w:eastAsia="宋体" w:cs="宋体"/>
                <w:color w:val="auto"/>
                <w:sz w:val="24"/>
                <w:highlight w:val="none"/>
                <w:lang w:val="zh-TW" w:eastAsia="zh-CN"/>
              </w:rPr>
              <w:t>工作</w:t>
            </w:r>
            <w:r>
              <w:rPr>
                <w:rFonts w:hint="eastAsia" w:ascii="宋体" w:hAnsi="宋体" w:eastAsia="宋体" w:cs="宋体"/>
                <w:color w:val="auto"/>
                <w:sz w:val="24"/>
                <w:highlight w:val="none"/>
                <w:lang w:val="en-US" w:eastAsia="zh-CN"/>
              </w:rPr>
              <w:t>经验</w:t>
            </w:r>
            <w:r>
              <w:rPr>
                <w:rFonts w:hint="eastAsia" w:ascii="宋体" w:hAnsi="宋体" w:eastAsia="宋体" w:cs="宋体"/>
                <w:color w:val="auto"/>
                <w:sz w:val="24"/>
                <w:highlight w:val="none"/>
                <w:lang w:val="zh-TW" w:eastAsia="zh-CN"/>
              </w:rPr>
              <w:t>等</w:t>
            </w:r>
            <w:r>
              <w:rPr>
                <w:rFonts w:hint="eastAsia" w:ascii="宋体" w:hAnsi="宋体" w:eastAsia="宋体" w:cs="宋体"/>
                <w:color w:val="auto"/>
                <w:sz w:val="24"/>
                <w:highlight w:val="none"/>
                <w:lang w:val="en-US" w:eastAsia="zh-CN"/>
              </w:rPr>
              <w:t>进行</w:t>
            </w:r>
            <w:r>
              <w:rPr>
                <w:rFonts w:hint="eastAsia" w:ascii="宋体" w:hAnsi="宋体" w:eastAsia="宋体" w:cs="宋体"/>
                <w:bCs/>
                <w:color w:val="auto"/>
                <w:sz w:val="24"/>
                <w:highlight w:val="none"/>
                <w:lang w:val="zh-TW"/>
              </w:rPr>
              <w:t>综合打分</w:t>
            </w:r>
            <w:r>
              <w:rPr>
                <w:rFonts w:hint="eastAsia" w:ascii="宋体" w:hAnsi="宋体" w:eastAsia="宋体" w:cs="宋体"/>
                <w:color w:val="auto"/>
                <w:sz w:val="24"/>
                <w:highlight w:val="none"/>
              </w:rPr>
              <w:t>。</w:t>
            </w:r>
            <w:r>
              <w:rPr>
                <w:rFonts w:hint="eastAsia" w:ascii="宋体" w:hAnsi="宋体" w:eastAsia="宋体" w:cs="宋体"/>
                <w:color w:val="auto"/>
                <w:kern w:val="2"/>
                <w:sz w:val="24"/>
                <w:szCs w:val="24"/>
                <w:highlight w:val="none"/>
                <w:lang w:val="en-US" w:eastAsia="zh-CN" w:bidi="ar-SA"/>
              </w:rPr>
              <w:t>提供相关证明资料及本单位社保</w:t>
            </w:r>
            <w:r>
              <w:rPr>
                <w:rFonts w:hint="eastAsia" w:ascii="宋体" w:hAnsi="宋体" w:cs="宋体"/>
                <w:color w:val="auto"/>
                <w:kern w:val="2"/>
                <w:sz w:val="24"/>
                <w:szCs w:val="24"/>
                <w:highlight w:val="none"/>
                <w:lang w:val="en-US" w:eastAsia="zh-CN" w:bidi="ar-SA"/>
              </w:rPr>
              <w:t>缴纳</w:t>
            </w:r>
            <w:r>
              <w:rPr>
                <w:rFonts w:hint="eastAsia" w:ascii="宋体" w:hAnsi="宋体" w:eastAsia="宋体" w:cs="宋体"/>
                <w:color w:val="auto"/>
                <w:kern w:val="2"/>
                <w:sz w:val="24"/>
                <w:szCs w:val="24"/>
                <w:highlight w:val="none"/>
                <w:lang w:val="en-US" w:eastAsia="zh-CN" w:bidi="ar-SA"/>
              </w:rPr>
              <w:t>证明</w:t>
            </w:r>
            <w:r>
              <w:rPr>
                <w:rFonts w:hint="eastAsia" w:ascii="宋体" w:hAnsi="宋体" w:cs="宋体"/>
                <w:color w:val="auto"/>
                <w:kern w:val="2"/>
                <w:sz w:val="24"/>
                <w:szCs w:val="24"/>
                <w:highlight w:val="none"/>
                <w:lang w:val="en-US" w:eastAsia="zh-CN" w:bidi="ar-SA"/>
              </w:rPr>
              <w:t>材料</w:t>
            </w:r>
            <w:r>
              <w:rPr>
                <w:rFonts w:hint="eastAsia" w:ascii="宋体" w:hAnsi="宋体" w:eastAsia="宋体" w:cs="宋体"/>
                <w:color w:val="auto"/>
                <w:sz w:val="24"/>
                <w:highlight w:val="none"/>
                <w:lang w:eastAsia="zh-CN"/>
              </w:rPr>
              <w:t>加盖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eastAsia="zh-CN"/>
              </w:rPr>
              <w:t>公章。</w:t>
            </w:r>
            <w:bookmarkEnd w:id="147"/>
          </w:p>
        </w:tc>
        <w:tc>
          <w:tcPr>
            <w:tcW w:w="797" w:type="dxa"/>
            <w:tcBorders>
              <w:top w:val="single" w:color="auto" w:sz="4" w:space="0"/>
              <w:left w:val="single" w:color="auto" w:sz="4" w:space="0"/>
              <w:right w:val="single" w:color="auto" w:sz="4" w:space="0"/>
            </w:tcBorders>
            <w:noWrap w:val="0"/>
            <w:vAlign w:val="center"/>
          </w:tcPr>
          <w:p w14:paraId="27BAEF9C">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3分</w:t>
            </w:r>
          </w:p>
        </w:tc>
      </w:tr>
      <w:tr w14:paraId="0461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128" w:type="dxa"/>
            <w:vMerge w:val="continue"/>
            <w:tcBorders>
              <w:left w:val="single" w:color="auto" w:sz="4" w:space="0"/>
              <w:right w:val="single" w:color="auto" w:sz="4" w:space="0"/>
            </w:tcBorders>
            <w:noWrap w:val="0"/>
            <w:vAlign w:val="center"/>
          </w:tcPr>
          <w:p w14:paraId="70051DC4">
            <w:pPr>
              <w:spacing w:line="360" w:lineRule="auto"/>
              <w:jc w:val="center"/>
              <w:rPr>
                <w:rFonts w:hint="eastAsia" w:ascii="宋体" w:hAnsi="宋体" w:eastAsia="宋体" w:cs="宋体"/>
                <w:color w:val="auto"/>
                <w:sz w:val="24"/>
                <w:highlight w:val="none"/>
              </w:rPr>
            </w:pPr>
          </w:p>
        </w:tc>
        <w:tc>
          <w:tcPr>
            <w:tcW w:w="1210" w:type="dxa"/>
            <w:vMerge w:val="continue"/>
            <w:tcBorders>
              <w:left w:val="single" w:color="auto" w:sz="4" w:space="0"/>
              <w:right w:val="single" w:color="auto" w:sz="4" w:space="0"/>
            </w:tcBorders>
            <w:noWrap w:val="0"/>
            <w:vAlign w:val="center"/>
          </w:tcPr>
          <w:p w14:paraId="7C3B3B11">
            <w:pPr>
              <w:widowControl/>
              <w:spacing w:line="400" w:lineRule="exact"/>
              <w:jc w:val="center"/>
              <w:rPr>
                <w:rFonts w:hint="eastAsia" w:ascii="宋体" w:hAnsi="宋体" w:eastAsia="宋体" w:cs="宋体"/>
                <w:color w:val="auto"/>
                <w:sz w:val="24"/>
                <w:highlight w:val="none"/>
              </w:rPr>
            </w:pPr>
          </w:p>
        </w:tc>
        <w:tc>
          <w:tcPr>
            <w:tcW w:w="6865" w:type="dxa"/>
            <w:tcBorders>
              <w:top w:val="single" w:color="auto" w:sz="4" w:space="0"/>
              <w:left w:val="single" w:color="auto" w:sz="4" w:space="0"/>
              <w:right w:val="single" w:color="auto" w:sz="4" w:space="0"/>
            </w:tcBorders>
            <w:noWrap w:val="0"/>
            <w:vAlign w:val="center"/>
          </w:tcPr>
          <w:p w14:paraId="02701AC9">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en-US" w:eastAsia="zh-CN"/>
              </w:rPr>
            </w:pPr>
            <w:bookmarkStart w:id="148" w:name="OLE_LINK38"/>
            <w:r>
              <w:rPr>
                <w:rFonts w:hint="eastAsia" w:ascii="宋体" w:hAnsi="宋体" w:cs="宋体"/>
                <w:color w:val="auto"/>
                <w:sz w:val="24"/>
                <w:highlight w:val="none"/>
                <w:lang w:val="en-US" w:eastAsia="zh-CN"/>
              </w:rPr>
              <w:t>评委根据投标人</w:t>
            </w:r>
            <w:r>
              <w:rPr>
                <w:rFonts w:hint="eastAsia" w:ascii="宋体" w:hAnsi="宋体" w:eastAsia="宋体" w:cs="宋体"/>
                <w:color w:val="auto"/>
                <w:sz w:val="24"/>
                <w:highlight w:val="none"/>
              </w:rPr>
              <w:t>拟投入本项目</w:t>
            </w:r>
            <w:r>
              <w:rPr>
                <w:rFonts w:hint="eastAsia" w:ascii="宋体" w:hAnsi="宋体" w:eastAsia="宋体" w:cs="宋体"/>
                <w:color w:val="auto"/>
                <w:sz w:val="24"/>
                <w:highlight w:val="none"/>
                <w:lang w:val="en-US" w:eastAsia="zh-CN"/>
              </w:rPr>
              <w:t>人员（除项目负责人外）</w:t>
            </w:r>
            <w:r>
              <w:rPr>
                <w:rFonts w:hint="eastAsia" w:ascii="宋体" w:hAnsi="宋体" w:eastAsia="宋体" w:cs="宋体"/>
                <w:bCs/>
                <w:color w:val="auto"/>
                <w:sz w:val="24"/>
                <w:highlight w:val="none"/>
                <w:lang w:val="zh-TW"/>
              </w:rPr>
              <w:t>的</w:t>
            </w:r>
            <w:r>
              <w:rPr>
                <w:rFonts w:hint="eastAsia" w:ascii="宋体" w:hAnsi="宋体" w:eastAsia="宋体" w:cs="宋体"/>
                <w:color w:val="auto"/>
                <w:sz w:val="24"/>
                <w:highlight w:val="none"/>
              </w:rPr>
              <w:t>文化程度</w:t>
            </w:r>
            <w:r>
              <w:rPr>
                <w:rFonts w:hint="eastAsia" w:ascii="宋体" w:hAnsi="宋体" w:eastAsia="宋体" w:cs="宋体"/>
                <w:color w:val="auto"/>
                <w:sz w:val="24"/>
                <w:highlight w:val="none"/>
                <w:lang w:val="zh-TW"/>
              </w:rPr>
              <w:t>、</w:t>
            </w:r>
            <w:r>
              <w:rPr>
                <w:rFonts w:hint="eastAsia" w:ascii="宋体" w:hAnsi="宋体" w:eastAsia="宋体" w:cs="宋体"/>
                <w:color w:val="auto"/>
                <w:sz w:val="24"/>
                <w:highlight w:val="none"/>
                <w:lang w:eastAsia="zh-CN"/>
              </w:rPr>
              <w:t>专业素质</w:t>
            </w:r>
            <w:r>
              <w:rPr>
                <w:rFonts w:hint="eastAsia" w:ascii="宋体" w:hAnsi="宋体" w:eastAsia="宋体" w:cs="宋体"/>
                <w:color w:val="auto"/>
                <w:sz w:val="24"/>
                <w:highlight w:val="none"/>
                <w:lang w:val="en-US" w:eastAsia="zh-CN"/>
              </w:rPr>
              <w:t>、</w:t>
            </w:r>
            <w:r>
              <w:rPr>
                <w:rFonts w:hint="eastAsia" w:ascii="宋体" w:hAnsi="宋体" w:eastAsia="宋体" w:cs="宋体"/>
                <w:bCs/>
                <w:color w:val="auto"/>
                <w:sz w:val="24"/>
                <w:highlight w:val="none"/>
                <w:lang w:val="zh-TW"/>
              </w:rPr>
              <w:t>工作</w:t>
            </w:r>
            <w:r>
              <w:rPr>
                <w:rFonts w:hint="eastAsia" w:ascii="宋体" w:hAnsi="宋体" w:eastAsia="宋体" w:cs="宋体"/>
                <w:bCs/>
                <w:color w:val="auto"/>
                <w:sz w:val="24"/>
                <w:highlight w:val="none"/>
                <w:lang w:val="en-US" w:eastAsia="zh-CN"/>
              </w:rPr>
              <w:t>经验</w:t>
            </w:r>
            <w:r>
              <w:rPr>
                <w:rFonts w:hint="eastAsia" w:ascii="宋体" w:hAnsi="宋体" w:cs="宋体"/>
                <w:bCs/>
                <w:color w:val="auto"/>
                <w:sz w:val="24"/>
                <w:highlight w:val="none"/>
                <w:lang w:val="en-US" w:eastAsia="zh-CN"/>
              </w:rPr>
              <w:t>及人员岗位安排</w:t>
            </w:r>
            <w:r>
              <w:rPr>
                <w:rFonts w:hint="eastAsia" w:ascii="宋体" w:hAnsi="宋体" w:eastAsia="宋体" w:cs="宋体"/>
                <w:bCs/>
                <w:color w:val="auto"/>
                <w:sz w:val="24"/>
                <w:highlight w:val="none"/>
                <w:lang w:val="zh-TW"/>
              </w:rPr>
              <w:t>等</w:t>
            </w:r>
            <w:r>
              <w:rPr>
                <w:rFonts w:hint="eastAsia" w:ascii="宋体" w:hAnsi="宋体" w:eastAsia="宋体" w:cs="宋体"/>
                <w:bCs/>
                <w:color w:val="auto"/>
                <w:sz w:val="24"/>
                <w:highlight w:val="none"/>
                <w:lang w:val="en-US" w:eastAsia="zh-CN"/>
              </w:rPr>
              <w:t>进行</w:t>
            </w:r>
            <w:r>
              <w:rPr>
                <w:rFonts w:hint="eastAsia" w:ascii="宋体" w:hAnsi="宋体" w:eastAsia="宋体" w:cs="宋体"/>
                <w:bCs/>
                <w:color w:val="auto"/>
                <w:sz w:val="24"/>
                <w:highlight w:val="none"/>
                <w:lang w:val="zh-TW"/>
              </w:rPr>
              <w:t>综合打分</w:t>
            </w:r>
            <w:r>
              <w:rPr>
                <w:rFonts w:hint="eastAsia" w:ascii="宋体" w:hAnsi="宋体" w:eastAsia="宋体" w:cs="宋体"/>
                <w:color w:val="auto"/>
                <w:sz w:val="24"/>
                <w:highlight w:val="none"/>
              </w:rPr>
              <w:t>。</w:t>
            </w:r>
            <w:r>
              <w:rPr>
                <w:rFonts w:hint="eastAsia" w:ascii="宋体" w:hAnsi="宋体" w:eastAsia="宋体" w:cs="宋体"/>
                <w:color w:val="auto"/>
                <w:kern w:val="2"/>
                <w:sz w:val="24"/>
                <w:szCs w:val="24"/>
                <w:highlight w:val="none"/>
                <w:lang w:val="en-US" w:eastAsia="zh-CN" w:bidi="ar-SA"/>
              </w:rPr>
              <w:t>提供相关</w:t>
            </w:r>
            <w:r>
              <w:rPr>
                <w:rFonts w:hint="eastAsia" w:ascii="宋体" w:hAnsi="宋体" w:cs="宋体"/>
                <w:color w:val="auto"/>
                <w:kern w:val="2"/>
                <w:sz w:val="24"/>
                <w:szCs w:val="24"/>
                <w:highlight w:val="none"/>
                <w:lang w:val="en-US" w:eastAsia="zh-CN" w:bidi="ar-SA"/>
              </w:rPr>
              <w:t>证明材料及社保缴纳证明并</w:t>
            </w:r>
            <w:r>
              <w:rPr>
                <w:rFonts w:hint="eastAsia" w:ascii="宋体" w:hAnsi="宋体" w:eastAsia="宋体" w:cs="宋体"/>
                <w:color w:val="auto"/>
                <w:sz w:val="24"/>
                <w:highlight w:val="none"/>
                <w:lang w:eastAsia="zh-CN"/>
              </w:rPr>
              <w:t>加盖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eastAsia="zh-CN"/>
              </w:rPr>
              <w:t>公章。</w:t>
            </w:r>
            <w:bookmarkEnd w:id="148"/>
          </w:p>
        </w:tc>
        <w:tc>
          <w:tcPr>
            <w:tcW w:w="797" w:type="dxa"/>
            <w:tcBorders>
              <w:top w:val="single" w:color="auto" w:sz="4" w:space="0"/>
              <w:left w:val="single" w:color="auto" w:sz="4" w:space="0"/>
              <w:right w:val="single" w:color="auto" w:sz="4" w:space="0"/>
            </w:tcBorders>
            <w:noWrap w:val="0"/>
            <w:vAlign w:val="center"/>
          </w:tcPr>
          <w:p w14:paraId="1462D117">
            <w:pPr>
              <w:pStyle w:val="72"/>
              <w:spacing w:before="0" w:line="440" w:lineRule="exact"/>
              <w:ind w:firstLine="0" w:firstLineChars="0"/>
              <w:jc w:val="center"/>
              <w:rPr>
                <w:rFonts w:hint="eastAsia" w:ascii="宋体" w:hAnsi="宋体" w:eastAsia="宋体" w:cs="宋体"/>
                <w:color w:val="auto"/>
                <w:sz w:val="24"/>
                <w:highlight w:val="none"/>
              </w:rPr>
            </w:pPr>
            <w:r>
              <w:rPr>
                <w:rFonts w:hint="eastAsia" w:ascii="宋体" w:hAnsi="宋体" w:eastAsia="宋体" w:cs="宋体"/>
                <w:color w:val="auto"/>
                <w:szCs w:val="24"/>
                <w:highlight w:val="none"/>
                <w:lang w:val="en-US" w:eastAsia="zh-CN"/>
              </w:rPr>
              <w:t>4分</w:t>
            </w:r>
          </w:p>
        </w:tc>
      </w:tr>
      <w:tr w14:paraId="55FB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128" w:type="dxa"/>
            <w:vMerge w:val="continue"/>
            <w:tcBorders>
              <w:left w:val="single" w:color="auto" w:sz="4" w:space="0"/>
              <w:right w:val="single" w:color="auto" w:sz="4" w:space="0"/>
            </w:tcBorders>
            <w:noWrap w:val="0"/>
            <w:vAlign w:val="center"/>
          </w:tcPr>
          <w:p w14:paraId="71C80285">
            <w:pPr>
              <w:spacing w:line="360" w:lineRule="auto"/>
              <w:jc w:val="center"/>
              <w:rPr>
                <w:rFonts w:hint="eastAsia" w:ascii="宋体" w:hAnsi="宋体" w:eastAsia="宋体" w:cs="宋体"/>
                <w:color w:val="auto"/>
                <w:sz w:val="24"/>
                <w:highlight w:val="none"/>
              </w:rPr>
            </w:pPr>
          </w:p>
        </w:tc>
        <w:tc>
          <w:tcPr>
            <w:tcW w:w="1210" w:type="dxa"/>
            <w:tcBorders>
              <w:left w:val="single" w:color="auto" w:sz="4" w:space="0"/>
              <w:right w:val="single" w:color="auto" w:sz="4" w:space="0"/>
            </w:tcBorders>
            <w:noWrap w:val="0"/>
            <w:vAlign w:val="center"/>
          </w:tcPr>
          <w:p w14:paraId="01F6EDE0">
            <w:pPr>
              <w:widowControl/>
              <w:spacing w:line="400" w:lineRule="exact"/>
              <w:jc w:val="center"/>
              <w:rPr>
                <w:rFonts w:hint="eastAsia" w:ascii="宋体" w:hAnsi="宋体" w:eastAsia="宋体" w:cs="宋体"/>
                <w:color w:val="auto"/>
                <w:sz w:val="24"/>
                <w:highlight w:val="none"/>
                <w:lang w:val="en-US" w:eastAsia="zh-CN"/>
              </w:rPr>
            </w:pPr>
            <w:bookmarkStart w:id="149" w:name="OLE_LINK39"/>
            <w:r>
              <w:rPr>
                <w:rFonts w:hint="eastAsia" w:ascii="宋体" w:hAnsi="宋体" w:eastAsia="宋体" w:cs="宋体"/>
                <w:i w:val="0"/>
                <w:iCs w:val="0"/>
                <w:color w:val="auto"/>
                <w:kern w:val="0"/>
                <w:sz w:val="24"/>
                <w:szCs w:val="24"/>
                <w:highlight w:val="none"/>
                <w:u w:val="none"/>
                <w:lang w:val="en-US" w:eastAsia="zh-CN" w:bidi="ar"/>
              </w:rPr>
              <w:t>队伍稳定措施</w:t>
            </w:r>
            <w:bookmarkEnd w:id="149"/>
          </w:p>
        </w:tc>
        <w:tc>
          <w:tcPr>
            <w:tcW w:w="6865" w:type="dxa"/>
            <w:tcBorders>
              <w:top w:val="single" w:color="auto" w:sz="4" w:space="0"/>
              <w:left w:val="single" w:color="auto" w:sz="4" w:space="0"/>
              <w:right w:val="single" w:color="auto" w:sz="4" w:space="0"/>
            </w:tcBorders>
            <w:noWrap w:val="0"/>
            <w:vAlign w:val="center"/>
          </w:tcPr>
          <w:p w14:paraId="2B90EE0E">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val="en-US"/>
              </w:rPr>
            </w:pPr>
            <w:bookmarkStart w:id="150" w:name="OLE_LINK40"/>
            <w:r>
              <w:rPr>
                <w:rFonts w:hint="eastAsia" w:ascii="宋体" w:hAnsi="宋体" w:cs="宋体"/>
                <w:color w:val="auto"/>
                <w:sz w:val="24"/>
                <w:highlight w:val="none"/>
                <w:lang w:val="en-US" w:eastAsia="zh-CN"/>
              </w:rPr>
              <w:t>评委根据投标人针对本项目</w:t>
            </w:r>
            <w:r>
              <w:rPr>
                <w:rFonts w:hint="eastAsia" w:ascii="宋体" w:hAnsi="宋体" w:cs="宋体"/>
                <w:i w:val="0"/>
                <w:iCs w:val="0"/>
                <w:color w:val="auto"/>
                <w:kern w:val="0"/>
                <w:sz w:val="24"/>
                <w:szCs w:val="24"/>
                <w:highlight w:val="none"/>
                <w:u w:val="none"/>
                <w:lang w:val="en-US" w:eastAsia="zh-CN" w:bidi="ar"/>
              </w:rPr>
              <w:t>对</w:t>
            </w:r>
            <w:r>
              <w:rPr>
                <w:rFonts w:hint="eastAsia" w:ascii="宋体" w:hAnsi="宋体" w:eastAsia="宋体" w:cs="宋体"/>
                <w:i w:val="0"/>
                <w:iCs w:val="0"/>
                <w:color w:val="auto"/>
                <w:kern w:val="0"/>
                <w:sz w:val="24"/>
                <w:szCs w:val="24"/>
                <w:highlight w:val="none"/>
                <w:u w:val="none"/>
                <w:lang w:val="en-US" w:eastAsia="zh-CN" w:bidi="ar"/>
              </w:rPr>
              <w:t>稳定员工队伍措施的可行性</w:t>
            </w:r>
            <w:r>
              <w:rPr>
                <w:rFonts w:hint="eastAsia" w:ascii="宋体" w:hAnsi="宋体" w:cs="宋体"/>
                <w:i w:val="0"/>
                <w:iCs w:val="0"/>
                <w:color w:val="auto"/>
                <w:kern w:val="0"/>
                <w:sz w:val="24"/>
                <w:szCs w:val="24"/>
                <w:highlight w:val="none"/>
                <w:u w:val="none"/>
                <w:lang w:val="en-US" w:eastAsia="zh-CN" w:bidi="ar"/>
              </w:rPr>
              <w:t>方案</w:t>
            </w:r>
            <w:r>
              <w:rPr>
                <w:rFonts w:hint="eastAsia" w:ascii="宋体" w:hAnsi="宋体" w:eastAsia="宋体" w:cs="宋体"/>
                <w:i w:val="0"/>
                <w:iCs w:val="0"/>
                <w:color w:val="auto"/>
                <w:kern w:val="0"/>
                <w:sz w:val="24"/>
                <w:szCs w:val="24"/>
                <w:highlight w:val="none"/>
                <w:u w:val="none"/>
                <w:lang w:val="en-US" w:eastAsia="zh-CN" w:bidi="ar"/>
              </w:rPr>
              <w:t>进行打分。</w:t>
            </w:r>
            <w:bookmarkEnd w:id="150"/>
          </w:p>
        </w:tc>
        <w:tc>
          <w:tcPr>
            <w:tcW w:w="797" w:type="dxa"/>
            <w:tcBorders>
              <w:top w:val="single" w:color="auto" w:sz="4" w:space="0"/>
              <w:left w:val="single" w:color="auto" w:sz="4" w:space="0"/>
              <w:right w:val="single" w:color="auto" w:sz="4" w:space="0"/>
            </w:tcBorders>
            <w:noWrap w:val="0"/>
            <w:vAlign w:val="center"/>
          </w:tcPr>
          <w:p w14:paraId="5752AC33">
            <w:pPr>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bidi="ar-SA"/>
              </w:rPr>
              <w:t>3分</w:t>
            </w:r>
          </w:p>
        </w:tc>
      </w:tr>
      <w:tr w14:paraId="1A30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8" w:type="dxa"/>
            <w:vMerge w:val="continue"/>
            <w:tcBorders>
              <w:left w:val="single" w:color="auto" w:sz="4" w:space="0"/>
              <w:right w:val="single" w:color="auto" w:sz="4" w:space="0"/>
            </w:tcBorders>
            <w:noWrap w:val="0"/>
            <w:vAlign w:val="center"/>
          </w:tcPr>
          <w:p w14:paraId="09CD70BB">
            <w:pPr>
              <w:spacing w:line="360" w:lineRule="auto"/>
              <w:jc w:val="center"/>
              <w:rPr>
                <w:rFonts w:hint="eastAsia" w:ascii="宋体" w:hAnsi="宋体" w:eastAsia="宋体" w:cs="宋体"/>
                <w:color w:val="auto"/>
                <w:sz w:val="24"/>
                <w:highlight w:val="none"/>
              </w:rPr>
            </w:pPr>
          </w:p>
        </w:tc>
        <w:tc>
          <w:tcPr>
            <w:tcW w:w="1210" w:type="dxa"/>
            <w:tcBorders>
              <w:left w:val="single" w:color="auto" w:sz="4" w:space="0"/>
              <w:right w:val="single" w:color="auto" w:sz="4" w:space="0"/>
            </w:tcBorders>
            <w:noWrap w:val="0"/>
            <w:vAlign w:val="center"/>
          </w:tcPr>
          <w:p w14:paraId="2C0D4843">
            <w:pPr>
              <w:widowControl/>
              <w:spacing w:line="400" w:lineRule="exact"/>
              <w:jc w:val="center"/>
              <w:rPr>
                <w:rFonts w:hint="eastAsia" w:ascii="宋体" w:hAnsi="宋体" w:eastAsia="宋体" w:cs="宋体"/>
                <w:color w:val="auto"/>
                <w:sz w:val="24"/>
                <w:highlight w:val="none"/>
              </w:rPr>
            </w:pPr>
            <w:bookmarkStart w:id="151" w:name="OLE_LINK41"/>
            <w:r>
              <w:rPr>
                <w:rFonts w:hint="eastAsia" w:ascii="宋体" w:hAnsi="宋体" w:eastAsia="宋体" w:cs="宋体"/>
                <w:color w:val="auto"/>
                <w:sz w:val="24"/>
                <w:highlight w:val="none"/>
              </w:rPr>
              <w:t>培训能力、经验及机制</w:t>
            </w:r>
            <w:bookmarkEnd w:id="151"/>
          </w:p>
        </w:tc>
        <w:tc>
          <w:tcPr>
            <w:tcW w:w="6865" w:type="dxa"/>
            <w:tcBorders>
              <w:top w:val="single" w:color="auto" w:sz="4" w:space="0"/>
              <w:left w:val="single" w:color="auto" w:sz="4" w:space="0"/>
              <w:right w:val="single" w:color="auto" w:sz="4" w:space="0"/>
            </w:tcBorders>
            <w:noWrap w:val="0"/>
            <w:vAlign w:val="center"/>
          </w:tcPr>
          <w:p w14:paraId="51323C0C">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bookmarkStart w:id="152" w:name="OLE_LINK42"/>
            <w:r>
              <w:rPr>
                <w:rFonts w:hint="eastAsia" w:ascii="宋体" w:hAnsi="宋体" w:cs="宋体"/>
                <w:color w:val="auto"/>
                <w:sz w:val="24"/>
                <w:highlight w:val="none"/>
                <w:lang w:val="en-US" w:eastAsia="zh-CN"/>
              </w:rPr>
              <w:t>评委根据投标人针</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highlight w:val="none"/>
              </w:rPr>
              <w:t>本项目特点就物业管理与服务的各项内容制定日常培训机制，</w:t>
            </w:r>
            <w:r>
              <w:rPr>
                <w:rFonts w:hint="eastAsia" w:ascii="宋体" w:hAnsi="宋体" w:cs="宋体"/>
                <w:color w:val="auto"/>
                <w:sz w:val="24"/>
                <w:highlight w:val="none"/>
                <w:lang w:val="en-US" w:eastAsia="zh-CN"/>
              </w:rPr>
              <w:t>根据</w:t>
            </w:r>
            <w:r>
              <w:rPr>
                <w:rFonts w:hint="eastAsia" w:ascii="宋体" w:hAnsi="宋体" w:eastAsia="宋体" w:cs="宋体"/>
                <w:color w:val="auto"/>
                <w:sz w:val="24"/>
                <w:highlight w:val="none"/>
              </w:rPr>
              <w:t>培训能力与经验</w:t>
            </w:r>
            <w:r>
              <w:rPr>
                <w:rFonts w:hint="eastAsia" w:ascii="宋体" w:hAnsi="宋体" w:cs="宋体"/>
                <w:color w:val="auto"/>
                <w:sz w:val="24"/>
                <w:highlight w:val="none"/>
                <w:lang w:val="en-US" w:eastAsia="zh-CN"/>
              </w:rPr>
              <w:t>等进行打分。</w:t>
            </w:r>
            <w:r>
              <w:rPr>
                <w:rFonts w:hint="eastAsia" w:ascii="宋体" w:hAnsi="宋体" w:cs="宋体"/>
                <w:color w:val="auto"/>
                <w:sz w:val="24"/>
                <w:szCs w:val="24"/>
                <w:highlight w:val="none"/>
                <w:lang w:val="en-US" w:eastAsia="zh-CN"/>
              </w:rPr>
              <w:t>提供相关证明材料并加盖公章</w:t>
            </w:r>
            <w:r>
              <w:rPr>
                <w:rFonts w:hint="eastAsia" w:ascii="宋体" w:hAnsi="宋体" w:eastAsia="宋体" w:cs="宋体"/>
                <w:color w:val="auto"/>
                <w:sz w:val="24"/>
                <w:highlight w:val="none"/>
              </w:rPr>
              <w:t>。</w:t>
            </w:r>
            <w:bookmarkEnd w:id="152"/>
          </w:p>
        </w:tc>
        <w:tc>
          <w:tcPr>
            <w:tcW w:w="797" w:type="dxa"/>
            <w:tcBorders>
              <w:top w:val="single" w:color="auto" w:sz="4" w:space="0"/>
              <w:left w:val="single" w:color="auto" w:sz="4" w:space="0"/>
              <w:right w:val="single" w:color="auto" w:sz="4" w:space="0"/>
            </w:tcBorders>
            <w:noWrap w:val="0"/>
            <w:vAlign w:val="center"/>
          </w:tcPr>
          <w:p w14:paraId="5FFBFD0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Cs w:val="24"/>
                <w:highlight w:val="none"/>
                <w:lang w:val="en-US" w:eastAsia="zh-CN"/>
              </w:rPr>
              <w:t>分</w:t>
            </w:r>
          </w:p>
        </w:tc>
      </w:tr>
      <w:tr w14:paraId="07F4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128" w:type="dxa"/>
            <w:vMerge w:val="continue"/>
            <w:tcBorders>
              <w:left w:val="single" w:color="auto" w:sz="4" w:space="0"/>
              <w:right w:val="single" w:color="auto" w:sz="4" w:space="0"/>
            </w:tcBorders>
            <w:noWrap w:val="0"/>
            <w:vAlign w:val="center"/>
          </w:tcPr>
          <w:p w14:paraId="3E08D1B1">
            <w:pPr>
              <w:spacing w:line="360" w:lineRule="auto"/>
              <w:jc w:val="center"/>
              <w:rPr>
                <w:rFonts w:hint="eastAsia" w:ascii="宋体" w:hAnsi="宋体" w:eastAsia="宋体" w:cs="宋体"/>
                <w:color w:val="auto"/>
                <w:sz w:val="24"/>
                <w:highlight w:val="none"/>
              </w:rPr>
            </w:pPr>
          </w:p>
        </w:tc>
        <w:tc>
          <w:tcPr>
            <w:tcW w:w="1210" w:type="dxa"/>
            <w:tcBorders>
              <w:left w:val="single" w:color="auto" w:sz="4" w:space="0"/>
              <w:right w:val="single" w:color="auto" w:sz="4" w:space="0"/>
            </w:tcBorders>
            <w:noWrap w:val="0"/>
            <w:vAlign w:val="center"/>
          </w:tcPr>
          <w:p w14:paraId="23E27C85">
            <w:pPr>
              <w:widowControl/>
              <w:spacing w:line="400" w:lineRule="exact"/>
              <w:jc w:val="center"/>
              <w:rPr>
                <w:rFonts w:hint="eastAsia" w:ascii="宋体" w:hAnsi="宋体" w:eastAsia="宋体" w:cs="宋体"/>
                <w:color w:val="auto"/>
                <w:sz w:val="24"/>
                <w:highlight w:val="none"/>
              </w:rPr>
            </w:pPr>
            <w:bookmarkStart w:id="153" w:name="OLE_LINK43"/>
            <w:r>
              <w:rPr>
                <w:rFonts w:hint="eastAsia" w:ascii="宋体" w:hAnsi="宋体" w:eastAsia="宋体" w:cs="宋体"/>
                <w:color w:val="auto"/>
                <w:sz w:val="24"/>
                <w:highlight w:val="none"/>
              </w:rPr>
              <w:t>售后服务</w:t>
            </w:r>
            <w:bookmarkEnd w:id="153"/>
          </w:p>
        </w:tc>
        <w:tc>
          <w:tcPr>
            <w:tcW w:w="6865" w:type="dxa"/>
            <w:tcBorders>
              <w:top w:val="single" w:color="auto" w:sz="4" w:space="0"/>
              <w:left w:val="single" w:color="auto" w:sz="4" w:space="0"/>
              <w:right w:val="single" w:color="auto" w:sz="4" w:space="0"/>
            </w:tcBorders>
            <w:noWrap w:val="0"/>
            <w:vAlign w:val="center"/>
          </w:tcPr>
          <w:p w14:paraId="21A734E8">
            <w:pPr>
              <w:autoSpaceDE w:val="0"/>
              <w:autoSpaceDN w:val="0"/>
              <w:adjustRightInd w:val="0"/>
              <w:spacing w:line="360" w:lineRule="auto"/>
              <w:ind w:firstLine="480" w:firstLineChars="200"/>
              <w:jc w:val="left"/>
              <w:rPr>
                <w:rFonts w:hint="eastAsia" w:ascii="宋体" w:hAnsi="宋体" w:eastAsia="宋体" w:cs="宋体"/>
                <w:color w:val="auto"/>
                <w:sz w:val="24"/>
                <w:highlight w:val="none"/>
                <w:lang w:eastAsia="zh-CN"/>
              </w:rPr>
            </w:pPr>
            <w:bookmarkStart w:id="154" w:name="OLE_LINK44"/>
            <w:r>
              <w:rPr>
                <w:rFonts w:hint="eastAsia" w:ascii="宋体" w:hAnsi="宋体" w:cs="宋体"/>
                <w:color w:val="auto"/>
                <w:sz w:val="24"/>
                <w:highlight w:val="none"/>
                <w:lang w:val="en-US" w:eastAsia="zh-CN"/>
              </w:rPr>
              <w:t>评委根据投标人针</w:t>
            </w:r>
            <w:r>
              <w:rPr>
                <w:rFonts w:hint="eastAsia" w:cs="宋体"/>
                <w:color w:val="auto"/>
                <w:sz w:val="24"/>
                <w:highlight w:val="none"/>
                <w:lang w:val="en-US" w:eastAsia="zh-CN"/>
              </w:rPr>
              <w:t>对本项目制定的售后服务方案，包括但不限于</w:t>
            </w:r>
            <w:r>
              <w:rPr>
                <w:rFonts w:hint="eastAsia" w:ascii="宋体" w:hAnsi="宋体" w:eastAsia="宋体" w:cs="宋体"/>
                <w:color w:val="auto"/>
                <w:sz w:val="24"/>
                <w:highlight w:val="none"/>
                <w:lang w:val="en-US" w:eastAsia="zh-CN"/>
              </w:rPr>
              <w:t>响应服务能力</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rPr>
              <w:t>进行打分</w:t>
            </w:r>
            <w:bookmarkEnd w:id="154"/>
            <w:r>
              <w:rPr>
                <w:rFonts w:hint="eastAsia" w:ascii="宋体" w:hAnsi="宋体" w:cs="宋体"/>
                <w:color w:val="auto"/>
                <w:sz w:val="24"/>
                <w:highlight w:val="none"/>
                <w:lang w:eastAsia="zh-CN"/>
              </w:rPr>
              <w:t>。</w:t>
            </w:r>
          </w:p>
        </w:tc>
        <w:tc>
          <w:tcPr>
            <w:tcW w:w="797" w:type="dxa"/>
            <w:tcBorders>
              <w:top w:val="single" w:color="auto" w:sz="4" w:space="0"/>
              <w:left w:val="single" w:color="auto" w:sz="4" w:space="0"/>
              <w:right w:val="single" w:color="auto" w:sz="4" w:space="0"/>
            </w:tcBorders>
            <w:noWrap w:val="0"/>
            <w:vAlign w:val="center"/>
          </w:tcPr>
          <w:p w14:paraId="6087D155">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Cs w:val="24"/>
                <w:highlight w:val="none"/>
                <w:lang w:val="en-US" w:eastAsia="zh-CN"/>
              </w:rPr>
              <w:t>分</w:t>
            </w:r>
          </w:p>
        </w:tc>
      </w:tr>
    </w:tbl>
    <w:p w14:paraId="37DA0E1D">
      <w:pPr>
        <w:pStyle w:val="11"/>
        <w:ind w:left="0" w:leftChars="0" w:firstLine="0" w:firstLineChars="0"/>
        <w:rPr>
          <w:rFonts w:hint="eastAsia" w:ascii="宋体" w:hAnsi="宋体" w:eastAsia="宋体" w:cs="宋体"/>
          <w:color w:val="auto"/>
          <w:highlight w:val="none"/>
        </w:rPr>
      </w:pPr>
    </w:p>
    <w:p w14:paraId="16F4439A">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2.商务要求表</w:t>
      </w:r>
      <w:r>
        <w:rPr>
          <w:rFonts w:hint="eastAsia" w:ascii="宋体" w:hAnsi="宋体" w:eastAsia="宋体" w:cs="宋体"/>
          <w:color w:val="auto"/>
          <w:sz w:val="24"/>
          <w:szCs w:val="24"/>
          <w:highlight w:val="none"/>
        </w:rPr>
        <w:t>（对应评分标准）</w:t>
      </w:r>
    </w:p>
    <w:tbl>
      <w:tblPr>
        <w:tblStyle w:val="28"/>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317"/>
        <w:gridCol w:w="6206"/>
        <w:gridCol w:w="861"/>
      </w:tblGrid>
      <w:tr w14:paraId="6D4E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jc w:val="center"/>
        </w:trPr>
        <w:tc>
          <w:tcPr>
            <w:tcW w:w="1085" w:type="dxa"/>
            <w:tcBorders>
              <w:left w:val="single" w:color="auto" w:sz="4" w:space="0"/>
              <w:right w:val="single" w:color="auto" w:sz="4" w:space="0"/>
            </w:tcBorders>
            <w:noWrap w:val="0"/>
            <w:vAlign w:val="center"/>
          </w:tcPr>
          <w:p w14:paraId="3B68ADF4">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资信</w:t>
            </w:r>
          </w:p>
          <w:p w14:paraId="2C37B211">
            <w:pPr>
              <w:widowControl/>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3分</w:t>
            </w:r>
            <w:r>
              <w:rPr>
                <w:rFonts w:hint="eastAsia" w:ascii="宋体" w:hAnsi="宋体" w:eastAsia="宋体" w:cs="宋体"/>
                <w:color w:val="auto"/>
                <w:sz w:val="24"/>
                <w:highlight w:val="none"/>
              </w:rPr>
              <w:t>）</w:t>
            </w:r>
          </w:p>
        </w:tc>
        <w:tc>
          <w:tcPr>
            <w:tcW w:w="1317" w:type="dxa"/>
            <w:tcBorders>
              <w:top w:val="single" w:color="auto" w:sz="4" w:space="0"/>
              <w:left w:val="single" w:color="auto" w:sz="4" w:space="0"/>
              <w:right w:val="single" w:color="auto" w:sz="4" w:space="0"/>
            </w:tcBorders>
            <w:noWrap w:val="0"/>
            <w:vAlign w:val="center"/>
          </w:tcPr>
          <w:p w14:paraId="39CB26BC">
            <w:pPr>
              <w:jc w:val="center"/>
              <w:rPr>
                <w:rFonts w:hint="eastAsia" w:ascii="宋体" w:hAnsi="宋体" w:eastAsia="宋体" w:cs="宋体"/>
                <w:color w:val="auto"/>
                <w:sz w:val="24"/>
                <w:szCs w:val="24"/>
                <w:highlight w:val="none"/>
              </w:rPr>
            </w:pPr>
            <w:bookmarkStart w:id="155" w:name="OLE_LINK49"/>
            <w:r>
              <w:rPr>
                <w:rFonts w:hint="eastAsia" w:ascii="宋体" w:hAnsi="宋体" w:eastAsia="宋体" w:cs="宋体"/>
                <w:color w:val="auto"/>
                <w:sz w:val="24"/>
                <w:highlight w:val="none"/>
              </w:rPr>
              <w:t>认证证书</w:t>
            </w:r>
            <w:bookmarkEnd w:id="155"/>
          </w:p>
        </w:tc>
        <w:tc>
          <w:tcPr>
            <w:tcW w:w="6206" w:type="dxa"/>
            <w:tcBorders>
              <w:top w:val="single" w:color="auto" w:sz="4" w:space="0"/>
              <w:left w:val="single" w:color="auto" w:sz="4" w:space="0"/>
              <w:right w:val="single" w:color="auto" w:sz="4" w:space="0"/>
            </w:tcBorders>
            <w:noWrap w:val="0"/>
            <w:vAlign w:val="center"/>
          </w:tcPr>
          <w:p w14:paraId="63988C1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eastAsia="zh-CN"/>
              </w:rPr>
            </w:pPr>
            <w:bookmarkStart w:id="156" w:name="OLE_LINK50"/>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具有在有效期内的质量管理体系认证、环境管理体系认证、职业健康安全管理体系认证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能源管理体系认证证书、生活垃圾分类服务能力认证证书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lang w:val="en-US" w:eastAsia="zh-CN"/>
              </w:rPr>
              <w:t>企业诚信</w:t>
            </w:r>
            <w:r>
              <w:rPr>
                <w:rFonts w:hint="eastAsia" w:ascii="宋体" w:hAnsi="宋体" w:eastAsia="宋体" w:cs="宋体"/>
                <w:color w:val="auto"/>
                <w:sz w:val="24"/>
                <w:szCs w:val="24"/>
                <w:lang w:eastAsia="zh-CN"/>
              </w:rPr>
              <w:t>管理体系认证证书</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rPr>
              <w:t>分，最高得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需提供证书</w:t>
            </w:r>
            <w:r>
              <w:rPr>
                <w:rFonts w:hint="eastAsia" w:ascii="宋体" w:hAnsi="宋体" w:eastAsia="宋体" w:cs="宋体"/>
                <w:color w:val="auto"/>
                <w:sz w:val="24"/>
                <w:szCs w:val="24"/>
                <w:highlight w:val="none"/>
                <w:lang w:val="en-US" w:eastAsia="zh-CN"/>
              </w:rPr>
              <w:t>扫描件</w:t>
            </w:r>
            <w:r>
              <w:rPr>
                <w:rFonts w:hint="eastAsia" w:ascii="宋体" w:hAnsi="宋体" w:eastAsia="宋体" w:cs="宋体"/>
                <w:color w:val="auto"/>
                <w:sz w:val="24"/>
                <w:szCs w:val="24"/>
                <w:highlight w:val="none"/>
              </w:rPr>
              <w:t>加盖公章。</w:t>
            </w:r>
            <w:bookmarkEnd w:id="156"/>
          </w:p>
        </w:tc>
        <w:tc>
          <w:tcPr>
            <w:tcW w:w="861" w:type="dxa"/>
            <w:tcBorders>
              <w:top w:val="single" w:color="auto" w:sz="4" w:space="0"/>
              <w:left w:val="single" w:color="auto" w:sz="4" w:space="0"/>
              <w:bottom w:val="single" w:color="auto" w:sz="4" w:space="0"/>
              <w:right w:val="single" w:color="auto" w:sz="4" w:space="0"/>
            </w:tcBorders>
            <w:noWrap w:val="0"/>
            <w:vAlign w:val="center"/>
          </w:tcPr>
          <w:p w14:paraId="59789295">
            <w:pPr>
              <w:autoSpaceDE w:val="0"/>
              <w:autoSpaceDN w:val="0"/>
              <w:adjustRightIn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3分</w:t>
            </w:r>
          </w:p>
        </w:tc>
      </w:tr>
    </w:tbl>
    <w:p w14:paraId="1A1EC67C">
      <w:pPr>
        <w:pStyle w:val="11"/>
        <w:rPr>
          <w:rFonts w:hint="eastAsia" w:ascii="宋体" w:hAnsi="宋体" w:eastAsia="宋体" w:cs="宋体"/>
          <w:color w:val="auto"/>
          <w:highlight w:val="none"/>
        </w:rPr>
      </w:pPr>
    </w:p>
    <w:p w14:paraId="21757B53">
      <w:pPr>
        <w:spacing w:line="360" w:lineRule="auto"/>
        <w:ind w:firstLine="480" w:firstLineChars="200"/>
        <w:rPr>
          <w:rFonts w:hint="eastAsia" w:ascii="宋体" w:hAnsi="宋体" w:eastAsia="宋体" w:cs="宋体"/>
          <w:color w:val="auto"/>
          <w:sz w:val="24"/>
          <w:szCs w:val="24"/>
          <w:highlight w:val="none"/>
        </w:rPr>
      </w:pPr>
      <w:bookmarkStart w:id="157" w:name="_Toc8033"/>
      <w:bookmarkStart w:id="158" w:name="_Toc4517"/>
      <w:r>
        <w:rPr>
          <w:rFonts w:hint="eastAsia" w:ascii="宋体" w:hAnsi="宋体" w:eastAsia="宋体" w:cs="宋体"/>
          <w:color w:val="auto"/>
          <w:sz w:val="24"/>
          <w:szCs w:val="24"/>
          <w:highlight w:val="none"/>
        </w:rPr>
        <w:t>注：</w:t>
      </w:r>
    </w:p>
    <w:p w14:paraId="21B382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1、评标委员会各成员应当独立对每个供应商的响应文件进行评价，并汇总每个供应商的得分。资信分为客观分，也需独立进行评价并核对分值，最终分值需一致。</w:t>
      </w:r>
    </w:p>
    <w:p w14:paraId="747E7C79">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2、所有文件、合同、证书、资质等需要真实有效。成交供应商在中标后签订合同时需提供以上证明文件原件，若发现资料作假的取消中标资格。</w:t>
      </w:r>
    </w:p>
    <w:p w14:paraId="01791E15">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End w:id="157"/>
      <w:bookmarkEnd w:id="158"/>
    </w:p>
    <w:p w14:paraId="0A37412B">
      <w:pPr>
        <w:pStyle w:val="2"/>
        <w:bidi w:val="0"/>
        <w:rPr>
          <w:rFonts w:hint="eastAsia" w:ascii="宋体" w:hAnsi="宋体" w:eastAsia="宋体" w:cs="宋体"/>
          <w:highlight w:val="none"/>
        </w:rPr>
      </w:pPr>
      <w:bookmarkStart w:id="159" w:name="_Toc22315"/>
      <w:r>
        <w:rPr>
          <w:rFonts w:hint="eastAsia" w:ascii="宋体" w:hAnsi="宋体" w:eastAsia="宋体" w:cs="宋体"/>
          <w:highlight w:val="none"/>
        </w:rPr>
        <w:t>第五部分 采购合同</w:t>
      </w:r>
      <w:bookmarkEnd w:id="123"/>
      <w:bookmarkEnd w:id="159"/>
    </w:p>
    <w:p w14:paraId="09104408">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kern w:val="0"/>
          <w:sz w:val="24"/>
          <w:highlight w:val="none"/>
        </w:rPr>
      </w:pPr>
    </w:p>
    <w:p w14:paraId="0A3FBCB1">
      <w:pPr>
        <w:keepNext w:val="0"/>
        <w:keepLines w:val="0"/>
        <w:pageBreakBefore w:val="0"/>
        <w:widowControl w:val="0"/>
        <w:kinsoku/>
        <w:wordWrap/>
        <w:overflowPunct/>
        <w:topLinePunct w:val="0"/>
        <w:autoSpaceDE/>
        <w:autoSpaceDN/>
        <w:bidi w:val="0"/>
        <w:snapToGrid/>
        <w:spacing w:line="372"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合同编号：（</w:t>
      </w:r>
      <w:r>
        <w:rPr>
          <w:rFonts w:hint="eastAsia" w:ascii="宋体" w:hAnsi="宋体" w:eastAsia="宋体" w:cs="宋体"/>
          <w:color w:val="auto"/>
          <w:kern w:val="0"/>
          <w:sz w:val="24"/>
          <w:highlight w:val="none"/>
          <w:lang w:val="en-US" w:eastAsia="zh-CN"/>
        </w:rPr>
        <w:t xml:space="preserve"> 2026 </w:t>
      </w:r>
      <w:r>
        <w:rPr>
          <w:rFonts w:hint="eastAsia" w:ascii="宋体" w:hAnsi="宋体" w:eastAsia="宋体" w:cs="宋体"/>
          <w:color w:val="auto"/>
          <w:kern w:val="0"/>
          <w:sz w:val="24"/>
          <w:highlight w:val="none"/>
        </w:rPr>
        <w:t>）第</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u w:val="none"/>
        </w:rPr>
        <w:t>号</w:t>
      </w:r>
    </w:p>
    <w:p w14:paraId="7B69BCF1">
      <w:pPr>
        <w:keepNext w:val="0"/>
        <w:keepLines w:val="0"/>
        <w:pageBreakBefore w:val="0"/>
        <w:widowControl w:val="0"/>
        <w:kinsoku/>
        <w:wordWrap/>
        <w:overflowPunct/>
        <w:topLinePunct w:val="0"/>
        <w:autoSpaceDE/>
        <w:autoSpaceDN/>
        <w:bidi w:val="0"/>
        <w:snapToGrid/>
        <w:spacing w:line="372"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签订日期：</w:t>
      </w:r>
      <w:r>
        <w:rPr>
          <w:rFonts w:hint="eastAsia" w:ascii="宋体" w:hAnsi="宋体" w:eastAsia="宋体" w:cs="宋体"/>
          <w:color w:val="auto"/>
          <w:kern w:val="0"/>
          <w:sz w:val="24"/>
          <w:highlight w:val="none"/>
          <w:u w:val="none"/>
          <w:lang w:val="en-US" w:eastAsia="zh-CN"/>
        </w:rPr>
        <w:t>2026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w:t>
      </w:r>
      <w:r>
        <w:rPr>
          <w:rFonts w:hint="eastAsia" w:ascii="宋体" w:hAnsi="宋体" w:eastAsia="宋体" w:cs="宋体"/>
          <w:color w:val="auto"/>
          <w:kern w:val="0"/>
          <w:sz w:val="24"/>
          <w:highlight w:val="none"/>
        </w:rPr>
        <w:t>日</w:t>
      </w:r>
    </w:p>
    <w:p w14:paraId="639E87FC">
      <w:pPr>
        <w:keepNext w:val="0"/>
        <w:keepLines w:val="0"/>
        <w:pageBreakBefore w:val="0"/>
        <w:widowControl w:val="0"/>
        <w:kinsoku/>
        <w:wordWrap/>
        <w:overflowPunct/>
        <w:topLinePunct w:val="0"/>
        <w:autoSpaceDE/>
        <w:autoSpaceDN/>
        <w:bidi w:val="0"/>
        <w:snapToGrid/>
        <w:spacing w:line="372" w:lineRule="auto"/>
        <w:ind w:firstLine="480" w:firstLineChars="200"/>
        <w:textAlignment w:val="auto"/>
        <w:rPr>
          <w:rFonts w:hint="eastAsia" w:ascii="宋体" w:hAnsi="宋体" w:eastAsia="宋体" w:cs="宋体"/>
          <w:color w:val="auto"/>
          <w:sz w:val="28"/>
          <w:highlight w:val="none"/>
          <w:u w:val="single"/>
          <w:lang w:eastAsia="zh-CN"/>
        </w:rPr>
      </w:pPr>
      <w:r>
        <w:rPr>
          <w:rFonts w:hint="eastAsia" w:ascii="宋体" w:hAnsi="宋体" w:eastAsia="宋体" w:cs="宋体"/>
          <w:color w:val="auto"/>
          <w:kern w:val="0"/>
          <w:sz w:val="24"/>
          <w:highlight w:val="none"/>
          <w:lang w:eastAsia="zh-CN"/>
        </w:rPr>
        <w:t>甲</w:t>
      </w:r>
      <w:r>
        <w:rPr>
          <w:rFonts w:hint="eastAsia" w:ascii="宋体" w:hAnsi="宋体" w:eastAsia="宋体" w:cs="宋体"/>
          <w:color w:val="auto"/>
          <w:kern w:val="0"/>
          <w:sz w:val="24"/>
          <w:highlight w:val="none"/>
        </w:rPr>
        <w:t>方</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　　　　　　　　　　　　　　　　　</w:t>
      </w:r>
    </w:p>
    <w:p w14:paraId="6987E9B7">
      <w:pPr>
        <w:keepNext w:val="0"/>
        <w:keepLines w:val="0"/>
        <w:pageBreakBefore w:val="0"/>
        <w:widowControl w:val="0"/>
        <w:kinsoku/>
        <w:wordWrap/>
        <w:overflowPunct/>
        <w:topLinePunct w:val="0"/>
        <w:autoSpaceDE/>
        <w:autoSpaceDN/>
        <w:bidi w:val="0"/>
        <w:snapToGrid/>
        <w:spacing w:line="372" w:lineRule="auto"/>
        <w:ind w:firstLine="480" w:firstLineChars="200"/>
        <w:jc w:val="left"/>
        <w:textAlignment w:val="auto"/>
        <w:rPr>
          <w:rFonts w:hint="eastAsia" w:ascii="宋体" w:hAnsi="宋体" w:eastAsia="宋体" w:cs="宋体"/>
          <w:color w:val="auto"/>
          <w:sz w:val="28"/>
          <w:highlight w:val="none"/>
          <w:u w:val="single"/>
          <w:lang w:eastAsia="zh-CN"/>
        </w:rPr>
      </w:pPr>
      <w:r>
        <w:rPr>
          <w:rFonts w:hint="eastAsia" w:ascii="宋体" w:hAnsi="宋体" w:eastAsia="宋体" w:cs="宋体"/>
          <w:color w:val="auto"/>
          <w:kern w:val="0"/>
          <w:sz w:val="24"/>
          <w:highlight w:val="none"/>
          <w:lang w:eastAsia="zh-CN"/>
        </w:rPr>
        <w:t>乙</w:t>
      </w:r>
      <w:r>
        <w:rPr>
          <w:rFonts w:hint="eastAsia" w:ascii="宋体" w:hAnsi="宋体" w:eastAsia="宋体" w:cs="宋体"/>
          <w:color w:val="auto"/>
          <w:kern w:val="0"/>
          <w:sz w:val="24"/>
          <w:highlight w:val="none"/>
        </w:rPr>
        <w:t>方</w:t>
      </w:r>
      <w:r>
        <w:rPr>
          <w:rFonts w:hint="eastAsia" w:ascii="宋体" w:hAnsi="宋体" w:eastAsia="宋体" w:cs="宋体"/>
          <w:color w:val="auto"/>
          <w:sz w:val="28"/>
          <w:highlight w:val="none"/>
        </w:rPr>
        <w:t>：</w:t>
      </w:r>
      <w:r>
        <w:rPr>
          <w:rFonts w:hint="eastAsia" w:ascii="宋体" w:hAnsi="宋体" w:eastAsia="宋体" w:cs="宋体"/>
          <w:color w:val="auto"/>
          <w:sz w:val="28"/>
          <w:highlight w:val="none"/>
          <w:u w:val="single"/>
        </w:rPr>
        <w:t>　　　　　　　　　　　　　　　　　</w:t>
      </w:r>
    </w:p>
    <w:p w14:paraId="5E7CC24A">
      <w:pPr>
        <w:keepNext w:val="0"/>
        <w:keepLines w:val="0"/>
        <w:pageBreakBefore w:val="0"/>
        <w:widowControl w:val="0"/>
        <w:kinsoku/>
        <w:wordWrap/>
        <w:overflowPunct/>
        <w:topLinePunct w:val="0"/>
        <w:autoSpaceDE/>
        <w:autoSpaceDN/>
        <w:bidi w:val="0"/>
        <w:snapToGrid/>
        <w:spacing w:line="372"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甲、乙双方</w:t>
      </w:r>
      <w:r>
        <w:rPr>
          <w:rFonts w:hint="eastAsia" w:ascii="宋体" w:hAnsi="宋体" w:eastAsia="宋体" w:cs="宋体"/>
          <w:color w:val="auto"/>
          <w:kern w:val="0"/>
          <w:sz w:val="24"/>
          <w:highlight w:val="none"/>
        </w:rPr>
        <w:t>根据《中华人民共和国民法典》、政府采购编号为</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JZCS2026030</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招标文件、中标人投标文件的规定，经政府公开招标，签订本合同。</w:t>
      </w:r>
    </w:p>
    <w:p w14:paraId="2E9C55A1">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bookmarkStart w:id="160" w:name="_Toc7690"/>
      <w:bookmarkStart w:id="161" w:name="_Toc31834"/>
      <w:bookmarkStart w:id="162" w:name="_Toc4669"/>
      <w:r>
        <w:rPr>
          <w:rFonts w:hint="eastAsia" w:ascii="宋体" w:hAnsi="宋体" w:eastAsia="宋体" w:cs="宋体"/>
          <w:b/>
          <w:bCs/>
          <w:color w:val="auto"/>
          <w:sz w:val="24"/>
          <w:highlight w:val="none"/>
        </w:rPr>
        <w:t>项目概况</w:t>
      </w:r>
    </w:p>
    <w:p w14:paraId="4256373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绍兴市上虞区曹娥街道社区卫生服务中心物业管理服务项目服务内容包括但不限于医院以及下属</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个卫生站内的卫生保洁、安保消控管理、医疗废物收集、物品配送服务、绿化养护等</w:t>
      </w:r>
      <w:r>
        <w:rPr>
          <w:rFonts w:hint="eastAsia" w:ascii="宋体" w:hAnsi="宋体" w:cs="宋体"/>
          <w:color w:val="auto"/>
          <w:sz w:val="24"/>
          <w:highlight w:val="none"/>
          <w:lang w:val="en-US" w:eastAsia="zh-CN"/>
        </w:rPr>
        <w:t>。</w:t>
      </w:r>
    </w:p>
    <w:p w14:paraId="5063CAC1">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服务期限</w:t>
      </w:r>
    </w:p>
    <w:p w14:paraId="030E7EB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本次采购的物业管理服务年限定为</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F501A40">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供应商服务范围</w:t>
      </w:r>
    </w:p>
    <w:p w14:paraId="1A85962E">
      <w:pPr>
        <w:keepNext w:val="0"/>
        <w:keepLines w:val="0"/>
        <w:pageBreakBefore w:val="0"/>
        <w:widowControl w:val="0"/>
        <w:numPr>
          <w:ilvl w:val="0"/>
          <w:numId w:val="32"/>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w:t>
      </w:r>
    </w:p>
    <w:p w14:paraId="332BAF5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保洁服务区域为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现有医院</w:t>
      </w:r>
      <w:r>
        <w:rPr>
          <w:rFonts w:hint="eastAsia" w:ascii="宋体" w:hAnsi="宋体" w:cs="宋体"/>
          <w:color w:val="auto"/>
          <w:sz w:val="24"/>
          <w:highlight w:val="none"/>
          <w:lang w:val="en-US" w:eastAsia="zh-CN"/>
        </w:rPr>
        <w:t>以及下属五个卫生站点</w:t>
      </w:r>
      <w:r>
        <w:rPr>
          <w:rFonts w:hint="eastAsia" w:ascii="宋体" w:hAnsi="宋体" w:eastAsia="宋体" w:cs="宋体"/>
          <w:color w:val="auto"/>
          <w:sz w:val="24"/>
          <w:szCs w:val="24"/>
          <w:highlight w:val="none"/>
        </w:rPr>
        <w:t>范围内所有公共场所、建筑物内的卫生保洁</w:t>
      </w:r>
      <w:r>
        <w:rPr>
          <w:rFonts w:hint="eastAsia" w:ascii="宋体" w:hAnsi="宋体" w:eastAsia="宋体" w:cs="宋体"/>
          <w:color w:val="auto"/>
          <w:sz w:val="24"/>
          <w:szCs w:val="24"/>
          <w:highlight w:val="none"/>
          <w:lang w:val="en-US" w:eastAsia="zh-CN"/>
        </w:rPr>
        <w:t>养护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地面、墙面、天花板等各区域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、电梯保养、垃圾分类、医疗废物及生活垃圾回收工作等。</w:t>
      </w:r>
    </w:p>
    <w:p w14:paraId="7E21EF9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保洁服务要求为：在合同期内按照医院工作的服务需要，承担清卫设备配备、负责清卫工具、清卫桶</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袋（除医疗废物收集容器、袋以外）等相关材料的及时供应，严格按照合同各项服务标准，做好各项服务工作，保障医院日常工作正常运行。</w:t>
      </w:r>
    </w:p>
    <w:p w14:paraId="4D95DFE1">
      <w:pPr>
        <w:keepNext w:val="0"/>
        <w:keepLines w:val="0"/>
        <w:pageBreakBefore w:val="0"/>
        <w:widowControl w:val="0"/>
        <w:numPr>
          <w:ilvl w:val="0"/>
          <w:numId w:val="32"/>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安保消控</w:t>
      </w:r>
    </w:p>
    <w:p w14:paraId="277FA8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安保消控</w:t>
      </w:r>
      <w:r>
        <w:rPr>
          <w:rFonts w:hint="eastAsia" w:ascii="宋体" w:hAnsi="宋体" w:eastAsia="宋体" w:cs="宋体"/>
          <w:color w:val="auto"/>
          <w:sz w:val="24"/>
          <w:szCs w:val="24"/>
          <w:highlight w:val="none"/>
        </w:rPr>
        <w:t>服务区域为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全院范围</w:t>
      </w:r>
      <w:r>
        <w:rPr>
          <w:rFonts w:hint="eastAsia" w:ascii="宋体" w:hAnsi="宋体" w:eastAsia="宋体" w:cs="宋体"/>
          <w:color w:val="auto"/>
          <w:sz w:val="24"/>
          <w:szCs w:val="24"/>
          <w:highlight w:val="none"/>
        </w:rPr>
        <w:t>。</w:t>
      </w:r>
    </w:p>
    <w:p w14:paraId="0260914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消控服务要求为：在合同期内按照医院工作的服务需要，承担24小时全天候消防治安监控、消防巡查、设备报警处置及联动、发生火灾后第一时间应急处置和灭火疏散，同时承担医院门卫、医疗维序、安保等工作，保障医院日常工作正常运行。</w:t>
      </w:r>
    </w:p>
    <w:p w14:paraId="71BA9553">
      <w:pPr>
        <w:keepNext w:val="0"/>
        <w:keepLines w:val="0"/>
        <w:pageBreakBefore w:val="0"/>
        <w:widowControl w:val="0"/>
        <w:numPr>
          <w:ilvl w:val="0"/>
          <w:numId w:val="32"/>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医疗废物收集及物品配送服务</w:t>
      </w:r>
    </w:p>
    <w:p w14:paraId="3289D9E1">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范围：现有医院</w:t>
      </w:r>
      <w:r>
        <w:rPr>
          <w:rFonts w:hint="eastAsia" w:ascii="宋体" w:hAnsi="宋体" w:cs="宋体"/>
          <w:color w:val="auto"/>
          <w:sz w:val="24"/>
          <w:highlight w:val="none"/>
          <w:lang w:val="en-US" w:eastAsia="zh-CN"/>
        </w:rPr>
        <w:t>以及下属五个卫生站点</w:t>
      </w:r>
      <w:r>
        <w:rPr>
          <w:rFonts w:hint="eastAsia" w:ascii="宋体" w:hAnsi="宋体" w:eastAsia="宋体" w:cs="宋体"/>
          <w:color w:val="auto"/>
          <w:sz w:val="24"/>
          <w:szCs w:val="24"/>
          <w:highlight w:val="none"/>
        </w:rPr>
        <w:t>产生的医疗垃圾及生活垃圾。</w:t>
      </w:r>
    </w:p>
    <w:p w14:paraId="20FD6679">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回收工作职责：根据保洁要求，每天产生的垃圾必须及时收集运送到医院指定垃圾存放地点统一打包，垃圾收集点每天必须清理干净，医疗垃圾存放时间不得超过24小时，并做好消防安全及防盗防偷工作，严禁在医院走廊、 电梯厅等一些公共场所临时堆放。</w:t>
      </w:r>
    </w:p>
    <w:p w14:paraId="2F346726">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严禁私自出售医疗垃圾及其它医院不允许出售的物品，一经发现除追查、归还物品外，并处以出售所得的十倍罚款，发生违法行为的负全部法律责任。</w:t>
      </w:r>
    </w:p>
    <w:p w14:paraId="25CB2993">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医疗、生活垃圾从产生处到垃圾房的周转车由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提供。</w:t>
      </w:r>
    </w:p>
    <w:p w14:paraId="43090FD5">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生活垃圾及医疗垃圾转运车在转运垃圾途中，垃圾不得高于垃圾车。</w:t>
      </w:r>
    </w:p>
    <w:p w14:paraId="038B6490">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做好医疗垃圾登记工作，并存档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随时接受医院及第三方检查。</w:t>
      </w:r>
    </w:p>
    <w:p w14:paraId="21B4004D">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及时清洗垃圾桶表面（含膳食科）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根据院感要求做好紫外线消毒、转运车的清洗消毒工作。</w:t>
      </w:r>
    </w:p>
    <w:p w14:paraId="4B4DFB25">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严格按照医院指定的路线运送垃圾，严格使用医院指定的电梯运送垃圾。</w:t>
      </w:r>
    </w:p>
    <w:p w14:paraId="29BF84AB">
      <w:pPr>
        <w:keepNext w:val="0"/>
        <w:keepLines w:val="0"/>
        <w:pageBreakBefore w:val="0"/>
        <w:widowControl w:val="0"/>
        <w:numPr>
          <w:ilvl w:val="0"/>
          <w:numId w:val="33"/>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做好个人防护工作，做好每年一次体检工作。</w:t>
      </w:r>
    </w:p>
    <w:p w14:paraId="408981E0">
      <w:pPr>
        <w:keepNext w:val="0"/>
        <w:keepLines w:val="0"/>
        <w:pageBreakBefore w:val="0"/>
        <w:widowControl w:val="0"/>
        <w:numPr>
          <w:ilvl w:val="0"/>
          <w:numId w:val="32"/>
        </w:numPr>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绿化养护</w:t>
      </w:r>
    </w:p>
    <w:p w14:paraId="530C237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服务区域为：全院范围。</w:t>
      </w:r>
    </w:p>
    <w:p w14:paraId="69AB8DD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服务要求为：承担绿化养护工作，根据花木生长季节性需要进行浇水、拔草、修剪等。</w:t>
      </w:r>
    </w:p>
    <w:p w14:paraId="78E249FD">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服务内容要求</w:t>
      </w:r>
    </w:p>
    <w:p w14:paraId="22FDBACA">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应按本次招标的范围及内容，并结合自身的实际情况，按专业、工种配备相关的人员。</w:t>
      </w:r>
    </w:p>
    <w:p w14:paraId="0B2E9DE2">
      <w:pPr>
        <w:pStyle w:val="113"/>
        <w:ind w:left="0" w:leftChars="0" w:firstLine="0" w:firstLineChars="0"/>
        <w:jc w:val="center"/>
        <w:rPr>
          <w:rFonts w:hint="eastAsia"/>
          <w:color w:val="auto"/>
          <w:highlight w:val="none"/>
          <w:lang w:val="en-US" w:eastAsia="zh-CN"/>
        </w:rPr>
      </w:pPr>
      <w:r>
        <w:rPr>
          <w:rFonts w:hint="eastAsia" w:ascii="宋体" w:hAnsi="宋体" w:cs="宋体"/>
          <w:b/>
          <w:bCs/>
          <w:color w:val="auto"/>
          <w:sz w:val="24"/>
          <w:highlight w:val="none"/>
          <w:lang w:eastAsia="zh-CN"/>
        </w:rPr>
        <w:t>岗位</w:t>
      </w:r>
      <w:r>
        <w:rPr>
          <w:rFonts w:hint="eastAsia" w:ascii="宋体" w:hAnsi="宋体" w:cs="宋体"/>
          <w:b/>
          <w:bCs/>
          <w:color w:val="auto"/>
          <w:sz w:val="24"/>
          <w:highlight w:val="none"/>
          <w:lang w:val="en-US" w:eastAsia="zh-CN"/>
        </w:rPr>
        <w:t>需求</w:t>
      </w:r>
      <w:r>
        <w:rPr>
          <w:rFonts w:hint="eastAsia" w:ascii="宋体" w:hAnsi="宋体" w:cs="宋体"/>
          <w:b/>
          <w:bCs/>
          <w:color w:val="auto"/>
          <w:sz w:val="24"/>
          <w:highlight w:val="none"/>
          <w:lang w:eastAsia="zh-CN"/>
        </w:rPr>
        <w:t>表</w:t>
      </w:r>
    </w:p>
    <w:p w14:paraId="20CC562F">
      <w:pPr>
        <w:pStyle w:val="7"/>
        <w:rPr>
          <w:rFonts w:hint="eastAsia"/>
          <w:color w:val="auto"/>
          <w:highlight w:val="none"/>
        </w:rPr>
      </w:pPr>
    </w:p>
    <w:tbl>
      <w:tblPr>
        <w:tblStyle w:val="28"/>
        <w:tblW w:w="939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8"/>
        <w:gridCol w:w="2362"/>
        <w:gridCol w:w="4662"/>
        <w:gridCol w:w="1377"/>
      </w:tblGrid>
      <w:tr w14:paraId="5818F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500E9C8">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序号</w:t>
            </w:r>
          </w:p>
        </w:tc>
        <w:tc>
          <w:tcPr>
            <w:tcW w:w="2362" w:type="dxa"/>
            <w:noWrap w:val="0"/>
            <w:vAlign w:val="center"/>
          </w:tcPr>
          <w:p w14:paraId="4CD0A69E">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val="en-US" w:eastAsia="zh-CN"/>
              </w:rPr>
              <w:t>需求</w:t>
            </w:r>
          </w:p>
        </w:tc>
        <w:tc>
          <w:tcPr>
            <w:tcW w:w="6039" w:type="dxa"/>
            <w:gridSpan w:val="2"/>
            <w:noWrap w:val="0"/>
            <w:vAlign w:val="center"/>
          </w:tcPr>
          <w:p w14:paraId="33937110">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岗位</w:t>
            </w:r>
            <w:r>
              <w:rPr>
                <w:rFonts w:hint="eastAsia" w:ascii="宋体" w:hAnsi="宋体" w:eastAsia="宋体" w:cs="宋体"/>
                <w:b/>
                <w:color w:val="auto"/>
                <w:sz w:val="24"/>
                <w:szCs w:val="24"/>
                <w:highlight w:val="none"/>
                <w:lang w:eastAsia="zh-CN"/>
              </w:rPr>
              <w:t>职责</w:t>
            </w:r>
            <w:r>
              <w:rPr>
                <w:rFonts w:hint="eastAsia" w:ascii="宋体" w:hAnsi="宋体" w:eastAsia="宋体" w:cs="宋体"/>
                <w:b/>
                <w:color w:val="auto"/>
                <w:sz w:val="24"/>
                <w:szCs w:val="24"/>
                <w:highlight w:val="none"/>
                <w:lang w:val="en-US" w:eastAsia="zh-CN"/>
              </w:rPr>
              <w:t>要求</w:t>
            </w:r>
          </w:p>
        </w:tc>
      </w:tr>
      <w:tr w14:paraId="712DC9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399" w:type="dxa"/>
            <w:gridSpan w:val="4"/>
            <w:noWrap w:val="0"/>
            <w:vAlign w:val="center"/>
          </w:tcPr>
          <w:p w14:paraId="76FEA34B">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综合管理</w:t>
            </w:r>
          </w:p>
        </w:tc>
      </w:tr>
      <w:tr w14:paraId="4F5E6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36CB4B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62" w:type="dxa"/>
            <w:noWrap w:val="0"/>
            <w:vAlign w:val="center"/>
          </w:tcPr>
          <w:p w14:paraId="7E697D6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项目经理</w:t>
            </w:r>
            <w:r>
              <w:rPr>
                <w:rFonts w:hint="eastAsia" w:ascii="宋体" w:hAnsi="宋体" w:eastAsia="宋体" w:cs="宋体"/>
                <w:color w:val="auto"/>
                <w:sz w:val="24"/>
                <w:szCs w:val="24"/>
                <w:highlight w:val="none"/>
                <w:lang w:val="en-US" w:eastAsia="zh-CN"/>
              </w:rPr>
              <w:t>岗位</w:t>
            </w:r>
          </w:p>
        </w:tc>
        <w:tc>
          <w:tcPr>
            <w:tcW w:w="6039" w:type="dxa"/>
            <w:gridSpan w:val="2"/>
            <w:noWrap w:val="0"/>
            <w:vAlign w:val="center"/>
          </w:tcPr>
          <w:p w14:paraId="3874E51A">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负责物业服务管理工作，全面负责员工的招聘、培训、考勤、考核、工作安排等，做好与采购人的沟通、协调（允许兼任）</w:t>
            </w:r>
            <w:r>
              <w:rPr>
                <w:rFonts w:hint="eastAsia" w:ascii="宋体" w:hAnsi="宋体" w:cs="宋体"/>
                <w:color w:val="auto"/>
                <w:sz w:val="24"/>
                <w:szCs w:val="24"/>
                <w:highlight w:val="none"/>
                <w:lang w:val="en-US" w:eastAsia="zh-CN"/>
              </w:rPr>
              <w:t>。</w:t>
            </w:r>
          </w:p>
        </w:tc>
      </w:tr>
      <w:tr w14:paraId="275F57C1">
        <w:tblPrEx>
          <w:tblCellMar>
            <w:top w:w="0" w:type="dxa"/>
            <w:left w:w="108" w:type="dxa"/>
            <w:bottom w:w="0" w:type="dxa"/>
            <w:right w:w="108" w:type="dxa"/>
          </w:tblCellMar>
        </w:tblPrEx>
        <w:trPr>
          <w:trHeight w:val="567" w:hRule="atLeast"/>
          <w:jc w:val="center"/>
        </w:trPr>
        <w:tc>
          <w:tcPr>
            <w:tcW w:w="9399" w:type="dxa"/>
            <w:gridSpan w:val="4"/>
            <w:noWrap w:val="0"/>
            <w:vAlign w:val="center"/>
          </w:tcPr>
          <w:p w14:paraId="1DEE5E07">
            <w:pPr>
              <w:tabs>
                <w:tab w:val="left" w:pos="5129"/>
              </w:tabs>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二、服务岗</w:t>
            </w:r>
            <w:r>
              <w:rPr>
                <w:rFonts w:hint="eastAsia" w:ascii="宋体" w:hAnsi="宋体" w:eastAsia="宋体" w:cs="宋体"/>
                <w:color w:val="auto"/>
                <w:sz w:val="24"/>
                <w:szCs w:val="24"/>
                <w:highlight w:val="none"/>
                <w:lang w:val="en-US" w:eastAsia="zh-CN"/>
              </w:rPr>
              <w:tab/>
            </w:r>
          </w:p>
        </w:tc>
      </w:tr>
      <w:tr w14:paraId="26060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2EB9219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62" w:type="dxa"/>
            <w:noWrap w:val="0"/>
            <w:vAlign w:val="center"/>
          </w:tcPr>
          <w:p w14:paraId="79307323">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门诊一号保洁岗</w:t>
            </w:r>
          </w:p>
        </w:tc>
        <w:tc>
          <w:tcPr>
            <w:tcW w:w="4662" w:type="dxa"/>
            <w:noWrap w:val="0"/>
            <w:vAlign w:val="center"/>
          </w:tcPr>
          <w:p w14:paraId="37A6ABE1">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负责门诊1楼的大厅、公共厕所、走廊、输液厅、各科室、办公室、消防通道等的卫生。</w:t>
            </w:r>
          </w:p>
        </w:tc>
        <w:tc>
          <w:tcPr>
            <w:tcW w:w="1377" w:type="dxa"/>
            <w:vMerge w:val="restart"/>
            <w:noWrap w:val="0"/>
            <w:vAlign w:val="center"/>
          </w:tcPr>
          <w:p w14:paraId="1153936A">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负责医疗垃圾清运，地面清洁养护，玻璃、纱窗、天花板等区域清洁、电梯保养等。</w:t>
            </w:r>
          </w:p>
        </w:tc>
      </w:tr>
      <w:tr w14:paraId="7BE276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DF7B280">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362" w:type="dxa"/>
            <w:shd w:val="clear" w:color="auto" w:fill="auto"/>
            <w:noWrap w:val="0"/>
            <w:vAlign w:val="center"/>
          </w:tcPr>
          <w:p w14:paraId="6EFF14FA">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05F08484">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负责门诊1楼的大厅、公共厕所、走廊、输液厅、各科室、办公室、消防通道等的卫生。</w:t>
            </w:r>
          </w:p>
        </w:tc>
        <w:tc>
          <w:tcPr>
            <w:tcW w:w="1377" w:type="dxa"/>
            <w:vMerge w:val="continue"/>
            <w:noWrap w:val="0"/>
            <w:vAlign w:val="center"/>
          </w:tcPr>
          <w:p w14:paraId="53A06B76">
            <w:pPr>
              <w:jc w:val="both"/>
              <w:rPr>
                <w:rFonts w:hint="eastAsia" w:ascii="宋体" w:hAnsi="宋体" w:eastAsia="宋体" w:cs="宋体"/>
                <w:color w:val="auto"/>
                <w:sz w:val="24"/>
                <w:szCs w:val="24"/>
                <w:highlight w:val="none"/>
                <w:lang w:val="en-US" w:eastAsia="zh-CN"/>
              </w:rPr>
            </w:pPr>
          </w:p>
        </w:tc>
      </w:tr>
      <w:tr w14:paraId="0792A4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2F527905">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362" w:type="dxa"/>
            <w:shd w:val="clear" w:color="auto" w:fill="auto"/>
            <w:noWrap w:val="0"/>
            <w:vAlign w:val="center"/>
          </w:tcPr>
          <w:p w14:paraId="1F0BDB6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12E0F3E1">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楼的大厅、公共厕所、走廊、各科室、办公室、消防通道等的卫生。</w:t>
            </w:r>
          </w:p>
        </w:tc>
        <w:tc>
          <w:tcPr>
            <w:tcW w:w="1377" w:type="dxa"/>
            <w:vMerge w:val="continue"/>
            <w:noWrap w:val="0"/>
            <w:vAlign w:val="center"/>
          </w:tcPr>
          <w:p w14:paraId="75B5B8D4">
            <w:pPr>
              <w:jc w:val="both"/>
              <w:rPr>
                <w:rFonts w:hint="eastAsia" w:ascii="宋体" w:hAnsi="宋体" w:eastAsia="宋体" w:cs="宋体"/>
                <w:color w:val="auto"/>
                <w:sz w:val="24"/>
                <w:szCs w:val="24"/>
                <w:highlight w:val="none"/>
                <w:lang w:val="en-US" w:eastAsia="zh-CN"/>
              </w:rPr>
            </w:pPr>
          </w:p>
        </w:tc>
      </w:tr>
      <w:tr w14:paraId="5A4EC5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52C477B">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2362" w:type="dxa"/>
            <w:shd w:val="clear" w:color="auto" w:fill="auto"/>
            <w:noWrap w:val="0"/>
            <w:vAlign w:val="center"/>
          </w:tcPr>
          <w:p w14:paraId="22423CC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号保洁岗</w:t>
            </w:r>
          </w:p>
        </w:tc>
        <w:tc>
          <w:tcPr>
            <w:tcW w:w="4662" w:type="dxa"/>
            <w:shd w:val="clear" w:color="auto" w:fill="auto"/>
            <w:noWrap w:val="0"/>
            <w:vAlign w:val="center"/>
          </w:tcPr>
          <w:p w14:paraId="6E9D5432">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楼的大厅、公共厕所、走廊、各科室、办公室、消防通道等的卫生。</w:t>
            </w:r>
          </w:p>
        </w:tc>
        <w:tc>
          <w:tcPr>
            <w:tcW w:w="1377" w:type="dxa"/>
            <w:vMerge w:val="continue"/>
            <w:noWrap w:val="0"/>
            <w:vAlign w:val="center"/>
          </w:tcPr>
          <w:p w14:paraId="4C2580EB">
            <w:pPr>
              <w:jc w:val="both"/>
              <w:rPr>
                <w:rFonts w:hint="eastAsia" w:ascii="宋体" w:hAnsi="宋体" w:eastAsia="宋体" w:cs="宋体"/>
                <w:color w:val="auto"/>
                <w:sz w:val="24"/>
                <w:szCs w:val="24"/>
                <w:highlight w:val="none"/>
                <w:lang w:val="en-US" w:eastAsia="zh-CN"/>
              </w:rPr>
            </w:pPr>
          </w:p>
        </w:tc>
      </w:tr>
      <w:tr w14:paraId="4BB79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3ACCA26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2362" w:type="dxa"/>
            <w:noWrap w:val="0"/>
            <w:vAlign w:val="center"/>
          </w:tcPr>
          <w:p w14:paraId="69F6BD7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号保洁岗</w:t>
            </w:r>
          </w:p>
        </w:tc>
        <w:tc>
          <w:tcPr>
            <w:tcW w:w="4662" w:type="dxa"/>
            <w:noWrap w:val="0"/>
            <w:vAlign w:val="center"/>
          </w:tcPr>
          <w:p w14:paraId="381877BA">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负责门诊3楼大厅、公共厕所、走廊、消防通道及各科室等的卫生。</w:t>
            </w:r>
          </w:p>
        </w:tc>
        <w:tc>
          <w:tcPr>
            <w:tcW w:w="1377" w:type="dxa"/>
            <w:vMerge w:val="continue"/>
            <w:noWrap w:val="0"/>
            <w:vAlign w:val="center"/>
          </w:tcPr>
          <w:p w14:paraId="74CD3914">
            <w:pPr>
              <w:jc w:val="both"/>
              <w:rPr>
                <w:rFonts w:hint="eastAsia" w:ascii="宋体" w:hAnsi="宋体" w:eastAsia="宋体" w:cs="宋体"/>
                <w:color w:val="auto"/>
                <w:sz w:val="24"/>
                <w:szCs w:val="24"/>
                <w:highlight w:val="none"/>
                <w:lang w:val="en-US" w:eastAsia="zh-CN"/>
              </w:rPr>
            </w:pPr>
          </w:p>
        </w:tc>
      </w:tr>
      <w:tr w14:paraId="416DB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2BE0A258">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2362" w:type="dxa"/>
            <w:noWrap w:val="0"/>
            <w:vAlign w:val="center"/>
          </w:tcPr>
          <w:p w14:paraId="56EEC611">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门诊</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号保洁岗</w:t>
            </w:r>
          </w:p>
        </w:tc>
        <w:tc>
          <w:tcPr>
            <w:tcW w:w="4662" w:type="dxa"/>
            <w:noWrap w:val="0"/>
            <w:vAlign w:val="center"/>
          </w:tcPr>
          <w:p w14:paraId="27D48A00">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负责门诊4、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楼大厅、公共厕所、走廊、消防通道及各科室等的卫生。</w:t>
            </w:r>
          </w:p>
        </w:tc>
        <w:tc>
          <w:tcPr>
            <w:tcW w:w="1377" w:type="dxa"/>
            <w:vMerge w:val="continue"/>
            <w:noWrap w:val="0"/>
            <w:vAlign w:val="center"/>
          </w:tcPr>
          <w:p w14:paraId="65CE53D9">
            <w:pPr>
              <w:jc w:val="both"/>
              <w:rPr>
                <w:rFonts w:hint="eastAsia" w:ascii="宋体" w:hAnsi="宋体" w:eastAsia="宋体" w:cs="宋体"/>
                <w:color w:val="auto"/>
                <w:sz w:val="24"/>
                <w:szCs w:val="24"/>
                <w:highlight w:val="none"/>
                <w:lang w:val="en-US" w:eastAsia="zh-CN"/>
              </w:rPr>
            </w:pPr>
          </w:p>
        </w:tc>
      </w:tr>
      <w:tr w14:paraId="213B6D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69CD043D">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2362" w:type="dxa"/>
            <w:noWrap w:val="0"/>
            <w:vAlign w:val="center"/>
          </w:tcPr>
          <w:p w14:paraId="160AA13B">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保安一号岗</w:t>
            </w:r>
          </w:p>
        </w:tc>
        <w:tc>
          <w:tcPr>
            <w:tcW w:w="6039" w:type="dxa"/>
            <w:gridSpan w:val="2"/>
            <w:shd w:val="clear" w:color="auto" w:fill="auto"/>
            <w:noWrap w:val="0"/>
            <w:vAlign w:val="center"/>
          </w:tcPr>
          <w:p w14:paraId="38233195">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w:t>
            </w:r>
            <w:r>
              <w:rPr>
                <w:rFonts w:hint="eastAsia" w:ascii="宋体" w:hAnsi="宋体" w:cs="宋体"/>
                <w:color w:val="000000"/>
                <w:sz w:val="24"/>
                <w:szCs w:val="24"/>
                <w:highlight w:val="none"/>
                <w:lang w:val="en-US" w:eastAsia="zh-CN"/>
              </w:rPr>
              <w:t>门诊</w:t>
            </w:r>
            <w:r>
              <w:rPr>
                <w:rFonts w:hint="eastAsia" w:ascii="宋体" w:hAnsi="宋体" w:eastAsia="宋体" w:cs="宋体"/>
                <w:color w:val="000000"/>
                <w:sz w:val="24"/>
                <w:szCs w:val="24"/>
                <w:highlight w:val="none"/>
                <w:lang w:eastAsia="zh-CN"/>
              </w:rPr>
              <w:t>日常治安、人员等管理</w:t>
            </w:r>
            <w:r>
              <w:rPr>
                <w:rFonts w:hint="eastAsia" w:ascii="宋体" w:hAnsi="宋体" w:cs="宋体"/>
                <w:color w:val="000000"/>
                <w:sz w:val="24"/>
                <w:szCs w:val="24"/>
                <w:highlight w:val="none"/>
                <w:lang w:eastAsia="zh-CN"/>
              </w:rPr>
              <w:t>。</w:t>
            </w:r>
          </w:p>
        </w:tc>
      </w:tr>
      <w:tr w14:paraId="3D274F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8C9B310">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2362" w:type="dxa"/>
            <w:noWrap w:val="0"/>
            <w:vAlign w:val="center"/>
          </w:tcPr>
          <w:p w14:paraId="521E130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站点保洁岗</w:t>
            </w:r>
          </w:p>
        </w:tc>
        <w:tc>
          <w:tcPr>
            <w:tcW w:w="6039" w:type="dxa"/>
            <w:gridSpan w:val="2"/>
            <w:noWrap w:val="0"/>
            <w:vAlign w:val="center"/>
          </w:tcPr>
          <w:p w14:paraId="096E80E9">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个站点的卫生。</w:t>
            </w:r>
          </w:p>
        </w:tc>
      </w:tr>
      <w:tr w14:paraId="1C31E6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E913C52">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2362" w:type="dxa"/>
            <w:noWrap w:val="0"/>
            <w:vAlign w:val="center"/>
          </w:tcPr>
          <w:p w14:paraId="468AC29C">
            <w:pPr>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消控服务白天岗</w:t>
            </w:r>
          </w:p>
        </w:tc>
        <w:tc>
          <w:tcPr>
            <w:tcW w:w="6039" w:type="dxa"/>
            <w:gridSpan w:val="2"/>
            <w:noWrap w:val="0"/>
            <w:vAlign w:val="center"/>
          </w:tcPr>
          <w:p w14:paraId="352D39BD">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负责白天的消控室内消防设施监控情况、全院监控巡查监管处置、日常工作记录等。</w:t>
            </w:r>
          </w:p>
        </w:tc>
      </w:tr>
      <w:tr w14:paraId="65038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AEFEADB">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2362" w:type="dxa"/>
            <w:noWrap w:val="0"/>
            <w:vAlign w:val="center"/>
          </w:tcPr>
          <w:p w14:paraId="77A85A7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消控服务夜间岗</w:t>
            </w:r>
          </w:p>
        </w:tc>
        <w:tc>
          <w:tcPr>
            <w:tcW w:w="6039" w:type="dxa"/>
            <w:gridSpan w:val="2"/>
            <w:noWrap w:val="0"/>
            <w:vAlign w:val="center"/>
          </w:tcPr>
          <w:p w14:paraId="14F77967">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负责夜间的消控室内消防设施监控情况、全院监控巡查监管处置、日常工作记录等。</w:t>
            </w:r>
          </w:p>
        </w:tc>
      </w:tr>
      <w:tr w14:paraId="54B172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98" w:type="dxa"/>
            <w:noWrap w:val="0"/>
            <w:vAlign w:val="center"/>
          </w:tcPr>
          <w:p w14:paraId="7C29118D">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2362" w:type="dxa"/>
            <w:noWrap w:val="0"/>
            <w:vAlign w:val="center"/>
          </w:tcPr>
          <w:p w14:paraId="71B4394B">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门卫一号岗</w:t>
            </w:r>
          </w:p>
        </w:tc>
        <w:tc>
          <w:tcPr>
            <w:tcW w:w="6039" w:type="dxa"/>
            <w:gridSpan w:val="2"/>
            <w:noWrap w:val="0"/>
            <w:vAlign w:val="center"/>
          </w:tcPr>
          <w:p w14:paraId="5C20B223">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门卫的</w:t>
            </w:r>
            <w:r>
              <w:rPr>
                <w:rFonts w:hint="eastAsia" w:ascii="宋体" w:hAnsi="宋体" w:eastAsia="宋体" w:cs="宋体"/>
                <w:color w:val="auto"/>
                <w:sz w:val="24"/>
                <w:szCs w:val="24"/>
                <w:highlight w:val="none"/>
                <w:lang w:val="en-US" w:eastAsia="zh-CN"/>
              </w:rPr>
              <w:t>日常安保、人员与车辆的管理等工作。</w:t>
            </w:r>
          </w:p>
        </w:tc>
      </w:tr>
      <w:tr w14:paraId="3317AA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998" w:type="dxa"/>
            <w:noWrap w:val="0"/>
            <w:vAlign w:val="center"/>
          </w:tcPr>
          <w:p w14:paraId="33CFA3C4">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362" w:type="dxa"/>
            <w:shd w:val="clear" w:color="auto" w:fill="auto"/>
            <w:noWrap w:val="0"/>
            <w:vAlign w:val="center"/>
          </w:tcPr>
          <w:p w14:paraId="1B6E8423">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门卫二号岗</w:t>
            </w:r>
          </w:p>
        </w:tc>
        <w:tc>
          <w:tcPr>
            <w:tcW w:w="6039" w:type="dxa"/>
            <w:gridSpan w:val="2"/>
            <w:shd w:val="clear" w:color="auto" w:fill="auto"/>
            <w:noWrap w:val="0"/>
            <w:vAlign w:val="center"/>
          </w:tcPr>
          <w:p w14:paraId="41E8C8FF">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负责</w:t>
            </w:r>
            <w:r>
              <w:rPr>
                <w:rFonts w:hint="eastAsia" w:ascii="宋体" w:hAnsi="宋体" w:cs="宋体"/>
                <w:color w:val="auto"/>
                <w:sz w:val="24"/>
                <w:szCs w:val="24"/>
                <w:highlight w:val="none"/>
                <w:lang w:val="en-US" w:eastAsia="zh-CN"/>
              </w:rPr>
              <w:t>门卫的</w:t>
            </w:r>
            <w:r>
              <w:rPr>
                <w:rFonts w:hint="eastAsia" w:ascii="宋体" w:hAnsi="宋体" w:eastAsia="宋体" w:cs="宋体"/>
                <w:color w:val="auto"/>
                <w:sz w:val="24"/>
                <w:szCs w:val="24"/>
                <w:highlight w:val="none"/>
                <w:lang w:val="en-US" w:eastAsia="zh-CN"/>
              </w:rPr>
              <w:t>日常安保、人员与车辆的管理等工作。</w:t>
            </w:r>
          </w:p>
        </w:tc>
      </w:tr>
      <w:tr w14:paraId="4A7804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5C29517">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362" w:type="dxa"/>
            <w:noWrap w:val="0"/>
            <w:vAlign w:val="center"/>
          </w:tcPr>
          <w:p w14:paraId="7AF5B779">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药品运送岗</w:t>
            </w:r>
          </w:p>
        </w:tc>
        <w:tc>
          <w:tcPr>
            <w:tcW w:w="6039" w:type="dxa"/>
            <w:gridSpan w:val="2"/>
            <w:noWrap w:val="0"/>
            <w:vAlign w:val="center"/>
          </w:tcPr>
          <w:p w14:paraId="57945827">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负责总院及站点、村卫生室药品</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耗材、总务物质运送</w:t>
            </w:r>
            <w:r>
              <w:rPr>
                <w:rFonts w:hint="eastAsia" w:ascii="宋体" w:hAnsi="宋体" w:cs="宋体"/>
                <w:color w:val="auto"/>
                <w:kern w:val="2"/>
                <w:sz w:val="24"/>
                <w:szCs w:val="24"/>
                <w:highlight w:val="none"/>
                <w:lang w:val="en-US" w:eastAsia="zh-CN" w:bidi="ar-SA"/>
              </w:rPr>
              <w:t>。</w:t>
            </w:r>
          </w:p>
        </w:tc>
      </w:tr>
      <w:tr w14:paraId="55C8B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6BFBB97">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14</w:t>
            </w:r>
          </w:p>
        </w:tc>
        <w:tc>
          <w:tcPr>
            <w:tcW w:w="2362" w:type="dxa"/>
            <w:noWrap w:val="0"/>
            <w:vAlign w:val="center"/>
          </w:tcPr>
          <w:p w14:paraId="365EC939">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医疗废物回收岗</w:t>
            </w:r>
          </w:p>
        </w:tc>
        <w:tc>
          <w:tcPr>
            <w:tcW w:w="6039" w:type="dxa"/>
            <w:gridSpan w:val="2"/>
            <w:noWrap w:val="0"/>
            <w:vAlign w:val="center"/>
          </w:tcPr>
          <w:p w14:paraId="5D6C05BC">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负责总院及站点、村卫生室医疗废物</w:t>
            </w:r>
            <w:r>
              <w:rPr>
                <w:rFonts w:hint="eastAsia" w:ascii="宋体" w:hAnsi="宋体" w:cs="宋体"/>
                <w:color w:val="auto"/>
                <w:kern w:val="2"/>
                <w:sz w:val="24"/>
                <w:szCs w:val="24"/>
                <w:highlight w:val="none"/>
                <w:lang w:val="en-US" w:eastAsia="zh-CN" w:bidi="ar-SA"/>
              </w:rPr>
              <w:t>回收</w:t>
            </w:r>
            <w:r>
              <w:rPr>
                <w:rFonts w:hint="eastAsia" w:ascii="宋体" w:hAnsi="宋体" w:eastAsia="宋体" w:cs="宋体"/>
                <w:color w:val="auto"/>
                <w:kern w:val="2"/>
                <w:sz w:val="24"/>
                <w:szCs w:val="24"/>
                <w:highlight w:val="none"/>
                <w:lang w:val="en-US" w:eastAsia="zh-CN" w:bidi="ar-SA"/>
              </w:rPr>
              <w:t>。</w:t>
            </w:r>
          </w:p>
        </w:tc>
      </w:tr>
      <w:tr w14:paraId="561DA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72D0441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362" w:type="dxa"/>
            <w:noWrap w:val="0"/>
            <w:vAlign w:val="center"/>
          </w:tcPr>
          <w:p w14:paraId="236AD74B">
            <w:pPr>
              <w:jc w:val="center"/>
              <w:rPr>
                <w:rFonts w:hint="default" w:ascii="宋体" w:hAnsi="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水电工（高配电工）岗</w:t>
            </w:r>
          </w:p>
        </w:tc>
        <w:tc>
          <w:tcPr>
            <w:tcW w:w="6039" w:type="dxa"/>
            <w:gridSpan w:val="2"/>
            <w:noWrap w:val="0"/>
            <w:vAlign w:val="center"/>
          </w:tcPr>
          <w:p w14:paraId="49D32F1B">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 xml:space="preserve"> 巡查各类设施、设备运行情况，负责所有水电等各类系统的维修、配件更换及其他零星小修并负责电力及配套设施巡检、操作、维修。必须持高压电工作业证。每天24小时有人在岗。</w:t>
            </w:r>
          </w:p>
        </w:tc>
      </w:tr>
      <w:tr w14:paraId="77A51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50281C30">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16</w:t>
            </w:r>
          </w:p>
        </w:tc>
        <w:tc>
          <w:tcPr>
            <w:tcW w:w="2362" w:type="dxa"/>
            <w:noWrap w:val="0"/>
            <w:vAlign w:val="center"/>
          </w:tcPr>
          <w:p w14:paraId="08E8C0DB">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保安二号岗</w:t>
            </w:r>
          </w:p>
        </w:tc>
        <w:tc>
          <w:tcPr>
            <w:tcW w:w="6039" w:type="dxa"/>
            <w:gridSpan w:val="2"/>
            <w:noWrap w:val="0"/>
            <w:vAlign w:val="center"/>
          </w:tcPr>
          <w:p w14:paraId="67FD018F">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负责场外日常治安、人员</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管理</w:t>
            </w:r>
            <w:r>
              <w:rPr>
                <w:rFonts w:hint="eastAsia" w:ascii="宋体" w:hAnsi="宋体" w:cs="宋体"/>
                <w:color w:val="000000"/>
                <w:sz w:val="24"/>
                <w:szCs w:val="24"/>
                <w:highlight w:val="none"/>
                <w:lang w:eastAsia="zh-CN"/>
              </w:rPr>
              <w:t>、</w:t>
            </w:r>
            <w:r>
              <w:rPr>
                <w:rFonts w:hint="eastAsia" w:ascii="宋体" w:hAnsi="宋体" w:eastAsia="宋体" w:cs="宋体"/>
                <w:color w:val="auto"/>
                <w:sz w:val="24"/>
                <w:szCs w:val="24"/>
                <w:highlight w:val="none"/>
                <w:lang w:val="en-US" w:eastAsia="zh-CN"/>
              </w:rPr>
              <w:t>按需定期对医院内的绿化进行养护</w:t>
            </w:r>
            <w:r>
              <w:rPr>
                <w:rFonts w:hint="eastAsia" w:ascii="宋体" w:hAnsi="宋体" w:cs="宋体"/>
                <w:color w:val="auto"/>
                <w:sz w:val="24"/>
                <w:szCs w:val="24"/>
                <w:highlight w:val="none"/>
                <w:lang w:val="en-US" w:eastAsia="zh-CN"/>
              </w:rPr>
              <w:t>及污水处理。</w:t>
            </w:r>
          </w:p>
        </w:tc>
      </w:tr>
      <w:tr w14:paraId="32CB0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8" w:type="dxa"/>
            <w:noWrap w:val="0"/>
            <w:vAlign w:val="center"/>
          </w:tcPr>
          <w:p w14:paraId="436AFE97">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2362" w:type="dxa"/>
            <w:noWrap w:val="0"/>
            <w:vAlign w:val="center"/>
          </w:tcPr>
          <w:p w14:paraId="59B83E67">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保安三号岗</w:t>
            </w:r>
          </w:p>
        </w:tc>
        <w:tc>
          <w:tcPr>
            <w:tcW w:w="6039" w:type="dxa"/>
            <w:gridSpan w:val="2"/>
            <w:noWrap w:val="0"/>
            <w:vAlign w:val="center"/>
          </w:tcPr>
          <w:p w14:paraId="2A6353D0">
            <w:pPr>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highlight w:val="none"/>
                <w:lang w:eastAsia="zh-CN"/>
              </w:rPr>
              <w:t>负责场外日常治安、人员</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lang w:eastAsia="zh-CN"/>
              </w:rPr>
              <w:t>管理</w:t>
            </w:r>
            <w:r>
              <w:rPr>
                <w:rFonts w:hint="eastAsia" w:ascii="宋体" w:hAnsi="宋体" w:cs="宋体"/>
                <w:color w:val="000000"/>
                <w:sz w:val="24"/>
                <w:szCs w:val="24"/>
                <w:highlight w:val="none"/>
                <w:lang w:val="en-US" w:eastAsia="zh-CN"/>
              </w:rPr>
              <w:t>、</w:t>
            </w:r>
            <w:r>
              <w:rPr>
                <w:rFonts w:hint="eastAsia" w:ascii="宋体" w:hAnsi="宋体" w:eastAsia="宋体" w:cs="宋体"/>
                <w:color w:val="auto"/>
                <w:sz w:val="24"/>
                <w:szCs w:val="24"/>
                <w:highlight w:val="none"/>
                <w:lang w:val="en-US" w:eastAsia="zh-CN"/>
              </w:rPr>
              <w:t>按需定期对医院内的绿化进行养护</w:t>
            </w:r>
            <w:r>
              <w:rPr>
                <w:rFonts w:hint="eastAsia" w:ascii="宋体" w:hAnsi="宋体" w:cs="宋体"/>
                <w:color w:val="auto"/>
                <w:sz w:val="24"/>
                <w:szCs w:val="24"/>
                <w:highlight w:val="none"/>
                <w:lang w:val="en-US" w:eastAsia="zh-CN"/>
              </w:rPr>
              <w:t>及污水处理。</w:t>
            </w:r>
          </w:p>
        </w:tc>
      </w:tr>
    </w:tbl>
    <w:p w14:paraId="28EFDA35">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注:以上</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岗之间不可兼任</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特别注明的除外</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可对本表的人员岗位安排分配进行优化完善。</w:t>
      </w:r>
    </w:p>
    <w:p w14:paraId="7B32ADC8">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人员要求</w:t>
      </w:r>
    </w:p>
    <w:p w14:paraId="325C793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（一）总体要求</w:t>
      </w:r>
    </w:p>
    <w:p w14:paraId="4239AE89">
      <w:pPr>
        <w:numPr>
          <w:ilvl w:val="0"/>
          <w:numId w:val="34"/>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建立质量管理体系和管理制度，严格按照ISO9001质量管理体系要求进行管理和运作。</w:t>
      </w:r>
    </w:p>
    <w:p w14:paraId="6B7F812E">
      <w:pPr>
        <w:numPr>
          <w:ilvl w:val="0"/>
          <w:numId w:val="34"/>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有从事相关物业管理的经验和完善的物业管理实施方案。</w:t>
      </w:r>
    </w:p>
    <w:p w14:paraId="07A334F2">
      <w:pPr>
        <w:numPr>
          <w:ilvl w:val="0"/>
          <w:numId w:val="34"/>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有本企业</w:t>
      </w:r>
      <w:r>
        <w:rPr>
          <w:rFonts w:hint="eastAsia" w:ascii="宋体" w:hAnsi="宋体" w:cs="宋体"/>
          <w:color w:val="auto"/>
          <w:sz w:val="24"/>
          <w:highlight w:val="none"/>
          <w:lang w:eastAsia="zh-CN"/>
        </w:rPr>
        <w:t>的形象</w:t>
      </w:r>
      <w:r>
        <w:rPr>
          <w:rFonts w:hint="eastAsia" w:ascii="宋体" w:hAnsi="宋体" w:cs="宋体"/>
          <w:color w:val="auto"/>
          <w:sz w:val="24"/>
          <w:highlight w:val="none"/>
        </w:rPr>
        <w:t>识别系统、服务理念、行为规范（专业着装、佩戴标志、语言规范、文明服务）、现场标识等。</w:t>
      </w:r>
    </w:p>
    <w:p w14:paraId="482AA88E">
      <w:pPr>
        <w:numPr>
          <w:ilvl w:val="0"/>
          <w:numId w:val="34"/>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建立了完善的档案管理制度（物业管理设备管理档案、日常管理档案等）。</w:t>
      </w:r>
    </w:p>
    <w:p w14:paraId="7F8EEBDE">
      <w:pPr>
        <w:numPr>
          <w:ilvl w:val="0"/>
          <w:numId w:val="34"/>
        </w:num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建立了健全的财务管理制度，依法做好财务管理工作。</w:t>
      </w:r>
    </w:p>
    <w:p w14:paraId="45F12696">
      <w:pPr>
        <w:pStyle w:val="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（二）人员基本要求</w:t>
      </w:r>
    </w:p>
    <w:p w14:paraId="1D596EEE">
      <w:pPr>
        <w:pStyle w:val="7"/>
        <w:numPr>
          <w:ilvl w:val="0"/>
          <w:numId w:val="35"/>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所有物业工作人员应身体健康，形象端正，具有一定的政治文化素养，基本的服务素质和相应的服务技能。所有人员要求政治上可靠，身体素质好，无不良行为记录。</w:t>
      </w:r>
    </w:p>
    <w:p w14:paraId="096ED13B">
      <w:pPr>
        <w:pStyle w:val="7"/>
        <w:numPr>
          <w:ilvl w:val="0"/>
          <w:numId w:val="35"/>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项目经理：大专及以上学历，年龄</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rPr>
        <w:t>周岁以下，从事物业管理服务工作3年以上，具备丰富的物业管理与服务经验。项目经理必须由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考核、政治审查通过方可录用。</w:t>
      </w:r>
    </w:p>
    <w:p w14:paraId="6118E8DD">
      <w:pPr>
        <w:pStyle w:val="7"/>
        <w:numPr>
          <w:ilvl w:val="0"/>
          <w:numId w:val="35"/>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服务岗人员</w:t>
      </w:r>
      <w:r>
        <w:rPr>
          <w:rFonts w:hint="eastAsia" w:ascii="宋体" w:hAnsi="宋体" w:cs="宋体"/>
          <w:color w:val="auto"/>
          <w:sz w:val="24"/>
          <w:szCs w:val="24"/>
          <w:highlight w:val="none"/>
        </w:rPr>
        <w:t>：年龄要求女性</w:t>
      </w:r>
      <w:r>
        <w:rPr>
          <w:rFonts w:hint="eastAsia" w:ascii="宋体" w:hAnsi="宋体" w:cs="宋体"/>
          <w:color w:val="auto"/>
          <w:sz w:val="24"/>
          <w:szCs w:val="24"/>
          <w:highlight w:val="none"/>
          <w:lang w:val="en-US" w:eastAsia="zh-CN"/>
        </w:rPr>
        <w:t>65</w:t>
      </w:r>
      <w:r>
        <w:rPr>
          <w:rFonts w:hint="eastAsia" w:ascii="宋体" w:hAnsi="宋体" w:cs="宋体"/>
          <w:color w:val="auto"/>
          <w:sz w:val="24"/>
          <w:szCs w:val="24"/>
          <w:highlight w:val="none"/>
        </w:rPr>
        <w:t>周岁</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以下，男性</w:t>
      </w: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周岁</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以下；品貌端正，身体健康，朴实肯干，经培训具保洁员标准操作技能，注重个人仪表，礼貌待人。</w:t>
      </w:r>
    </w:p>
    <w:p w14:paraId="5A1F97E4">
      <w:pPr>
        <w:pStyle w:val="7"/>
        <w:numPr>
          <w:ilvl w:val="0"/>
          <w:numId w:val="35"/>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所用人员必须符合劳动部门有关用工规定，所有工作人员在工作时间必须根据不同岗位分别穿着工作服，佩戴胸牌。相关人员的配备如需获得相关主管部门认证的，均需配证并持证上岗。</w:t>
      </w:r>
    </w:p>
    <w:p w14:paraId="40EE90CF">
      <w:pPr>
        <w:pStyle w:val="7"/>
        <w:numPr>
          <w:ilvl w:val="0"/>
          <w:numId w:val="35"/>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保持员工队伍相对稳定，调动技术骨干，须提前告知</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。按招标、投标文件岗位配置配足员工，不得擅自减少、变更项目经理。经抽查，发现员工数减少，且无正当理由，</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有权按考核办法执行，同时要求</w:t>
      </w:r>
      <w:r>
        <w:rPr>
          <w:rFonts w:hint="eastAsia" w:ascii="宋体" w:hAnsi="宋体" w:cs="宋体"/>
          <w:color w:val="auto"/>
          <w:sz w:val="24"/>
          <w:szCs w:val="24"/>
          <w:highlight w:val="none"/>
          <w:lang w:val="en-US" w:eastAsia="zh-CN"/>
        </w:rPr>
        <w:t>乙方</w:t>
      </w:r>
      <w:r>
        <w:rPr>
          <w:rFonts w:hint="eastAsia" w:ascii="宋体" w:hAnsi="宋体" w:cs="宋体"/>
          <w:color w:val="auto"/>
          <w:sz w:val="24"/>
          <w:szCs w:val="24"/>
          <w:highlight w:val="none"/>
        </w:rPr>
        <w:t>补足规定人数。</w:t>
      </w:r>
    </w:p>
    <w:p w14:paraId="08FE6B1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（三）工作时间要求</w:t>
      </w:r>
    </w:p>
    <w:p w14:paraId="5AF5161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提供24小时的后勤服务值班调度，维持医院正常工作及处理突发事件的所需服务。卫生保洁为门诊早上6：00到晚上8：00；公卫、医技、公共场所清洁时间原则上安排在医院正常上班时间前后，上班时间保洁以不影响医疗工作为要求作安排；安保消控人员为24小时全天候轮换。</w:t>
      </w:r>
    </w:p>
    <w:p w14:paraId="33B0FEBA">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工作时间必须满足甲方的工作要求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w:t>
      </w:r>
      <w:r>
        <w:rPr>
          <w:rFonts w:hint="eastAsia" w:ascii="宋体" w:hAnsi="宋体" w:cs="宋体"/>
          <w:color w:val="auto"/>
          <w:sz w:val="24"/>
          <w:highlight w:val="none"/>
          <w:lang w:eastAsia="zh-CN"/>
        </w:rPr>
        <w:t>星期</w:t>
      </w:r>
      <w:r>
        <w:rPr>
          <w:rFonts w:hint="eastAsia" w:ascii="宋体" w:hAnsi="宋体" w:cs="宋体"/>
          <w:color w:val="auto"/>
          <w:sz w:val="24"/>
          <w:highlight w:val="none"/>
          <w:lang w:val="en-US" w:eastAsia="zh-CN"/>
        </w:rPr>
        <w:t>六、星期日</w:t>
      </w:r>
      <w:r>
        <w:rPr>
          <w:rFonts w:hint="eastAsia" w:ascii="宋体" w:hAnsi="宋体" w:cs="宋体"/>
          <w:color w:val="auto"/>
          <w:sz w:val="24"/>
          <w:highlight w:val="none"/>
          <w:lang w:eastAsia="zh-CN"/>
        </w:rPr>
        <w:t>及公众假期</w:t>
      </w:r>
      <w:r>
        <w:rPr>
          <w:rFonts w:hint="eastAsia" w:ascii="宋体" w:hAnsi="宋体" w:cs="宋体"/>
          <w:color w:val="auto"/>
          <w:sz w:val="24"/>
          <w:highlight w:val="none"/>
        </w:rPr>
        <w:t>。如遇特殊情况发生，</w:t>
      </w:r>
      <w:r>
        <w:rPr>
          <w:rFonts w:hint="eastAsia" w:ascii="宋体" w:hAnsi="宋体" w:cs="宋体"/>
          <w:color w:val="auto"/>
          <w:sz w:val="24"/>
          <w:highlight w:val="none"/>
          <w:lang w:val="en-US" w:eastAsia="zh-CN"/>
        </w:rPr>
        <w:t>乙方须</w:t>
      </w:r>
      <w:r>
        <w:rPr>
          <w:rFonts w:hint="eastAsia" w:ascii="宋体" w:hAnsi="宋体" w:cs="宋体"/>
          <w:color w:val="auto"/>
          <w:sz w:val="24"/>
          <w:highlight w:val="none"/>
        </w:rPr>
        <w:t>调整工作时间直至全天二十四小时工作</w:t>
      </w:r>
      <w:r>
        <w:rPr>
          <w:rFonts w:hint="eastAsia" w:ascii="宋体" w:hAnsi="宋体" w:cs="宋体"/>
          <w:color w:val="auto"/>
          <w:sz w:val="24"/>
          <w:highlight w:val="none"/>
          <w:lang w:eastAsia="zh-CN"/>
        </w:rPr>
        <w:t>。</w:t>
      </w:r>
    </w:p>
    <w:p w14:paraId="20A1375D">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w:t>
      </w:r>
      <w:r>
        <w:rPr>
          <w:rFonts w:hint="eastAsia" w:ascii="宋体" w:hAnsi="宋体" w:eastAsia="宋体" w:cs="宋体"/>
          <w:b/>
          <w:bCs/>
          <w:color w:val="auto"/>
          <w:sz w:val="24"/>
          <w:highlight w:val="none"/>
          <w:lang w:val="en-US" w:eastAsia="zh-CN"/>
        </w:rPr>
        <w:t>工作</w:t>
      </w:r>
      <w:r>
        <w:rPr>
          <w:rFonts w:hint="eastAsia" w:ascii="宋体" w:hAnsi="宋体" w:eastAsia="宋体" w:cs="宋体"/>
          <w:b/>
          <w:bCs/>
          <w:color w:val="auto"/>
          <w:sz w:val="24"/>
          <w:highlight w:val="none"/>
        </w:rPr>
        <w:t>要求</w:t>
      </w:r>
    </w:p>
    <w:p w14:paraId="19C333C2">
      <w:pPr>
        <w:numPr>
          <w:ilvl w:val="0"/>
          <w:numId w:val="36"/>
        </w:numPr>
        <w:spacing w:line="360" w:lineRule="auto"/>
        <w:ind w:left="400" w:leftChars="200"/>
        <w:rPr>
          <w:rFonts w:hint="eastAsia" w:ascii="宋体" w:hAnsi="宋体" w:cs="宋体"/>
          <w:b/>
          <w:bCs/>
          <w:color w:val="auto"/>
          <w:sz w:val="24"/>
          <w:highlight w:val="none"/>
        </w:rPr>
      </w:pPr>
      <w:r>
        <w:rPr>
          <w:rFonts w:hint="eastAsia" w:ascii="宋体" w:hAnsi="宋体" w:cs="宋体"/>
          <w:b/>
          <w:bCs/>
          <w:color w:val="auto"/>
          <w:sz w:val="24"/>
          <w:highlight w:val="none"/>
        </w:rPr>
        <w:t>项目</w:t>
      </w:r>
      <w:r>
        <w:rPr>
          <w:rFonts w:hint="eastAsia" w:ascii="宋体" w:hAnsi="宋体" w:cs="宋体"/>
          <w:b/>
          <w:bCs/>
          <w:color w:val="auto"/>
          <w:sz w:val="24"/>
          <w:highlight w:val="none"/>
          <w:lang w:val="en-US" w:eastAsia="zh-CN"/>
        </w:rPr>
        <w:t>经理</w:t>
      </w:r>
      <w:r>
        <w:rPr>
          <w:rFonts w:hint="eastAsia" w:ascii="宋体" w:hAnsi="宋体" w:cs="宋体"/>
          <w:b/>
          <w:bCs/>
          <w:color w:val="auto"/>
          <w:sz w:val="24"/>
          <w:highlight w:val="none"/>
        </w:rPr>
        <w:t>要求</w:t>
      </w:r>
    </w:p>
    <w:p w14:paraId="70ED7385">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配合</w:t>
      </w:r>
      <w:r>
        <w:rPr>
          <w:rFonts w:hint="eastAsia" w:ascii="宋体" w:hAnsi="宋体" w:cs="宋体"/>
          <w:color w:val="auto"/>
          <w:sz w:val="24"/>
          <w:highlight w:val="none"/>
          <w:lang w:eastAsia="zh-CN"/>
        </w:rPr>
        <w:t>医院</w:t>
      </w:r>
      <w:r>
        <w:rPr>
          <w:rFonts w:hint="eastAsia" w:ascii="宋体" w:hAnsi="宋体" w:cs="宋体"/>
          <w:color w:val="auto"/>
          <w:sz w:val="24"/>
          <w:highlight w:val="none"/>
        </w:rPr>
        <w:t>统筹物业内务管理工作，协调各员工之间的工作关系；</w:t>
      </w:r>
    </w:p>
    <w:p w14:paraId="43C7AD31">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负责组织制定、修订各员工工作的分工及相关管理制度，与每个岗位</w:t>
      </w:r>
      <w:r>
        <w:rPr>
          <w:rFonts w:hint="eastAsia" w:ascii="宋体" w:hAnsi="宋体" w:cs="宋体"/>
          <w:color w:val="auto"/>
          <w:sz w:val="24"/>
          <w:highlight w:val="none"/>
          <w:lang w:val="en-US" w:eastAsia="zh-CN"/>
        </w:rPr>
        <w:t>人员</w:t>
      </w:r>
      <w:r>
        <w:rPr>
          <w:rFonts w:hint="eastAsia" w:ascii="宋体" w:hAnsi="宋体" w:cs="宋体"/>
          <w:color w:val="auto"/>
          <w:sz w:val="24"/>
          <w:highlight w:val="none"/>
        </w:rPr>
        <w:t>签订</w:t>
      </w:r>
      <w:r>
        <w:rPr>
          <w:rFonts w:hint="eastAsia" w:ascii="宋体" w:hAnsi="宋体" w:cs="宋体"/>
          <w:color w:val="auto"/>
          <w:sz w:val="24"/>
          <w:highlight w:val="none"/>
          <w:lang w:val="en-US" w:eastAsia="zh-CN"/>
        </w:rPr>
        <w:t>劳动</w:t>
      </w:r>
      <w:r>
        <w:rPr>
          <w:rFonts w:hint="eastAsia" w:ascii="宋体" w:hAnsi="宋体" w:cs="宋体"/>
          <w:color w:val="auto"/>
          <w:sz w:val="24"/>
          <w:highlight w:val="none"/>
        </w:rPr>
        <w:t>合同，并监督实施；</w:t>
      </w:r>
    </w:p>
    <w:p w14:paraId="1BBA6E84">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主持召开日常工作例会、政治和业务学习，每月至少1次；</w:t>
      </w:r>
    </w:p>
    <w:p w14:paraId="4F4DAAC1">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负责对本部门人员的考核及奖罚制度的落实，经常巡视</w:t>
      </w:r>
      <w:r>
        <w:rPr>
          <w:rFonts w:hint="eastAsia" w:ascii="宋体" w:hAnsi="宋体" w:cs="宋体"/>
          <w:color w:val="auto"/>
          <w:sz w:val="24"/>
          <w:highlight w:val="none"/>
          <w:lang w:val="en-US" w:eastAsia="zh-CN"/>
        </w:rPr>
        <w:t>医院</w:t>
      </w:r>
      <w:r>
        <w:rPr>
          <w:rFonts w:hint="eastAsia" w:ascii="宋体" w:hAnsi="宋体" w:cs="宋体"/>
          <w:color w:val="auto"/>
          <w:sz w:val="24"/>
          <w:highlight w:val="none"/>
        </w:rPr>
        <w:t>，检查</w:t>
      </w:r>
      <w:r>
        <w:rPr>
          <w:rFonts w:hint="eastAsia" w:ascii="宋体" w:hAnsi="宋体" w:cs="宋体"/>
          <w:color w:val="auto"/>
          <w:sz w:val="24"/>
          <w:highlight w:val="none"/>
          <w:lang w:eastAsia="zh-CN"/>
        </w:rPr>
        <w:t>医院</w:t>
      </w:r>
      <w:r>
        <w:rPr>
          <w:rFonts w:hint="eastAsia" w:ascii="宋体" w:hAnsi="宋体" w:cs="宋体"/>
          <w:color w:val="auto"/>
          <w:sz w:val="24"/>
          <w:highlight w:val="none"/>
        </w:rPr>
        <w:t>设施及卫生状况，发现问题及时处理，并记录；</w:t>
      </w:r>
    </w:p>
    <w:p w14:paraId="3217DF8B">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负责物业员工的日常作业安排，作业量的考核，并现场指导；</w:t>
      </w:r>
    </w:p>
    <w:p w14:paraId="39DC0ACE">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加强监督检查，注意听取和收集员工对物业工作的意见和建议，及时发现、处理问题，化解各种矛盾；</w:t>
      </w:r>
    </w:p>
    <w:p w14:paraId="38A634D5">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的</w:t>
      </w:r>
      <w:r>
        <w:rPr>
          <w:rFonts w:hint="eastAsia" w:ascii="宋体" w:hAnsi="宋体" w:cs="宋体"/>
          <w:color w:val="auto"/>
          <w:sz w:val="24"/>
          <w:highlight w:val="none"/>
        </w:rPr>
        <w:t>手机必须24小时开机状态，3次电话未接当1次旷缺处理，如遇急事外出，需向</w:t>
      </w:r>
      <w:r>
        <w:rPr>
          <w:rFonts w:hint="eastAsia" w:ascii="宋体" w:hAnsi="宋体" w:cs="宋体"/>
          <w:color w:val="auto"/>
          <w:sz w:val="24"/>
          <w:highlight w:val="none"/>
          <w:lang w:val="en-US" w:eastAsia="zh-CN"/>
        </w:rPr>
        <w:t>医院</w:t>
      </w:r>
      <w:r>
        <w:rPr>
          <w:rFonts w:hint="eastAsia" w:ascii="宋体" w:hAnsi="宋体" w:cs="宋体"/>
          <w:color w:val="auto"/>
          <w:sz w:val="24"/>
          <w:highlight w:val="none"/>
        </w:rPr>
        <w:t>请假；</w:t>
      </w:r>
    </w:p>
    <w:p w14:paraId="6BD7C287">
      <w:pPr>
        <w:numPr>
          <w:ilvl w:val="0"/>
          <w:numId w:val="37"/>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根据管理工作需要做好突击性、临时性工作，完成</w:t>
      </w:r>
      <w:r>
        <w:rPr>
          <w:rFonts w:hint="eastAsia" w:ascii="宋体" w:hAnsi="宋体" w:cs="宋体"/>
          <w:color w:val="auto"/>
          <w:sz w:val="24"/>
          <w:highlight w:val="none"/>
          <w:lang w:eastAsia="zh-CN"/>
        </w:rPr>
        <w:t>医院</w:t>
      </w:r>
      <w:r>
        <w:rPr>
          <w:rFonts w:hint="eastAsia" w:ascii="宋体" w:hAnsi="宋体" w:cs="宋体"/>
          <w:color w:val="auto"/>
          <w:sz w:val="24"/>
          <w:highlight w:val="none"/>
        </w:rPr>
        <w:t>领导交办的其他工作。</w:t>
      </w:r>
    </w:p>
    <w:p w14:paraId="03B45087">
      <w:pPr>
        <w:numPr>
          <w:ilvl w:val="0"/>
          <w:numId w:val="36"/>
        </w:numPr>
        <w:spacing w:line="360" w:lineRule="auto"/>
        <w:ind w:left="400" w:leftChars="200"/>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服务岗位工作</w:t>
      </w:r>
      <w:r>
        <w:rPr>
          <w:rFonts w:hint="eastAsia" w:ascii="宋体" w:hAnsi="宋体" w:cs="宋体"/>
          <w:b/>
          <w:bCs/>
          <w:color w:val="auto"/>
          <w:sz w:val="24"/>
          <w:highlight w:val="none"/>
        </w:rPr>
        <w:t>要求</w:t>
      </w:r>
    </w:p>
    <w:p w14:paraId="77DD8280">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负责卫生保洁、电梯保养服务、垃圾分类、医疗废物及生活垃圾回收工作，在合同期内按照医院工作需要，保障医院日常工作正常运行。</w:t>
      </w:r>
    </w:p>
    <w:p w14:paraId="608714D9">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严格按医院卫生标准要求提供室内外清洁服务，并针对特殊情况，制定勤杂工防止交叉感染、消毒隔离制度和医院工作所要求的工作标准、流程。</w:t>
      </w:r>
    </w:p>
    <w:p w14:paraId="07167D70">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负责</w:t>
      </w:r>
      <w:r>
        <w:rPr>
          <w:rFonts w:hint="eastAsia" w:ascii="宋体" w:hAnsi="宋体" w:cs="宋体"/>
          <w:color w:val="auto"/>
          <w:sz w:val="24"/>
          <w:szCs w:val="24"/>
          <w:highlight w:val="none"/>
        </w:rPr>
        <w:t>全院公共场所、所有医疗用房</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卫生站</w:t>
      </w:r>
      <w:r>
        <w:rPr>
          <w:rFonts w:hint="eastAsia" w:ascii="宋体" w:hAnsi="宋体" w:cs="宋体"/>
          <w:color w:val="auto"/>
          <w:sz w:val="24"/>
          <w:szCs w:val="24"/>
          <w:highlight w:val="none"/>
        </w:rPr>
        <w:t>的卫生保洁服务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负责</w:t>
      </w:r>
      <w:r>
        <w:rPr>
          <w:rFonts w:hint="eastAsia" w:ascii="宋体" w:hAnsi="宋体" w:cs="宋体"/>
          <w:color w:val="auto"/>
          <w:sz w:val="24"/>
          <w:szCs w:val="24"/>
          <w:highlight w:val="none"/>
        </w:rPr>
        <w:t>综合大楼、辅助房、配电房、食堂等屋顶天沟、沿沟的排水疏通，</w:t>
      </w:r>
      <w:r>
        <w:rPr>
          <w:rFonts w:hint="eastAsia" w:ascii="宋体" w:hAnsi="宋体" w:cs="宋体"/>
          <w:color w:val="auto"/>
          <w:sz w:val="24"/>
          <w:szCs w:val="24"/>
          <w:highlight w:val="none"/>
          <w:lang w:val="en-US" w:eastAsia="zh-CN"/>
        </w:rPr>
        <w:t>以及</w:t>
      </w:r>
      <w:r>
        <w:rPr>
          <w:rFonts w:hint="eastAsia" w:ascii="宋体" w:hAnsi="宋体" w:cs="宋体"/>
          <w:color w:val="auto"/>
          <w:sz w:val="24"/>
          <w:szCs w:val="24"/>
          <w:highlight w:val="none"/>
        </w:rPr>
        <w:t>全院范围内下水道及马桶的疏通。</w:t>
      </w:r>
    </w:p>
    <w:p w14:paraId="67FD818B">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保洁区域内玻璃窗、</w:t>
      </w:r>
      <w:r>
        <w:rPr>
          <w:rFonts w:hint="eastAsia" w:ascii="宋体" w:hAnsi="宋体" w:cs="宋体"/>
          <w:color w:val="auto"/>
          <w:sz w:val="24"/>
          <w:szCs w:val="24"/>
          <w:highlight w:val="none"/>
          <w:lang w:eastAsia="zh-CN"/>
        </w:rPr>
        <w:t>纱窗、</w:t>
      </w:r>
      <w:r>
        <w:rPr>
          <w:rFonts w:hint="eastAsia" w:ascii="宋体" w:hAnsi="宋体" w:cs="宋体"/>
          <w:color w:val="auto"/>
          <w:sz w:val="24"/>
          <w:szCs w:val="24"/>
          <w:highlight w:val="none"/>
        </w:rPr>
        <w:t>天花板、中央空调风口、挂式及立式空调、灯罩、各类标识牌、窗帘、床隔帘、电视机、候诊椅等定期除尘、清洗，</w:t>
      </w:r>
      <w:r>
        <w:rPr>
          <w:rFonts w:hint="eastAsia" w:ascii="宋体" w:hAnsi="宋体" w:cs="宋体"/>
          <w:color w:val="auto"/>
          <w:sz w:val="24"/>
          <w:szCs w:val="24"/>
          <w:highlight w:val="none"/>
          <w:lang w:val="en-US" w:eastAsia="zh-CN"/>
        </w:rPr>
        <w:t>地面清洁养护。大规模</w:t>
      </w:r>
      <w:r>
        <w:rPr>
          <w:rFonts w:hint="eastAsia" w:ascii="宋体" w:hAnsi="宋体" w:cs="宋体"/>
          <w:color w:val="auto"/>
          <w:sz w:val="24"/>
          <w:szCs w:val="24"/>
          <w:highlight w:val="none"/>
        </w:rPr>
        <w:t>清洁</w:t>
      </w:r>
      <w:r>
        <w:rPr>
          <w:rFonts w:hint="eastAsia" w:ascii="宋体" w:hAnsi="宋体" w:cs="宋体"/>
          <w:color w:val="auto"/>
          <w:sz w:val="24"/>
          <w:szCs w:val="24"/>
          <w:highlight w:val="none"/>
          <w:lang w:val="en-US" w:eastAsia="zh-CN"/>
        </w:rPr>
        <w:t>频率不少于一季度一次，其他临检等特殊情况按采购人要求执行</w:t>
      </w:r>
      <w:r>
        <w:rPr>
          <w:rFonts w:hint="eastAsia" w:ascii="宋体" w:hAnsi="宋体" w:cs="宋体"/>
          <w:color w:val="auto"/>
          <w:sz w:val="24"/>
          <w:szCs w:val="24"/>
          <w:highlight w:val="none"/>
        </w:rPr>
        <w:t>。</w:t>
      </w:r>
    </w:p>
    <w:p w14:paraId="380CC701">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按医院要求及时将垃圾（包括医疗垃圾）运送至指定地点。负责及时清理回收医院各科日常消耗的药品包装物品</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及</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经医院认可后的可回收废品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及时整理回收病区内无主可回收物品。</w:t>
      </w:r>
    </w:p>
    <w:p w14:paraId="05ACCA97">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承担医院上级部门检查及应急性工作的各项保洁服务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24小时为医院提供保洁及突发事件后的清洁，维持医院全天候正常运行。</w:t>
      </w:r>
    </w:p>
    <w:p w14:paraId="076805F9">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承担医院除“四害”工作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按医院要求进行季节性的防蝇灭蚊药水喷洒。</w:t>
      </w:r>
    </w:p>
    <w:p w14:paraId="6F6937A0">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承担各科室紫外线消毒工作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根据科室时间要求开启和关闭紫外线灯。</w:t>
      </w:r>
    </w:p>
    <w:p w14:paraId="541E691F">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须及时提供足够的清卫工具及材料、保洁用清洁剂、洗涤剂、垃圾袋（所有生活垃圾必须装袋后暂存于垃圾暂存处）等相关易耗品（医疗废品收集包装的废物桶、利器盒、黄色医疗垃圾收集袋由医院负责统一提供除外），及时更换破损清洁卫生设施（包括所有公共场所、病区所需的垃圾桶）</w:t>
      </w:r>
      <w:r>
        <w:rPr>
          <w:rFonts w:hint="eastAsia" w:ascii="宋体" w:hAnsi="宋体" w:cs="宋体"/>
          <w:color w:val="auto"/>
          <w:sz w:val="24"/>
          <w:szCs w:val="24"/>
          <w:highlight w:val="none"/>
          <w:lang w:eastAsia="zh-CN"/>
        </w:rPr>
        <w:t>，</w:t>
      </w:r>
      <w:r>
        <w:rPr>
          <w:rFonts w:hint="eastAsia" w:ascii="宋体" w:hAnsi="宋体" w:cs="宋体"/>
          <w:color w:val="auto"/>
          <w:sz w:val="24"/>
          <w:szCs w:val="24"/>
          <w:lang w:val="en-US" w:eastAsia="zh-CN"/>
        </w:rPr>
        <w:t>个人防护品 ，如口罩等由乙方承担。</w:t>
      </w:r>
    </w:p>
    <w:p w14:paraId="5DA64A17">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承担24小时全天候消防监控、消防巡查、设备报警处置及联动、发生火灾后第一时间应急处置和灭火疏散，同时承担医院门卫、医疗维序、安保等工作，保障医院日常工作正常运行。</w:t>
      </w:r>
    </w:p>
    <w:p w14:paraId="0D5083E1">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承担医院及下属站点、村卫生室、私人诊所所有医疗废物的收集；负责总院、站点及村卫生室所有药品的配送和氧气桶的更换</w:t>
      </w:r>
      <w:r>
        <w:rPr>
          <w:rFonts w:hint="eastAsia" w:ascii="宋体" w:hAnsi="宋体" w:cs="宋体"/>
          <w:color w:val="auto"/>
          <w:sz w:val="24"/>
          <w:szCs w:val="24"/>
          <w:highlight w:val="none"/>
          <w:lang w:val="en-US" w:eastAsia="zh-CN"/>
        </w:rPr>
        <w:t>工作</w:t>
      </w:r>
      <w:r>
        <w:rPr>
          <w:rFonts w:hint="eastAsia" w:ascii="宋体" w:hAnsi="宋体" w:cs="宋体"/>
          <w:color w:val="auto"/>
          <w:sz w:val="24"/>
          <w:szCs w:val="24"/>
          <w:highlight w:val="none"/>
        </w:rPr>
        <w:t>。</w:t>
      </w:r>
    </w:p>
    <w:p w14:paraId="30DDE76E">
      <w:pPr>
        <w:pStyle w:val="7"/>
        <w:numPr>
          <w:ilvl w:val="0"/>
          <w:numId w:val="38"/>
        </w:num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承担医院范围内绿化养护工作</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w:t>
      </w:r>
      <w:r>
        <w:rPr>
          <w:rFonts w:hint="eastAsia" w:ascii="宋体" w:hAnsi="宋体" w:cs="宋体"/>
          <w:color w:val="auto"/>
          <w:sz w:val="24"/>
          <w:szCs w:val="24"/>
          <w:highlight w:val="none"/>
        </w:rPr>
        <w:t>乔木、灌木、绿地草皮修剪、树木整枝、苗木色块修剪、除草、施肥、治虫、浇水及防冻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室内绿植</w:t>
      </w:r>
      <w:r>
        <w:rPr>
          <w:rFonts w:hint="eastAsia" w:ascii="宋体" w:hAnsi="宋体" w:cs="宋体"/>
          <w:color w:val="auto"/>
          <w:sz w:val="24"/>
          <w:szCs w:val="24"/>
          <w:highlight w:val="none"/>
        </w:rPr>
        <w:t>等养护内容，完成</w:t>
      </w:r>
      <w:r>
        <w:rPr>
          <w:rFonts w:hint="eastAsia" w:ascii="宋体" w:hAnsi="宋体" w:cs="宋体"/>
          <w:color w:val="auto"/>
          <w:sz w:val="24"/>
          <w:szCs w:val="24"/>
          <w:highlight w:val="none"/>
          <w:lang w:eastAsia="zh-CN"/>
        </w:rPr>
        <w:t>医院</w:t>
      </w:r>
      <w:r>
        <w:rPr>
          <w:rFonts w:hint="eastAsia" w:ascii="宋体" w:hAnsi="宋体" w:cs="宋体"/>
          <w:color w:val="auto"/>
          <w:sz w:val="24"/>
          <w:szCs w:val="24"/>
          <w:highlight w:val="none"/>
        </w:rPr>
        <w:t>领导交办</w:t>
      </w:r>
      <w:r>
        <w:rPr>
          <w:rFonts w:hint="eastAsia" w:ascii="宋体" w:hAnsi="宋体" w:cs="宋体"/>
          <w:color w:val="auto"/>
          <w:sz w:val="24"/>
          <w:szCs w:val="24"/>
          <w:highlight w:val="none"/>
          <w:lang w:eastAsia="zh-CN"/>
        </w:rPr>
        <w:t>的其他</w:t>
      </w:r>
      <w:r>
        <w:rPr>
          <w:rFonts w:hint="eastAsia" w:ascii="宋体" w:hAnsi="宋体" w:cs="宋体"/>
          <w:color w:val="auto"/>
          <w:sz w:val="24"/>
          <w:szCs w:val="24"/>
          <w:highlight w:val="none"/>
        </w:rPr>
        <w:t>绿化任务。</w:t>
      </w:r>
    </w:p>
    <w:p w14:paraId="5B14771A">
      <w:pPr>
        <w:numPr>
          <w:ilvl w:val="0"/>
          <w:numId w:val="0"/>
        </w:numPr>
        <w:autoSpaceDE w:val="0"/>
        <w:autoSpaceDN w:val="0"/>
        <w:adjustRightInd w:val="0"/>
        <w:spacing w:line="360" w:lineRule="auto"/>
        <w:ind w:left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eastAsia" w:ascii="宋体" w:hAnsi="宋体" w:eastAsia="宋体" w:cs="宋体"/>
          <w:b w:val="0"/>
          <w:bCs w:val="0"/>
          <w:color w:val="auto"/>
          <w:sz w:val="24"/>
          <w:szCs w:val="24"/>
          <w:highlight w:val="none"/>
          <w:lang w:eastAsia="zh-CN"/>
        </w:rPr>
        <w:t>污水池根据</w:t>
      </w:r>
      <w:r>
        <w:rPr>
          <w:rFonts w:hint="eastAsia" w:ascii="宋体" w:hAnsi="宋体" w:cs="宋体"/>
          <w:b w:val="0"/>
          <w:bCs w:val="0"/>
          <w:color w:val="auto"/>
          <w:sz w:val="24"/>
          <w:szCs w:val="24"/>
          <w:highlight w:val="none"/>
          <w:lang w:eastAsia="zh-CN"/>
        </w:rPr>
        <w:t>实际情况及时提前</w:t>
      </w:r>
      <w:r>
        <w:rPr>
          <w:rFonts w:hint="eastAsia" w:ascii="宋体" w:hAnsi="宋体" w:eastAsia="宋体" w:cs="宋体"/>
          <w:b w:val="0"/>
          <w:bCs w:val="0"/>
          <w:color w:val="auto"/>
          <w:sz w:val="24"/>
          <w:szCs w:val="24"/>
          <w:highlight w:val="none"/>
          <w:lang w:eastAsia="zh-CN"/>
        </w:rPr>
        <w:t>进行清掏。</w:t>
      </w:r>
    </w:p>
    <w:p w14:paraId="35A1E037">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其他要求</w:t>
      </w:r>
    </w:p>
    <w:p w14:paraId="6850C824">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应依法用人，负责支付上岗人员的工资、津贴、社会保险及根据国家规定应支付的各项费用。承担体检、培训、服装费用，并负责办理上岗人员的暂住证、计划生育证明等有关证件。</w:t>
      </w:r>
    </w:p>
    <w:p w14:paraId="0EB52626">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必须认真履行职责，严格按符合招标文件服务要求的质量保证体系实施管理，做好院内的清卫、运送等工作，每日进行检查，发现问题及时整改。</w:t>
      </w:r>
    </w:p>
    <w:p w14:paraId="639351E3">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对各工作岗位的服务质量随时进行抽查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发现问题，及时口头或书面通知整改。</w:t>
      </w:r>
    </w:p>
    <w:p w14:paraId="58012931">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定期对上岗人员进行职业道德教育和职业技能培训，教育其端正服务态度，提高服务质量，遵守院方的各项规章制度及工作规范，维护医院形象，尊重病人及其家属，服从所在科室长领导。对不遵守劳动纪律、被病人投诉、索取、收受病人钱物的员工，经查实后酌情处理，情节严重的医院有权辞退。</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有权进行审核，该类费用开支由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负担。</w:t>
      </w:r>
    </w:p>
    <w:p w14:paraId="14723E7C">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对所有岗位建立岗位责任制与运作程序、工作质量标准。医院方根据爱卫会卫生考核及各科室对后勤服务人员及卫生保洁的满意率作为考核依据，（具体考核办法由总务科、院感科、护理部、公共卫生科另确定）。</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须积极配合</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对其进行的物业服务综合考评。根据综合考评或工作情况，</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有权要求</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在一个星期内更换经理（负责人）、相关骨干人员。</w:t>
      </w:r>
    </w:p>
    <w:p w14:paraId="616E15E8">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应加强能源和用水管理，节约公用场所用水用电，无长明灯、长流水。对发现供电、给排水设施损坏及时报修。</w:t>
      </w:r>
    </w:p>
    <w:p w14:paraId="2A568EA6">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在医院的应急事件中，应积极配合院方采取相应的措施。遇突发事件或安全检查时，</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必须配合有关部门执行任务，并指定专职人员协助工作，直至完成。</w:t>
      </w:r>
    </w:p>
    <w:p w14:paraId="7B26588D">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不以任何形式转租、转让、抵押承包区域，在承包区域只从事</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认可的服务工作。在承包期间，</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的任何股份配置变动应通知</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。未经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书面批准，任何占有支配地位的股份转让都将视为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出租、转让的行为。</w:t>
      </w:r>
    </w:p>
    <w:p w14:paraId="075E1A88">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同意，</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无权在承包区域中从事任何广告活动或类似宣传， </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有权依照广告法和</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相关的规定责令</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限期改正，并接受处罚；但</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在该区域发布的广告宣传保证不致影响</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的正常工作；</w:t>
      </w:r>
    </w:p>
    <w:p w14:paraId="7E3DC6F2">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不得以</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的名义从事任何经济活动，且由此发生的一切债权、债务与</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无关。</w:t>
      </w:r>
    </w:p>
    <w:p w14:paraId="3D6E8ED1">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在承包期内</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应保证承包区域内的设施、设备良好的运营状况和环境状况，并接受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或其授权人员的检查，对由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引起或造成设施、设备的损坏及环境卫生不理想状况，</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将书面通知</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修复或整改，在书面通知下达一周后，仍未按要求修复或整改，</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将负责完成这一工作，所需费用连同15%行政附加费全部由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承担。</w:t>
      </w:r>
    </w:p>
    <w:p w14:paraId="3D811BDE">
      <w:pPr>
        <w:pStyle w:val="7"/>
        <w:numPr>
          <w:ilvl w:val="0"/>
          <w:numId w:val="39"/>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在承包区域因作业所需增加机械、电力设备及设施应征得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同意，并聘请有资格的</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进行安装、保养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并将施工安装保养记录手册</w:t>
      </w:r>
      <w:r>
        <w:rPr>
          <w:rFonts w:hint="eastAsia" w:ascii="宋体" w:hAnsi="宋体" w:eastAsia="宋体" w:cs="宋体"/>
          <w:color w:val="auto"/>
          <w:sz w:val="24"/>
          <w:szCs w:val="24"/>
          <w:highlight w:val="none"/>
          <w:lang w:val="en-US" w:eastAsia="zh-CN"/>
        </w:rPr>
        <w:t>等相关材料</w:t>
      </w:r>
      <w:r>
        <w:rPr>
          <w:rFonts w:hint="eastAsia" w:ascii="宋体" w:hAnsi="宋体" w:eastAsia="宋体" w:cs="宋体"/>
          <w:color w:val="auto"/>
          <w:sz w:val="24"/>
          <w:szCs w:val="24"/>
          <w:highlight w:val="none"/>
        </w:rPr>
        <w:t>交由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备案。</w:t>
      </w:r>
    </w:p>
    <w:p w14:paraId="5C7B7FA4">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禁止事项</w:t>
      </w:r>
    </w:p>
    <w:p w14:paraId="119565C4">
      <w:pPr>
        <w:pStyle w:val="7"/>
        <w:numPr>
          <w:ilvl w:val="0"/>
          <w:numId w:val="4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不得以任何理由向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工作人员支付费用或赠送实物，违者将终止合同。</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人员也不得以任何形式向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相关人员索取小费或钱物等。</w:t>
      </w:r>
    </w:p>
    <w:p w14:paraId="25D78C47">
      <w:pPr>
        <w:pStyle w:val="7"/>
        <w:numPr>
          <w:ilvl w:val="0"/>
          <w:numId w:val="4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不得在承包区域住宿或从事非法活动，也不得从事有损</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利益的活动，同时不允许在承包区域对</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经营活动进行滋扰性的行为。</w:t>
      </w:r>
    </w:p>
    <w:p w14:paraId="0B13CD3C">
      <w:pPr>
        <w:pStyle w:val="7"/>
        <w:numPr>
          <w:ilvl w:val="0"/>
          <w:numId w:val="4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批准进行必要的维修工程外，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不得损毁承包区域原有的设施和装潢，不得更改已铺设的电缆、电线等电力装置。同时，也不得安装任何可能造成电缆负载过大的电器设备，以免无线电受干扰。</w:t>
      </w:r>
    </w:p>
    <w:p w14:paraId="55F54ABB">
      <w:pPr>
        <w:pStyle w:val="7"/>
        <w:numPr>
          <w:ilvl w:val="0"/>
          <w:numId w:val="4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未获</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书面同意，</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任何时候都不能在承包区域存放易燃物品、挥发性大或气味浓烈的液体等。</w:t>
      </w:r>
    </w:p>
    <w:p w14:paraId="1B9FBEA2">
      <w:pPr>
        <w:numPr>
          <w:ilvl w:val="0"/>
          <w:numId w:val="31"/>
        </w:numPr>
        <w:tabs>
          <w:tab w:val="left" w:pos="3570"/>
          <w:tab w:val="clear" w:pos="0"/>
        </w:tabs>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安全事宜</w:t>
      </w:r>
    </w:p>
    <w:p w14:paraId="7E5ACC4E">
      <w:pPr>
        <w:pStyle w:val="7"/>
        <w:numPr>
          <w:ilvl w:val="0"/>
          <w:numId w:val="4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在承包期间，</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所有人员仅与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建立劳动合同关系，按《中华人民共和国劳动合同法》和政府有关各部门规定为全体服务人员交纳所有相关的社会保险及其他相关费用。</w:t>
      </w:r>
    </w:p>
    <w:p w14:paraId="21872D78">
      <w:pPr>
        <w:pStyle w:val="7"/>
        <w:numPr>
          <w:ilvl w:val="0"/>
          <w:numId w:val="4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人员发生任何事故或与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发生劳动争议均由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自行全权负责，相关费用</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自行承担，以保证</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在</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lang w:eastAsia="zh-CN"/>
        </w:rPr>
        <w:t>人员索赔时不受任何责任的约束。</w:t>
      </w:r>
    </w:p>
    <w:p w14:paraId="0C5CC0A9">
      <w:pPr>
        <w:pStyle w:val="7"/>
        <w:numPr>
          <w:ilvl w:val="0"/>
          <w:numId w:val="4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的责任区内由于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原因导致第三方的事故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负责，</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不承担任何责任。</w:t>
      </w:r>
    </w:p>
    <w:p w14:paraId="54196E37">
      <w:pPr>
        <w:pStyle w:val="7"/>
        <w:numPr>
          <w:ilvl w:val="0"/>
          <w:numId w:val="41"/>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及其员工遵守行政大楼内的一切行政管理、消防安全等规定和制度，保证承包区域的消防设施能正常使用，消防通道畅通，同时承担违规责任。</w:t>
      </w:r>
    </w:p>
    <w:p w14:paraId="68A2919E">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考核及其他要求</w:t>
      </w:r>
    </w:p>
    <w:p w14:paraId="1CEF019F">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考核时间及评定方法</w:t>
      </w:r>
    </w:p>
    <w:p w14:paraId="1594C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本项目考核采用百分制，每月考核一次，并按以下原则评定考核等级，具体如下：</w:t>
      </w:r>
    </w:p>
    <w:p w14:paraId="7B8070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优秀：考核分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95分，</w:t>
      </w:r>
      <w:r>
        <w:rPr>
          <w:rFonts w:hint="eastAsia" w:ascii="宋体" w:hAnsi="宋体" w:cs="宋体"/>
          <w:color w:val="auto"/>
          <w:sz w:val="24"/>
          <w:highlight w:val="none"/>
          <w:lang w:val="en-US" w:eastAsia="zh-CN"/>
        </w:rPr>
        <w:t>甲方不作扣罚</w:t>
      </w:r>
      <w:r>
        <w:rPr>
          <w:rFonts w:hint="eastAsia" w:ascii="宋体" w:hAnsi="宋体" w:cs="宋体"/>
          <w:color w:val="auto"/>
          <w:sz w:val="24"/>
          <w:highlight w:val="none"/>
        </w:rPr>
        <w:t>；</w:t>
      </w:r>
    </w:p>
    <w:p w14:paraId="57E784B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良好：90</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考核分</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95分，按</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00元/分在当期物业管理服务费用中扣除；</w:t>
      </w:r>
    </w:p>
    <w:p w14:paraId="3C0A32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中等</w:t>
      </w:r>
      <w:r>
        <w:rPr>
          <w:rFonts w:hint="eastAsia" w:ascii="宋体" w:hAnsi="宋体" w:cs="宋体"/>
          <w:color w:val="auto"/>
          <w:sz w:val="24"/>
          <w:highlight w:val="none"/>
        </w:rPr>
        <w:t>：8</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分≤考核分＜9</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分，按300元/分在当期物业管理服务费用中扣除；</w:t>
      </w:r>
    </w:p>
    <w:p w14:paraId="05B673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：8</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分≤考核分＜</w:t>
      </w:r>
      <w:r>
        <w:rPr>
          <w:rFonts w:hint="eastAsia" w:ascii="宋体" w:hAnsi="宋体" w:cs="宋体"/>
          <w:color w:val="auto"/>
          <w:sz w:val="24"/>
          <w:highlight w:val="none"/>
          <w:lang w:val="en-US" w:eastAsia="zh-CN"/>
        </w:rPr>
        <w:t>85</w:t>
      </w:r>
      <w:r>
        <w:rPr>
          <w:rFonts w:hint="eastAsia" w:ascii="宋体" w:hAnsi="宋体" w:cs="宋体"/>
          <w:color w:val="auto"/>
          <w:sz w:val="24"/>
          <w:highlight w:val="none"/>
        </w:rPr>
        <w:t>分，按500元/分在当期物业管理服务费用中扣除；</w:t>
      </w:r>
    </w:p>
    <w:p w14:paraId="0F2A36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不合格：考核分＜80分，</w:t>
      </w:r>
      <w:r>
        <w:rPr>
          <w:rFonts w:hint="eastAsia" w:ascii="宋体" w:hAnsi="宋体" w:cs="宋体"/>
          <w:color w:val="auto"/>
          <w:sz w:val="24"/>
          <w:highlight w:val="none"/>
        </w:rPr>
        <w:t>按</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00元/分在当期物业管理服务费用中扣除</w:t>
      </w:r>
      <w:r>
        <w:rPr>
          <w:rFonts w:hint="eastAsia" w:ascii="宋体" w:hAnsi="宋体" w:cs="宋体"/>
          <w:color w:val="auto"/>
          <w:sz w:val="24"/>
          <w:highlight w:val="none"/>
          <w:lang w:val="en-US" w:eastAsia="zh-CN"/>
        </w:rPr>
        <w:t>并予以口头警告；</w:t>
      </w:r>
      <w:r>
        <w:rPr>
          <w:rFonts w:hint="eastAsia" w:ascii="宋体" w:hAnsi="宋体" w:cs="宋体"/>
          <w:color w:val="auto"/>
          <w:sz w:val="24"/>
          <w:highlight w:val="none"/>
        </w:rPr>
        <w:t>连续两个月属于不合格的，</w:t>
      </w:r>
      <w:r>
        <w:rPr>
          <w:rFonts w:hint="eastAsia" w:ascii="宋体" w:hAnsi="宋体" w:cs="宋体"/>
          <w:color w:val="auto"/>
          <w:sz w:val="24"/>
          <w:highlight w:val="none"/>
          <w:lang w:val="en-US" w:eastAsia="zh-CN"/>
        </w:rPr>
        <w:t>除以上处罚外，</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有权单方面与服务单位终止服务合同。</w:t>
      </w:r>
    </w:p>
    <w:p w14:paraId="17FFA35D">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考核方式</w:t>
      </w:r>
    </w:p>
    <w:p w14:paraId="0F075B56">
      <w:pPr>
        <w:numPr>
          <w:ilvl w:val="0"/>
          <w:numId w:val="4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检查形式</w:t>
      </w:r>
    </w:p>
    <w:p w14:paraId="45E1F2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月度考核检查由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组织相关人员每月对现场检查发现的问题为依据进行考核，平时巡查考核、月度考核相结合，对工作台账进行抽查，对热点难点解决情况进行督察，对上级主要工作、重大活动安排及有关创建评比活动有针对性地开展检查，对发现的问题进行告知，要求落实整改，并根据相关考核细则进行评分。</w:t>
      </w:r>
    </w:p>
    <w:p w14:paraId="40DF54FE">
      <w:pPr>
        <w:numPr>
          <w:ilvl w:val="0"/>
          <w:numId w:val="4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评分依据</w:t>
      </w:r>
    </w:p>
    <w:p w14:paraId="1220F85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评分依据为考核细则。</w:t>
      </w:r>
    </w:p>
    <w:p w14:paraId="3246D7A3">
      <w:pPr>
        <w:numPr>
          <w:ilvl w:val="0"/>
          <w:numId w:val="4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成绩计算方式</w:t>
      </w:r>
    </w:p>
    <w:p w14:paraId="770E1A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按照考核细则，实行分级分类考核，考核基准分为100分，实行倒扣分制，通过每月的不定期巡查、综合考评进行打分，以平均分作为最终得分。</w:t>
      </w:r>
    </w:p>
    <w:p w14:paraId="67260BBE">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考核结果的运用</w:t>
      </w:r>
    </w:p>
    <w:p w14:paraId="0DCC06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考核成绩将作为每月物业服务费付款依据。</w:t>
      </w:r>
    </w:p>
    <w:p w14:paraId="47DE6D8D">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考核细则</w:t>
      </w:r>
    </w:p>
    <w:tbl>
      <w:tblPr>
        <w:tblStyle w:val="29"/>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5602"/>
        <w:gridCol w:w="682"/>
        <w:gridCol w:w="721"/>
      </w:tblGrid>
      <w:tr w14:paraId="1294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0"/>
            <w:vAlign w:val="center"/>
          </w:tcPr>
          <w:p w14:paraId="68449A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项目及分值</w:t>
            </w:r>
          </w:p>
        </w:tc>
        <w:tc>
          <w:tcPr>
            <w:tcW w:w="5602" w:type="dxa"/>
            <w:noWrap w:val="0"/>
            <w:vAlign w:val="center"/>
          </w:tcPr>
          <w:p w14:paraId="6821B0B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考核内容及标准</w:t>
            </w:r>
          </w:p>
        </w:tc>
        <w:tc>
          <w:tcPr>
            <w:tcW w:w="682" w:type="dxa"/>
            <w:noWrap w:val="0"/>
            <w:vAlign w:val="center"/>
          </w:tcPr>
          <w:p w14:paraId="47E5023A">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721" w:type="dxa"/>
            <w:noWrap w:val="0"/>
            <w:vAlign w:val="center"/>
          </w:tcPr>
          <w:p w14:paraId="724AA42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备往</w:t>
            </w:r>
          </w:p>
        </w:tc>
      </w:tr>
      <w:tr w14:paraId="0B4A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492EBE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一、遵守各项规章制度</w:t>
            </w:r>
          </w:p>
          <w:p w14:paraId="1E4ED9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602" w:type="dxa"/>
            <w:noWrap w:val="0"/>
            <w:vAlign w:val="center"/>
          </w:tcPr>
          <w:p w14:paraId="470701E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1.按时上下班，不迟到不早退，按规定穿工作服上岗，坚守上作岗位</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5292D956">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50CC6CB5">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65E8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16CF2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B2ACA9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2.工作时间不干私物，不干与本职无关的事</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75D86AC0">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9986998">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7B9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E3A3A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83BF27D">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3.不喝酒上岗，工作时间不吸烟，不吃零食</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69D80B8B">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2B70CF2D">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39D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1F7F1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14F3358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4.医院内捡拾的一切物品一律上交，医院财物不得私自带走。严禁偷盗行为，对服务对象赠送的物品应向主管人员报告，经批准后方可带走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35E6AE90">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4BDDADCC">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1F37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296E34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B7EF58D">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5.认真做好防偷防盗、防火等安全生产工作，发现可疑情况立即汇报</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2CD386CA">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3264CFB2">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0C22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1159DF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二、服务态度</w:t>
            </w:r>
          </w:p>
          <w:p w14:paraId="0047FC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page"/>
            </w:r>
          </w:p>
        </w:tc>
        <w:tc>
          <w:tcPr>
            <w:tcW w:w="5602" w:type="dxa"/>
            <w:noWrap w:val="0"/>
            <w:vAlign w:val="center"/>
          </w:tcPr>
          <w:p w14:paraId="7A815DCE">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1.服从医院的管理，对应急性任务能及时完成</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42904C4E">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4B34ED13">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00A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4F5C3B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3BCB277D">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2.主动为服务对象服务，有较强的责任性，想病人所想，为病人提供热情、细心、周到的服务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3432EA5F">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4974EF63">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8D7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AB827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751584D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3.语言文明，举止大方，不与服务服务对象发生争吵不高声喧哗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01AF2630">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20FD42E8">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14DEA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FAE81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68C0B3C4">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.及时关闭水、电，做好节能消耗工作，对一切浪费行为及时阻止</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51B9DFE8">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BFE745F">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6FA2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23DCF1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378601E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.对病人提出的问题能主动回答，自己不能回答的要主动联系科室负责人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eastAsia="zh-CN"/>
              </w:rPr>
              <w:t>）</w:t>
            </w:r>
          </w:p>
        </w:tc>
        <w:tc>
          <w:tcPr>
            <w:tcW w:w="682" w:type="dxa"/>
            <w:noWrap w:val="0"/>
            <w:vAlign w:val="center"/>
          </w:tcPr>
          <w:p w14:paraId="25F0AB44">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36885040">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3FA7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11CE4F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、人员培训</w:t>
            </w:r>
          </w:p>
          <w:p w14:paraId="571EA0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602" w:type="dxa"/>
            <w:noWrap w:val="0"/>
            <w:vAlign w:val="center"/>
          </w:tcPr>
          <w:p w14:paraId="00F52EC9">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1.新来员工必须进行上岗前培训，有记录。书面知识与实践操作相结合，包括医院内部科室分布、各项规章制度，保洁要求、院感要求、自我防护、文明用语举止等</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534F511A">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212F72DF">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04A5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5909B6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7D9AC36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2.组织员工进行安全意识，服务态度，操作技能的培训每月不少于一次</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0052B5BB">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48633BCF">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8AF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77DDA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482A651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每季一次对全体人员进行岗位培训，分析工作中存在的问题，以及新的工作要求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5435DD9A">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1B25359E">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3DEA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3EA559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、院感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602" w:type="dxa"/>
            <w:noWrap w:val="0"/>
            <w:vAlign w:val="center"/>
          </w:tcPr>
          <w:p w14:paraId="4C5F4A2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1.工具按颜色、规定摆放合理，符合院感要求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1288D57D">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A8FB7DA">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3318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06B84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38C8070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2.消毒药剂配比符合消杀浓度，消毒程序规范，物品达到消毒目的，清洁液、消毒液符合医用要求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608AAEBF">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30CC7EE1">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2C4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55FB8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D92668C">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3.防止交叉感染，每一专项卫生必须要有专用清洁工具，结束后按规定存放，同时员工要规定清洗手后再重来另一项工种。下班时要清洗手及更换工作衣后才可以离岗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40C39832">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6E0EA289">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7C15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6397E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47F8DF6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4.医疗垃圾按规范存贮处理，帐目齐全，防止二次污染，严禁有生活垃圾掺入，生活垃圾及时倾倒不能超过垃圾桶2/3，运输车辆干净不渗漏，不产生二次污染</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2BD027B3">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7E57F77C">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3BEA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6A9A0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23DA19A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5.出院病人在出院后3分钟内做好终末消毒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388E27DB">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6CB0B98A">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E5A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765751A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清洁卫生</w:t>
            </w:r>
          </w:p>
          <w:p w14:paraId="03279E7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20分</w:t>
            </w:r>
            <w:r>
              <w:rPr>
                <w:rFonts w:hint="eastAsia" w:ascii="宋体" w:hAnsi="宋体" w:eastAsia="宋体" w:cs="宋体"/>
                <w:color w:val="auto"/>
                <w:sz w:val="21"/>
                <w:szCs w:val="21"/>
                <w:highlight w:val="none"/>
                <w:lang w:eastAsia="zh-CN"/>
              </w:rPr>
              <w:t>）</w:t>
            </w:r>
          </w:p>
          <w:p w14:paraId="1FA5504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tc>
        <w:tc>
          <w:tcPr>
            <w:tcW w:w="5602" w:type="dxa"/>
            <w:noWrap w:val="0"/>
            <w:vAlign w:val="center"/>
          </w:tcPr>
          <w:p w14:paraId="64181D16">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1.整体感觉整洁明亮，表面无积灰、物品摆放有序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30C870D6">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6D13B134">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873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3FF38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7CBD6AD5">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2.无棚、灯饰干净无积灰，墙角无蜘蛛网家俱、设备表面无灰尘、无水迹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32872256">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745145FD">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4D2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E5DEDA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2BCBA799">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3.墙面无污迹、无灰尘，无乱贴乱画、无挂衣物，乳胶墙面每周用掸子进行掸尘，墙地砖墙面每季度用全能清洁剂清洗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32B23242">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A3C9C52">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16EB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604B4B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5EC8E0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.地面无烟蒂，纸宵、痰迹、污迹、泥沙，整体要有较强的光洁度。雨雪天保持地面干燥无水迹，做好防滑工作，发现垃圾杂物及时清理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03102D41">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56A2A1F8">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4D4D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2A157E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133EB074">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.卫生间保持清洁无明显异味、无污垢，水池、下水道保持通畅，镜子清洗明亮无污迹及污渍，每天不少于二次保洁，洁具每天消毒无明显黄迹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43735567">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3B49E163">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7AE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046302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58F81C8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.不锈钢器具表面清洁光亮无积灰、无污迹，防止硬物划伤，每月上油保养</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51D15444">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4DCA0AED">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7D74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72FA97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2E3185E5">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.玻璃门、窗及框明亮无污迹、无尘、无手印，主要场所每周对玻璃清统一次.普通场所每季度一次请洗，框槽每周清扫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06D1AB0D">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33471E9">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4AF8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8935F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073DE2A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.垃圾分类处理，按规定套放垃圾袋。垃圾箱内外保持清洁，无积水、无异味，箱内垃圾超过2/3及时频倒，每天下班前将垃圾桶擦洗干净并消毒</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064CC069">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0C62F819">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19D3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15EDF38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3A85EBE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.顶棚、露天阳台每周巡视，沟槽无阻塞，地面无垃圾，</w:t>
            </w:r>
          </w:p>
          <w:p w14:paraId="53FDB9A0">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玻璃雨棚每月一次冲洗</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4BD7F75F">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23545C21">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5C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6A66938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6EAD3F8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.道路清洗，广场干净，花盆内无烟蒂草坪无垃圾</w:t>
            </w:r>
            <w:r>
              <w:rPr>
                <w:rFonts w:hint="eastAsia" w:ascii="宋体" w:hAnsi="宋体" w:cs="宋体"/>
                <w:color w:val="auto"/>
                <w:sz w:val="21"/>
                <w:szCs w:val="21"/>
                <w:highlight w:val="none"/>
                <w:lang w:eastAsia="zh-CN"/>
              </w:rPr>
              <w:t>。</w:t>
            </w:r>
          </w:p>
          <w:p w14:paraId="7C31961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682" w:type="dxa"/>
            <w:noWrap w:val="0"/>
            <w:vAlign w:val="center"/>
          </w:tcPr>
          <w:p w14:paraId="5C9AD358">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1FB5E2D9">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92C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restart"/>
            <w:noWrap w:val="0"/>
            <w:vAlign w:val="center"/>
          </w:tcPr>
          <w:p w14:paraId="0A561022">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科室考核</w:t>
            </w:r>
          </w:p>
          <w:p w14:paraId="67C11477">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5602" w:type="dxa"/>
            <w:noWrap w:val="0"/>
            <w:vAlign w:val="center"/>
          </w:tcPr>
          <w:p w14:paraId="11F6ECF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1.每月一次有科室组织对保洁公司人员考核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28FE058A">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37A62F87">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5137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4296F3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0C90622B">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.公司有考核制度，每月一次向医院反馈，有质量持续改进措施成效明显</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78A66390">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7F365FFE">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6B7B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vMerge w:val="continue"/>
            <w:noWrap w:val="0"/>
            <w:vAlign w:val="center"/>
          </w:tcPr>
          <w:p w14:paraId="363EC6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p>
        </w:tc>
        <w:tc>
          <w:tcPr>
            <w:tcW w:w="5602" w:type="dxa"/>
            <w:noWrap w:val="0"/>
            <w:vAlign w:val="center"/>
          </w:tcPr>
          <w:p w14:paraId="6077EA1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.对考核存在问题能及时纠正</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eastAsia="zh-CN"/>
              </w:rPr>
              <w:t>）</w:t>
            </w:r>
          </w:p>
        </w:tc>
        <w:tc>
          <w:tcPr>
            <w:tcW w:w="682" w:type="dxa"/>
            <w:noWrap w:val="0"/>
            <w:vAlign w:val="center"/>
          </w:tcPr>
          <w:p w14:paraId="356BAA72">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2BDAC9AC">
            <w:pPr>
              <w:autoSpaceDE w:val="0"/>
              <w:autoSpaceDN w:val="0"/>
              <w:adjustRightInd w:val="0"/>
              <w:spacing w:line="360" w:lineRule="auto"/>
              <w:jc w:val="both"/>
              <w:rPr>
                <w:rFonts w:hint="eastAsia" w:ascii="宋体" w:hAnsi="宋体" w:eastAsia="宋体" w:cs="宋体"/>
                <w:color w:val="auto"/>
                <w:sz w:val="21"/>
                <w:szCs w:val="21"/>
                <w:highlight w:val="none"/>
              </w:rPr>
            </w:pPr>
          </w:p>
        </w:tc>
      </w:tr>
      <w:tr w14:paraId="2656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0"/>
            <w:vAlign w:val="center"/>
          </w:tcPr>
          <w:p w14:paraId="118B47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七</w:t>
            </w:r>
            <w:r>
              <w:rPr>
                <w:rFonts w:hint="eastAsia" w:ascii="宋体" w:hAnsi="宋体" w:eastAsia="宋体" w:cs="宋体"/>
                <w:color w:val="auto"/>
                <w:sz w:val="21"/>
                <w:szCs w:val="21"/>
                <w:highlight w:val="none"/>
              </w:rPr>
              <w:t>、综合评价</w:t>
            </w:r>
          </w:p>
          <w:p w14:paraId="1DCECCF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5602" w:type="dxa"/>
            <w:noWrap w:val="0"/>
            <w:vAlign w:val="center"/>
          </w:tcPr>
          <w:p w14:paraId="420EE574">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考核组成员对保洁公司综合评价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82" w:type="dxa"/>
            <w:noWrap w:val="0"/>
            <w:vAlign w:val="center"/>
          </w:tcPr>
          <w:p w14:paraId="6A843874">
            <w:pPr>
              <w:autoSpaceDE w:val="0"/>
              <w:autoSpaceDN w:val="0"/>
              <w:adjustRightInd w:val="0"/>
              <w:spacing w:line="360" w:lineRule="auto"/>
              <w:jc w:val="both"/>
              <w:rPr>
                <w:rFonts w:hint="eastAsia" w:ascii="宋体" w:hAnsi="宋体" w:eastAsia="宋体" w:cs="宋体"/>
                <w:color w:val="auto"/>
                <w:sz w:val="21"/>
                <w:szCs w:val="21"/>
                <w:highlight w:val="none"/>
              </w:rPr>
            </w:pPr>
          </w:p>
        </w:tc>
        <w:tc>
          <w:tcPr>
            <w:tcW w:w="721" w:type="dxa"/>
            <w:noWrap w:val="0"/>
            <w:vAlign w:val="center"/>
          </w:tcPr>
          <w:p w14:paraId="5EE52CBE">
            <w:pPr>
              <w:autoSpaceDE w:val="0"/>
              <w:autoSpaceDN w:val="0"/>
              <w:adjustRightInd w:val="0"/>
              <w:spacing w:line="360" w:lineRule="auto"/>
              <w:jc w:val="both"/>
              <w:rPr>
                <w:rFonts w:hint="eastAsia" w:ascii="宋体" w:hAnsi="宋体" w:eastAsia="宋体" w:cs="宋体"/>
                <w:color w:val="auto"/>
                <w:sz w:val="21"/>
                <w:szCs w:val="21"/>
                <w:highlight w:val="none"/>
              </w:rPr>
            </w:pPr>
          </w:p>
        </w:tc>
      </w:tr>
    </w:tbl>
    <w:p w14:paraId="64A692E9">
      <w:pPr>
        <w:autoSpaceDE w:val="0"/>
        <w:autoSpaceDN w:val="0"/>
        <w:adjustRightIn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注：本办法由</w:t>
      </w:r>
      <w:r>
        <w:rPr>
          <w:rFonts w:hint="eastAsia" w:ascii="宋体" w:hAnsi="宋体" w:cs="宋体"/>
          <w:color w:val="auto"/>
          <w:sz w:val="24"/>
          <w:highlight w:val="none"/>
          <w:lang w:eastAsia="zh-CN"/>
        </w:rPr>
        <w:t>甲方</w:t>
      </w:r>
      <w:r>
        <w:rPr>
          <w:rFonts w:hint="eastAsia" w:ascii="宋体" w:hAnsi="宋体" w:cs="宋体"/>
          <w:color w:val="auto"/>
          <w:sz w:val="24"/>
          <w:highlight w:val="none"/>
        </w:rPr>
        <w:t>负责解释，可根据实际情况</w:t>
      </w:r>
      <w:r>
        <w:rPr>
          <w:rFonts w:hint="eastAsia" w:ascii="宋体" w:hAnsi="宋体" w:cs="宋体"/>
          <w:color w:val="auto"/>
          <w:sz w:val="24"/>
          <w:highlight w:val="none"/>
          <w:lang w:eastAsia="zh-CN"/>
        </w:rPr>
        <w:t>调整</w:t>
      </w:r>
      <w:r>
        <w:rPr>
          <w:rFonts w:hint="eastAsia" w:ascii="宋体" w:hAnsi="宋体" w:cs="宋体"/>
          <w:color w:val="auto"/>
          <w:sz w:val="24"/>
          <w:highlight w:val="none"/>
        </w:rPr>
        <w:t>。</w:t>
      </w:r>
    </w:p>
    <w:p w14:paraId="52A0EA7D">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服务费用及付款方式</w:t>
      </w:r>
    </w:p>
    <w:p w14:paraId="20FBE96D">
      <w:pPr>
        <w:numPr>
          <w:ilvl w:val="0"/>
          <w:numId w:val="44"/>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费用标准</w:t>
      </w:r>
    </w:p>
    <w:p w14:paraId="463625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本合同物业服务费用共计为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p w14:paraId="3CB05C77">
      <w:pPr>
        <w:numPr>
          <w:ilvl w:val="0"/>
          <w:numId w:val="44"/>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费用包括但不限于人员工资（包括加班费）、福利、奖金（过节费、高温费、伙食费、住宿费等）、保洁工具及部分耗材、工程维修设备工具、机械及车辆、绿化养护、</w:t>
      </w:r>
      <w:r>
        <w:rPr>
          <w:rFonts w:hint="eastAsia" w:ascii="宋体" w:hAnsi="宋体" w:cs="宋体"/>
          <w:color w:val="auto"/>
          <w:sz w:val="24"/>
          <w:highlight w:val="none"/>
          <w:lang w:eastAsia="zh-CN"/>
        </w:rPr>
        <w:t>垃圾清运、药品运送、</w:t>
      </w:r>
      <w:r>
        <w:rPr>
          <w:rFonts w:hint="eastAsia" w:ascii="宋体" w:hAnsi="宋体" w:cs="宋体"/>
          <w:color w:val="auto"/>
          <w:sz w:val="24"/>
          <w:highlight w:val="none"/>
        </w:rPr>
        <w:t>保险、服装、办公用品、利润、管理、税金及不可预见费用（如突击工作费等）等完成本项目的全部费用。</w:t>
      </w:r>
    </w:p>
    <w:p w14:paraId="5F3C5F27">
      <w:pPr>
        <w:numPr>
          <w:ilvl w:val="0"/>
          <w:numId w:val="44"/>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付款方式及要求</w:t>
      </w:r>
    </w:p>
    <w:p w14:paraId="6FF8617F">
      <w:pPr>
        <w:numPr>
          <w:ilvl w:val="0"/>
          <w:numId w:val="0"/>
        </w:num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3.1 付款方式</w:t>
      </w:r>
    </w:p>
    <w:p w14:paraId="3380C8AA">
      <w:pPr>
        <w:numPr>
          <w:ilvl w:val="0"/>
          <w:numId w:val="45"/>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甲方</w:t>
      </w:r>
      <w:r>
        <w:rPr>
          <w:rFonts w:hint="eastAsia" w:ascii="宋体" w:hAnsi="宋体" w:cs="宋体"/>
          <w:color w:val="auto"/>
          <w:sz w:val="24"/>
          <w:highlight w:val="none"/>
        </w:rPr>
        <w:t>在合同生效以及具备实施条件后7个工作日内向</w:t>
      </w:r>
      <w:r>
        <w:rPr>
          <w:rFonts w:hint="eastAsia" w:ascii="宋体" w:hAnsi="宋体" w:cs="宋体"/>
          <w:color w:val="auto"/>
          <w:sz w:val="24"/>
          <w:highlight w:val="none"/>
          <w:lang w:eastAsia="zh-CN"/>
        </w:rPr>
        <w:t>乙方</w:t>
      </w:r>
      <w:r>
        <w:rPr>
          <w:rFonts w:hint="eastAsia" w:ascii="宋体" w:hAnsi="宋体" w:cs="宋体"/>
          <w:color w:val="auto"/>
          <w:sz w:val="24"/>
          <w:highlight w:val="none"/>
        </w:rPr>
        <w:t>支付2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%的合同款作为预付款，</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需提交银行、保险公司等金融机构出具的预付款保函或其他担保措施；</w:t>
      </w:r>
    </w:p>
    <w:p w14:paraId="617CDA53">
      <w:pPr>
        <w:numPr>
          <w:ilvl w:val="0"/>
          <w:numId w:val="45"/>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剩余服务费按合同约定的价款按月平均支付，应先做后付，以每月考核结果来确定当月支付款额，在次月底前支付上月经考核后的服务费。（其中合同终止期最后一个月的经费支付应同时递交保洁员工工资已发放清单）</w:t>
      </w:r>
    </w:p>
    <w:p w14:paraId="1440BD1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特殊条款：</w:t>
      </w:r>
    </w:p>
    <w:p w14:paraId="17D2FFDB">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如乙方根据《浙江省财政厅关于进一步发挥政府采购政策功能全力推动经济稳进提质的通知》[浙财采监〔2022）3号]文件，在签订合同时，乙方明确表示无需预付款或者主动要求降低预付款比例的，需提交相应申请函经甲方确认后，可不适用前述付款方式，按以下方式执行：</w:t>
      </w:r>
    </w:p>
    <w:p w14:paraId="088F9BEA">
      <w:pPr>
        <w:spacing w:line="360" w:lineRule="auto"/>
        <w:ind w:firstLine="480" w:firstLineChars="200"/>
        <w:rPr>
          <w:rFonts w:hint="eastAsia" w:eastAsia="宋体"/>
          <w:color w:val="auto"/>
          <w:highlight w:val="none"/>
          <w:lang w:eastAsia="zh-CN"/>
        </w:rPr>
      </w:pP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在合同生效</w:t>
      </w:r>
      <w:r>
        <w:rPr>
          <w:rFonts w:hint="eastAsia" w:ascii="宋体" w:hAnsi="宋体" w:cs="宋体"/>
          <w:color w:val="auto"/>
          <w:sz w:val="24"/>
          <w:highlight w:val="none"/>
          <w:lang w:val="en-US" w:eastAsia="zh-CN"/>
        </w:rPr>
        <w:t>后</w:t>
      </w:r>
      <w:r>
        <w:rPr>
          <w:rFonts w:hint="eastAsia" w:ascii="宋体" w:hAnsi="宋体" w:cs="宋体"/>
          <w:color w:val="auto"/>
          <w:sz w:val="24"/>
          <w:highlight w:val="none"/>
        </w:rPr>
        <w:t>按合同约定的价款按月平均支付，应先做后付，以每月考核结果来确定当月支付款额，在次月底前支付上月经考核后的服务费。（其中合同终止期最后一个月的经费支付应同时递交保洁员工工资已发放清单）</w:t>
      </w:r>
      <w:r>
        <w:rPr>
          <w:rFonts w:hint="eastAsia" w:ascii="宋体" w:hAnsi="宋体" w:cs="宋体"/>
          <w:color w:val="auto"/>
          <w:sz w:val="24"/>
          <w:highlight w:val="none"/>
          <w:lang w:eastAsia="zh-CN"/>
        </w:rPr>
        <w:t>。</w:t>
      </w:r>
    </w:p>
    <w:p w14:paraId="20F1DFBE">
      <w:pPr>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3.2 付款条件：</w:t>
      </w:r>
      <w:r>
        <w:rPr>
          <w:rFonts w:hint="eastAsia" w:ascii="宋体" w:hAnsi="宋体" w:cs="宋体"/>
          <w:color w:val="auto"/>
          <w:sz w:val="24"/>
          <w:highlight w:val="none"/>
        </w:rPr>
        <w:t>乙方在收款之前，应向甲方提供等额、合法、有效的发票，甲方凭发票付款。如乙方未按约定提供发票的，甲方有权拒绝付款，直至收到乙方提交的相应发票为止，在此情况下，甲方不承担逾期付款违约责任。</w:t>
      </w:r>
    </w:p>
    <w:p w14:paraId="00D3A9B8">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履约保证金</w:t>
      </w:r>
    </w:p>
    <w:p w14:paraId="0E11E7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乙方在收到中标通知书后，需向甲方提供合同总价1%的履约保证金，在乙方与甲方签订合同前递交。（乙方应当以支票、汇票、本票或者金融机构、保险公司、担保机构出具的保函等非现金形式提交）</w:t>
      </w:r>
    </w:p>
    <w:p w14:paraId="3DC4E40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甲方在服务期结束后向乙方</w:t>
      </w:r>
      <w:r>
        <w:rPr>
          <w:rFonts w:hint="eastAsia" w:ascii="宋体" w:hAnsi="宋体" w:cs="宋体"/>
          <w:color w:val="auto"/>
          <w:sz w:val="24"/>
          <w:highlight w:val="none"/>
          <w:lang w:eastAsia="zh-CN"/>
        </w:rPr>
        <w:t>退还</w:t>
      </w:r>
      <w:r>
        <w:rPr>
          <w:rFonts w:hint="eastAsia" w:ascii="宋体" w:hAnsi="宋体" w:cs="宋体"/>
          <w:color w:val="auto"/>
          <w:sz w:val="24"/>
          <w:highlight w:val="none"/>
        </w:rPr>
        <w:t>全额履约保证金。</w:t>
      </w:r>
    </w:p>
    <w:p w14:paraId="46B6BC50">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双方权利义务</w:t>
      </w:r>
    </w:p>
    <w:p w14:paraId="50007C5C">
      <w:pPr>
        <w:numPr>
          <w:ilvl w:val="0"/>
          <w:numId w:val="46"/>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甲方权利义务</w:t>
      </w:r>
    </w:p>
    <w:p w14:paraId="5617AB2D">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代表和维护产权人、使用人的合法权益；</w:t>
      </w:r>
    </w:p>
    <w:p w14:paraId="63EAC336">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审定乙方拟定的物业管理制度；</w:t>
      </w:r>
    </w:p>
    <w:p w14:paraId="436BA1FA">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检查监督乙方管理工作的实施及制度的执行情况；</w:t>
      </w:r>
    </w:p>
    <w:p w14:paraId="3383733F">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负责收集、整理物业管理所需全部图纸、档案、资料，根据管理需要向乙方提供房屋相关资料和设备、设施的安装、使用和维护保养技术资料；</w:t>
      </w:r>
    </w:p>
    <w:p w14:paraId="1B39FA91">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按期支付物业管理费用；</w:t>
      </w:r>
    </w:p>
    <w:p w14:paraId="4A35B50C">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在不可预见的情况下，如发生煤气泄漏、漏电、火灾、救助人命、协助公安机关执行任务等突发事件的， 甲方应积极配合乙方采取必要的紧急避险措施</w:t>
      </w:r>
      <w:r>
        <w:rPr>
          <w:rFonts w:hint="eastAsia" w:ascii="宋体"/>
          <w:color w:val="auto"/>
          <w:kern w:val="0"/>
          <w:sz w:val="24"/>
          <w:highlight w:val="none"/>
          <w:lang w:eastAsia="zh-CN"/>
        </w:rPr>
        <w:t>；</w:t>
      </w:r>
    </w:p>
    <w:p w14:paraId="72C37830">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提供乙方所需的办公用房</w:t>
      </w:r>
      <w:r>
        <w:rPr>
          <w:rFonts w:hint="eastAsia" w:ascii="宋体"/>
          <w:color w:val="auto"/>
          <w:kern w:val="0"/>
          <w:sz w:val="24"/>
          <w:highlight w:val="none"/>
          <w:lang w:eastAsia="zh-CN"/>
        </w:rPr>
        <w:t>；</w:t>
      </w:r>
    </w:p>
    <w:p w14:paraId="2B15488C">
      <w:pPr>
        <w:numPr>
          <w:ilvl w:val="0"/>
          <w:numId w:val="47"/>
        </w:numPr>
        <w:spacing w:line="360" w:lineRule="auto"/>
        <w:ind w:firstLine="480" w:firstLineChars="200"/>
        <w:jc w:val="left"/>
        <w:rPr>
          <w:rFonts w:hint="eastAsia" w:ascii="宋体"/>
          <w:color w:val="auto"/>
          <w:kern w:val="0"/>
          <w:sz w:val="24"/>
          <w:highlight w:val="none"/>
        </w:rPr>
      </w:pPr>
      <w:r>
        <w:rPr>
          <w:rFonts w:hint="eastAsia" w:ascii="宋体"/>
          <w:color w:val="auto"/>
          <w:kern w:val="0"/>
          <w:sz w:val="24"/>
          <w:highlight w:val="none"/>
        </w:rPr>
        <w:t>甲方监督乙方依照本合同规定内容所进行的管理和服务活动，组织对乙方工作综合考评，如出现乙方管理不善造成甲方重大经济损失的情况，甲方有权终止合同并要求乙方给予赔偿。</w:t>
      </w:r>
    </w:p>
    <w:p w14:paraId="1B69E488">
      <w:pPr>
        <w:numPr>
          <w:ilvl w:val="0"/>
          <w:numId w:val="46"/>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乙方权利义务</w:t>
      </w:r>
    </w:p>
    <w:p w14:paraId="2B548861">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根据有关法律法规、投标文件及本合同的约定，制订物业管理制度、方案，根据甲方核定的物业管理制度、方案自主开展物业日常管理服务活动；</w:t>
      </w:r>
    </w:p>
    <w:p w14:paraId="43DC552C">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按甲方要求及时如实向甲方报告物业管理服务实施情况；</w:t>
      </w:r>
    </w:p>
    <w:p w14:paraId="23FEE6A2">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征得甲方同意可选聘专营公司承担本物业的专项管理业务，但不得将本物业的管理责任转让给第三方；</w:t>
      </w:r>
    </w:p>
    <w:p w14:paraId="3EB28649">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向甲方工作人员和其他使用人告知物业使用的有关规定，并负责监督；</w:t>
      </w:r>
    </w:p>
    <w:p w14:paraId="72266E99">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建立、妥善保管和正确使用本物业相关的管理档案，并负责及时记载有关变更情况；</w:t>
      </w:r>
    </w:p>
    <w:p w14:paraId="44E63419">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对本物业的公用设施不得擅自占用和改变使用功能；</w:t>
      </w:r>
    </w:p>
    <w:p w14:paraId="528FF637">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因乙方在管理中的过错或违反本合同的约定进行管理造成甲方或第三人损失的，乙方应依法承担赔偿责任；</w:t>
      </w:r>
    </w:p>
    <w:p w14:paraId="474602A3">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乙方自行承担办公桌、电脑、打印机、文件柜等自身使用的办公用品， 自行承担所有人员服装费用，但服装样式需经过甲方认可，办公、生活用水、电、通讯费用由乙方自行承担</w:t>
      </w:r>
      <w:r>
        <w:rPr>
          <w:rFonts w:hint="eastAsia" w:ascii="宋体"/>
          <w:color w:val="auto"/>
          <w:kern w:val="0"/>
          <w:sz w:val="24"/>
          <w:highlight w:val="none"/>
          <w:lang w:eastAsia="zh-CN"/>
        </w:rPr>
        <w:t>；</w:t>
      </w:r>
    </w:p>
    <w:p w14:paraId="38E36D2C">
      <w:pPr>
        <w:numPr>
          <w:ilvl w:val="0"/>
          <w:numId w:val="48"/>
        </w:numPr>
        <w:spacing w:line="360" w:lineRule="auto"/>
        <w:ind w:firstLine="480" w:firstLineChars="200"/>
        <w:rPr>
          <w:rFonts w:hint="eastAsia" w:ascii="宋体"/>
          <w:color w:val="auto"/>
          <w:kern w:val="0"/>
          <w:sz w:val="24"/>
          <w:highlight w:val="none"/>
        </w:rPr>
      </w:pPr>
      <w:r>
        <w:rPr>
          <w:rFonts w:hint="eastAsia" w:ascii="宋体"/>
          <w:color w:val="auto"/>
          <w:kern w:val="0"/>
          <w:sz w:val="24"/>
          <w:highlight w:val="none"/>
        </w:rPr>
        <w:t>本合同终止时，乙方必须向甲方移交全部管理用房及物业管理的全部档案资料，确保移交的资料和设备、设施完好无缺。</w:t>
      </w:r>
    </w:p>
    <w:p w14:paraId="561CE057">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乙方的人员配置</w:t>
      </w:r>
    </w:p>
    <w:p w14:paraId="56E119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乙方的人员配置</w:t>
      </w:r>
    </w:p>
    <w:p w14:paraId="092BE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（1）乙方的项目总负责人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1581E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（2）乙方必须采取措施，确保乙方人员稳定，特别是骨干人员。骨干人员变动须经甲方同意，其他人员变动须甲方备案。</w:t>
      </w:r>
    </w:p>
    <w:p w14:paraId="7EE87D1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（3）乙方项目总负责人及各主管须及时与甲方沟通，第一时间报告重大、紧急事件；每月须向甲方汇报上月工作情况，并提供相关报告。</w:t>
      </w:r>
    </w:p>
    <w:p w14:paraId="1F412F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物业人员要求</w:t>
      </w:r>
    </w:p>
    <w:p w14:paraId="635DA2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（1）所有相关人员的配备须获得相关主管部门认证的，须招标文件规定配证并持证上岗，且根据不同岗位统一着装。</w:t>
      </w:r>
    </w:p>
    <w:p w14:paraId="1BE762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（2）所有相关人员要求政治上可靠，身体素质好，无不良行为记录，根据不同岗位分别着装。</w:t>
      </w:r>
    </w:p>
    <w:p w14:paraId="13DB18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（3）重要岗位人员必须由甲方人事部门考核、政治审查通过方可录用。</w:t>
      </w:r>
    </w:p>
    <w:p w14:paraId="5893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（4）为提高物业服务水平，所有物业人员还需进行相关的培训。除乙方对服务人员的培训外，需接受甲方对服务人员的集中进行培训，培训费用由乙方承担。</w:t>
      </w:r>
    </w:p>
    <w:p w14:paraId="21984586">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lang w:val="zh-CN"/>
        </w:rPr>
      </w:pPr>
      <w:r>
        <w:rPr>
          <w:rFonts w:hint="eastAsia" w:ascii="宋体" w:hAnsi="宋体" w:cs="宋体"/>
          <w:b/>
          <w:color w:val="auto"/>
          <w:sz w:val="24"/>
          <w:highlight w:val="none"/>
        </w:rPr>
        <w:t>履约</w:t>
      </w:r>
      <w:r>
        <w:rPr>
          <w:rFonts w:hint="eastAsia" w:ascii="宋体" w:hAnsi="宋体" w:cs="宋体"/>
          <w:b/>
          <w:color w:val="auto"/>
          <w:sz w:val="24"/>
          <w:highlight w:val="none"/>
          <w:lang w:val="zh-CN"/>
        </w:rPr>
        <w:t>验收</w:t>
      </w:r>
    </w:p>
    <w:p w14:paraId="500D71CF">
      <w:pPr>
        <w:numPr>
          <w:ilvl w:val="0"/>
          <w:numId w:val="49"/>
        </w:numPr>
        <w:spacing w:line="34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甲方对乙方安排的各岗位人员依据磋商文件上的要求进行现场验收。</w:t>
      </w:r>
    </w:p>
    <w:p w14:paraId="54AF4887">
      <w:pPr>
        <w:numPr>
          <w:ilvl w:val="0"/>
          <w:numId w:val="49"/>
        </w:numPr>
        <w:wordWrap w:val="0"/>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签订合同后，15天内必须向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递交所有人员清单，包括名字、性别、年龄、身份证号、照片、相关人员证书、岗位等，岗位需满足采购要求，否则均视为未递交人员清单，在履约保证金中按500元/天扣除，履约保证金全部扣没后，</w:t>
      </w:r>
      <w:r>
        <w:rPr>
          <w:rFonts w:hint="eastAsia" w:ascii="宋体" w:hAnsi="宋体" w:cs="宋体"/>
          <w:color w:val="auto"/>
          <w:sz w:val="24"/>
          <w:highlight w:val="none"/>
          <w:lang w:eastAsia="zh-CN"/>
        </w:rPr>
        <w:t>甲方</w:t>
      </w:r>
      <w:r>
        <w:rPr>
          <w:rFonts w:hint="eastAsia" w:ascii="宋体" w:hAnsi="宋体" w:cs="宋体"/>
          <w:color w:val="auto"/>
          <w:sz w:val="24"/>
          <w:highlight w:val="none"/>
        </w:rPr>
        <w:t>有权单方面终止合同。</w:t>
      </w:r>
    </w:p>
    <w:p w14:paraId="0334FA19">
      <w:pPr>
        <w:numPr>
          <w:ilvl w:val="0"/>
          <w:numId w:val="49"/>
        </w:numPr>
        <w:wordWrap w:val="0"/>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服务期间如有人员更换或调动的，需提前7天递交申请，并及时补足符合本项目要求的岗位人员。</w:t>
      </w:r>
    </w:p>
    <w:p w14:paraId="19B95BEF">
      <w:pPr>
        <w:numPr>
          <w:ilvl w:val="0"/>
          <w:numId w:val="49"/>
        </w:numPr>
        <w:wordWrap w:val="0"/>
        <w:topLinePunct/>
        <w:spacing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lang w:eastAsia="zh-CN"/>
        </w:rPr>
        <w:t>甲方</w:t>
      </w:r>
      <w:r>
        <w:rPr>
          <w:rFonts w:hint="eastAsia" w:ascii="宋体" w:hAnsi="宋体" w:cs="宋体"/>
          <w:color w:val="auto"/>
          <w:sz w:val="24"/>
          <w:highlight w:val="none"/>
        </w:rPr>
        <w:t>不定期抽查</w:t>
      </w:r>
      <w:r>
        <w:rPr>
          <w:rFonts w:hint="eastAsia" w:ascii="宋体" w:hAnsi="宋体" w:cs="宋体"/>
          <w:color w:val="auto"/>
          <w:sz w:val="24"/>
          <w:highlight w:val="none"/>
          <w:lang w:eastAsia="zh-CN"/>
        </w:rPr>
        <w:t>乙方</w:t>
      </w:r>
      <w:r>
        <w:rPr>
          <w:rFonts w:hint="eastAsia" w:ascii="宋体" w:hAnsi="宋体" w:cs="宋体"/>
          <w:color w:val="auto"/>
          <w:sz w:val="24"/>
          <w:highlight w:val="none"/>
        </w:rPr>
        <w:t>投入的人员数量，如果抽查时发现</w:t>
      </w:r>
      <w:r>
        <w:rPr>
          <w:rFonts w:hint="eastAsia" w:ascii="宋体" w:hAnsi="宋体" w:cs="宋体"/>
          <w:color w:val="auto"/>
          <w:sz w:val="24"/>
          <w:highlight w:val="none"/>
          <w:lang w:eastAsia="zh-CN"/>
        </w:rPr>
        <w:t>乙方</w:t>
      </w:r>
      <w:r>
        <w:rPr>
          <w:rFonts w:hint="eastAsia" w:ascii="宋体" w:hAnsi="宋体" w:cs="宋体"/>
          <w:color w:val="auto"/>
          <w:sz w:val="24"/>
          <w:highlight w:val="none"/>
        </w:rPr>
        <w:t>安排在岗的人员数量少于投标承诺的数量，</w:t>
      </w:r>
      <w:r>
        <w:rPr>
          <w:rFonts w:hint="eastAsia" w:ascii="宋体" w:hAnsi="宋体" w:cs="宋体"/>
          <w:color w:val="auto"/>
          <w:sz w:val="24"/>
          <w:highlight w:val="none"/>
          <w:lang w:eastAsia="zh-CN"/>
        </w:rPr>
        <w:t>甲方</w:t>
      </w:r>
      <w:r>
        <w:rPr>
          <w:rFonts w:hint="eastAsia" w:ascii="宋体" w:hAnsi="宋体" w:cs="宋体"/>
          <w:color w:val="auto"/>
          <w:sz w:val="24"/>
          <w:highlight w:val="none"/>
        </w:rPr>
        <w:t>可以按中标单价累计在应付款中扣除。如遇因事假、病假等特殊情况的，</w:t>
      </w:r>
      <w:r>
        <w:rPr>
          <w:rFonts w:hint="eastAsia" w:ascii="宋体" w:hAnsi="宋体" w:cs="宋体"/>
          <w:color w:val="auto"/>
          <w:sz w:val="24"/>
          <w:highlight w:val="none"/>
          <w:lang w:eastAsia="zh-CN"/>
        </w:rPr>
        <w:t>乙方</w:t>
      </w:r>
      <w:r>
        <w:rPr>
          <w:rFonts w:hint="eastAsia" w:ascii="宋体" w:hAnsi="宋体" w:cs="宋体"/>
          <w:color w:val="auto"/>
          <w:sz w:val="24"/>
          <w:highlight w:val="none"/>
        </w:rPr>
        <w:t>需及时向</w:t>
      </w:r>
      <w:r>
        <w:rPr>
          <w:rFonts w:hint="eastAsia" w:ascii="宋体" w:hAnsi="宋体" w:cs="宋体"/>
          <w:color w:val="auto"/>
          <w:sz w:val="24"/>
          <w:highlight w:val="none"/>
          <w:lang w:eastAsia="zh-CN"/>
        </w:rPr>
        <w:t>甲方</w:t>
      </w:r>
      <w:r>
        <w:rPr>
          <w:rFonts w:hint="eastAsia" w:ascii="宋体" w:hAnsi="宋体" w:cs="宋体"/>
          <w:color w:val="auto"/>
          <w:sz w:val="24"/>
          <w:highlight w:val="none"/>
        </w:rPr>
        <w:t>报备，否则视为缺岗。</w:t>
      </w:r>
    </w:p>
    <w:p w14:paraId="1527099D">
      <w:pPr>
        <w:numPr>
          <w:ilvl w:val="0"/>
          <w:numId w:val="49"/>
        </w:numPr>
        <w:wordWrap w:val="0"/>
        <w:topLinePunct/>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由于政策或不可抗力等因素引起承包中断，甲方终止承包合同应提前15天通知乙方。</w:t>
      </w:r>
    </w:p>
    <w:p w14:paraId="3946823D">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合同生效和终止</w:t>
      </w:r>
    </w:p>
    <w:p w14:paraId="27F7F0C3">
      <w:pPr>
        <w:numPr>
          <w:ilvl w:val="0"/>
          <w:numId w:val="5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本合同经甲乙双方法定代表人或其委托人签字盖章，由乙方向甲方缴纳履约保证金后生效。</w:t>
      </w:r>
    </w:p>
    <w:p w14:paraId="32495516">
      <w:pPr>
        <w:numPr>
          <w:ilvl w:val="0"/>
          <w:numId w:val="5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终止</w:t>
      </w:r>
    </w:p>
    <w:p w14:paraId="1D4307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提前终止</w:t>
      </w:r>
    </w:p>
    <w:p w14:paraId="57BE46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因乙方在服务期内连续两次物业服务综合考评不合格，甲方可以单方面终止承包。</w:t>
      </w:r>
    </w:p>
    <w:p w14:paraId="52398A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如果乙方在服务期内无理由终止合同，乙方须提前三个月向甲方发出书面通知终止承包，乙方须</w:t>
      </w:r>
      <w:r>
        <w:rPr>
          <w:rFonts w:hint="eastAsia" w:ascii="宋体" w:hAnsi="宋体" w:cs="宋体"/>
          <w:color w:val="auto"/>
          <w:sz w:val="24"/>
          <w:highlight w:val="none"/>
          <w:lang w:eastAsia="zh-CN"/>
        </w:rPr>
        <w:t>支付</w:t>
      </w:r>
      <w:r>
        <w:rPr>
          <w:rFonts w:hint="eastAsia" w:ascii="宋体" w:hAnsi="宋体" w:cs="宋体"/>
          <w:color w:val="auto"/>
          <w:sz w:val="24"/>
          <w:highlight w:val="none"/>
        </w:rPr>
        <w:t>甲方月度承包服务款二倍金额的赔偿金；如果乙方在服务期内突然无理由终止合同，未提前三个月向甲方发出书面通知终止承包，乙方须支付给甲方月度承包服务款三倍金额的赔偿金。</w:t>
      </w:r>
    </w:p>
    <w:p w14:paraId="09742D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如果乙方在服务期内由于乙方原因造成重大责任事故或安全事故，甲方可以单方面终止承包，且乙方须赔偿给甲方造成的经济损失，并须支付给甲方月度承包服务款五倍金额的赔偿金。</w:t>
      </w:r>
    </w:p>
    <w:p w14:paraId="58E507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2.1.4 乙方未能履行合同和遵守有关规定，在甲方发出书面警告后一周内乙方仍无采取补救措施，甲方可立即终止承包。</w:t>
      </w:r>
    </w:p>
    <w:p w14:paraId="2913446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2.1.5 乙方破产</w:t>
      </w:r>
      <w:r>
        <w:rPr>
          <w:rFonts w:hint="eastAsia" w:ascii="宋体" w:hAnsi="宋体" w:cs="宋体"/>
          <w:color w:val="auto"/>
          <w:sz w:val="24"/>
          <w:highlight w:val="none"/>
          <w:lang w:eastAsia="zh-CN"/>
        </w:rPr>
        <w:t>清理</w:t>
      </w:r>
      <w:r>
        <w:rPr>
          <w:rFonts w:hint="eastAsia" w:ascii="宋体" w:hAnsi="宋体" w:cs="宋体"/>
          <w:color w:val="auto"/>
          <w:sz w:val="24"/>
          <w:highlight w:val="none"/>
        </w:rPr>
        <w:t>、重组及兼并等事实发生，或被债权人接管经营，甲方不必通知乙方即可终止承包。</w:t>
      </w:r>
    </w:p>
    <w:p w14:paraId="72808B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协议终止</w:t>
      </w:r>
    </w:p>
    <w:p w14:paraId="68F3284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经双方协商同意，可在任何时候终止协议。</w:t>
      </w:r>
    </w:p>
    <w:p w14:paraId="43D38BD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自然终止</w:t>
      </w:r>
    </w:p>
    <w:p w14:paraId="6B944C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合同规定的承包服务期满</w:t>
      </w:r>
      <w:r>
        <w:rPr>
          <w:rFonts w:hint="eastAsia" w:ascii="宋体" w:hAnsi="宋体" w:cs="宋体"/>
          <w:color w:val="auto"/>
          <w:sz w:val="24"/>
          <w:highlight w:val="none"/>
          <w:lang w:eastAsia="zh-CN"/>
        </w:rPr>
        <w:t>，</w:t>
      </w:r>
      <w:r>
        <w:rPr>
          <w:rFonts w:hint="eastAsia" w:ascii="宋体" w:hAnsi="宋体" w:cs="宋体"/>
          <w:color w:val="auto"/>
          <w:sz w:val="24"/>
          <w:highlight w:val="none"/>
        </w:rPr>
        <w:t>承包自然终止。</w:t>
      </w:r>
    </w:p>
    <w:p w14:paraId="799697C7">
      <w:pPr>
        <w:numPr>
          <w:ilvl w:val="0"/>
          <w:numId w:val="5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不可抗力终止</w:t>
      </w:r>
    </w:p>
    <w:p w14:paraId="5AD98AF4">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服务期内如遇政府原因等不可抗力因素</w:t>
      </w:r>
      <w:r>
        <w:rPr>
          <w:rFonts w:hint="eastAsia" w:ascii="宋体" w:hAnsi="宋体" w:cs="宋体"/>
          <w:color w:val="auto"/>
          <w:sz w:val="24"/>
          <w:highlight w:val="none"/>
        </w:rPr>
        <w:t>，可</w:t>
      </w:r>
      <w:r>
        <w:rPr>
          <w:rFonts w:hint="eastAsia" w:ascii="宋体" w:hAnsi="宋体" w:cs="宋体"/>
          <w:color w:val="auto"/>
          <w:sz w:val="24"/>
          <w:highlight w:val="none"/>
          <w:lang w:val="en-US" w:eastAsia="zh-CN"/>
        </w:rPr>
        <w:t>终止合同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费用按实结算。</w:t>
      </w:r>
    </w:p>
    <w:p w14:paraId="52A5F48C">
      <w:pPr>
        <w:numPr>
          <w:ilvl w:val="0"/>
          <w:numId w:val="5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承包终止后果</w:t>
      </w:r>
    </w:p>
    <w:p w14:paraId="5C10581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终止承包，不影响根据合同规定进行的赔偿、补偿，也不影响履约保证金的效力。</w:t>
      </w:r>
    </w:p>
    <w:p w14:paraId="421B24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  上述2.1条款的终止，乙方的履约保证金作为违约金支付给甲方。</w:t>
      </w:r>
    </w:p>
    <w:p w14:paraId="71CB3A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  承包终止时，双方应进行结算，甲方同时进行乙方承包区域设施、设备状况检查并要求乙方三天内将乙方物品撤离承包区域。</w:t>
      </w:r>
    </w:p>
    <w:p w14:paraId="11ACC7BF">
      <w:pPr>
        <w:numPr>
          <w:ilvl w:val="0"/>
          <w:numId w:val="50"/>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不放弃权利</w:t>
      </w:r>
    </w:p>
    <w:p w14:paraId="5FDCA4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甲方接受乙方的服务，但不放弃对乙方违约行为进行追究的权利；同时，若甲方对乙方某一违约行为放弃进行追究的权利，但不放弃对乙方其他违约行为进行追究的权利。</w:t>
      </w:r>
    </w:p>
    <w:p w14:paraId="261843F4">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lang w:val="en-US" w:eastAsia="zh-CN"/>
        </w:rPr>
        <w:t>争议解决</w:t>
      </w:r>
    </w:p>
    <w:p w14:paraId="0CEA22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1．因本合同及合同有关事项发生的争议，由甲乙双方友好协商解决。协商不成时，可以向有关组织申请调解。合同一方或双方不愿调解或调解不成的，可以通过</w:t>
      </w:r>
      <w:r>
        <w:rPr>
          <w:rFonts w:hint="eastAsia" w:ascii="宋体" w:hAnsi="宋体" w:cs="宋体"/>
          <w:color w:val="auto"/>
          <w:sz w:val="24"/>
          <w:highlight w:val="none"/>
          <w:lang w:val="en-US" w:eastAsia="zh-CN"/>
        </w:rPr>
        <w:t>第</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②</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种</w:t>
      </w:r>
      <w:r>
        <w:rPr>
          <w:rFonts w:hint="eastAsia" w:ascii="宋体" w:hAnsi="宋体" w:cs="宋体"/>
          <w:color w:val="auto"/>
          <w:sz w:val="24"/>
          <w:highlight w:val="none"/>
        </w:rPr>
        <w:t>方式解决争议。</w:t>
      </w:r>
    </w:p>
    <w:p w14:paraId="5F8D69A0">
      <w:pPr>
        <w:numPr>
          <w:ilvl w:val="0"/>
          <w:numId w:val="51"/>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选择仲裁的，向上虞区的仲裁机构申请仲裁；</w:t>
      </w:r>
    </w:p>
    <w:p w14:paraId="546CA90A">
      <w:pPr>
        <w:numPr>
          <w:ilvl w:val="0"/>
          <w:numId w:val="51"/>
        </w:num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通过诉讼方式解决的，向上虞区人民法院起诉。</w:t>
      </w:r>
    </w:p>
    <w:p w14:paraId="59DDF60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如甲乙双方有争议的事项不影响合同其他部分的履行，在争议解决期间，合同其他部分应当继续履行。</w:t>
      </w:r>
    </w:p>
    <w:p w14:paraId="3C647628">
      <w:pPr>
        <w:numPr>
          <w:ilvl w:val="0"/>
          <w:numId w:val="31"/>
        </w:numPr>
        <w:tabs>
          <w:tab w:val="left" w:pos="3570"/>
          <w:tab w:val="clear" w:pos="0"/>
        </w:tabs>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合同</w:t>
      </w:r>
      <w:r>
        <w:rPr>
          <w:rFonts w:hint="eastAsia" w:ascii="宋体" w:hAnsi="宋体" w:cs="宋体"/>
          <w:b/>
          <w:color w:val="auto"/>
          <w:sz w:val="24"/>
          <w:highlight w:val="none"/>
          <w:lang w:val="en-US" w:eastAsia="zh-CN"/>
        </w:rPr>
        <w:t>签订</w:t>
      </w:r>
    </w:p>
    <w:p w14:paraId="4F5D007A">
      <w:pPr>
        <w:numPr>
          <w:ilvl w:val="0"/>
          <w:numId w:val="52"/>
        </w:numPr>
        <w:spacing w:line="34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合同经甲、乙两方签字并加盖单位公章后生效。</w:t>
      </w:r>
    </w:p>
    <w:p w14:paraId="61CCF835">
      <w:pPr>
        <w:numPr>
          <w:ilvl w:val="0"/>
          <w:numId w:val="52"/>
        </w:numPr>
        <w:spacing w:line="34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招标文件、投标文件与本合同具有同等法律效力。</w:t>
      </w:r>
    </w:p>
    <w:p w14:paraId="2EAB1AE3">
      <w:pPr>
        <w:numPr>
          <w:ilvl w:val="0"/>
          <w:numId w:val="52"/>
        </w:numPr>
        <w:spacing w:line="348"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本合同未尽事宜，遵照《中华人民共和国民法典》有关条文执行。</w:t>
      </w:r>
    </w:p>
    <w:p w14:paraId="0E314D44">
      <w:pPr>
        <w:numPr>
          <w:ilvl w:val="0"/>
          <w:numId w:val="52"/>
        </w:numPr>
        <w:spacing w:line="348"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本项目所供货物如涉及柴油动力移动源，柴油动力移动源应当符合低排放要求。</w:t>
      </w:r>
    </w:p>
    <w:p w14:paraId="44ACBC62">
      <w:pPr>
        <w:numPr>
          <w:ilvl w:val="0"/>
          <w:numId w:val="52"/>
        </w:numPr>
        <w:spacing w:line="348" w:lineRule="auto"/>
        <w:ind w:firstLine="482" w:firstLineChars="200"/>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本合同一式</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kern w:val="0"/>
          <w:sz w:val="24"/>
          <w:highlight w:val="none"/>
          <w:u w:val="single"/>
          <w:lang w:val="en-US" w:eastAsia="zh-CN"/>
        </w:rPr>
        <w:t xml:space="preserve">5 </w:t>
      </w:r>
      <w:r>
        <w:rPr>
          <w:rFonts w:hint="eastAsia" w:ascii="宋体" w:hAnsi="宋体" w:cs="宋体"/>
          <w:b/>
          <w:bCs/>
          <w:color w:val="auto"/>
          <w:kern w:val="0"/>
          <w:sz w:val="24"/>
          <w:highlight w:val="none"/>
        </w:rPr>
        <w:t>份，甲方和乙方各执</w:t>
      </w:r>
      <w:r>
        <w:rPr>
          <w:rFonts w:hint="eastAsia" w:ascii="宋体" w:hAnsi="宋体" w:cs="宋体"/>
          <w:b/>
          <w:bCs/>
          <w:color w:val="auto"/>
          <w:kern w:val="0"/>
          <w:sz w:val="24"/>
          <w:highlight w:val="none"/>
          <w:u w:val="single"/>
        </w:rPr>
        <w:t xml:space="preserve"> 2 </w:t>
      </w:r>
      <w:r>
        <w:rPr>
          <w:rFonts w:hint="eastAsia" w:ascii="宋体" w:hAnsi="宋体" w:cs="宋体"/>
          <w:b/>
          <w:bCs/>
          <w:color w:val="auto"/>
          <w:kern w:val="0"/>
          <w:sz w:val="24"/>
          <w:highlight w:val="none"/>
        </w:rPr>
        <w:t>份，</w:t>
      </w:r>
      <w:r>
        <w:rPr>
          <w:rFonts w:hint="eastAsia" w:ascii="宋体" w:hAnsi="宋体" w:cs="宋体"/>
          <w:b/>
          <w:bCs/>
          <w:color w:val="auto"/>
          <w:kern w:val="0"/>
          <w:sz w:val="24"/>
          <w:highlight w:val="none"/>
          <w:lang w:val="en-US" w:eastAsia="zh-CN"/>
        </w:rPr>
        <w:t>上虞区公共资源交易中心执</w:t>
      </w:r>
      <w:r>
        <w:rPr>
          <w:rFonts w:hint="eastAsia" w:ascii="宋体" w:hAnsi="宋体" w:cs="宋体"/>
          <w:b/>
          <w:bCs/>
          <w:color w:val="auto"/>
          <w:kern w:val="0"/>
          <w:sz w:val="24"/>
          <w:highlight w:val="none"/>
          <w:u w:val="single"/>
          <w:lang w:val="en-US" w:eastAsia="zh-CN"/>
        </w:rPr>
        <w:t>1份，</w:t>
      </w:r>
      <w:r>
        <w:rPr>
          <w:rFonts w:hint="eastAsia" w:ascii="宋体" w:hAnsi="宋体" w:cs="宋体"/>
          <w:b/>
          <w:bCs/>
          <w:color w:val="auto"/>
          <w:kern w:val="0"/>
          <w:sz w:val="24"/>
          <w:highlight w:val="none"/>
        </w:rPr>
        <w:t>并由甲方在</w:t>
      </w:r>
      <w:r>
        <w:rPr>
          <w:rFonts w:hint="eastAsia" w:ascii="宋体" w:hAnsi="宋体" w:cs="宋体"/>
          <w:b/>
          <w:bCs/>
          <w:color w:val="auto"/>
          <w:kern w:val="0"/>
          <w:sz w:val="24"/>
          <w:highlight w:val="none"/>
          <w:lang w:val="en-US" w:eastAsia="zh-CN"/>
        </w:rPr>
        <w:t>30</w:t>
      </w:r>
      <w:r>
        <w:rPr>
          <w:rFonts w:hint="eastAsia" w:ascii="宋体" w:hAnsi="宋体" w:cs="宋体"/>
          <w:b/>
          <w:bCs/>
          <w:color w:val="auto"/>
          <w:kern w:val="0"/>
          <w:sz w:val="24"/>
          <w:highlight w:val="none"/>
        </w:rPr>
        <w:t>日内做好政采云平台网上合同创建及备案。</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908"/>
        <w:gridCol w:w="1620"/>
        <w:gridCol w:w="2700"/>
      </w:tblGrid>
      <w:tr w14:paraId="7FED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1691" w:type="dxa"/>
            <w:noWrap w:val="0"/>
            <w:vAlign w:val="center"/>
          </w:tcPr>
          <w:p w14:paraId="18681883">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甲方</w:t>
            </w:r>
          </w:p>
        </w:tc>
        <w:tc>
          <w:tcPr>
            <w:tcW w:w="2908" w:type="dxa"/>
            <w:noWrap w:val="0"/>
            <w:vAlign w:val="center"/>
          </w:tcPr>
          <w:p w14:paraId="1A3724BA">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（盖章）</w:t>
            </w:r>
          </w:p>
        </w:tc>
        <w:tc>
          <w:tcPr>
            <w:tcW w:w="1620" w:type="dxa"/>
            <w:noWrap w:val="0"/>
            <w:vAlign w:val="center"/>
          </w:tcPr>
          <w:p w14:paraId="3481875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乙方</w:t>
            </w:r>
          </w:p>
        </w:tc>
        <w:tc>
          <w:tcPr>
            <w:tcW w:w="2700" w:type="dxa"/>
            <w:noWrap w:val="0"/>
            <w:vAlign w:val="center"/>
          </w:tcPr>
          <w:p w14:paraId="4E34A21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（盖章）</w:t>
            </w:r>
          </w:p>
        </w:tc>
      </w:tr>
      <w:tr w14:paraId="4AF3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1691" w:type="dxa"/>
            <w:noWrap w:val="0"/>
            <w:vAlign w:val="center"/>
          </w:tcPr>
          <w:p w14:paraId="31CFF002">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代表签名</w:t>
            </w:r>
          </w:p>
        </w:tc>
        <w:tc>
          <w:tcPr>
            <w:tcW w:w="2908" w:type="dxa"/>
            <w:noWrap w:val="0"/>
            <w:vAlign w:val="center"/>
          </w:tcPr>
          <w:p w14:paraId="3C0246F1">
            <w:pPr>
              <w:spacing w:line="360" w:lineRule="auto"/>
              <w:jc w:val="center"/>
              <w:rPr>
                <w:rFonts w:hint="eastAsia" w:ascii="宋体" w:hAnsi="宋体" w:cs="宋体"/>
                <w:color w:val="auto"/>
                <w:kern w:val="0"/>
                <w:sz w:val="24"/>
                <w:highlight w:val="none"/>
              </w:rPr>
            </w:pPr>
          </w:p>
        </w:tc>
        <w:tc>
          <w:tcPr>
            <w:tcW w:w="1620" w:type="dxa"/>
            <w:noWrap w:val="0"/>
            <w:vAlign w:val="center"/>
          </w:tcPr>
          <w:p w14:paraId="23BCB3E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代表签名</w:t>
            </w:r>
          </w:p>
        </w:tc>
        <w:tc>
          <w:tcPr>
            <w:tcW w:w="2700" w:type="dxa"/>
            <w:noWrap w:val="0"/>
            <w:vAlign w:val="center"/>
          </w:tcPr>
          <w:p w14:paraId="7AE5D43A">
            <w:pPr>
              <w:spacing w:line="360" w:lineRule="auto"/>
              <w:jc w:val="center"/>
              <w:rPr>
                <w:rFonts w:hint="eastAsia" w:ascii="宋体" w:hAnsi="宋体" w:cs="宋体"/>
                <w:color w:val="auto"/>
                <w:kern w:val="0"/>
                <w:sz w:val="24"/>
                <w:highlight w:val="none"/>
              </w:rPr>
            </w:pPr>
          </w:p>
        </w:tc>
      </w:tr>
      <w:tr w14:paraId="0F9B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691" w:type="dxa"/>
            <w:noWrap w:val="0"/>
            <w:vAlign w:val="center"/>
          </w:tcPr>
          <w:p w14:paraId="24BC701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地址</w:t>
            </w:r>
          </w:p>
        </w:tc>
        <w:tc>
          <w:tcPr>
            <w:tcW w:w="2908" w:type="dxa"/>
            <w:noWrap w:val="0"/>
            <w:vAlign w:val="center"/>
          </w:tcPr>
          <w:p w14:paraId="52C653B4">
            <w:pPr>
              <w:spacing w:line="360" w:lineRule="auto"/>
              <w:jc w:val="center"/>
              <w:rPr>
                <w:rFonts w:hint="eastAsia" w:ascii="宋体" w:hAnsi="宋体" w:cs="宋体"/>
                <w:color w:val="auto"/>
                <w:kern w:val="0"/>
                <w:sz w:val="24"/>
                <w:highlight w:val="none"/>
              </w:rPr>
            </w:pPr>
          </w:p>
        </w:tc>
        <w:tc>
          <w:tcPr>
            <w:tcW w:w="1620" w:type="dxa"/>
            <w:noWrap w:val="0"/>
            <w:vAlign w:val="center"/>
          </w:tcPr>
          <w:p w14:paraId="3BFB7C3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地址</w:t>
            </w:r>
          </w:p>
        </w:tc>
        <w:tc>
          <w:tcPr>
            <w:tcW w:w="2700" w:type="dxa"/>
            <w:noWrap w:val="0"/>
            <w:vAlign w:val="center"/>
          </w:tcPr>
          <w:p w14:paraId="14E6B1DC">
            <w:pPr>
              <w:spacing w:line="360" w:lineRule="auto"/>
              <w:jc w:val="center"/>
              <w:rPr>
                <w:rFonts w:hint="eastAsia" w:ascii="宋体" w:hAnsi="宋体" w:cs="宋体"/>
                <w:color w:val="auto"/>
                <w:kern w:val="0"/>
                <w:sz w:val="24"/>
                <w:highlight w:val="none"/>
              </w:rPr>
            </w:pPr>
          </w:p>
        </w:tc>
      </w:tr>
      <w:tr w14:paraId="450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691" w:type="dxa"/>
            <w:noWrap w:val="0"/>
            <w:vAlign w:val="center"/>
          </w:tcPr>
          <w:p w14:paraId="24DA547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电话</w:t>
            </w:r>
          </w:p>
        </w:tc>
        <w:tc>
          <w:tcPr>
            <w:tcW w:w="2908" w:type="dxa"/>
            <w:noWrap w:val="0"/>
            <w:vAlign w:val="center"/>
          </w:tcPr>
          <w:p w14:paraId="0044E3EC">
            <w:pPr>
              <w:spacing w:line="360" w:lineRule="auto"/>
              <w:jc w:val="center"/>
              <w:rPr>
                <w:rFonts w:hint="eastAsia" w:ascii="宋体" w:hAnsi="宋体" w:cs="宋体"/>
                <w:color w:val="auto"/>
                <w:kern w:val="0"/>
                <w:sz w:val="24"/>
                <w:highlight w:val="none"/>
              </w:rPr>
            </w:pPr>
          </w:p>
        </w:tc>
        <w:tc>
          <w:tcPr>
            <w:tcW w:w="1620" w:type="dxa"/>
            <w:noWrap w:val="0"/>
            <w:vAlign w:val="center"/>
          </w:tcPr>
          <w:p w14:paraId="437E62A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电话</w:t>
            </w:r>
          </w:p>
        </w:tc>
        <w:tc>
          <w:tcPr>
            <w:tcW w:w="2700" w:type="dxa"/>
            <w:noWrap w:val="0"/>
            <w:vAlign w:val="center"/>
          </w:tcPr>
          <w:p w14:paraId="64D6BF71">
            <w:pPr>
              <w:spacing w:line="360" w:lineRule="auto"/>
              <w:jc w:val="center"/>
              <w:rPr>
                <w:rFonts w:hint="eastAsia" w:ascii="宋体" w:hAnsi="宋体" w:cs="宋体"/>
                <w:color w:val="auto"/>
                <w:kern w:val="0"/>
                <w:sz w:val="24"/>
                <w:highlight w:val="none"/>
              </w:rPr>
            </w:pPr>
          </w:p>
        </w:tc>
      </w:tr>
      <w:tr w14:paraId="73A5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691" w:type="dxa"/>
            <w:noWrap w:val="0"/>
            <w:vAlign w:val="center"/>
          </w:tcPr>
          <w:p w14:paraId="4A7B535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2908" w:type="dxa"/>
            <w:noWrap w:val="0"/>
            <w:vAlign w:val="center"/>
          </w:tcPr>
          <w:p w14:paraId="58126C6B">
            <w:pPr>
              <w:spacing w:line="360" w:lineRule="auto"/>
              <w:jc w:val="center"/>
              <w:rPr>
                <w:rFonts w:hint="eastAsia" w:ascii="宋体" w:hAnsi="宋体" w:cs="宋体"/>
                <w:color w:val="auto"/>
                <w:kern w:val="0"/>
                <w:sz w:val="24"/>
                <w:highlight w:val="none"/>
              </w:rPr>
            </w:pPr>
          </w:p>
        </w:tc>
        <w:tc>
          <w:tcPr>
            <w:tcW w:w="1620" w:type="dxa"/>
            <w:noWrap w:val="0"/>
            <w:vAlign w:val="center"/>
          </w:tcPr>
          <w:p w14:paraId="4558C85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2700" w:type="dxa"/>
            <w:noWrap w:val="0"/>
            <w:vAlign w:val="center"/>
          </w:tcPr>
          <w:p w14:paraId="3070B173">
            <w:pPr>
              <w:spacing w:line="360" w:lineRule="auto"/>
              <w:jc w:val="center"/>
              <w:rPr>
                <w:rFonts w:hint="eastAsia" w:ascii="宋体" w:hAnsi="宋体" w:cs="宋体"/>
                <w:color w:val="auto"/>
                <w:kern w:val="0"/>
                <w:sz w:val="24"/>
                <w:highlight w:val="none"/>
              </w:rPr>
            </w:pPr>
          </w:p>
        </w:tc>
      </w:tr>
      <w:tr w14:paraId="7501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691" w:type="dxa"/>
            <w:noWrap w:val="0"/>
            <w:vAlign w:val="center"/>
          </w:tcPr>
          <w:p w14:paraId="60694F6D">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账号</w:t>
            </w:r>
          </w:p>
        </w:tc>
        <w:tc>
          <w:tcPr>
            <w:tcW w:w="2908" w:type="dxa"/>
            <w:noWrap w:val="0"/>
            <w:vAlign w:val="center"/>
          </w:tcPr>
          <w:p w14:paraId="1C5A3D85">
            <w:pPr>
              <w:spacing w:line="360" w:lineRule="auto"/>
              <w:jc w:val="center"/>
              <w:rPr>
                <w:rFonts w:hint="eastAsia" w:ascii="宋体" w:hAnsi="宋体" w:cs="宋体"/>
                <w:color w:val="auto"/>
                <w:kern w:val="0"/>
                <w:sz w:val="24"/>
                <w:highlight w:val="none"/>
              </w:rPr>
            </w:pPr>
          </w:p>
        </w:tc>
        <w:tc>
          <w:tcPr>
            <w:tcW w:w="1620" w:type="dxa"/>
            <w:noWrap w:val="0"/>
            <w:vAlign w:val="center"/>
          </w:tcPr>
          <w:p w14:paraId="66F769E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账号</w:t>
            </w:r>
          </w:p>
        </w:tc>
        <w:tc>
          <w:tcPr>
            <w:tcW w:w="2700" w:type="dxa"/>
            <w:noWrap w:val="0"/>
            <w:vAlign w:val="center"/>
          </w:tcPr>
          <w:p w14:paraId="2346E588">
            <w:pPr>
              <w:spacing w:line="360" w:lineRule="auto"/>
              <w:jc w:val="center"/>
              <w:rPr>
                <w:rFonts w:hint="eastAsia" w:ascii="宋体" w:hAnsi="宋体" w:cs="宋体"/>
                <w:color w:val="auto"/>
                <w:kern w:val="0"/>
                <w:sz w:val="24"/>
                <w:highlight w:val="none"/>
              </w:rPr>
            </w:pPr>
          </w:p>
        </w:tc>
      </w:tr>
    </w:tbl>
    <w:p w14:paraId="7AF2D559">
      <w:pPr>
        <w:rPr>
          <w:color w:val="auto"/>
          <w:highlight w:val="none"/>
        </w:rPr>
      </w:pPr>
    </w:p>
    <w:p w14:paraId="217100CE">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16DF575B">
      <w:pPr>
        <w:pStyle w:val="2"/>
        <w:bidi w:val="0"/>
        <w:rPr>
          <w:rFonts w:hint="eastAsia" w:ascii="宋体" w:hAnsi="宋体" w:eastAsia="宋体" w:cs="宋体"/>
          <w:highlight w:val="none"/>
        </w:rPr>
      </w:pPr>
      <w:bookmarkStart w:id="163" w:name="_Toc14363"/>
      <w:r>
        <w:rPr>
          <w:rFonts w:hint="eastAsia" w:ascii="宋体" w:hAnsi="宋体" w:eastAsia="宋体" w:cs="宋体"/>
          <w:highlight w:val="none"/>
        </w:rPr>
        <w:t>第六部分 应提交的有关格式范例</w:t>
      </w:r>
      <w:bookmarkEnd w:id="160"/>
      <w:bookmarkEnd w:id="161"/>
      <w:bookmarkEnd w:id="162"/>
      <w:bookmarkEnd w:id="163"/>
    </w:p>
    <w:p w14:paraId="6E5E37DF">
      <w:pPr>
        <w:spacing w:line="360" w:lineRule="auto"/>
        <w:ind w:firstLine="480" w:firstLineChars="200"/>
        <w:outlineLvl w:val="9"/>
        <w:rPr>
          <w:rFonts w:hint="eastAsia" w:ascii="宋体" w:hAnsi="宋体" w:eastAsia="宋体" w:cs="宋体"/>
          <w:color w:val="auto"/>
          <w:sz w:val="24"/>
          <w:szCs w:val="24"/>
          <w:highlight w:val="none"/>
        </w:rPr>
      </w:pPr>
    </w:p>
    <w:p w14:paraId="2733D95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供应商按照以下格式编制响应文件，</w:t>
      </w:r>
      <w:r>
        <w:rPr>
          <w:rFonts w:hint="eastAsia" w:ascii="宋体" w:hAnsi="宋体" w:eastAsia="宋体" w:cs="宋体"/>
          <w:b/>
          <w:bCs/>
          <w:color w:val="auto"/>
          <w:sz w:val="24"/>
          <w:szCs w:val="24"/>
          <w:highlight w:val="none"/>
        </w:rPr>
        <w:t>“资格文件”、“商务技术文件”、“报价文件”须分3个PDF格式分别导入。</w:t>
      </w:r>
    </w:p>
    <w:p w14:paraId="4A0C5DB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此格式内容仅为参考模板，具体内容供应商应根据磋商文件要求进行调整。未按以下格式编制响应文件或因格式不规范、页码不清等原因引发的一切后果由供应商自行承担。</w:t>
      </w:r>
    </w:p>
    <w:p w14:paraId="6E3448C9">
      <w:pPr>
        <w:bidi w:val="0"/>
        <w:jc w:val="center"/>
        <w:rPr>
          <w:rFonts w:hint="eastAsia" w:ascii="宋体" w:hAnsi="宋体" w:eastAsia="宋体" w:cs="宋体"/>
          <w:b/>
          <w:bCs/>
          <w:color w:val="auto"/>
          <w:szCs w:val="36"/>
          <w:highlight w:val="none"/>
        </w:rPr>
      </w:pPr>
      <w:r>
        <w:rPr>
          <w:rFonts w:hint="eastAsia" w:ascii="宋体" w:hAnsi="宋体" w:eastAsia="宋体" w:cs="宋体"/>
          <w:b/>
          <w:bCs/>
          <w:color w:val="auto"/>
          <w:szCs w:val="24"/>
          <w:highlight w:val="none"/>
        </w:rPr>
        <w:br w:type="page"/>
      </w:r>
      <w:bookmarkStart w:id="164" w:name="_Toc6473"/>
      <w:bookmarkStart w:id="165" w:name="_Toc1492"/>
      <w:r>
        <w:rPr>
          <w:rFonts w:hint="eastAsia" w:ascii="宋体" w:hAnsi="宋体" w:eastAsia="宋体" w:cs="宋体"/>
          <w:b/>
          <w:bCs/>
          <w:sz w:val="36"/>
          <w:szCs w:val="36"/>
          <w:highlight w:val="none"/>
        </w:rPr>
        <w:t>资格文件部分</w:t>
      </w:r>
      <w:bookmarkEnd w:id="164"/>
      <w:bookmarkEnd w:id="165"/>
    </w:p>
    <w:p w14:paraId="455B859F">
      <w:pPr>
        <w:spacing w:line="360" w:lineRule="auto"/>
        <w:jc w:val="center"/>
        <w:rPr>
          <w:rFonts w:hint="eastAsia" w:ascii="宋体" w:hAnsi="宋体" w:eastAsia="宋体" w:cs="宋体"/>
          <w:b/>
          <w:bCs/>
          <w:color w:val="auto"/>
          <w:sz w:val="28"/>
          <w:szCs w:val="28"/>
          <w:highlight w:val="none"/>
        </w:rPr>
      </w:pPr>
    </w:p>
    <w:p w14:paraId="199E6AEF">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4E764DA">
      <w:pPr>
        <w:spacing w:line="360" w:lineRule="auto"/>
        <w:ind w:firstLine="480" w:firstLineChars="200"/>
        <w:rPr>
          <w:rFonts w:hint="eastAsia" w:ascii="宋体" w:hAnsi="宋体" w:eastAsia="宋体" w:cs="宋体"/>
          <w:color w:val="auto"/>
          <w:sz w:val="24"/>
          <w:szCs w:val="24"/>
          <w:highlight w:val="none"/>
        </w:rPr>
      </w:pPr>
      <w:bookmarkStart w:id="166" w:name="_Toc32507"/>
      <w:bookmarkStart w:id="167" w:name="_Toc32046"/>
      <w:r>
        <w:rPr>
          <w:rFonts w:hint="eastAsia" w:ascii="宋体" w:hAnsi="宋体" w:eastAsia="宋体" w:cs="宋体"/>
          <w:color w:val="auto"/>
          <w:sz w:val="24"/>
          <w:szCs w:val="24"/>
          <w:highlight w:val="none"/>
        </w:rPr>
        <w:t>（1）</w:t>
      </w:r>
      <w:bookmarkEnd w:id="166"/>
      <w:bookmarkEnd w:id="167"/>
      <w:r>
        <w:rPr>
          <w:rFonts w:hint="eastAsia" w:ascii="宋体" w:hAnsi="宋体" w:eastAsia="宋体" w:cs="宋体"/>
          <w:color w:val="auto"/>
          <w:sz w:val="24"/>
          <w:szCs w:val="24"/>
          <w:highlight w:val="none"/>
        </w:rPr>
        <w:t>法定代表人身份证明书（法定代表人参加）或法定代表人授权书（被授权人参加）（格式见附件）；</w:t>
      </w:r>
    </w:p>
    <w:p w14:paraId="480F46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事业单位的，则提供有效的《事业单位法人证书》副本复印件并加盖单位公章；</w:t>
      </w:r>
    </w:p>
    <w:p w14:paraId="5FE4C6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响应文件中提供相关材料），证明其具备实际承担责任的能力和法定的缔结合同能力，可以独立参加政府采购活动，由单位负责人签署相关文件材料；</w:t>
      </w:r>
    </w:p>
    <w:p w14:paraId="4869E1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（3）具有履行合同所必需的产品和专业技术能力的承诺函（格式自拟）；</w:t>
      </w:r>
    </w:p>
    <w:p w14:paraId="2AD299D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（4）投标人承诺函（格式见附件）；</w:t>
      </w:r>
    </w:p>
    <w:p w14:paraId="65C4B5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（5）中小企业声明函（格式见附件）；</w:t>
      </w:r>
    </w:p>
    <w:p w14:paraId="21B186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（6）残疾人福利性单位声明函（如有）（格式见附件）；</w:t>
      </w:r>
    </w:p>
    <w:p w14:paraId="00E7F0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（7）监狱企业证明文件（如有）（格式见附件）。</w:t>
      </w:r>
    </w:p>
    <w:p w14:paraId="75E54A7A">
      <w:pPr>
        <w:pStyle w:val="12"/>
        <w:ind w:firstLine="486"/>
        <w:rPr>
          <w:rFonts w:hint="eastAsia" w:ascii="宋体" w:hAnsi="宋体" w:eastAsia="宋体" w:cs="宋体"/>
          <w:color w:val="auto"/>
          <w:highlight w:val="none"/>
        </w:rPr>
      </w:pPr>
    </w:p>
    <w:p w14:paraId="1E26EBAC">
      <w:pPr>
        <w:pStyle w:val="12"/>
        <w:ind w:firstLine="486"/>
        <w:rPr>
          <w:rFonts w:hint="eastAsia" w:ascii="宋体" w:hAnsi="宋体" w:eastAsia="宋体" w:cs="宋体"/>
          <w:color w:val="auto"/>
          <w:highlight w:val="none"/>
        </w:rPr>
      </w:pPr>
    </w:p>
    <w:p w14:paraId="6D1816B8">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68" w:name="_Toc24699"/>
    </w:p>
    <w:p w14:paraId="169F131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附件一：</w:t>
      </w:r>
    </w:p>
    <w:p w14:paraId="4E7DFBE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bookmarkEnd w:id="168"/>
    </w:p>
    <w:p w14:paraId="608539D6">
      <w:pPr>
        <w:pStyle w:val="7"/>
        <w:spacing w:line="360" w:lineRule="auto"/>
        <w:rPr>
          <w:rFonts w:hint="eastAsia" w:ascii="宋体" w:hAnsi="宋体" w:eastAsia="宋体" w:cs="宋体"/>
          <w:color w:val="auto"/>
          <w:highlight w:val="none"/>
        </w:rPr>
      </w:pPr>
    </w:p>
    <w:p w14:paraId="189D58A7">
      <w:pPr>
        <w:snapToGrid w:val="0"/>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(填写姓名)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（填写投标人单位全称）</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（填写单位全称）</w:t>
      </w:r>
      <w:r>
        <w:rPr>
          <w:rFonts w:hint="eastAsia" w:ascii="宋体" w:hAnsi="宋体" w:eastAsia="宋体" w:cs="宋体"/>
          <w:color w:val="auto"/>
          <w:sz w:val="24"/>
          <w:highlight w:val="none"/>
        </w:rPr>
        <w:t>的（填写姓名）为我公司授权代表，</w:t>
      </w:r>
      <w:r>
        <w:rPr>
          <w:rFonts w:hint="eastAsia" w:ascii="宋体" w:hAnsi="宋体" w:eastAsia="宋体" w:cs="宋体"/>
          <w:color w:val="auto"/>
          <w:sz w:val="24"/>
          <w:highlight w:val="none"/>
          <w:u w:val="single"/>
        </w:rPr>
        <w:t>（填写身份证号码：                       ）</w:t>
      </w:r>
      <w:r>
        <w:rPr>
          <w:rFonts w:hint="eastAsia" w:ascii="宋体" w:hAnsi="宋体" w:eastAsia="宋体" w:cs="宋体"/>
          <w:color w:val="auto"/>
          <w:sz w:val="24"/>
          <w:highlight w:val="none"/>
        </w:rPr>
        <w:t>。以本公司的名义参加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组织的</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投标活动。授权代表在开标、评标、合同谈判过程中所签署的一切文件和处理与之有关的一切事务，我均予以承认。</w:t>
      </w:r>
    </w:p>
    <w:p w14:paraId="6ED35F29">
      <w:pPr>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在撤销授权的书面通知以前，本授权书一直有效。全权代表在授权书有效期内签署的所有文件不因授权的撤销而失效。</w:t>
      </w:r>
    </w:p>
    <w:p w14:paraId="1AEE985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授权代表无转委托权。特此委托。</w:t>
      </w:r>
    </w:p>
    <w:p w14:paraId="7B7E77C1">
      <w:pPr>
        <w:snapToGrid w:val="0"/>
        <w:spacing w:line="600" w:lineRule="exact"/>
        <w:jc w:val="left"/>
        <w:rPr>
          <w:rFonts w:hint="eastAsia" w:ascii="宋体" w:hAnsi="宋体" w:eastAsia="宋体" w:cs="宋体"/>
          <w:color w:val="auto"/>
          <w:sz w:val="24"/>
          <w:highlight w:val="none"/>
        </w:rPr>
      </w:pPr>
    </w:p>
    <w:p w14:paraId="7DAFE0E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授权代表姓名：              性别：               年龄：</w:t>
      </w:r>
    </w:p>
    <w:p w14:paraId="52A97C5C">
      <w:pPr>
        <w:spacing w:line="360" w:lineRule="exact"/>
        <w:rPr>
          <w:rFonts w:hint="eastAsia" w:ascii="宋体" w:hAnsi="宋体" w:eastAsia="宋体" w:cs="宋体"/>
          <w:color w:val="auto"/>
          <w:sz w:val="24"/>
          <w:highlight w:val="none"/>
        </w:rPr>
      </w:pPr>
    </w:p>
    <w:p w14:paraId="367205B7">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                      部门：               职务：</w:t>
      </w:r>
    </w:p>
    <w:p w14:paraId="5C9FC92F">
      <w:pPr>
        <w:spacing w:line="360" w:lineRule="exact"/>
        <w:rPr>
          <w:rFonts w:hint="eastAsia" w:ascii="宋体" w:hAnsi="宋体" w:eastAsia="宋体" w:cs="宋体"/>
          <w:color w:val="auto"/>
          <w:sz w:val="24"/>
          <w:highlight w:val="none"/>
        </w:rPr>
      </w:pPr>
    </w:p>
    <w:p w14:paraId="496E6FD0">
      <w:pPr>
        <w:widowControl/>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办公地址：                  联系电话：           传真：</w:t>
      </w:r>
    </w:p>
    <w:p w14:paraId="403F26E6">
      <w:pPr>
        <w:spacing w:line="360" w:lineRule="exact"/>
        <w:rPr>
          <w:rFonts w:hint="eastAsia" w:ascii="宋体" w:hAnsi="宋体" w:eastAsia="宋体" w:cs="宋体"/>
          <w:color w:val="auto"/>
          <w:sz w:val="24"/>
          <w:highlight w:val="none"/>
        </w:rPr>
      </w:pPr>
    </w:p>
    <w:p w14:paraId="28B03605">
      <w:pPr>
        <w:spacing w:line="360" w:lineRule="exact"/>
        <w:rPr>
          <w:rFonts w:hint="eastAsia" w:ascii="宋体" w:hAnsi="宋体" w:eastAsia="宋体" w:cs="宋体"/>
          <w:color w:val="auto"/>
          <w:sz w:val="24"/>
          <w:highlight w:val="none"/>
        </w:rPr>
      </w:pPr>
    </w:p>
    <w:p w14:paraId="65D35627">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（电子签章）：</w:t>
      </w:r>
    </w:p>
    <w:p w14:paraId="0F029026">
      <w:pPr>
        <w:spacing w:line="360" w:lineRule="exact"/>
        <w:rPr>
          <w:rFonts w:hint="eastAsia" w:ascii="宋体" w:hAnsi="宋体" w:eastAsia="宋体" w:cs="宋体"/>
          <w:color w:val="auto"/>
          <w:sz w:val="24"/>
          <w:highlight w:val="none"/>
        </w:rPr>
      </w:pPr>
    </w:p>
    <w:p w14:paraId="42858FF7">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14:paraId="26EE761A">
      <w:pPr>
        <w:spacing w:line="360" w:lineRule="exact"/>
        <w:rPr>
          <w:rFonts w:hint="eastAsia" w:ascii="宋体" w:hAnsi="宋体" w:eastAsia="宋体" w:cs="宋体"/>
          <w:color w:val="auto"/>
          <w:sz w:val="24"/>
          <w:highlight w:val="none"/>
        </w:rPr>
      </w:pPr>
    </w:p>
    <w:p w14:paraId="1A1CDB8B">
      <w:pPr>
        <w:ind w:firstLine="5280" w:firstLineChars="2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749C7A1">
      <w:pPr>
        <w:spacing w:line="8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w:t>
      </w:r>
    </w:p>
    <w:p w14:paraId="5672BEA7">
      <w:pPr>
        <w:numPr>
          <w:ilvl w:val="0"/>
          <w:numId w:val="53"/>
        </w:numPr>
        <w:spacing w:line="360" w:lineRule="exact"/>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法定代表人及其授权代表身份证扫描件（正反面）</w:t>
      </w:r>
    </w:p>
    <w:p w14:paraId="68D4DB5D">
      <w:pPr>
        <w:numPr>
          <w:ilvl w:val="0"/>
          <w:numId w:val="53"/>
        </w:numPr>
        <w:spacing w:line="36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被</w:t>
      </w:r>
      <w:r>
        <w:rPr>
          <w:rFonts w:hint="eastAsia" w:ascii="宋体" w:hAnsi="宋体" w:eastAsia="宋体" w:cs="宋体"/>
          <w:color w:val="auto"/>
          <w:sz w:val="24"/>
          <w:highlight w:val="none"/>
        </w:rPr>
        <w:t>授权代表社保证明（</w:t>
      </w:r>
      <w:r>
        <w:rPr>
          <w:rFonts w:hint="eastAsia" w:ascii="宋体" w:hAnsi="宋体" w:eastAsia="宋体" w:cs="宋体"/>
          <w:color w:val="auto"/>
          <w:sz w:val="24"/>
          <w:highlight w:val="none"/>
          <w:lang w:val="en-US" w:eastAsia="zh-CN"/>
        </w:rPr>
        <w:t>扫描</w:t>
      </w:r>
      <w:r>
        <w:rPr>
          <w:rFonts w:hint="eastAsia" w:ascii="宋体" w:hAnsi="宋体" w:eastAsia="宋体" w:cs="宋体"/>
          <w:color w:val="auto"/>
          <w:sz w:val="24"/>
          <w:highlight w:val="none"/>
        </w:rPr>
        <w:t>件）</w:t>
      </w:r>
    </w:p>
    <w:p w14:paraId="759B8192">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highlight w:val="none"/>
          <w:lang w:val="zh-CN"/>
        </w:rPr>
        <w:t>附件二：</w:t>
      </w:r>
    </w:p>
    <w:p w14:paraId="0050FDD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法定代表人身份证明书</w:t>
      </w:r>
    </w:p>
    <w:p w14:paraId="4663980C">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55021714">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0153C44F">
      <w:pPr>
        <w:spacing w:line="440" w:lineRule="exact"/>
        <w:ind w:right="268"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p>
    <w:p w14:paraId="081D9A03">
      <w:pPr>
        <w:spacing w:line="440" w:lineRule="exact"/>
        <w:ind w:right="268" w:rightChars="134"/>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704B3B1">
      <w:pPr>
        <w:spacing w:line="440" w:lineRule="exact"/>
        <w:ind w:right="268" w:rightChars="134"/>
        <w:rPr>
          <w:rFonts w:hint="eastAsia" w:ascii="宋体" w:hAnsi="宋体" w:eastAsia="宋体" w:cs="宋体"/>
          <w:color w:val="auto"/>
          <w:sz w:val="24"/>
          <w:highlight w:val="none"/>
        </w:rPr>
      </w:pP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DC5540A">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（填写</w:t>
      </w:r>
      <w:r>
        <w:rPr>
          <w:rFonts w:hint="eastAsia" w:ascii="宋体" w:hAnsi="宋体" w:eastAsia="宋体" w:cs="宋体"/>
          <w:color w:val="auto"/>
          <w:sz w:val="24"/>
          <w:highlight w:val="none"/>
          <w:u w:val="single"/>
          <w:lang w:val="en-US" w:eastAsia="zh-CN"/>
        </w:rPr>
        <w:t>供应商</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w:t>
      </w:r>
    </w:p>
    <w:p w14:paraId="003B6536">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4F881D3">
      <w:pPr>
        <w:spacing w:line="440" w:lineRule="exact"/>
        <w:rPr>
          <w:rFonts w:hint="eastAsia" w:ascii="宋体" w:hAnsi="宋体" w:eastAsia="宋体" w:cs="宋体"/>
          <w:color w:val="auto"/>
          <w:sz w:val="24"/>
          <w:highlight w:val="none"/>
        </w:rPr>
      </w:pPr>
    </w:p>
    <w:p w14:paraId="386224D2">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                             （电子签章）</w:t>
      </w:r>
    </w:p>
    <w:p w14:paraId="6DD4A5B3">
      <w:pPr>
        <w:spacing w:line="440" w:lineRule="exact"/>
        <w:ind w:right="480"/>
        <w:rPr>
          <w:rFonts w:hint="eastAsia" w:ascii="宋体" w:hAnsi="宋体" w:eastAsia="宋体" w:cs="宋体"/>
          <w:color w:val="auto"/>
          <w:sz w:val="24"/>
          <w:highlight w:val="none"/>
        </w:rPr>
      </w:pPr>
    </w:p>
    <w:p w14:paraId="0C311450">
      <w:pPr>
        <w:spacing w:line="440" w:lineRule="exact"/>
        <w:ind w:right="72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445470C">
      <w:pPr>
        <w:rPr>
          <w:rFonts w:hint="eastAsia" w:ascii="宋体" w:hAnsi="宋体" w:eastAsia="宋体" w:cs="宋体"/>
          <w:b/>
          <w:bCs/>
          <w:color w:val="auto"/>
          <w:sz w:val="32"/>
          <w:szCs w:val="32"/>
          <w:highlight w:val="none"/>
        </w:rPr>
      </w:pPr>
    </w:p>
    <w:p w14:paraId="652C24D6">
      <w:pPr>
        <w:spacing w:line="800" w:lineRule="exact"/>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附：</w:t>
      </w:r>
    </w:p>
    <w:p w14:paraId="33FA1482">
      <w:pPr>
        <w:numPr>
          <w:ilvl w:val="0"/>
          <w:numId w:val="0"/>
        </w:numPr>
        <w:spacing w:line="360" w:lineRule="exact"/>
        <w:ind w:left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法定代表人身份证扫描件（正反面）</w:t>
      </w:r>
    </w:p>
    <w:p w14:paraId="6430FF5B">
      <w:pPr>
        <w:rPr>
          <w:rFonts w:hint="eastAsia" w:ascii="宋体" w:hAnsi="宋体" w:eastAsia="宋体" w:cs="宋体"/>
          <w:b/>
          <w:bCs/>
          <w:color w:val="auto"/>
          <w:sz w:val="32"/>
          <w:szCs w:val="32"/>
          <w:highlight w:val="none"/>
        </w:rPr>
      </w:pPr>
    </w:p>
    <w:p w14:paraId="6C093CF8">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D5CB8E8">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lang w:val="zh-CN"/>
        </w:rPr>
        <w:t>：</w:t>
      </w:r>
    </w:p>
    <w:p w14:paraId="7C1B56D8">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 标 人 承 诺 函</w:t>
      </w:r>
    </w:p>
    <w:p w14:paraId="25BD6AEA">
      <w:pPr>
        <w:rPr>
          <w:rFonts w:hint="eastAsia" w:ascii="宋体" w:hAnsi="宋体" w:eastAsia="宋体" w:cs="宋体"/>
          <w:color w:val="auto"/>
          <w:highlight w:val="none"/>
        </w:rPr>
      </w:pPr>
    </w:p>
    <w:p w14:paraId="7CBE294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绍兴市上虞区曹娥街道社区卫生服务中心</w:t>
      </w:r>
      <w:r>
        <w:rPr>
          <w:rFonts w:hint="eastAsia" w:ascii="宋体" w:hAnsi="宋体" w:eastAsia="宋体" w:cs="宋体"/>
          <w:color w:val="auto"/>
          <w:sz w:val="24"/>
          <w:highlight w:val="none"/>
        </w:rPr>
        <w:t>：</w:t>
      </w:r>
    </w:p>
    <w:p w14:paraId="50C1B2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绍兴市上虞区公共资源交易中心</w:t>
      </w:r>
      <w:r>
        <w:rPr>
          <w:rFonts w:hint="eastAsia" w:ascii="宋体" w:hAnsi="宋体" w:eastAsia="宋体" w:cs="宋体"/>
          <w:color w:val="auto"/>
          <w:sz w:val="24"/>
          <w:highlight w:val="none"/>
        </w:rPr>
        <w:t>：</w:t>
      </w:r>
    </w:p>
    <w:p w14:paraId="3AE3173E">
      <w:pPr>
        <w:snapToGrid w:val="0"/>
        <w:spacing w:line="360" w:lineRule="auto"/>
        <w:ind w:firstLine="480" w:firstLineChars="200"/>
        <w:rPr>
          <w:rFonts w:hint="eastAsia" w:ascii="宋体" w:hAnsi="宋体" w:eastAsia="宋体" w:cs="宋体"/>
          <w:color w:val="auto"/>
          <w:sz w:val="24"/>
          <w:highlight w:val="none"/>
        </w:rPr>
      </w:pPr>
    </w:p>
    <w:p w14:paraId="4EEF82A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】政府采购活动，郑重承诺：</w:t>
      </w:r>
    </w:p>
    <w:p w14:paraId="720F16A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5EA4CFE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5E30604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具有良好的商业信誉和健全的财务会计制度； </w:t>
      </w:r>
    </w:p>
    <w:p w14:paraId="4136E97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具有履行合同所必需的设备和专业技术能力；</w:t>
      </w:r>
    </w:p>
    <w:p w14:paraId="13368C1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有依法缴纳税收和社会保障资金的良好记录；</w:t>
      </w:r>
    </w:p>
    <w:p w14:paraId="0A294B3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参加政府采购活动前三年内，在经营活动中没有重大违法记录；</w:t>
      </w:r>
    </w:p>
    <w:p w14:paraId="5D63AAF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具有法律、行政法规规定的其他条件。</w:t>
      </w:r>
    </w:p>
    <w:p w14:paraId="3037C5F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2197307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6D5B41C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单位负责人为同一人或者存在直接控股、管理关系的不同供应商参加同一合同项下的政府采购活动的；</w:t>
      </w:r>
    </w:p>
    <w:p w14:paraId="17394C1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为采购项目提供整体设计、规范编制或者项目管理、监理、检测等服务后再参加该采购项目的其他采购活动的。</w:t>
      </w:r>
    </w:p>
    <w:p w14:paraId="6736D5B8">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559DD341">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4BB0D785">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3D63CA57">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4C48D6B9">
      <w:pPr>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w:t>
      </w:r>
    </w:p>
    <w:p w14:paraId="03EA9D4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w:t>
      </w:r>
    </w:p>
    <w:p w14:paraId="3506310E">
      <w:pPr>
        <w:spacing w:line="360" w:lineRule="auto"/>
        <w:ind w:firstLine="480" w:firstLineChars="200"/>
        <w:jc w:val="left"/>
        <w:rPr>
          <w:rFonts w:hint="eastAsia" w:ascii="宋体" w:hAnsi="宋体" w:eastAsia="宋体" w:cs="宋体"/>
          <w:color w:val="auto"/>
          <w:sz w:val="24"/>
          <w:szCs w:val="24"/>
          <w:highlight w:val="none"/>
        </w:rPr>
      </w:pPr>
    </w:p>
    <w:p w14:paraId="3C6CD24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本公司（联合体）郑重声明，根据《政府采购促进中小企业发展管理办法》 （财库﹝2020﹞46 号）的规定，本公司（联合体）参加</w:t>
      </w:r>
      <w:r>
        <w:rPr>
          <w:rFonts w:hint="eastAsia" w:ascii="宋体" w:hAnsi="宋体" w:eastAsia="宋体" w:cs="宋体"/>
          <w:color w:val="auto"/>
          <w:sz w:val="24"/>
          <w:szCs w:val="24"/>
          <w:highlight w:val="none"/>
          <w:u w:val="single"/>
        </w:rPr>
        <w:t xml:space="preserve"> （采购人名称）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u w:val="none"/>
        </w:rPr>
        <w:t>，提供的服务全部由符合政策要求的中小企业提供。相关企业（含联合体中的中小企业、签订分包意向协议的中小企业）的具体情况如下：</w:t>
      </w:r>
    </w:p>
    <w:p w14:paraId="0D3DD0BB">
      <w:pPr>
        <w:spacing w:line="288"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highlight w:val="none"/>
          <w:u w:val="none"/>
          <w:lang w:val="en-US" w:eastAsia="zh-CN"/>
        </w:rPr>
        <w:t>物业管理行业</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 ，属于</w:t>
      </w:r>
      <w:r>
        <w:rPr>
          <w:rFonts w:hint="eastAsia" w:ascii="宋体" w:hAnsi="宋体" w:eastAsia="宋体" w:cs="宋体"/>
          <w:color w:val="auto"/>
          <w:sz w:val="24"/>
          <w:szCs w:val="24"/>
          <w:highlight w:val="none"/>
          <w:u w:val="single"/>
        </w:rPr>
        <w:t xml:space="preserve">       （中型企业、小型企业、微型企业）</w:t>
      </w:r>
      <w:r>
        <w:rPr>
          <w:rFonts w:hint="eastAsia" w:ascii="宋体" w:hAnsi="宋体" w:eastAsia="宋体" w:cs="宋体"/>
          <w:color w:val="auto"/>
          <w:sz w:val="24"/>
          <w:szCs w:val="24"/>
          <w:highlight w:val="none"/>
        </w:rPr>
        <w:t>；</w:t>
      </w:r>
    </w:p>
    <w:p w14:paraId="68595979">
      <w:pPr>
        <w:spacing w:line="28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BE96B4E">
      <w:pPr>
        <w:spacing w:line="28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0871286">
      <w:pPr>
        <w:spacing w:line="28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B8554CD">
      <w:pPr>
        <w:spacing w:line="288" w:lineRule="auto"/>
        <w:ind w:right="420" w:firstLine="4320" w:firstLineChars="1800"/>
        <w:rPr>
          <w:rFonts w:hint="eastAsia" w:ascii="宋体" w:hAnsi="宋体" w:eastAsia="宋体" w:cs="宋体"/>
          <w:color w:val="auto"/>
          <w:sz w:val="24"/>
          <w:szCs w:val="24"/>
          <w:highlight w:val="none"/>
        </w:rPr>
      </w:pPr>
    </w:p>
    <w:p w14:paraId="4A3C9269">
      <w:pPr>
        <w:spacing w:line="288" w:lineRule="auto"/>
        <w:ind w:right="420" w:firstLine="4320" w:firstLineChars="1800"/>
        <w:rPr>
          <w:rFonts w:hint="eastAsia" w:ascii="宋体" w:hAnsi="宋体" w:eastAsia="宋体" w:cs="宋体"/>
          <w:color w:val="auto"/>
          <w:sz w:val="24"/>
          <w:szCs w:val="24"/>
          <w:highlight w:val="none"/>
        </w:rPr>
      </w:pPr>
    </w:p>
    <w:p w14:paraId="733D58F6">
      <w:pPr>
        <w:spacing w:line="288" w:lineRule="auto"/>
        <w:ind w:right="420"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6296127B">
      <w:pPr>
        <w:spacing w:line="288" w:lineRule="auto"/>
        <w:ind w:left="3600" w:leftChars="1800"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5356550E">
      <w:pPr>
        <w:pStyle w:val="7"/>
        <w:spacing w:line="288" w:lineRule="auto"/>
        <w:rPr>
          <w:rFonts w:hint="eastAsia" w:ascii="宋体" w:hAnsi="宋体" w:eastAsia="宋体" w:cs="宋体"/>
          <w:color w:val="auto"/>
          <w:sz w:val="24"/>
          <w:szCs w:val="24"/>
          <w:highlight w:val="none"/>
        </w:rPr>
      </w:pPr>
    </w:p>
    <w:p w14:paraId="310EBB7C">
      <w:pPr>
        <w:spacing w:line="288" w:lineRule="auto"/>
        <w:ind w:firstLine="480" w:firstLineChars="200"/>
        <w:jc w:val="left"/>
        <w:rPr>
          <w:rFonts w:hint="eastAsia" w:ascii="宋体" w:hAnsi="宋体" w:eastAsia="宋体" w:cs="宋体"/>
          <w:color w:val="auto"/>
          <w:sz w:val="24"/>
          <w:szCs w:val="24"/>
          <w:highlight w:val="none"/>
        </w:rPr>
      </w:pPr>
    </w:p>
    <w:p w14:paraId="71C80B58">
      <w:pPr>
        <w:spacing w:line="288" w:lineRule="auto"/>
        <w:ind w:firstLine="480" w:firstLineChars="200"/>
        <w:jc w:val="left"/>
        <w:rPr>
          <w:rFonts w:hint="eastAsia" w:ascii="宋体" w:hAnsi="宋体" w:eastAsia="宋体" w:cs="宋体"/>
          <w:color w:val="auto"/>
          <w:sz w:val="24"/>
          <w:szCs w:val="24"/>
          <w:highlight w:val="none"/>
        </w:rPr>
      </w:pPr>
    </w:p>
    <w:p w14:paraId="718BFA0C">
      <w:pPr>
        <w:spacing w:line="288" w:lineRule="auto"/>
        <w:ind w:firstLine="480" w:firstLineChars="200"/>
        <w:jc w:val="left"/>
        <w:rPr>
          <w:rFonts w:hint="eastAsia" w:ascii="宋体" w:hAnsi="宋体" w:eastAsia="宋体" w:cs="宋体"/>
          <w:color w:val="auto"/>
          <w:sz w:val="24"/>
          <w:szCs w:val="24"/>
          <w:highlight w:val="none"/>
        </w:rPr>
      </w:pPr>
    </w:p>
    <w:p w14:paraId="33622079">
      <w:pPr>
        <w:spacing w:line="288"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23EB2DFD">
      <w:pPr>
        <w:widowControl/>
        <w:snapToGrid w:val="0"/>
        <w:spacing w:line="324" w:lineRule="auto"/>
        <w:ind w:firstLine="480" w:firstLineChars="200"/>
        <w:jc w:val="left"/>
        <w:rPr>
          <w:rFonts w:hint="eastAsia" w:ascii="宋体" w:hAnsi="宋体" w:eastAsia="宋体" w:cs="宋体"/>
          <w:color w:val="auto"/>
          <w:sz w:val="24"/>
          <w:szCs w:val="24"/>
          <w:highlight w:val="none"/>
        </w:rPr>
      </w:pPr>
    </w:p>
    <w:p w14:paraId="5594AAA1">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52868816">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填写要求：①“标的名称”、“采购文件中明确的所属行业”依据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第二部分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28320340">
      <w:pPr>
        <w:widowControl/>
        <w:snapToGrid w:val="0"/>
        <w:spacing w:line="324"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关于促进残疾人就业政府采购政策的通知》（财库〔2017〕141号）规定的条件并提供《残疾人福利性单位声明函》的残疾人福利性单位视同小型、微型企业；根据《关于政府采购支持监狱企业发展有关问题的通知》（财库[2014]68号）的规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提供由省级以上监狱管理局、戒毒管理局（含新疆生产建设兵团）出具的属于监狱企业证明文件的，视同为小型和微型企业。</w:t>
      </w:r>
    </w:p>
    <w:p w14:paraId="4FCADD69">
      <w:pPr>
        <w:pStyle w:val="3"/>
        <w:spacing w:line="360" w:lineRule="auto"/>
        <w:jc w:val="center"/>
        <w:rPr>
          <w:rFonts w:hint="eastAsia" w:ascii="宋体" w:hAnsi="宋体" w:eastAsia="宋体" w:cs="宋体"/>
          <w:color w:val="auto"/>
          <w:sz w:val="24"/>
          <w:szCs w:val="24"/>
          <w:highlight w:val="none"/>
        </w:rPr>
      </w:pPr>
    </w:p>
    <w:p w14:paraId="34AE94C7">
      <w:pPr>
        <w:pStyle w:val="3"/>
        <w:spacing w:line="360" w:lineRule="auto"/>
        <w:jc w:val="center"/>
        <w:rPr>
          <w:rFonts w:hint="eastAsia" w:ascii="宋体" w:hAnsi="宋体" w:eastAsia="宋体" w:cs="宋体"/>
          <w:color w:val="auto"/>
          <w:sz w:val="24"/>
          <w:szCs w:val="24"/>
          <w:highlight w:val="none"/>
        </w:rPr>
      </w:pPr>
    </w:p>
    <w:p w14:paraId="05B36027">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178AE534">
      <w:pPr>
        <w:widowControl/>
        <w:shd w:val="clear" w:color="auto" w:fill="FFFFFF"/>
        <w:spacing w:before="150"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附表：统计上大中小微型企业划分标准</w:t>
      </w:r>
    </w:p>
    <w:p w14:paraId="686C38A5">
      <w:pPr>
        <w:widowControl/>
        <w:jc w:val="left"/>
        <w:rPr>
          <w:rFonts w:hint="eastAsia" w:ascii="宋体" w:hAnsi="宋体" w:eastAsia="宋体" w:cs="宋体"/>
          <w:color w:val="auto"/>
          <w:kern w:val="0"/>
          <w:sz w:val="24"/>
          <w:highlight w:val="none"/>
        </w:rPr>
      </w:pPr>
    </w:p>
    <w:p w14:paraId="4294D10E">
      <w:pPr>
        <w:widowControl/>
        <w:shd w:val="clear" w:color="auto" w:fill="FFFFFF"/>
        <w:spacing w:before="150" w:line="600" w:lineRule="atLeast"/>
        <w:jc w:val="center"/>
        <w:textAlignment w:val="baseline"/>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6"/>
          <w:szCs w:val="36"/>
          <w:highlight w:val="none"/>
        </w:rPr>
        <w:t>统计上大中小微型企业划分标准</w:t>
      </w:r>
    </w:p>
    <w:tbl>
      <w:tblPr>
        <w:tblStyle w:val="28"/>
        <w:tblW w:w="97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57"/>
        <w:gridCol w:w="1560"/>
        <w:gridCol w:w="671"/>
        <w:gridCol w:w="1231"/>
        <w:gridCol w:w="1891"/>
        <w:gridCol w:w="1730"/>
        <w:gridCol w:w="1203"/>
      </w:tblGrid>
      <w:tr w14:paraId="5F266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tcMar>
              <w:top w:w="75" w:type="dxa"/>
              <w:left w:w="75" w:type="dxa"/>
              <w:bottom w:w="75" w:type="dxa"/>
              <w:right w:w="75" w:type="dxa"/>
            </w:tcMar>
            <w:vAlign w:val="bottom"/>
          </w:tcPr>
          <w:p w14:paraId="0872AA7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行业名称</w:t>
            </w:r>
          </w:p>
        </w:tc>
        <w:tc>
          <w:tcPr>
            <w:tcW w:w="1560" w:type="dxa"/>
            <w:tcMar>
              <w:top w:w="75" w:type="dxa"/>
              <w:left w:w="75" w:type="dxa"/>
              <w:bottom w:w="75" w:type="dxa"/>
              <w:right w:w="75" w:type="dxa"/>
            </w:tcMar>
            <w:vAlign w:val="bottom"/>
          </w:tcPr>
          <w:p w14:paraId="53C27C0D">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指标名称</w:t>
            </w:r>
          </w:p>
        </w:tc>
        <w:tc>
          <w:tcPr>
            <w:tcW w:w="671" w:type="dxa"/>
            <w:tcMar>
              <w:top w:w="75" w:type="dxa"/>
              <w:left w:w="75" w:type="dxa"/>
              <w:bottom w:w="75" w:type="dxa"/>
              <w:right w:w="75" w:type="dxa"/>
            </w:tcMar>
            <w:vAlign w:val="bottom"/>
          </w:tcPr>
          <w:p w14:paraId="47CEF718">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计量单位</w:t>
            </w:r>
          </w:p>
        </w:tc>
        <w:tc>
          <w:tcPr>
            <w:tcW w:w="1231" w:type="dxa"/>
            <w:tcMar>
              <w:top w:w="75" w:type="dxa"/>
              <w:left w:w="75" w:type="dxa"/>
              <w:bottom w:w="75" w:type="dxa"/>
              <w:right w:w="75" w:type="dxa"/>
            </w:tcMar>
            <w:vAlign w:val="bottom"/>
          </w:tcPr>
          <w:p w14:paraId="7F61010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大型</w:t>
            </w:r>
          </w:p>
        </w:tc>
        <w:tc>
          <w:tcPr>
            <w:tcW w:w="1891" w:type="dxa"/>
            <w:tcMar>
              <w:top w:w="75" w:type="dxa"/>
              <w:left w:w="75" w:type="dxa"/>
              <w:bottom w:w="75" w:type="dxa"/>
              <w:right w:w="75" w:type="dxa"/>
            </w:tcMar>
            <w:vAlign w:val="bottom"/>
          </w:tcPr>
          <w:p w14:paraId="1AB9B65F">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中型</w:t>
            </w:r>
          </w:p>
        </w:tc>
        <w:tc>
          <w:tcPr>
            <w:tcW w:w="1730" w:type="dxa"/>
            <w:tcMar>
              <w:top w:w="75" w:type="dxa"/>
              <w:left w:w="75" w:type="dxa"/>
              <w:bottom w:w="75" w:type="dxa"/>
              <w:right w:w="75" w:type="dxa"/>
            </w:tcMar>
            <w:vAlign w:val="bottom"/>
          </w:tcPr>
          <w:p w14:paraId="705CBCD4">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小型</w:t>
            </w:r>
          </w:p>
        </w:tc>
        <w:tc>
          <w:tcPr>
            <w:tcW w:w="1203" w:type="dxa"/>
            <w:tcMar>
              <w:top w:w="75" w:type="dxa"/>
              <w:left w:w="75" w:type="dxa"/>
              <w:bottom w:w="75" w:type="dxa"/>
              <w:right w:w="75" w:type="dxa"/>
            </w:tcMar>
            <w:vAlign w:val="bottom"/>
          </w:tcPr>
          <w:p w14:paraId="76BA63AB">
            <w:pPr>
              <w:widowControl/>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微型</w:t>
            </w:r>
          </w:p>
        </w:tc>
      </w:tr>
      <w:tr w14:paraId="5C75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5DF108D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农、林、牧、渔业</w:t>
            </w:r>
          </w:p>
        </w:tc>
        <w:tc>
          <w:tcPr>
            <w:tcW w:w="1560" w:type="dxa"/>
            <w:vAlign w:val="center"/>
          </w:tcPr>
          <w:p w14:paraId="073638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2B5B25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567F8E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vAlign w:val="center"/>
          </w:tcPr>
          <w:p w14:paraId="4214301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vAlign w:val="center"/>
          </w:tcPr>
          <w:p w14:paraId="44B137F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50≤Y＜500</w:t>
            </w:r>
          </w:p>
        </w:tc>
        <w:tc>
          <w:tcPr>
            <w:tcW w:w="1203" w:type="dxa"/>
            <w:vAlign w:val="center"/>
          </w:tcPr>
          <w:p w14:paraId="3707EB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1694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EFFE59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工业 *</w:t>
            </w:r>
          </w:p>
        </w:tc>
        <w:tc>
          <w:tcPr>
            <w:tcW w:w="1560" w:type="dxa"/>
            <w:vAlign w:val="center"/>
          </w:tcPr>
          <w:p w14:paraId="5B689FB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70E95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664C28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6C29E0D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4AA438A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39C3A4A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723C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34525B3">
            <w:pPr>
              <w:widowControl/>
              <w:jc w:val="left"/>
              <w:rPr>
                <w:rFonts w:hint="eastAsia" w:ascii="宋体" w:hAnsi="宋体" w:eastAsia="宋体" w:cs="宋体"/>
                <w:color w:val="auto"/>
                <w:kern w:val="0"/>
                <w:sz w:val="24"/>
                <w:highlight w:val="none"/>
              </w:rPr>
            </w:pPr>
          </w:p>
        </w:tc>
        <w:tc>
          <w:tcPr>
            <w:tcW w:w="1560" w:type="dxa"/>
            <w:vAlign w:val="center"/>
          </w:tcPr>
          <w:p w14:paraId="709217F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7DA3180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A339A6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vAlign w:val="center"/>
          </w:tcPr>
          <w:p w14:paraId="4511D05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2000≤Y＜40000</w:t>
            </w:r>
          </w:p>
        </w:tc>
        <w:tc>
          <w:tcPr>
            <w:tcW w:w="1730" w:type="dxa"/>
            <w:vAlign w:val="center"/>
          </w:tcPr>
          <w:p w14:paraId="2FFE0B7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300≤Y＜2000</w:t>
            </w:r>
          </w:p>
        </w:tc>
        <w:tc>
          <w:tcPr>
            <w:tcW w:w="1203" w:type="dxa"/>
            <w:vAlign w:val="center"/>
          </w:tcPr>
          <w:p w14:paraId="15DE040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76EF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63C061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建筑业</w:t>
            </w:r>
          </w:p>
        </w:tc>
        <w:tc>
          <w:tcPr>
            <w:tcW w:w="1560" w:type="dxa"/>
            <w:vAlign w:val="center"/>
          </w:tcPr>
          <w:p w14:paraId="35CEB94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4085936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617DCA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Y≥80000</w:t>
            </w:r>
          </w:p>
        </w:tc>
        <w:tc>
          <w:tcPr>
            <w:tcW w:w="1891" w:type="dxa"/>
            <w:vAlign w:val="center"/>
          </w:tcPr>
          <w:p w14:paraId="1A2B733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6000≤Y＜80000</w:t>
            </w:r>
          </w:p>
        </w:tc>
        <w:tc>
          <w:tcPr>
            <w:tcW w:w="1730" w:type="dxa"/>
            <w:vAlign w:val="center"/>
          </w:tcPr>
          <w:p w14:paraId="3A5FB10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300≤Y＜6000</w:t>
            </w:r>
          </w:p>
        </w:tc>
        <w:tc>
          <w:tcPr>
            <w:tcW w:w="1203" w:type="dxa"/>
            <w:vAlign w:val="center"/>
          </w:tcPr>
          <w:p w14:paraId="762E201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w:t>
            </w:r>
          </w:p>
        </w:tc>
      </w:tr>
      <w:tr w14:paraId="5DC9F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85685FD">
            <w:pPr>
              <w:widowControl/>
              <w:jc w:val="left"/>
              <w:rPr>
                <w:rFonts w:hint="eastAsia" w:ascii="宋体" w:hAnsi="宋体" w:eastAsia="宋体" w:cs="宋体"/>
                <w:color w:val="auto"/>
                <w:kern w:val="0"/>
                <w:sz w:val="24"/>
                <w:highlight w:val="none"/>
              </w:rPr>
            </w:pPr>
          </w:p>
        </w:tc>
        <w:tc>
          <w:tcPr>
            <w:tcW w:w="1560" w:type="dxa"/>
            <w:vAlign w:val="center"/>
          </w:tcPr>
          <w:p w14:paraId="2E1B66B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0B57570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35411D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Z≥80000</w:t>
            </w:r>
          </w:p>
        </w:tc>
        <w:tc>
          <w:tcPr>
            <w:tcW w:w="1891" w:type="dxa"/>
            <w:vAlign w:val="center"/>
          </w:tcPr>
          <w:p w14:paraId="05F731F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5000≤Z＜80000</w:t>
            </w:r>
          </w:p>
        </w:tc>
        <w:tc>
          <w:tcPr>
            <w:tcW w:w="1730" w:type="dxa"/>
            <w:vAlign w:val="center"/>
          </w:tcPr>
          <w:p w14:paraId="2B8082F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300≤Z＜5000</w:t>
            </w:r>
          </w:p>
        </w:tc>
        <w:tc>
          <w:tcPr>
            <w:tcW w:w="1203" w:type="dxa"/>
            <w:vAlign w:val="center"/>
          </w:tcPr>
          <w:p w14:paraId="4985633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Z＜300</w:t>
            </w:r>
          </w:p>
        </w:tc>
      </w:tr>
      <w:tr w14:paraId="1A39B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7A52C99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批发业</w:t>
            </w:r>
          </w:p>
        </w:tc>
        <w:tc>
          <w:tcPr>
            <w:tcW w:w="1560" w:type="dxa"/>
            <w:vAlign w:val="center"/>
          </w:tcPr>
          <w:p w14:paraId="274D689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3C352D3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68501F7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vAlign w:val="center"/>
          </w:tcPr>
          <w:p w14:paraId="2D65C6C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20≤X＜200</w:t>
            </w:r>
          </w:p>
        </w:tc>
        <w:tc>
          <w:tcPr>
            <w:tcW w:w="1730" w:type="dxa"/>
            <w:vAlign w:val="center"/>
          </w:tcPr>
          <w:p w14:paraId="11043A2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5≤X＜20</w:t>
            </w:r>
          </w:p>
        </w:tc>
        <w:tc>
          <w:tcPr>
            <w:tcW w:w="1203" w:type="dxa"/>
            <w:vAlign w:val="center"/>
          </w:tcPr>
          <w:p w14:paraId="2108129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X＜5</w:t>
            </w:r>
          </w:p>
        </w:tc>
      </w:tr>
      <w:tr w14:paraId="7F2D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7A2CFF5">
            <w:pPr>
              <w:widowControl/>
              <w:jc w:val="left"/>
              <w:rPr>
                <w:rFonts w:hint="eastAsia" w:ascii="宋体" w:hAnsi="宋体" w:eastAsia="宋体" w:cs="宋体"/>
                <w:color w:val="auto"/>
                <w:kern w:val="0"/>
                <w:sz w:val="24"/>
                <w:highlight w:val="none"/>
              </w:rPr>
            </w:pPr>
          </w:p>
        </w:tc>
        <w:tc>
          <w:tcPr>
            <w:tcW w:w="1560" w:type="dxa"/>
            <w:vAlign w:val="center"/>
          </w:tcPr>
          <w:p w14:paraId="5CB9D42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17DAF5B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771D6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Y≥40000</w:t>
            </w:r>
          </w:p>
        </w:tc>
        <w:tc>
          <w:tcPr>
            <w:tcW w:w="1891" w:type="dxa"/>
            <w:vAlign w:val="center"/>
          </w:tcPr>
          <w:p w14:paraId="5C37C67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5000≤Y＜40000</w:t>
            </w:r>
          </w:p>
        </w:tc>
        <w:tc>
          <w:tcPr>
            <w:tcW w:w="1730" w:type="dxa"/>
            <w:vAlign w:val="center"/>
          </w:tcPr>
          <w:p w14:paraId="376F60A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203" w:type="dxa"/>
            <w:vAlign w:val="center"/>
          </w:tcPr>
          <w:p w14:paraId="0CE8F34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w:t>
            </w:r>
          </w:p>
        </w:tc>
      </w:tr>
      <w:tr w14:paraId="7C11F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36C050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零售业</w:t>
            </w:r>
          </w:p>
        </w:tc>
        <w:tc>
          <w:tcPr>
            <w:tcW w:w="1560" w:type="dxa"/>
            <w:vAlign w:val="center"/>
          </w:tcPr>
          <w:p w14:paraId="46D4A9C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593FC3E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493B2E0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64858F6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50≤X＜300</w:t>
            </w:r>
          </w:p>
        </w:tc>
        <w:tc>
          <w:tcPr>
            <w:tcW w:w="1730" w:type="dxa"/>
            <w:vAlign w:val="center"/>
          </w:tcPr>
          <w:p w14:paraId="5B12CEC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10≤X＜50</w:t>
            </w:r>
          </w:p>
        </w:tc>
        <w:tc>
          <w:tcPr>
            <w:tcW w:w="1203" w:type="dxa"/>
            <w:vAlign w:val="center"/>
          </w:tcPr>
          <w:p w14:paraId="57C764B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1D49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55D235C6">
            <w:pPr>
              <w:widowControl/>
              <w:jc w:val="left"/>
              <w:rPr>
                <w:rFonts w:hint="eastAsia" w:ascii="宋体" w:hAnsi="宋体" w:eastAsia="宋体" w:cs="宋体"/>
                <w:color w:val="auto"/>
                <w:kern w:val="0"/>
                <w:sz w:val="24"/>
                <w:highlight w:val="none"/>
              </w:rPr>
            </w:pPr>
          </w:p>
        </w:tc>
        <w:tc>
          <w:tcPr>
            <w:tcW w:w="1560" w:type="dxa"/>
            <w:vAlign w:val="center"/>
          </w:tcPr>
          <w:p w14:paraId="4039A39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1CA5605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F83EEC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w:t>
            </w:r>
          </w:p>
        </w:tc>
        <w:tc>
          <w:tcPr>
            <w:tcW w:w="1891" w:type="dxa"/>
            <w:vAlign w:val="center"/>
          </w:tcPr>
          <w:p w14:paraId="7EC71D7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500≤Y＜20000</w:t>
            </w:r>
          </w:p>
        </w:tc>
        <w:tc>
          <w:tcPr>
            <w:tcW w:w="1730" w:type="dxa"/>
            <w:vAlign w:val="center"/>
          </w:tcPr>
          <w:p w14:paraId="48C2D60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100≤Y＜500</w:t>
            </w:r>
          </w:p>
        </w:tc>
        <w:tc>
          <w:tcPr>
            <w:tcW w:w="1203" w:type="dxa"/>
            <w:vAlign w:val="center"/>
          </w:tcPr>
          <w:p w14:paraId="5130551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08A0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5F6A73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交通运输业 *</w:t>
            </w:r>
          </w:p>
        </w:tc>
        <w:tc>
          <w:tcPr>
            <w:tcW w:w="1560" w:type="dxa"/>
            <w:vAlign w:val="center"/>
          </w:tcPr>
          <w:p w14:paraId="3618FF8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419304E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1ABFD17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6192674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149A03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1F0DCCB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0873E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7AF02E5F">
            <w:pPr>
              <w:widowControl/>
              <w:jc w:val="left"/>
              <w:rPr>
                <w:rFonts w:hint="eastAsia" w:ascii="宋体" w:hAnsi="宋体" w:eastAsia="宋体" w:cs="宋体"/>
                <w:color w:val="auto"/>
                <w:kern w:val="0"/>
                <w:sz w:val="24"/>
                <w:highlight w:val="none"/>
              </w:rPr>
            </w:pPr>
          </w:p>
        </w:tc>
        <w:tc>
          <w:tcPr>
            <w:tcW w:w="1560" w:type="dxa"/>
            <w:vAlign w:val="center"/>
          </w:tcPr>
          <w:p w14:paraId="70DCA3F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43661C1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9D8CFE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189A146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3000≤Y＜30000</w:t>
            </w:r>
          </w:p>
        </w:tc>
        <w:tc>
          <w:tcPr>
            <w:tcW w:w="1730" w:type="dxa"/>
            <w:vAlign w:val="center"/>
          </w:tcPr>
          <w:p w14:paraId="7CCCCE7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200≤Y＜3000</w:t>
            </w:r>
          </w:p>
        </w:tc>
        <w:tc>
          <w:tcPr>
            <w:tcW w:w="1203" w:type="dxa"/>
            <w:vAlign w:val="center"/>
          </w:tcPr>
          <w:p w14:paraId="39A028A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w:t>
            </w:r>
          </w:p>
        </w:tc>
      </w:tr>
      <w:tr w14:paraId="7AD4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4BCC4D5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仓储业*</w:t>
            </w:r>
          </w:p>
        </w:tc>
        <w:tc>
          <w:tcPr>
            <w:tcW w:w="1560" w:type="dxa"/>
            <w:vAlign w:val="center"/>
          </w:tcPr>
          <w:p w14:paraId="261BC60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F94652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631B44D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w:t>
            </w:r>
          </w:p>
        </w:tc>
        <w:tc>
          <w:tcPr>
            <w:tcW w:w="1891" w:type="dxa"/>
            <w:vAlign w:val="center"/>
          </w:tcPr>
          <w:p w14:paraId="03094FF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w:t>
            </w:r>
          </w:p>
        </w:tc>
        <w:tc>
          <w:tcPr>
            <w:tcW w:w="1730" w:type="dxa"/>
            <w:vAlign w:val="center"/>
          </w:tcPr>
          <w:p w14:paraId="02B725E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20≤X＜100</w:t>
            </w:r>
          </w:p>
        </w:tc>
        <w:tc>
          <w:tcPr>
            <w:tcW w:w="1203" w:type="dxa"/>
            <w:vAlign w:val="center"/>
          </w:tcPr>
          <w:p w14:paraId="6B65054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625C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7058630">
            <w:pPr>
              <w:widowControl/>
              <w:jc w:val="left"/>
              <w:rPr>
                <w:rFonts w:hint="eastAsia" w:ascii="宋体" w:hAnsi="宋体" w:eastAsia="宋体" w:cs="宋体"/>
                <w:color w:val="auto"/>
                <w:kern w:val="0"/>
                <w:sz w:val="24"/>
                <w:highlight w:val="none"/>
              </w:rPr>
            </w:pPr>
          </w:p>
        </w:tc>
        <w:tc>
          <w:tcPr>
            <w:tcW w:w="1560" w:type="dxa"/>
            <w:vAlign w:val="center"/>
          </w:tcPr>
          <w:p w14:paraId="62573F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3635B3D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E83E3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3E1A7A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1000≤Y＜30000</w:t>
            </w:r>
          </w:p>
        </w:tc>
        <w:tc>
          <w:tcPr>
            <w:tcW w:w="1730" w:type="dxa"/>
            <w:vAlign w:val="center"/>
          </w:tcPr>
          <w:p w14:paraId="211A26B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62CE773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17696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509F5CD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邮政业</w:t>
            </w:r>
          </w:p>
        </w:tc>
        <w:tc>
          <w:tcPr>
            <w:tcW w:w="1560" w:type="dxa"/>
            <w:vAlign w:val="center"/>
          </w:tcPr>
          <w:p w14:paraId="7025C4E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2B3FA2D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4960AE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194FA6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583551B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20≤X＜300</w:t>
            </w:r>
          </w:p>
        </w:tc>
        <w:tc>
          <w:tcPr>
            <w:tcW w:w="1203" w:type="dxa"/>
            <w:vAlign w:val="center"/>
          </w:tcPr>
          <w:p w14:paraId="34E45F7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w:t>
            </w:r>
          </w:p>
        </w:tc>
      </w:tr>
      <w:tr w14:paraId="2BFD6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D28DA91">
            <w:pPr>
              <w:widowControl/>
              <w:jc w:val="left"/>
              <w:rPr>
                <w:rFonts w:hint="eastAsia" w:ascii="宋体" w:hAnsi="宋体" w:eastAsia="宋体" w:cs="宋体"/>
                <w:color w:val="auto"/>
                <w:kern w:val="0"/>
                <w:sz w:val="24"/>
                <w:highlight w:val="none"/>
              </w:rPr>
            </w:pPr>
          </w:p>
        </w:tc>
        <w:tc>
          <w:tcPr>
            <w:tcW w:w="1560" w:type="dxa"/>
            <w:vAlign w:val="center"/>
          </w:tcPr>
          <w:p w14:paraId="1FDD6B7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6A31253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A12237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Y≥30000</w:t>
            </w:r>
          </w:p>
        </w:tc>
        <w:tc>
          <w:tcPr>
            <w:tcW w:w="1891" w:type="dxa"/>
            <w:vAlign w:val="center"/>
          </w:tcPr>
          <w:p w14:paraId="59E0934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2000≤Y＜30000</w:t>
            </w:r>
          </w:p>
        </w:tc>
        <w:tc>
          <w:tcPr>
            <w:tcW w:w="1730" w:type="dxa"/>
            <w:vAlign w:val="center"/>
          </w:tcPr>
          <w:p w14:paraId="672D8A5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5E7468B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109C7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09A45E7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住宿业</w:t>
            </w:r>
          </w:p>
        </w:tc>
        <w:tc>
          <w:tcPr>
            <w:tcW w:w="1560" w:type="dxa"/>
            <w:vAlign w:val="center"/>
          </w:tcPr>
          <w:p w14:paraId="09BC04C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3B4EAC0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4290A29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1E1E65E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02D1F42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134232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13711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C398AB2">
            <w:pPr>
              <w:widowControl/>
              <w:jc w:val="left"/>
              <w:rPr>
                <w:rFonts w:hint="eastAsia" w:ascii="宋体" w:hAnsi="宋体" w:eastAsia="宋体" w:cs="宋体"/>
                <w:color w:val="auto"/>
                <w:kern w:val="0"/>
                <w:sz w:val="24"/>
                <w:highlight w:val="none"/>
              </w:rPr>
            </w:pPr>
          </w:p>
        </w:tc>
        <w:tc>
          <w:tcPr>
            <w:tcW w:w="1560" w:type="dxa"/>
            <w:vAlign w:val="center"/>
          </w:tcPr>
          <w:p w14:paraId="5BAD3EF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397854B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5469D11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69962C3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vAlign w:val="center"/>
          </w:tcPr>
          <w:p w14:paraId="6F26CA8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60D059A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0C38D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66A6A6F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餐饮业</w:t>
            </w:r>
          </w:p>
        </w:tc>
        <w:tc>
          <w:tcPr>
            <w:tcW w:w="1560" w:type="dxa"/>
            <w:vAlign w:val="center"/>
          </w:tcPr>
          <w:p w14:paraId="2EC31A5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412136E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7F933F8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2567B16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25FC16F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555124D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38626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1C533F75">
            <w:pPr>
              <w:widowControl/>
              <w:jc w:val="left"/>
              <w:rPr>
                <w:rFonts w:hint="eastAsia" w:ascii="宋体" w:hAnsi="宋体" w:eastAsia="宋体" w:cs="宋体"/>
                <w:color w:val="auto"/>
                <w:kern w:val="0"/>
                <w:sz w:val="24"/>
                <w:highlight w:val="none"/>
              </w:rPr>
            </w:pPr>
          </w:p>
        </w:tc>
        <w:tc>
          <w:tcPr>
            <w:tcW w:w="1560" w:type="dxa"/>
            <w:vAlign w:val="center"/>
          </w:tcPr>
          <w:p w14:paraId="6778E62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44C4EE4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F73EE7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14C164D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2000≤Y＜10000</w:t>
            </w:r>
          </w:p>
        </w:tc>
        <w:tc>
          <w:tcPr>
            <w:tcW w:w="1730" w:type="dxa"/>
            <w:vAlign w:val="center"/>
          </w:tcPr>
          <w:p w14:paraId="2C41069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100≤Y＜2000</w:t>
            </w:r>
          </w:p>
        </w:tc>
        <w:tc>
          <w:tcPr>
            <w:tcW w:w="1203" w:type="dxa"/>
            <w:vAlign w:val="center"/>
          </w:tcPr>
          <w:p w14:paraId="59F013F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23B2F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2CEFCEF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信息传输业 *</w:t>
            </w:r>
          </w:p>
        </w:tc>
        <w:tc>
          <w:tcPr>
            <w:tcW w:w="1560" w:type="dxa"/>
            <w:vAlign w:val="center"/>
          </w:tcPr>
          <w:p w14:paraId="7D95394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11C8A87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3A0D451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X≥2000</w:t>
            </w:r>
          </w:p>
        </w:tc>
        <w:tc>
          <w:tcPr>
            <w:tcW w:w="1891" w:type="dxa"/>
            <w:vAlign w:val="center"/>
          </w:tcPr>
          <w:p w14:paraId="34673FF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100≤X＜2000</w:t>
            </w:r>
          </w:p>
        </w:tc>
        <w:tc>
          <w:tcPr>
            <w:tcW w:w="1730" w:type="dxa"/>
            <w:vAlign w:val="center"/>
          </w:tcPr>
          <w:p w14:paraId="557C227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6E34CE6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7C73B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00BEFB1">
            <w:pPr>
              <w:widowControl/>
              <w:jc w:val="left"/>
              <w:rPr>
                <w:rFonts w:hint="eastAsia" w:ascii="宋体" w:hAnsi="宋体" w:eastAsia="宋体" w:cs="宋体"/>
                <w:color w:val="auto"/>
                <w:kern w:val="0"/>
                <w:sz w:val="24"/>
                <w:highlight w:val="none"/>
              </w:rPr>
            </w:pPr>
          </w:p>
        </w:tc>
        <w:tc>
          <w:tcPr>
            <w:tcW w:w="1560" w:type="dxa"/>
            <w:vAlign w:val="center"/>
          </w:tcPr>
          <w:p w14:paraId="2C8A624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6E1647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3F088D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Y≥100000</w:t>
            </w:r>
          </w:p>
        </w:tc>
        <w:tc>
          <w:tcPr>
            <w:tcW w:w="1891" w:type="dxa"/>
            <w:vAlign w:val="center"/>
          </w:tcPr>
          <w:p w14:paraId="5FD18E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1000≤Y＜100000</w:t>
            </w:r>
          </w:p>
        </w:tc>
        <w:tc>
          <w:tcPr>
            <w:tcW w:w="1730" w:type="dxa"/>
            <w:vAlign w:val="center"/>
          </w:tcPr>
          <w:p w14:paraId="732BC24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083872A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70BA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3CF203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软件和信息技术服务业</w:t>
            </w:r>
          </w:p>
        </w:tc>
        <w:tc>
          <w:tcPr>
            <w:tcW w:w="1560" w:type="dxa"/>
            <w:vAlign w:val="center"/>
          </w:tcPr>
          <w:p w14:paraId="02D5C17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4A5E2A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71C11B4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5F45F96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3A9BC65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6EB0BE4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41E4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35943B24">
            <w:pPr>
              <w:widowControl/>
              <w:jc w:val="left"/>
              <w:rPr>
                <w:rFonts w:hint="eastAsia" w:ascii="宋体" w:hAnsi="宋体" w:eastAsia="宋体" w:cs="宋体"/>
                <w:color w:val="auto"/>
                <w:kern w:val="0"/>
                <w:sz w:val="24"/>
                <w:highlight w:val="none"/>
              </w:rPr>
            </w:pPr>
          </w:p>
        </w:tc>
        <w:tc>
          <w:tcPr>
            <w:tcW w:w="1560" w:type="dxa"/>
            <w:vAlign w:val="center"/>
          </w:tcPr>
          <w:p w14:paraId="1C0BE0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54D3106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2D9AF3E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Y≥10000</w:t>
            </w:r>
          </w:p>
        </w:tc>
        <w:tc>
          <w:tcPr>
            <w:tcW w:w="1891" w:type="dxa"/>
            <w:vAlign w:val="center"/>
          </w:tcPr>
          <w:p w14:paraId="3B12F06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1000≤Y＜10000</w:t>
            </w:r>
          </w:p>
        </w:tc>
        <w:tc>
          <w:tcPr>
            <w:tcW w:w="1730" w:type="dxa"/>
            <w:vAlign w:val="center"/>
          </w:tcPr>
          <w:p w14:paraId="0EE3AA1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50≤Y＜1000</w:t>
            </w:r>
          </w:p>
        </w:tc>
        <w:tc>
          <w:tcPr>
            <w:tcW w:w="1203" w:type="dxa"/>
            <w:vAlign w:val="center"/>
          </w:tcPr>
          <w:p w14:paraId="28A0424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w:t>
            </w:r>
          </w:p>
        </w:tc>
      </w:tr>
      <w:tr w14:paraId="413D6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1911E12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房地产开发经营</w:t>
            </w:r>
          </w:p>
        </w:tc>
        <w:tc>
          <w:tcPr>
            <w:tcW w:w="1560" w:type="dxa"/>
            <w:vAlign w:val="center"/>
          </w:tcPr>
          <w:p w14:paraId="3DEB53E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19A8983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092CF93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Y≥200000</w:t>
            </w:r>
          </w:p>
        </w:tc>
        <w:tc>
          <w:tcPr>
            <w:tcW w:w="1891" w:type="dxa"/>
            <w:vAlign w:val="center"/>
          </w:tcPr>
          <w:p w14:paraId="18D8989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1000≤Y＜200000</w:t>
            </w:r>
          </w:p>
        </w:tc>
        <w:tc>
          <w:tcPr>
            <w:tcW w:w="1730" w:type="dxa"/>
            <w:vAlign w:val="center"/>
          </w:tcPr>
          <w:p w14:paraId="25487E1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100≤Y＜1000</w:t>
            </w:r>
          </w:p>
        </w:tc>
        <w:tc>
          <w:tcPr>
            <w:tcW w:w="1203" w:type="dxa"/>
            <w:vAlign w:val="center"/>
          </w:tcPr>
          <w:p w14:paraId="6829BFB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Y＜100</w:t>
            </w:r>
          </w:p>
        </w:tc>
      </w:tr>
      <w:tr w14:paraId="78F0B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09D47D54">
            <w:pPr>
              <w:widowControl/>
              <w:jc w:val="left"/>
              <w:rPr>
                <w:rFonts w:hint="eastAsia" w:ascii="宋体" w:hAnsi="宋体" w:eastAsia="宋体" w:cs="宋体"/>
                <w:color w:val="auto"/>
                <w:kern w:val="0"/>
                <w:sz w:val="24"/>
                <w:highlight w:val="none"/>
              </w:rPr>
            </w:pPr>
          </w:p>
        </w:tc>
        <w:tc>
          <w:tcPr>
            <w:tcW w:w="1560" w:type="dxa"/>
            <w:vAlign w:val="center"/>
          </w:tcPr>
          <w:p w14:paraId="166B0F8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57E271E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7345C2E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Z≥10000</w:t>
            </w:r>
          </w:p>
        </w:tc>
        <w:tc>
          <w:tcPr>
            <w:tcW w:w="1891" w:type="dxa"/>
            <w:vAlign w:val="center"/>
          </w:tcPr>
          <w:p w14:paraId="01F49B5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5000≤Z＜10000</w:t>
            </w:r>
          </w:p>
        </w:tc>
        <w:tc>
          <w:tcPr>
            <w:tcW w:w="1730" w:type="dxa"/>
            <w:vAlign w:val="center"/>
          </w:tcPr>
          <w:p w14:paraId="6316F3A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2000≤Z＜5000</w:t>
            </w:r>
          </w:p>
        </w:tc>
        <w:tc>
          <w:tcPr>
            <w:tcW w:w="1203" w:type="dxa"/>
            <w:vAlign w:val="center"/>
          </w:tcPr>
          <w:p w14:paraId="0797257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Z＜2000</w:t>
            </w:r>
          </w:p>
        </w:tc>
      </w:tr>
      <w:tr w14:paraId="4111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99A87F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物业管理</w:t>
            </w:r>
          </w:p>
        </w:tc>
        <w:tc>
          <w:tcPr>
            <w:tcW w:w="1560" w:type="dxa"/>
            <w:vAlign w:val="center"/>
          </w:tcPr>
          <w:p w14:paraId="77618B1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31E12C4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5D60A6A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X≥1000</w:t>
            </w:r>
          </w:p>
        </w:tc>
        <w:tc>
          <w:tcPr>
            <w:tcW w:w="1891" w:type="dxa"/>
            <w:vAlign w:val="center"/>
          </w:tcPr>
          <w:p w14:paraId="760FC03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300≤X＜1000</w:t>
            </w:r>
          </w:p>
        </w:tc>
        <w:tc>
          <w:tcPr>
            <w:tcW w:w="1730" w:type="dxa"/>
            <w:vAlign w:val="center"/>
          </w:tcPr>
          <w:p w14:paraId="316980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203" w:type="dxa"/>
            <w:vAlign w:val="center"/>
          </w:tcPr>
          <w:p w14:paraId="1DF1078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X＜100</w:t>
            </w:r>
          </w:p>
        </w:tc>
      </w:tr>
      <w:tr w14:paraId="13F18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62DBDE0D">
            <w:pPr>
              <w:widowControl/>
              <w:jc w:val="left"/>
              <w:rPr>
                <w:rFonts w:hint="eastAsia" w:ascii="宋体" w:hAnsi="宋体" w:eastAsia="宋体" w:cs="宋体"/>
                <w:color w:val="auto"/>
                <w:kern w:val="0"/>
                <w:sz w:val="24"/>
                <w:highlight w:val="none"/>
              </w:rPr>
            </w:pPr>
          </w:p>
        </w:tc>
        <w:tc>
          <w:tcPr>
            <w:tcW w:w="1560" w:type="dxa"/>
            <w:vAlign w:val="center"/>
          </w:tcPr>
          <w:p w14:paraId="014E0FA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营业收入(Y)</w:t>
            </w:r>
          </w:p>
        </w:tc>
        <w:tc>
          <w:tcPr>
            <w:tcW w:w="671" w:type="dxa"/>
            <w:vAlign w:val="center"/>
          </w:tcPr>
          <w:p w14:paraId="24CF6AA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6A1F285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Y≥5000</w:t>
            </w:r>
          </w:p>
        </w:tc>
        <w:tc>
          <w:tcPr>
            <w:tcW w:w="1891" w:type="dxa"/>
            <w:vAlign w:val="center"/>
          </w:tcPr>
          <w:p w14:paraId="4E1C087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1000≤Y＜5000</w:t>
            </w:r>
          </w:p>
        </w:tc>
        <w:tc>
          <w:tcPr>
            <w:tcW w:w="1730" w:type="dxa"/>
            <w:vAlign w:val="center"/>
          </w:tcPr>
          <w:p w14:paraId="1C7A03A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500≤Y＜1000</w:t>
            </w:r>
          </w:p>
        </w:tc>
        <w:tc>
          <w:tcPr>
            <w:tcW w:w="1203" w:type="dxa"/>
            <w:vAlign w:val="center"/>
          </w:tcPr>
          <w:p w14:paraId="4078B75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Y＜500</w:t>
            </w:r>
          </w:p>
        </w:tc>
      </w:tr>
      <w:tr w14:paraId="05471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restart"/>
            <w:vAlign w:val="center"/>
          </w:tcPr>
          <w:p w14:paraId="3A25CEB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租赁和商务服务业</w:t>
            </w:r>
          </w:p>
        </w:tc>
        <w:tc>
          <w:tcPr>
            <w:tcW w:w="1560" w:type="dxa"/>
            <w:vAlign w:val="center"/>
          </w:tcPr>
          <w:p w14:paraId="1AACE4F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272C5D2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6A6BA71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394784B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1D57F05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1C50369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r w14:paraId="4E6F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Merge w:val="continue"/>
            <w:vAlign w:val="center"/>
          </w:tcPr>
          <w:p w14:paraId="43DF9630">
            <w:pPr>
              <w:widowControl/>
              <w:jc w:val="left"/>
              <w:rPr>
                <w:rFonts w:hint="eastAsia" w:ascii="宋体" w:hAnsi="宋体" w:eastAsia="宋体" w:cs="宋体"/>
                <w:color w:val="auto"/>
                <w:kern w:val="0"/>
                <w:sz w:val="24"/>
                <w:highlight w:val="none"/>
              </w:rPr>
            </w:pPr>
          </w:p>
        </w:tc>
        <w:tc>
          <w:tcPr>
            <w:tcW w:w="1560" w:type="dxa"/>
            <w:vAlign w:val="center"/>
          </w:tcPr>
          <w:p w14:paraId="7A42DF9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资产总额(Z)</w:t>
            </w:r>
          </w:p>
        </w:tc>
        <w:tc>
          <w:tcPr>
            <w:tcW w:w="671" w:type="dxa"/>
            <w:vAlign w:val="center"/>
          </w:tcPr>
          <w:p w14:paraId="58C6ABC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万元</w:t>
            </w:r>
          </w:p>
        </w:tc>
        <w:tc>
          <w:tcPr>
            <w:tcW w:w="1231" w:type="dxa"/>
            <w:vAlign w:val="center"/>
          </w:tcPr>
          <w:p w14:paraId="4F9F849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Z≥120000</w:t>
            </w:r>
          </w:p>
        </w:tc>
        <w:tc>
          <w:tcPr>
            <w:tcW w:w="1891" w:type="dxa"/>
            <w:vAlign w:val="center"/>
          </w:tcPr>
          <w:p w14:paraId="770560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8000≤Z＜120000</w:t>
            </w:r>
          </w:p>
        </w:tc>
        <w:tc>
          <w:tcPr>
            <w:tcW w:w="1730" w:type="dxa"/>
            <w:vAlign w:val="center"/>
          </w:tcPr>
          <w:p w14:paraId="4518A9A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100≤Z＜8000</w:t>
            </w:r>
          </w:p>
        </w:tc>
        <w:tc>
          <w:tcPr>
            <w:tcW w:w="1203" w:type="dxa"/>
            <w:vAlign w:val="center"/>
          </w:tcPr>
          <w:p w14:paraId="603828A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Z＜100</w:t>
            </w:r>
          </w:p>
        </w:tc>
      </w:tr>
      <w:tr w14:paraId="4D7D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457" w:type="dxa"/>
            <w:vAlign w:val="center"/>
          </w:tcPr>
          <w:p w14:paraId="5177588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其他未列明行业 *</w:t>
            </w:r>
          </w:p>
        </w:tc>
        <w:tc>
          <w:tcPr>
            <w:tcW w:w="1560" w:type="dxa"/>
            <w:vAlign w:val="center"/>
          </w:tcPr>
          <w:p w14:paraId="08577C8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从业人员(X)</w:t>
            </w:r>
          </w:p>
        </w:tc>
        <w:tc>
          <w:tcPr>
            <w:tcW w:w="671" w:type="dxa"/>
            <w:vAlign w:val="center"/>
          </w:tcPr>
          <w:p w14:paraId="6A92B8C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1231" w:type="dxa"/>
            <w:vAlign w:val="center"/>
          </w:tcPr>
          <w:p w14:paraId="7FB2857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X≥300</w:t>
            </w:r>
          </w:p>
        </w:tc>
        <w:tc>
          <w:tcPr>
            <w:tcW w:w="1891" w:type="dxa"/>
            <w:vAlign w:val="center"/>
          </w:tcPr>
          <w:p w14:paraId="5C64E591">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100≤X＜300</w:t>
            </w:r>
          </w:p>
        </w:tc>
        <w:tc>
          <w:tcPr>
            <w:tcW w:w="1730" w:type="dxa"/>
            <w:vAlign w:val="center"/>
          </w:tcPr>
          <w:p w14:paraId="7B7789A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10≤X＜100</w:t>
            </w:r>
          </w:p>
        </w:tc>
        <w:tc>
          <w:tcPr>
            <w:tcW w:w="1203" w:type="dxa"/>
            <w:vAlign w:val="center"/>
          </w:tcPr>
          <w:p w14:paraId="4E9C02B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X＜10</w:t>
            </w:r>
          </w:p>
        </w:tc>
      </w:tr>
    </w:tbl>
    <w:p w14:paraId="39161BC6">
      <w:pPr>
        <w:widowControl/>
        <w:shd w:val="clear" w:color="auto" w:fill="FFFFFF"/>
        <w:spacing w:line="420" w:lineRule="atLeast"/>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 　　</w:t>
      </w:r>
    </w:p>
    <w:p w14:paraId="763B504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1.大型、中型和小型企业须同时满足所列指标的下限，否则下划一档；微型企业只须满足所列指标中的一项即可。 　　</w:t>
      </w:r>
    </w:p>
    <w:p w14:paraId="218C67C9">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 　　</w:t>
      </w:r>
    </w:p>
    <w:p w14:paraId="4A2927F6">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3.企业划分指标以现行统计制度为准。</w:t>
      </w:r>
    </w:p>
    <w:p w14:paraId="7DAB427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（1）从业人员，是指期末从业人员数，没有期末从业人员数的，采用全年平均人员数代替。</w:t>
      </w:r>
    </w:p>
    <w:p w14:paraId="26E428DA">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4453365C">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（3）资产总额，采用资产总计代替。</w:t>
      </w:r>
    </w:p>
    <w:p w14:paraId="4B950F2F">
      <w:pPr>
        <w:jc w:val="center"/>
        <w:rPr>
          <w:rFonts w:hint="eastAsia" w:ascii="宋体" w:hAnsi="宋体" w:eastAsia="宋体" w:cs="宋体"/>
          <w:color w:val="auto"/>
          <w:highlight w:val="none"/>
          <w:lang w:val="zh-CN"/>
        </w:rPr>
      </w:pPr>
      <w:r>
        <w:rPr>
          <w:rFonts w:hint="eastAsia" w:ascii="宋体" w:hAnsi="宋体" w:eastAsia="宋体" w:cs="宋体"/>
          <w:color w:val="auto"/>
          <w:highlight w:val="none"/>
        </w:rPr>
        <w:br w:type="page"/>
      </w:r>
    </w:p>
    <w:p w14:paraId="560EF36E">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p>
    <w:p w14:paraId="7F93010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0BF67C16">
      <w:pPr>
        <w:widowControl/>
        <w:snapToGrid w:val="0"/>
        <w:spacing w:line="324"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【不属于残疾人福利性单位的无需填写、递交】</w:t>
      </w:r>
    </w:p>
    <w:p w14:paraId="7BE7C701">
      <w:pPr>
        <w:spacing w:line="588" w:lineRule="exact"/>
        <w:rPr>
          <w:rFonts w:hint="eastAsia" w:ascii="宋体" w:hAnsi="宋体" w:eastAsia="宋体" w:cs="宋体"/>
          <w:b/>
          <w:bCs/>
          <w:color w:val="auto"/>
          <w:spacing w:val="6"/>
          <w:sz w:val="30"/>
          <w:szCs w:val="30"/>
          <w:highlight w:val="none"/>
        </w:rPr>
      </w:pPr>
    </w:p>
    <w:p w14:paraId="2AF6B166">
      <w:pPr>
        <w:spacing w:line="588"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服务，或者提供其他残疾人福利性单位提供的服务。本单位对上述声明的真实性负责。如有虚假，将依法承担相应责任。</w:t>
      </w:r>
    </w:p>
    <w:p w14:paraId="3432DEE9">
      <w:pPr>
        <w:pStyle w:val="3"/>
        <w:rPr>
          <w:rFonts w:hint="eastAsia" w:ascii="宋体" w:hAnsi="宋体" w:eastAsia="宋体" w:cs="宋体"/>
          <w:color w:val="auto"/>
          <w:highlight w:val="none"/>
        </w:rPr>
      </w:pPr>
    </w:p>
    <w:p w14:paraId="59402E7F">
      <w:pPr>
        <w:pStyle w:val="7"/>
        <w:rPr>
          <w:rFonts w:hint="eastAsia" w:ascii="宋体" w:hAnsi="宋体" w:eastAsia="宋体" w:cs="宋体"/>
          <w:color w:val="auto"/>
          <w:highlight w:val="none"/>
        </w:rPr>
      </w:pPr>
    </w:p>
    <w:p w14:paraId="2B9CDF3A">
      <w:pPr>
        <w:spacing w:line="588" w:lineRule="exact"/>
        <w:rPr>
          <w:rFonts w:hint="eastAsia" w:ascii="宋体" w:hAnsi="宋体" w:eastAsia="宋体" w:cs="宋体"/>
          <w:color w:val="auto"/>
          <w:sz w:val="24"/>
          <w:szCs w:val="24"/>
          <w:highlight w:val="none"/>
        </w:rPr>
      </w:pPr>
    </w:p>
    <w:p w14:paraId="1C191B9B">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0C3AC104">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6410FB06">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供应商全称（公章）：</w:t>
      </w:r>
    </w:p>
    <w:p w14:paraId="43D1EAC8">
      <w:pP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b/>
          <w:bCs/>
          <w:color w:val="auto"/>
          <w:sz w:val="24"/>
          <w:szCs w:val="24"/>
          <w:highlight w:val="none"/>
          <w:lang w:val="zh-CN"/>
        </w:rPr>
        <w:t>附件</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p>
    <w:p w14:paraId="65E5619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监狱企业证明文件</w:t>
      </w:r>
    </w:p>
    <w:p w14:paraId="798532EC">
      <w:pPr>
        <w:widowControl/>
        <w:snapToGrid w:val="0"/>
        <w:spacing w:line="360" w:lineRule="auto"/>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【不属于监狱企业的无需填写、递交】</w:t>
      </w:r>
    </w:p>
    <w:p w14:paraId="0F7BB3C3">
      <w:pPr>
        <w:widowControl/>
        <w:snapToGrid w:val="0"/>
        <w:spacing w:line="324" w:lineRule="auto"/>
        <w:jc w:val="center"/>
        <w:rPr>
          <w:rFonts w:hint="eastAsia" w:ascii="宋体" w:hAnsi="宋体" w:eastAsia="宋体" w:cs="宋体"/>
          <w:color w:val="auto"/>
          <w:kern w:val="0"/>
          <w:sz w:val="24"/>
          <w:szCs w:val="24"/>
          <w:highlight w:val="none"/>
        </w:rPr>
      </w:pPr>
    </w:p>
    <w:p w14:paraId="61F6C4AB">
      <w:pPr>
        <w:spacing w:line="588" w:lineRule="exact"/>
        <w:ind w:firstLine="480" w:firstLineChars="200"/>
        <w:rPr>
          <w:rFonts w:hint="eastAsia" w:ascii="宋体" w:hAnsi="宋体" w:eastAsia="宋体" w:cs="宋体"/>
          <w:color w:val="auto"/>
          <w:sz w:val="24"/>
          <w:szCs w:val="24"/>
          <w:highlight w:val="none"/>
        </w:rPr>
      </w:pPr>
    </w:p>
    <w:p w14:paraId="51402B7B">
      <w:pPr>
        <w:adjustRightInd w:val="0"/>
        <w:snapToGrid w:val="0"/>
        <w:spacing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监狱企业需提供省级以上的监狱管理局、戒毒管理局（含新疆生产建设兵团）出具的属于监狱企业的证明文件。  </w:t>
      </w:r>
    </w:p>
    <w:p w14:paraId="3EA89F74">
      <w:pPr>
        <w:pStyle w:val="3"/>
        <w:rPr>
          <w:rFonts w:hint="eastAsia" w:ascii="宋体" w:hAnsi="宋体" w:eastAsia="宋体" w:cs="宋体"/>
          <w:color w:val="auto"/>
          <w:highlight w:val="none"/>
        </w:rPr>
      </w:pPr>
    </w:p>
    <w:p w14:paraId="14EA6031">
      <w:pPr>
        <w:pStyle w:val="7"/>
        <w:rPr>
          <w:rFonts w:hint="eastAsia" w:ascii="宋体" w:hAnsi="宋体" w:eastAsia="宋体" w:cs="宋体"/>
          <w:color w:val="auto"/>
          <w:highlight w:val="none"/>
        </w:rPr>
      </w:pPr>
    </w:p>
    <w:p w14:paraId="387A3ABA">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法定代表人签名（或签名章）：                       </w:t>
      </w:r>
    </w:p>
    <w:p w14:paraId="3102660E">
      <w:pPr>
        <w:spacing w:line="360" w:lineRule="auto"/>
        <w:ind w:left="3600" w:leftChars="18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112AAD31">
      <w:pPr>
        <w:ind w:firstLine="4080" w:firstLineChars="1700"/>
        <w:rPr>
          <w:rFonts w:hint="eastAsia" w:ascii="宋体" w:hAnsi="宋体" w:eastAsia="宋体" w:cs="宋体"/>
          <w:b/>
          <w:bCs/>
          <w:color w:val="auto"/>
          <w:kern w:val="0"/>
          <w:sz w:val="36"/>
          <w:szCs w:val="36"/>
          <w:highlight w:val="none"/>
        </w:rPr>
      </w:pPr>
      <w:r>
        <w:rPr>
          <w:rFonts w:hint="eastAsia" w:ascii="宋体" w:hAnsi="宋体" w:eastAsia="宋体" w:cs="宋体"/>
          <w:color w:val="auto"/>
          <w:sz w:val="24"/>
          <w:szCs w:val="24"/>
          <w:highlight w:val="none"/>
        </w:rPr>
        <w:t>供应商全称（公章）：</w:t>
      </w:r>
      <w:r>
        <w:rPr>
          <w:rFonts w:hint="eastAsia" w:ascii="宋体" w:hAnsi="宋体" w:eastAsia="宋体" w:cs="宋体"/>
          <w:b/>
          <w:bCs/>
          <w:color w:val="auto"/>
          <w:kern w:val="0"/>
          <w:sz w:val="36"/>
          <w:szCs w:val="36"/>
          <w:highlight w:val="none"/>
        </w:rPr>
        <w:br w:type="page"/>
      </w:r>
    </w:p>
    <w:p w14:paraId="1E2A4446">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商务技术文件</w:t>
      </w:r>
    </w:p>
    <w:p w14:paraId="4262F155">
      <w:pPr>
        <w:pStyle w:val="3"/>
        <w:rPr>
          <w:rFonts w:hint="eastAsia" w:ascii="宋体" w:hAnsi="宋体" w:eastAsia="宋体" w:cs="宋体"/>
          <w:color w:val="auto"/>
          <w:highlight w:val="none"/>
        </w:rPr>
      </w:pPr>
    </w:p>
    <w:p w14:paraId="1972B896">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59FBB77">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评分对应表（格式见附件，主要用于评委对应评分内容）；</w:t>
      </w:r>
    </w:p>
    <w:p w14:paraId="68FDF9BD">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供应商商务技术文件中资信分自评表（格式见附件）；</w:t>
      </w:r>
    </w:p>
    <w:p w14:paraId="73A08D8B">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磋商项目明细清单（格式见附件）；</w:t>
      </w:r>
    </w:p>
    <w:p w14:paraId="415D4133">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技术响应及建议表（格式见附件）；</w:t>
      </w:r>
    </w:p>
    <w:p w14:paraId="3C328AB7">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商务响应表（格式见附件）；</w:t>
      </w:r>
    </w:p>
    <w:p w14:paraId="200C1F69">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物业管理服务理念；</w:t>
      </w:r>
    </w:p>
    <w:p w14:paraId="4141F030">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物业管理组织架构；</w:t>
      </w:r>
    </w:p>
    <w:p w14:paraId="7EC9A306">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物业保洁服务方案；</w:t>
      </w:r>
    </w:p>
    <w:p w14:paraId="1C87266B">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房屋及设施维护工作方案；</w:t>
      </w:r>
    </w:p>
    <w:p w14:paraId="6EE0F9FB">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安全管理方案；</w:t>
      </w:r>
    </w:p>
    <w:p w14:paraId="52A34387">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安全服务工作实施方案；</w:t>
      </w:r>
    </w:p>
    <w:p w14:paraId="035BADC0">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物业突发事件的应急措施；</w:t>
      </w:r>
    </w:p>
    <w:p w14:paraId="69A0B344">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设备方案；</w:t>
      </w:r>
    </w:p>
    <w:p w14:paraId="522BE0CD">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人员配备；</w:t>
      </w:r>
    </w:p>
    <w:p w14:paraId="329FB7E8">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队伍稳定措施；</w:t>
      </w:r>
    </w:p>
    <w:p w14:paraId="288C92ED">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培训能力、经验及机制；</w:t>
      </w:r>
    </w:p>
    <w:p w14:paraId="725CB116">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售后服务；</w:t>
      </w:r>
    </w:p>
    <w:p w14:paraId="14D16134">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认证证书；</w:t>
      </w:r>
    </w:p>
    <w:p w14:paraId="7555369A">
      <w:pPr>
        <w:pStyle w:val="72"/>
        <w:numPr>
          <w:ilvl w:val="0"/>
          <w:numId w:val="54"/>
        </w:numPr>
        <w:spacing w:before="0" w:line="336"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供应商认为需要的其他文件资料。</w:t>
      </w:r>
    </w:p>
    <w:p w14:paraId="0F5CAFE6">
      <w:pPr>
        <w:pStyle w:val="72"/>
        <w:numPr>
          <w:ilvl w:val="0"/>
          <w:numId w:val="0"/>
        </w:numPr>
        <w:spacing w:before="0" w:line="336" w:lineRule="auto"/>
        <w:ind w:leftChars="200"/>
        <w:rPr>
          <w:rFonts w:hint="eastAsia" w:ascii="宋体" w:hAnsi="宋体" w:eastAsia="宋体" w:cs="宋体"/>
          <w:color w:val="auto"/>
          <w:highlight w:val="none"/>
        </w:rPr>
      </w:pPr>
      <w:r>
        <w:rPr>
          <w:rFonts w:hint="eastAsia" w:ascii="宋体" w:hAnsi="宋体" w:eastAsia="宋体" w:cs="宋体"/>
          <w:color w:val="auto"/>
          <w:highlight w:val="none"/>
        </w:rPr>
        <w:t>注：以上内容应与评标办法中内容具有一致性。</w:t>
      </w:r>
    </w:p>
    <w:p w14:paraId="7DB4AEE1">
      <w:pPr>
        <w:rPr>
          <w:rFonts w:hint="eastAsia" w:ascii="宋体" w:hAnsi="宋体" w:eastAsia="宋体" w:cs="宋体"/>
          <w:b/>
          <w:bCs/>
          <w:color w:val="auto"/>
          <w:sz w:val="24"/>
          <w:highlight w:val="none"/>
          <w:lang w:val="zh-CN"/>
        </w:rPr>
      </w:pPr>
      <w:bookmarkStart w:id="169" w:name="_Toc10131"/>
      <w:r>
        <w:rPr>
          <w:rFonts w:hint="eastAsia" w:ascii="宋体" w:hAnsi="宋体" w:eastAsia="宋体" w:cs="宋体"/>
          <w:b/>
          <w:bCs/>
          <w:color w:val="auto"/>
          <w:sz w:val="24"/>
          <w:highlight w:val="none"/>
          <w:lang w:val="zh-CN"/>
        </w:rPr>
        <w:br w:type="page"/>
      </w:r>
    </w:p>
    <w:p w14:paraId="4423F298">
      <w:pPr>
        <w:snapToGrid w:val="0"/>
        <w:spacing w:before="50" w:after="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lang w:val="zh-CN"/>
        </w:rPr>
        <w:t>：</w:t>
      </w:r>
    </w:p>
    <w:p w14:paraId="76ABB51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评分对应表</w:t>
      </w:r>
    </w:p>
    <w:p w14:paraId="2B482D94">
      <w:pPr>
        <w:snapToGrid w:val="0"/>
        <w:spacing w:before="50"/>
        <w:jc w:val="center"/>
        <w:rPr>
          <w:rFonts w:hint="eastAsia" w:ascii="宋体" w:hAnsi="宋体" w:eastAsia="宋体" w:cs="宋体"/>
          <w:b/>
          <w:color w:val="auto"/>
          <w:sz w:val="32"/>
          <w:szCs w:val="32"/>
          <w:highlight w:val="none"/>
        </w:rPr>
      </w:pPr>
    </w:p>
    <w:p w14:paraId="3A7D6E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17580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9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8"/>
        <w:gridCol w:w="3060"/>
        <w:gridCol w:w="1977"/>
      </w:tblGrid>
      <w:tr w14:paraId="7EECE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4FB7934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40E9FD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响应文件对应资料</w:t>
            </w:r>
          </w:p>
        </w:tc>
        <w:tc>
          <w:tcPr>
            <w:tcW w:w="1977" w:type="dxa"/>
            <w:tcBorders>
              <w:top w:val="single" w:color="auto" w:sz="4" w:space="0"/>
              <w:left w:val="single" w:color="auto" w:sz="4" w:space="0"/>
              <w:bottom w:val="single" w:color="auto" w:sz="4" w:space="0"/>
              <w:right w:val="single" w:color="auto" w:sz="4" w:space="0"/>
            </w:tcBorders>
            <w:vAlign w:val="center"/>
          </w:tcPr>
          <w:p w14:paraId="141DA06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响应文件页码</w:t>
            </w:r>
          </w:p>
        </w:tc>
      </w:tr>
      <w:tr w14:paraId="6F76E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658DDE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对应评分办法及评分标准</w:t>
            </w:r>
          </w:p>
          <w:p w14:paraId="062E7AF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（报价除外）</w:t>
            </w:r>
          </w:p>
        </w:tc>
        <w:tc>
          <w:tcPr>
            <w:tcW w:w="3060" w:type="dxa"/>
            <w:tcBorders>
              <w:top w:val="single" w:color="auto" w:sz="4" w:space="0"/>
              <w:left w:val="single" w:color="auto" w:sz="4" w:space="0"/>
              <w:bottom w:val="single" w:color="auto" w:sz="4" w:space="0"/>
              <w:right w:val="single" w:color="auto" w:sz="4" w:space="0"/>
            </w:tcBorders>
            <w:vAlign w:val="center"/>
          </w:tcPr>
          <w:p w14:paraId="210AB979">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27BFE038">
            <w:pPr>
              <w:jc w:val="center"/>
              <w:rPr>
                <w:rFonts w:hint="eastAsia" w:ascii="宋体" w:hAnsi="宋体" w:eastAsia="宋体" w:cs="宋体"/>
                <w:color w:val="auto"/>
                <w:sz w:val="24"/>
                <w:highlight w:val="none"/>
              </w:rPr>
            </w:pPr>
          </w:p>
        </w:tc>
      </w:tr>
      <w:tr w14:paraId="29400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648B94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060" w:type="dxa"/>
            <w:tcBorders>
              <w:top w:val="single" w:color="auto" w:sz="4" w:space="0"/>
              <w:left w:val="single" w:color="auto" w:sz="4" w:space="0"/>
              <w:bottom w:val="single" w:color="auto" w:sz="4" w:space="0"/>
              <w:right w:val="single" w:color="auto" w:sz="4" w:space="0"/>
            </w:tcBorders>
            <w:vAlign w:val="center"/>
          </w:tcPr>
          <w:p w14:paraId="6C675FB8">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28B8808F">
            <w:pPr>
              <w:jc w:val="center"/>
              <w:rPr>
                <w:rFonts w:hint="eastAsia" w:ascii="宋体" w:hAnsi="宋体" w:eastAsia="宋体" w:cs="宋体"/>
                <w:color w:val="auto"/>
                <w:sz w:val="24"/>
                <w:highlight w:val="none"/>
              </w:rPr>
            </w:pPr>
          </w:p>
        </w:tc>
      </w:tr>
      <w:tr w14:paraId="368F22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0F9E3729">
            <w:pPr>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A548D0F">
            <w:pPr>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094774F3">
            <w:pPr>
              <w:jc w:val="center"/>
              <w:rPr>
                <w:rFonts w:hint="eastAsia" w:ascii="宋体" w:hAnsi="宋体" w:eastAsia="宋体" w:cs="宋体"/>
                <w:color w:val="auto"/>
                <w:sz w:val="24"/>
                <w:highlight w:val="none"/>
              </w:rPr>
            </w:pPr>
          </w:p>
        </w:tc>
      </w:tr>
      <w:tr w14:paraId="32D4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5D472D64">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1FB896B0">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641975D6">
            <w:pPr>
              <w:spacing w:line="360" w:lineRule="auto"/>
              <w:ind w:firstLine="480" w:firstLineChars="200"/>
              <w:jc w:val="center"/>
              <w:rPr>
                <w:rFonts w:hint="eastAsia" w:ascii="宋体" w:hAnsi="宋体" w:eastAsia="宋体" w:cs="宋体"/>
                <w:color w:val="auto"/>
                <w:sz w:val="24"/>
                <w:highlight w:val="none"/>
              </w:rPr>
            </w:pPr>
          </w:p>
        </w:tc>
      </w:tr>
      <w:tr w14:paraId="472E1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092B4C3">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6257A46">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48EB34F6">
            <w:pPr>
              <w:spacing w:line="360" w:lineRule="auto"/>
              <w:ind w:firstLine="480" w:firstLineChars="200"/>
              <w:jc w:val="center"/>
              <w:rPr>
                <w:rFonts w:hint="eastAsia" w:ascii="宋体" w:hAnsi="宋体" w:eastAsia="宋体" w:cs="宋体"/>
                <w:color w:val="auto"/>
                <w:sz w:val="24"/>
                <w:highlight w:val="none"/>
              </w:rPr>
            </w:pPr>
          </w:p>
        </w:tc>
      </w:tr>
      <w:tr w14:paraId="1D9B93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5F063977">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02699CCC">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1A350A91">
            <w:pPr>
              <w:spacing w:line="360" w:lineRule="auto"/>
              <w:ind w:firstLine="480" w:firstLineChars="200"/>
              <w:jc w:val="center"/>
              <w:rPr>
                <w:rFonts w:hint="eastAsia" w:ascii="宋体" w:hAnsi="宋体" w:eastAsia="宋体" w:cs="宋体"/>
                <w:color w:val="auto"/>
                <w:sz w:val="24"/>
                <w:highlight w:val="none"/>
              </w:rPr>
            </w:pPr>
          </w:p>
        </w:tc>
      </w:tr>
      <w:tr w14:paraId="691D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3D58422A">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7AACDCF">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68FC4F70">
            <w:pPr>
              <w:spacing w:line="360" w:lineRule="auto"/>
              <w:ind w:firstLine="480" w:firstLineChars="200"/>
              <w:jc w:val="center"/>
              <w:rPr>
                <w:rFonts w:hint="eastAsia" w:ascii="宋体" w:hAnsi="宋体" w:eastAsia="宋体" w:cs="宋体"/>
                <w:color w:val="auto"/>
                <w:sz w:val="24"/>
                <w:highlight w:val="none"/>
              </w:rPr>
            </w:pPr>
          </w:p>
        </w:tc>
      </w:tr>
      <w:tr w14:paraId="24943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04302ABE">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E4C7707">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2F6FCC42">
            <w:pPr>
              <w:spacing w:line="360" w:lineRule="auto"/>
              <w:ind w:firstLine="480" w:firstLineChars="200"/>
              <w:jc w:val="center"/>
              <w:rPr>
                <w:rFonts w:hint="eastAsia" w:ascii="宋体" w:hAnsi="宋体" w:eastAsia="宋体" w:cs="宋体"/>
                <w:color w:val="auto"/>
                <w:sz w:val="24"/>
                <w:highlight w:val="none"/>
              </w:rPr>
            </w:pPr>
          </w:p>
        </w:tc>
      </w:tr>
      <w:tr w14:paraId="1F79C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888" w:type="dxa"/>
            <w:tcBorders>
              <w:top w:val="single" w:color="auto" w:sz="4" w:space="0"/>
              <w:left w:val="single" w:color="auto" w:sz="4" w:space="0"/>
              <w:bottom w:val="single" w:color="auto" w:sz="4" w:space="0"/>
              <w:right w:val="single" w:color="auto" w:sz="4" w:space="0"/>
            </w:tcBorders>
            <w:vAlign w:val="center"/>
          </w:tcPr>
          <w:p w14:paraId="6FF8EAE5">
            <w:pPr>
              <w:spacing w:line="360" w:lineRule="auto"/>
              <w:ind w:firstLine="480" w:firstLineChars="200"/>
              <w:jc w:val="center"/>
              <w:rPr>
                <w:rFonts w:hint="eastAsia" w:ascii="宋体" w:hAnsi="宋体" w:eastAsia="宋体" w:cs="宋体"/>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1952F0B">
            <w:pPr>
              <w:spacing w:line="360" w:lineRule="auto"/>
              <w:ind w:firstLine="480" w:firstLineChars="200"/>
              <w:jc w:val="center"/>
              <w:rPr>
                <w:rFonts w:hint="eastAsia" w:ascii="宋体" w:hAnsi="宋体" w:eastAsia="宋体" w:cs="宋体"/>
                <w:color w:val="auto"/>
                <w:sz w:val="24"/>
                <w:highlight w:val="none"/>
              </w:rPr>
            </w:pPr>
          </w:p>
        </w:tc>
        <w:tc>
          <w:tcPr>
            <w:tcW w:w="1977" w:type="dxa"/>
            <w:tcBorders>
              <w:top w:val="single" w:color="auto" w:sz="4" w:space="0"/>
              <w:left w:val="single" w:color="auto" w:sz="4" w:space="0"/>
              <w:bottom w:val="single" w:color="auto" w:sz="4" w:space="0"/>
              <w:right w:val="single" w:color="auto" w:sz="4" w:space="0"/>
            </w:tcBorders>
            <w:vAlign w:val="center"/>
          </w:tcPr>
          <w:p w14:paraId="4B8326CE">
            <w:pPr>
              <w:spacing w:line="360" w:lineRule="auto"/>
              <w:ind w:firstLine="480" w:firstLineChars="200"/>
              <w:jc w:val="center"/>
              <w:rPr>
                <w:rFonts w:hint="eastAsia" w:ascii="宋体" w:hAnsi="宋体" w:eastAsia="宋体" w:cs="宋体"/>
                <w:color w:val="auto"/>
                <w:sz w:val="24"/>
                <w:highlight w:val="none"/>
              </w:rPr>
            </w:pPr>
          </w:p>
        </w:tc>
      </w:tr>
    </w:tbl>
    <w:p w14:paraId="034ACAA3">
      <w:pPr>
        <w:spacing w:line="360" w:lineRule="auto"/>
        <w:ind w:firstLine="480" w:firstLineChars="200"/>
        <w:rPr>
          <w:rFonts w:hint="eastAsia" w:ascii="宋体" w:hAnsi="宋体" w:eastAsia="宋体" w:cs="宋体"/>
          <w:color w:val="auto"/>
          <w:sz w:val="24"/>
          <w:highlight w:val="none"/>
        </w:rPr>
      </w:pPr>
    </w:p>
    <w:p w14:paraId="398BB499">
      <w:pPr>
        <w:spacing w:line="360" w:lineRule="auto"/>
        <w:ind w:left="3600" w:leftChars="1800" w:firstLine="480" w:firstLineChars="200"/>
        <w:rPr>
          <w:rFonts w:hint="eastAsia" w:ascii="宋体" w:hAnsi="宋体" w:eastAsia="宋体" w:cs="宋体"/>
          <w:color w:val="auto"/>
          <w:sz w:val="24"/>
          <w:highlight w:val="none"/>
        </w:rPr>
      </w:pPr>
    </w:p>
    <w:p w14:paraId="1252BCF8">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1CA42C54">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4765A27">
      <w:pPr>
        <w:spacing w:line="360" w:lineRule="auto"/>
        <w:ind w:left="3600" w:leftChars="1800" w:firstLine="480" w:firstLineChars="200"/>
        <w:rPr>
          <w:rFonts w:hint="eastAsia" w:ascii="宋体" w:hAnsi="宋体" w:eastAsia="宋体" w:cs="宋体"/>
          <w:color w:val="auto"/>
          <w:highlight w:val="none"/>
          <w:lang w:val="zh-CN"/>
        </w:rPr>
      </w:pPr>
      <w:r>
        <w:rPr>
          <w:rFonts w:hint="eastAsia" w:ascii="宋体" w:hAnsi="宋体" w:eastAsia="宋体" w:cs="宋体"/>
          <w:color w:val="auto"/>
          <w:sz w:val="24"/>
          <w:highlight w:val="none"/>
        </w:rPr>
        <w:t>供应商全称（公章）：</w:t>
      </w:r>
      <w:r>
        <w:rPr>
          <w:rFonts w:hint="eastAsia" w:ascii="宋体" w:hAnsi="宋体" w:eastAsia="宋体" w:cs="宋体"/>
          <w:color w:val="auto"/>
          <w:highlight w:val="none"/>
          <w:lang w:val="zh-CN"/>
        </w:rPr>
        <w:br w:type="page"/>
      </w:r>
    </w:p>
    <w:p w14:paraId="2C7A78F8">
      <w:pPr>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附件</w:t>
      </w:r>
      <w:r>
        <w:rPr>
          <w:rFonts w:hint="eastAsia" w:ascii="宋体" w:hAnsi="宋体" w:eastAsia="宋体" w:cs="宋体"/>
          <w:b/>
          <w:bCs/>
          <w:color w:val="auto"/>
          <w:sz w:val="24"/>
          <w:szCs w:val="32"/>
          <w:highlight w:val="none"/>
          <w:lang w:val="en-US" w:eastAsia="zh-CN"/>
        </w:rPr>
        <w:t>八</w:t>
      </w:r>
      <w:r>
        <w:rPr>
          <w:rFonts w:hint="eastAsia" w:ascii="宋体" w:hAnsi="宋体" w:eastAsia="宋体" w:cs="宋体"/>
          <w:b/>
          <w:bCs/>
          <w:color w:val="auto"/>
          <w:sz w:val="24"/>
          <w:szCs w:val="32"/>
          <w:highlight w:val="none"/>
        </w:rPr>
        <w:t>：</w:t>
      </w:r>
    </w:p>
    <w:p w14:paraId="703C388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供应商商务技术文件中资信分自评表</w:t>
      </w:r>
      <w:bookmarkEnd w:id="169"/>
    </w:p>
    <w:p w14:paraId="6F9FA4BF">
      <w:pPr>
        <w:snapToGrid w:val="0"/>
        <w:spacing w:before="50"/>
        <w:jc w:val="center"/>
        <w:rPr>
          <w:rFonts w:hint="eastAsia" w:ascii="宋体" w:hAnsi="宋体" w:eastAsia="宋体" w:cs="宋体"/>
          <w:b/>
          <w:color w:val="auto"/>
          <w:sz w:val="32"/>
          <w:szCs w:val="32"/>
          <w:highlight w:val="none"/>
        </w:rPr>
      </w:pPr>
    </w:p>
    <w:p w14:paraId="4BBC09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18C2BB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2"/>
        <w:gridCol w:w="2387"/>
        <w:gridCol w:w="1462"/>
        <w:gridCol w:w="2415"/>
        <w:gridCol w:w="1746"/>
      </w:tblGrid>
      <w:tr w14:paraId="3D194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0CC9C4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387" w:type="dxa"/>
            <w:vAlign w:val="center"/>
          </w:tcPr>
          <w:p w14:paraId="4F4BD33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资信分内容</w:t>
            </w:r>
          </w:p>
        </w:tc>
        <w:tc>
          <w:tcPr>
            <w:tcW w:w="1462" w:type="dxa"/>
            <w:vAlign w:val="center"/>
          </w:tcPr>
          <w:p w14:paraId="22FF85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自评得分</w:t>
            </w:r>
          </w:p>
        </w:tc>
        <w:tc>
          <w:tcPr>
            <w:tcW w:w="2415" w:type="dxa"/>
            <w:tcBorders>
              <w:right w:val="single" w:color="auto" w:sz="4" w:space="0"/>
            </w:tcBorders>
            <w:vAlign w:val="center"/>
          </w:tcPr>
          <w:p w14:paraId="65BF4E9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响应文件对应资料</w:t>
            </w:r>
          </w:p>
        </w:tc>
        <w:tc>
          <w:tcPr>
            <w:tcW w:w="1746" w:type="dxa"/>
            <w:tcBorders>
              <w:left w:val="single" w:color="auto" w:sz="4" w:space="0"/>
            </w:tcBorders>
            <w:vAlign w:val="center"/>
          </w:tcPr>
          <w:p w14:paraId="3117F25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响应文件页码</w:t>
            </w:r>
          </w:p>
        </w:tc>
      </w:tr>
      <w:tr w14:paraId="7B20F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5F70D2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387" w:type="dxa"/>
          </w:tcPr>
          <w:p w14:paraId="4DCC3C7E">
            <w:pPr>
              <w:jc w:val="center"/>
              <w:rPr>
                <w:rFonts w:hint="eastAsia" w:ascii="宋体" w:hAnsi="宋体" w:eastAsia="宋体" w:cs="宋体"/>
                <w:color w:val="auto"/>
                <w:sz w:val="24"/>
                <w:highlight w:val="none"/>
              </w:rPr>
            </w:pPr>
          </w:p>
        </w:tc>
        <w:tc>
          <w:tcPr>
            <w:tcW w:w="1462" w:type="dxa"/>
          </w:tcPr>
          <w:p w14:paraId="25E11389">
            <w:pPr>
              <w:jc w:val="center"/>
              <w:rPr>
                <w:rFonts w:hint="eastAsia" w:ascii="宋体" w:hAnsi="宋体" w:eastAsia="宋体" w:cs="宋体"/>
                <w:color w:val="auto"/>
                <w:sz w:val="24"/>
                <w:highlight w:val="none"/>
              </w:rPr>
            </w:pPr>
          </w:p>
        </w:tc>
        <w:tc>
          <w:tcPr>
            <w:tcW w:w="2415" w:type="dxa"/>
            <w:tcBorders>
              <w:right w:val="single" w:color="auto" w:sz="4" w:space="0"/>
            </w:tcBorders>
          </w:tcPr>
          <w:p w14:paraId="6FAACED0">
            <w:pPr>
              <w:jc w:val="center"/>
              <w:rPr>
                <w:rFonts w:hint="eastAsia" w:ascii="宋体" w:hAnsi="宋体" w:eastAsia="宋体" w:cs="宋体"/>
                <w:color w:val="auto"/>
                <w:sz w:val="24"/>
                <w:highlight w:val="none"/>
              </w:rPr>
            </w:pPr>
          </w:p>
        </w:tc>
        <w:tc>
          <w:tcPr>
            <w:tcW w:w="1746" w:type="dxa"/>
            <w:tcBorders>
              <w:left w:val="single" w:color="auto" w:sz="4" w:space="0"/>
            </w:tcBorders>
          </w:tcPr>
          <w:p w14:paraId="61FAB67A">
            <w:pPr>
              <w:jc w:val="center"/>
              <w:rPr>
                <w:rFonts w:hint="eastAsia" w:ascii="宋体" w:hAnsi="宋体" w:eastAsia="宋体" w:cs="宋体"/>
                <w:color w:val="auto"/>
                <w:sz w:val="24"/>
                <w:highlight w:val="none"/>
              </w:rPr>
            </w:pPr>
          </w:p>
        </w:tc>
      </w:tr>
      <w:tr w14:paraId="293DC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70B0A4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387" w:type="dxa"/>
          </w:tcPr>
          <w:p w14:paraId="6DF4839E">
            <w:pPr>
              <w:jc w:val="center"/>
              <w:rPr>
                <w:rFonts w:hint="eastAsia" w:ascii="宋体" w:hAnsi="宋体" w:eastAsia="宋体" w:cs="宋体"/>
                <w:color w:val="auto"/>
                <w:sz w:val="24"/>
                <w:highlight w:val="none"/>
              </w:rPr>
            </w:pPr>
          </w:p>
        </w:tc>
        <w:tc>
          <w:tcPr>
            <w:tcW w:w="1462" w:type="dxa"/>
          </w:tcPr>
          <w:p w14:paraId="7614E1BA">
            <w:pPr>
              <w:jc w:val="center"/>
              <w:rPr>
                <w:rFonts w:hint="eastAsia" w:ascii="宋体" w:hAnsi="宋体" w:eastAsia="宋体" w:cs="宋体"/>
                <w:color w:val="auto"/>
                <w:sz w:val="24"/>
                <w:highlight w:val="none"/>
              </w:rPr>
            </w:pPr>
          </w:p>
        </w:tc>
        <w:tc>
          <w:tcPr>
            <w:tcW w:w="2415" w:type="dxa"/>
            <w:tcBorders>
              <w:right w:val="single" w:color="auto" w:sz="4" w:space="0"/>
            </w:tcBorders>
          </w:tcPr>
          <w:p w14:paraId="308F9D0E">
            <w:pPr>
              <w:jc w:val="center"/>
              <w:rPr>
                <w:rFonts w:hint="eastAsia" w:ascii="宋体" w:hAnsi="宋体" w:eastAsia="宋体" w:cs="宋体"/>
                <w:color w:val="auto"/>
                <w:sz w:val="24"/>
                <w:highlight w:val="none"/>
              </w:rPr>
            </w:pPr>
          </w:p>
        </w:tc>
        <w:tc>
          <w:tcPr>
            <w:tcW w:w="1746" w:type="dxa"/>
            <w:tcBorders>
              <w:left w:val="single" w:color="auto" w:sz="4" w:space="0"/>
            </w:tcBorders>
          </w:tcPr>
          <w:p w14:paraId="7DDFAA7B">
            <w:pPr>
              <w:jc w:val="center"/>
              <w:rPr>
                <w:rFonts w:hint="eastAsia" w:ascii="宋体" w:hAnsi="宋体" w:eastAsia="宋体" w:cs="宋体"/>
                <w:color w:val="auto"/>
                <w:sz w:val="24"/>
                <w:highlight w:val="none"/>
              </w:rPr>
            </w:pPr>
          </w:p>
        </w:tc>
      </w:tr>
      <w:tr w14:paraId="41A16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21A792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387" w:type="dxa"/>
          </w:tcPr>
          <w:p w14:paraId="761FDCA7">
            <w:pPr>
              <w:jc w:val="center"/>
              <w:rPr>
                <w:rFonts w:hint="eastAsia" w:ascii="宋体" w:hAnsi="宋体" w:eastAsia="宋体" w:cs="宋体"/>
                <w:color w:val="auto"/>
                <w:sz w:val="24"/>
                <w:highlight w:val="none"/>
              </w:rPr>
            </w:pPr>
          </w:p>
        </w:tc>
        <w:tc>
          <w:tcPr>
            <w:tcW w:w="1462" w:type="dxa"/>
          </w:tcPr>
          <w:p w14:paraId="5CB205E0">
            <w:pPr>
              <w:jc w:val="center"/>
              <w:rPr>
                <w:rFonts w:hint="eastAsia" w:ascii="宋体" w:hAnsi="宋体" w:eastAsia="宋体" w:cs="宋体"/>
                <w:color w:val="auto"/>
                <w:sz w:val="24"/>
                <w:highlight w:val="none"/>
              </w:rPr>
            </w:pPr>
          </w:p>
        </w:tc>
        <w:tc>
          <w:tcPr>
            <w:tcW w:w="2415" w:type="dxa"/>
            <w:tcBorders>
              <w:right w:val="single" w:color="auto" w:sz="4" w:space="0"/>
            </w:tcBorders>
          </w:tcPr>
          <w:p w14:paraId="41AA6184">
            <w:pPr>
              <w:jc w:val="center"/>
              <w:rPr>
                <w:rFonts w:hint="eastAsia" w:ascii="宋体" w:hAnsi="宋体" w:eastAsia="宋体" w:cs="宋体"/>
                <w:color w:val="auto"/>
                <w:sz w:val="24"/>
                <w:highlight w:val="none"/>
              </w:rPr>
            </w:pPr>
          </w:p>
        </w:tc>
        <w:tc>
          <w:tcPr>
            <w:tcW w:w="1746" w:type="dxa"/>
            <w:tcBorders>
              <w:left w:val="single" w:color="auto" w:sz="4" w:space="0"/>
            </w:tcBorders>
          </w:tcPr>
          <w:p w14:paraId="73088BF6">
            <w:pPr>
              <w:jc w:val="center"/>
              <w:rPr>
                <w:rFonts w:hint="eastAsia" w:ascii="宋体" w:hAnsi="宋体" w:eastAsia="宋体" w:cs="宋体"/>
                <w:color w:val="auto"/>
                <w:sz w:val="24"/>
                <w:highlight w:val="none"/>
              </w:rPr>
            </w:pPr>
          </w:p>
        </w:tc>
      </w:tr>
      <w:tr w14:paraId="766D7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46100C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387" w:type="dxa"/>
          </w:tcPr>
          <w:p w14:paraId="0B876FF7">
            <w:pPr>
              <w:jc w:val="center"/>
              <w:rPr>
                <w:rFonts w:hint="eastAsia" w:ascii="宋体" w:hAnsi="宋体" w:eastAsia="宋体" w:cs="宋体"/>
                <w:color w:val="auto"/>
                <w:sz w:val="24"/>
                <w:highlight w:val="none"/>
              </w:rPr>
            </w:pPr>
          </w:p>
        </w:tc>
        <w:tc>
          <w:tcPr>
            <w:tcW w:w="1462" w:type="dxa"/>
          </w:tcPr>
          <w:p w14:paraId="68ED336D">
            <w:pPr>
              <w:jc w:val="center"/>
              <w:rPr>
                <w:rFonts w:hint="eastAsia" w:ascii="宋体" w:hAnsi="宋体" w:eastAsia="宋体" w:cs="宋体"/>
                <w:color w:val="auto"/>
                <w:sz w:val="24"/>
                <w:highlight w:val="none"/>
              </w:rPr>
            </w:pPr>
          </w:p>
        </w:tc>
        <w:tc>
          <w:tcPr>
            <w:tcW w:w="2415" w:type="dxa"/>
            <w:tcBorders>
              <w:right w:val="single" w:color="auto" w:sz="4" w:space="0"/>
            </w:tcBorders>
          </w:tcPr>
          <w:p w14:paraId="2BA22417">
            <w:pPr>
              <w:jc w:val="center"/>
              <w:rPr>
                <w:rFonts w:hint="eastAsia" w:ascii="宋体" w:hAnsi="宋体" w:eastAsia="宋体" w:cs="宋体"/>
                <w:color w:val="auto"/>
                <w:sz w:val="24"/>
                <w:highlight w:val="none"/>
              </w:rPr>
            </w:pPr>
          </w:p>
        </w:tc>
        <w:tc>
          <w:tcPr>
            <w:tcW w:w="1746" w:type="dxa"/>
            <w:tcBorders>
              <w:left w:val="single" w:color="auto" w:sz="4" w:space="0"/>
            </w:tcBorders>
          </w:tcPr>
          <w:p w14:paraId="22842678">
            <w:pPr>
              <w:jc w:val="center"/>
              <w:rPr>
                <w:rFonts w:hint="eastAsia" w:ascii="宋体" w:hAnsi="宋体" w:eastAsia="宋体" w:cs="宋体"/>
                <w:color w:val="auto"/>
                <w:sz w:val="24"/>
                <w:highlight w:val="none"/>
              </w:rPr>
            </w:pPr>
          </w:p>
        </w:tc>
      </w:tr>
      <w:tr w14:paraId="43030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086A5D7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387" w:type="dxa"/>
          </w:tcPr>
          <w:p w14:paraId="637DA4D1">
            <w:pPr>
              <w:jc w:val="center"/>
              <w:rPr>
                <w:rFonts w:hint="eastAsia" w:ascii="宋体" w:hAnsi="宋体" w:eastAsia="宋体" w:cs="宋体"/>
                <w:color w:val="auto"/>
                <w:sz w:val="24"/>
                <w:highlight w:val="none"/>
              </w:rPr>
            </w:pPr>
          </w:p>
        </w:tc>
        <w:tc>
          <w:tcPr>
            <w:tcW w:w="1462" w:type="dxa"/>
          </w:tcPr>
          <w:p w14:paraId="615C27FF">
            <w:pPr>
              <w:jc w:val="center"/>
              <w:rPr>
                <w:rFonts w:hint="eastAsia" w:ascii="宋体" w:hAnsi="宋体" w:eastAsia="宋体" w:cs="宋体"/>
                <w:color w:val="auto"/>
                <w:sz w:val="24"/>
                <w:highlight w:val="none"/>
              </w:rPr>
            </w:pPr>
          </w:p>
        </w:tc>
        <w:tc>
          <w:tcPr>
            <w:tcW w:w="2415" w:type="dxa"/>
            <w:tcBorders>
              <w:right w:val="single" w:color="auto" w:sz="4" w:space="0"/>
            </w:tcBorders>
          </w:tcPr>
          <w:p w14:paraId="0FCDB1D2">
            <w:pPr>
              <w:jc w:val="center"/>
              <w:rPr>
                <w:rFonts w:hint="eastAsia" w:ascii="宋体" w:hAnsi="宋体" w:eastAsia="宋体" w:cs="宋体"/>
                <w:color w:val="auto"/>
                <w:sz w:val="24"/>
                <w:highlight w:val="none"/>
              </w:rPr>
            </w:pPr>
          </w:p>
        </w:tc>
        <w:tc>
          <w:tcPr>
            <w:tcW w:w="1746" w:type="dxa"/>
            <w:tcBorders>
              <w:left w:val="single" w:color="auto" w:sz="4" w:space="0"/>
            </w:tcBorders>
          </w:tcPr>
          <w:p w14:paraId="68244DDC">
            <w:pPr>
              <w:jc w:val="center"/>
              <w:rPr>
                <w:rFonts w:hint="eastAsia" w:ascii="宋体" w:hAnsi="宋体" w:eastAsia="宋体" w:cs="宋体"/>
                <w:color w:val="auto"/>
                <w:sz w:val="24"/>
                <w:highlight w:val="none"/>
              </w:rPr>
            </w:pPr>
          </w:p>
        </w:tc>
      </w:tr>
      <w:tr w14:paraId="1AED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5D2EACA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387" w:type="dxa"/>
          </w:tcPr>
          <w:p w14:paraId="5150148F">
            <w:pPr>
              <w:jc w:val="center"/>
              <w:rPr>
                <w:rFonts w:hint="eastAsia" w:ascii="宋体" w:hAnsi="宋体" w:eastAsia="宋体" w:cs="宋体"/>
                <w:color w:val="auto"/>
                <w:sz w:val="24"/>
                <w:highlight w:val="none"/>
              </w:rPr>
            </w:pPr>
          </w:p>
        </w:tc>
        <w:tc>
          <w:tcPr>
            <w:tcW w:w="1462" w:type="dxa"/>
          </w:tcPr>
          <w:p w14:paraId="0AE87990">
            <w:pPr>
              <w:jc w:val="center"/>
              <w:rPr>
                <w:rFonts w:hint="eastAsia" w:ascii="宋体" w:hAnsi="宋体" w:eastAsia="宋体" w:cs="宋体"/>
                <w:color w:val="auto"/>
                <w:sz w:val="24"/>
                <w:highlight w:val="none"/>
              </w:rPr>
            </w:pPr>
          </w:p>
        </w:tc>
        <w:tc>
          <w:tcPr>
            <w:tcW w:w="2415" w:type="dxa"/>
            <w:tcBorders>
              <w:right w:val="single" w:color="auto" w:sz="4" w:space="0"/>
            </w:tcBorders>
          </w:tcPr>
          <w:p w14:paraId="4F1F252B">
            <w:pPr>
              <w:jc w:val="center"/>
              <w:rPr>
                <w:rFonts w:hint="eastAsia" w:ascii="宋体" w:hAnsi="宋体" w:eastAsia="宋体" w:cs="宋体"/>
                <w:color w:val="auto"/>
                <w:sz w:val="24"/>
                <w:highlight w:val="none"/>
              </w:rPr>
            </w:pPr>
          </w:p>
        </w:tc>
        <w:tc>
          <w:tcPr>
            <w:tcW w:w="1746" w:type="dxa"/>
            <w:tcBorders>
              <w:left w:val="single" w:color="auto" w:sz="4" w:space="0"/>
            </w:tcBorders>
          </w:tcPr>
          <w:p w14:paraId="6B3A0B28">
            <w:pPr>
              <w:jc w:val="center"/>
              <w:rPr>
                <w:rFonts w:hint="eastAsia" w:ascii="宋体" w:hAnsi="宋体" w:eastAsia="宋体" w:cs="宋体"/>
                <w:color w:val="auto"/>
                <w:sz w:val="24"/>
                <w:highlight w:val="none"/>
              </w:rPr>
            </w:pPr>
          </w:p>
        </w:tc>
      </w:tr>
      <w:tr w14:paraId="654B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699B2C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387" w:type="dxa"/>
          </w:tcPr>
          <w:p w14:paraId="52F46F49">
            <w:pPr>
              <w:jc w:val="center"/>
              <w:rPr>
                <w:rFonts w:hint="eastAsia" w:ascii="宋体" w:hAnsi="宋体" w:eastAsia="宋体" w:cs="宋体"/>
                <w:color w:val="auto"/>
                <w:sz w:val="24"/>
                <w:highlight w:val="none"/>
              </w:rPr>
            </w:pPr>
          </w:p>
        </w:tc>
        <w:tc>
          <w:tcPr>
            <w:tcW w:w="1462" w:type="dxa"/>
          </w:tcPr>
          <w:p w14:paraId="19A17F51">
            <w:pPr>
              <w:jc w:val="center"/>
              <w:rPr>
                <w:rFonts w:hint="eastAsia" w:ascii="宋体" w:hAnsi="宋体" w:eastAsia="宋体" w:cs="宋体"/>
                <w:color w:val="auto"/>
                <w:sz w:val="24"/>
                <w:highlight w:val="none"/>
              </w:rPr>
            </w:pPr>
          </w:p>
        </w:tc>
        <w:tc>
          <w:tcPr>
            <w:tcW w:w="2415" w:type="dxa"/>
            <w:tcBorders>
              <w:right w:val="single" w:color="auto" w:sz="4" w:space="0"/>
            </w:tcBorders>
          </w:tcPr>
          <w:p w14:paraId="6E641F33">
            <w:pPr>
              <w:jc w:val="center"/>
              <w:rPr>
                <w:rFonts w:hint="eastAsia" w:ascii="宋体" w:hAnsi="宋体" w:eastAsia="宋体" w:cs="宋体"/>
                <w:color w:val="auto"/>
                <w:sz w:val="24"/>
                <w:highlight w:val="none"/>
              </w:rPr>
            </w:pPr>
          </w:p>
        </w:tc>
        <w:tc>
          <w:tcPr>
            <w:tcW w:w="1746" w:type="dxa"/>
            <w:tcBorders>
              <w:left w:val="single" w:color="auto" w:sz="4" w:space="0"/>
            </w:tcBorders>
          </w:tcPr>
          <w:p w14:paraId="2E276A70">
            <w:pPr>
              <w:jc w:val="center"/>
              <w:rPr>
                <w:rFonts w:hint="eastAsia" w:ascii="宋体" w:hAnsi="宋体" w:eastAsia="宋体" w:cs="宋体"/>
                <w:color w:val="auto"/>
                <w:sz w:val="24"/>
                <w:highlight w:val="none"/>
              </w:rPr>
            </w:pPr>
          </w:p>
        </w:tc>
      </w:tr>
      <w:tr w14:paraId="35D57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1242282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387" w:type="dxa"/>
          </w:tcPr>
          <w:p w14:paraId="3BC83FA3">
            <w:pPr>
              <w:jc w:val="center"/>
              <w:rPr>
                <w:rFonts w:hint="eastAsia" w:ascii="宋体" w:hAnsi="宋体" w:eastAsia="宋体" w:cs="宋体"/>
                <w:color w:val="auto"/>
                <w:sz w:val="24"/>
                <w:highlight w:val="none"/>
              </w:rPr>
            </w:pPr>
          </w:p>
        </w:tc>
        <w:tc>
          <w:tcPr>
            <w:tcW w:w="1462" w:type="dxa"/>
          </w:tcPr>
          <w:p w14:paraId="77F6DD36">
            <w:pPr>
              <w:jc w:val="center"/>
              <w:rPr>
                <w:rFonts w:hint="eastAsia" w:ascii="宋体" w:hAnsi="宋体" w:eastAsia="宋体" w:cs="宋体"/>
                <w:color w:val="auto"/>
                <w:sz w:val="24"/>
                <w:highlight w:val="none"/>
              </w:rPr>
            </w:pPr>
          </w:p>
        </w:tc>
        <w:tc>
          <w:tcPr>
            <w:tcW w:w="2415" w:type="dxa"/>
            <w:tcBorders>
              <w:right w:val="single" w:color="auto" w:sz="4" w:space="0"/>
            </w:tcBorders>
          </w:tcPr>
          <w:p w14:paraId="381D9D3D">
            <w:pPr>
              <w:jc w:val="center"/>
              <w:rPr>
                <w:rFonts w:hint="eastAsia" w:ascii="宋体" w:hAnsi="宋体" w:eastAsia="宋体" w:cs="宋体"/>
                <w:color w:val="auto"/>
                <w:sz w:val="24"/>
                <w:highlight w:val="none"/>
              </w:rPr>
            </w:pPr>
          </w:p>
        </w:tc>
        <w:tc>
          <w:tcPr>
            <w:tcW w:w="1746" w:type="dxa"/>
            <w:tcBorders>
              <w:left w:val="single" w:color="auto" w:sz="4" w:space="0"/>
            </w:tcBorders>
          </w:tcPr>
          <w:p w14:paraId="6705F3D6">
            <w:pPr>
              <w:jc w:val="center"/>
              <w:rPr>
                <w:rFonts w:hint="eastAsia" w:ascii="宋体" w:hAnsi="宋体" w:eastAsia="宋体" w:cs="宋体"/>
                <w:color w:val="auto"/>
                <w:sz w:val="24"/>
                <w:highlight w:val="none"/>
              </w:rPr>
            </w:pPr>
          </w:p>
        </w:tc>
      </w:tr>
      <w:tr w14:paraId="3CE6F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82" w:type="dxa"/>
            <w:vAlign w:val="center"/>
          </w:tcPr>
          <w:p w14:paraId="01E47E8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2387" w:type="dxa"/>
          </w:tcPr>
          <w:p w14:paraId="14DE7881">
            <w:pPr>
              <w:jc w:val="center"/>
              <w:rPr>
                <w:rFonts w:hint="eastAsia" w:ascii="宋体" w:hAnsi="宋体" w:eastAsia="宋体" w:cs="宋体"/>
                <w:color w:val="auto"/>
                <w:sz w:val="24"/>
                <w:highlight w:val="none"/>
              </w:rPr>
            </w:pPr>
          </w:p>
        </w:tc>
        <w:tc>
          <w:tcPr>
            <w:tcW w:w="1462" w:type="dxa"/>
          </w:tcPr>
          <w:p w14:paraId="04C4AFD8">
            <w:pPr>
              <w:jc w:val="center"/>
              <w:rPr>
                <w:rFonts w:hint="eastAsia" w:ascii="宋体" w:hAnsi="宋体" w:eastAsia="宋体" w:cs="宋体"/>
                <w:color w:val="auto"/>
                <w:sz w:val="24"/>
                <w:highlight w:val="none"/>
              </w:rPr>
            </w:pPr>
          </w:p>
        </w:tc>
        <w:tc>
          <w:tcPr>
            <w:tcW w:w="2415" w:type="dxa"/>
            <w:tcBorders>
              <w:right w:val="single" w:color="auto" w:sz="4" w:space="0"/>
            </w:tcBorders>
          </w:tcPr>
          <w:p w14:paraId="7DF878D5">
            <w:pPr>
              <w:jc w:val="center"/>
              <w:rPr>
                <w:rFonts w:hint="eastAsia" w:ascii="宋体" w:hAnsi="宋体" w:eastAsia="宋体" w:cs="宋体"/>
                <w:color w:val="auto"/>
                <w:sz w:val="24"/>
                <w:highlight w:val="none"/>
              </w:rPr>
            </w:pPr>
          </w:p>
        </w:tc>
        <w:tc>
          <w:tcPr>
            <w:tcW w:w="1746" w:type="dxa"/>
            <w:tcBorders>
              <w:left w:val="single" w:color="auto" w:sz="4" w:space="0"/>
            </w:tcBorders>
          </w:tcPr>
          <w:p w14:paraId="1A4F04B3">
            <w:pPr>
              <w:jc w:val="center"/>
              <w:rPr>
                <w:rFonts w:hint="eastAsia" w:ascii="宋体" w:hAnsi="宋体" w:eastAsia="宋体" w:cs="宋体"/>
                <w:color w:val="auto"/>
                <w:sz w:val="24"/>
                <w:highlight w:val="none"/>
              </w:rPr>
            </w:pPr>
          </w:p>
        </w:tc>
      </w:tr>
    </w:tbl>
    <w:p w14:paraId="4FC604B9">
      <w:pPr>
        <w:spacing w:line="360" w:lineRule="auto"/>
        <w:ind w:firstLine="480" w:firstLineChars="200"/>
        <w:rPr>
          <w:rFonts w:hint="eastAsia" w:ascii="宋体" w:hAnsi="宋体" w:eastAsia="宋体" w:cs="宋体"/>
          <w:color w:val="auto"/>
          <w:sz w:val="24"/>
          <w:highlight w:val="none"/>
        </w:rPr>
      </w:pPr>
    </w:p>
    <w:p w14:paraId="2F4F63E5">
      <w:pPr>
        <w:spacing w:line="360" w:lineRule="auto"/>
        <w:ind w:left="3600" w:leftChars="1800" w:firstLine="480" w:firstLineChars="200"/>
        <w:rPr>
          <w:rFonts w:hint="eastAsia" w:ascii="宋体" w:hAnsi="宋体" w:eastAsia="宋体" w:cs="宋体"/>
          <w:color w:val="auto"/>
          <w:sz w:val="24"/>
          <w:highlight w:val="none"/>
        </w:rPr>
      </w:pPr>
    </w:p>
    <w:p w14:paraId="7362102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1FC6512D">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071CFF10">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49C818F4">
      <w:pPr>
        <w:pStyle w:val="12"/>
        <w:ind w:firstLine="560"/>
        <w:rPr>
          <w:rFonts w:hint="eastAsia" w:ascii="宋体" w:hAnsi="宋体" w:eastAsia="宋体" w:cs="宋体"/>
          <w:color w:val="auto"/>
          <w:sz w:val="28"/>
          <w:szCs w:val="28"/>
          <w:highlight w:val="none"/>
        </w:rPr>
      </w:pPr>
    </w:p>
    <w:p w14:paraId="19AFD26D">
      <w:pPr>
        <w:snapToGrid w:val="0"/>
        <w:spacing w:before="50" w:after="120" w:afterLines="50"/>
        <w:jc w:val="left"/>
        <w:rPr>
          <w:rFonts w:hint="eastAsia" w:ascii="宋体" w:hAnsi="宋体" w:eastAsia="宋体" w:cs="宋体"/>
          <w:b/>
          <w:bCs/>
          <w:color w:val="auto"/>
          <w:sz w:val="24"/>
          <w:highlight w:val="none"/>
          <w:lang w:val="zh-CN"/>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lang w:val="zh-CN"/>
        </w:rPr>
        <w:t>：</w:t>
      </w:r>
    </w:p>
    <w:p w14:paraId="703C935E">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磋商</w:t>
      </w:r>
      <w:r>
        <w:rPr>
          <w:rFonts w:hint="eastAsia" w:ascii="宋体" w:hAnsi="宋体" w:eastAsia="宋体" w:cs="宋体"/>
          <w:b/>
          <w:bCs/>
          <w:color w:val="auto"/>
          <w:sz w:val="32"/>
          <w:szCs w:val="32"/>
          <w:highlight w:val="none"/>
        </w:rPr>
        <w:t>项目明细清单</w:t>
      </w:r>
    </w:p>
    <w:p w14:paraId="46F64186">
      <w:pPr>
        <w:spacing w:line="360" w:lineRule="auto"/>
        <w:ind w:firstLine="480" w:firstLineChars="200"/>
        <w:rPr>
          <w:rFonts w:hint="eastAsia" w:ascii="宋体" w:hAnsi="宋体" w:eastAsia="宋体" w:cs="宋体"/>
          <w:color w:val="auto"/>
          <w:sz w:val="24"/>
          <w:highlight w:val="none"/>
        </w:rPr>
      </w:pPr>
    </w:p>
    <w:p w14:paraId="4D97E8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698556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90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2829"/>
        <w:gridCol w:w="2829"/>
        <w:gridCol w:w="2830"/>
      </w:tblGrid>
      <w:tr w14:paraId="38B34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D3B8A84">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325EAFA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3A5A90A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4C3924EE">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工作量</w:t>
            </w:r>
          </w:p>
        </w:tc>
      </w:tr>
      <w:tr w14:paraId="7DEDA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7ABCA880">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064B793C">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663AB8D6">
            <w:pPr>
              <w:snapToGrid w:val="0"/>
              <w:spacing w:before="50" w:after="50"/>
              <w:ind w:left="480" w:hanging="480"/>
              <w:jc w:val="center"/>
              <w:rPr>
                <w:rFonts w:hint="eastAsia" w:ascii="宋体" w:hAnsi="宋体" w:eastAsia="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4A7D982F">
            <w:pPr>
              <w:snapToGrid w:val="0"/>
              <w:spacing w:before="50" w:after="50"/>
              <w:jc w:val="center"/>
              <w:rPr>
                <w:rFonts w:hint="eastAsia" w:ascii="宋体" w:hAnsi="宋体" w:eastAsia="宋体" w:cs="宋体"/>
                <w:color w:val="auto"/>
                <w:sz w:val="24"/>
                <w:highlight w:val="none"/>
              </w:rPr>
            </w:pPr>
          </w:p>
        </w:tc>
      </w:tr>
      <w:tr w14:paraId="69807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1EAC2C49">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4CB5CFEE">
            <w:pPr>
              <w:snapToGrid w:val="0"/>
              <w:spacing w:before="50" w:after="50"/>
              <w:jc w:val="center"/>
              <w:rPr>
                <w:rFonts w:hint="eastAsia" w:ascii="宋体" w:hAnsi="宋体" w:eastAsia="宋体" w:cs="宋体"/>
                <w:color w:val="auto"/>
                <w:sz w:val="24"/>
                <w:highlight w:val="none"/>
              </w:rPr>
            </w:pPr>
          </w:p>
        </w:tc>
        <w:tc>
          <w:tcPr>
            <w:tcW w:w="2829" w:type="dxa"/>
            <w:tcBorders>
              <w:top w:val="single" w:color="auto" w:sz="4" w:space="0"/>
              <w:left w:val="single" w:color="auto" w:sz="4" w:space="0"/>
              <w:bottom w:val="single" w:color="auto" w:sz="4" w:space="0"/>
              <w:right w:val="single" w:color="auto" w:sz="4" w:space="0"/>
            </w:tcBorders>
            <w:vAlign w:val="center"/>
          </w:tcPr>
          <w:p w14:paraId="67C12984">
            <w:pPr>
              <w:snapToGrid w:val="0"/>
              <w:spacing w:before="50" w:after="50"/>
              <w:ind w:left="480" w:hanging="480"/>
              <w:jc w:val="center"/>
              <w:rPr>
                <w:rFonts w:hint="eastAsia" w:ascii="宋体" w:hAnsi="宋体" w:eastAsia="宋体" w:cs="宋体"/>
                <w:color w:val="auto"/>
                <w:sz w:val="24"/>
                <w:highlight w:val="none"/>
              </w:rPr>
            </w:pPr>
          </w:p>
        </w:tc>
        <w:tc>
          <w:tcPr>
            <w:tcW w:w="2830" w:type="dxa"/>
            <w:tcBorders>
              <w:top w:val="single" w:color="auto" w:sz="4" w:space="0"/>
              <w:left w:val="single" w:color="auto" w:sz="4" w:space="0"/>
              <w:bottom w:val="single" w:color="auto" w:sz="4" w:space="0"/>
              <w:right w:val="single" w:color="auto" w:sz="4" w:space="0"/>
            </w:tcBorders>
            <w:vAlign w:val="center"/>
          </w:tcPr>
          <w:p w14:paraId="1D062D5B">
            <w:pPr>
              <w:snapToGrid w:val="0"/>
              <w:spacing w:before="50" w:after="50"/>
              <w:jc w:val="center"/>
              <w:rPr>
                <w:rFonts w:hint="eastAsia" w:ascii="宋体" w:hAnsi="宋体" w:eastAsia="宋体" w:cs="宋体"/>
                <w:color w:val="auto"/>
                <w:sz w:val="24"/>
                <w:highlight w:val="none"/>
              </w:rPr>
            </w:pPr>
          </w:p>
        </w:tc>
      </w:tr>
    </w:tbl>
    <w:p w14:paraId="0E8A3188">
      <w:pPr>
        <w:snapToGrid w:val="0"/>
        <w:spacing w:before="120" w:beforeLines="5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注：在填写时，如上表不适合本项目的实际情况，可在确保投标明细内容完整的情况下，根据上表格式自行划表填写。</w:t>
      </w:r>
    </w:p>
    <w:p w14:paraId="3BC7FE02">
      <w:pPr>
        <w:pStyle w:val="12"/>
        <w:rPr>
          <w:rFonts w:hint="eastAsia" w:ascii="宋体" w:hAnsi="宋体" w:eastAsia="宋体" w:cs="宋体"/>
          <w:color w:val="auto"/>
          <w:highlight w:val="none"/>
        </w:rPr>
      </w:pPr>
    </w:p>
    <w:p w14:paraId="4C2C8C71">
      <w:pPr>
        <w:pStyle w:val="12"/>
        <w:rPr>
          <w:rFonts w:hint="eastAsia" w:ascii="宋体" w:hAnsi="宋体" w:eastAsia="宋体" w:cs="宋体"/>
          <w:color w:val="auto"/>
          <w:highlight w:val="none"/>
        </w:rPr>
      </w:pPr>
    </w:p>
    <w:p w14:paraId="030AC2A7">
      <w:pPr>
        <w:pStyle w:val="12"/>
        <w:rPr>
          <w:rFonts w:hint="eastAsia" w:ascii="宋体" w:hAnsi="宋体" w:eastAsia="宋体" w:cs="宋体"/>
          <w:color w:val="auto"/>
          <w:highlight w:val="none"/>
        </w:rPr>
      </w:pPr>
    </w:p>
    <w:p w14:paraId="596E3C88">
      <w:pPr>
        <w:snapToGrid w:val="0"/>
        <w:spacing w:before="120" w:beforeLines="50"/>
        <w:rPr>
          <w:rFonts w:hint="eastAsia" w:ascii="宋体" w:hAnsi="宋体" w:eastAsia="宋体" w:cs="宋体"/>
          <w:color w:val="auto"/>
          <w:sz w:val="24"/>
          <w:highlight w:val="none"/>
        </w:rPr>
      </w:pPr>
    </w:p>
    <w:p w14:paraId="03A73011">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55A4DC55">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F0C7EE7">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0BDB39D5">
      <w:pPr>
        <w:snapToGrid w:val="0"/>
        <w:spacing w:before="50" w:after="50"/>
        <w:rPr>
          <w:rFonts w:hint="eastAsia" w:ascii="宋体" w:hAnsi="宋体" w:eastAsia="宋体" w:cs="宋体"/>
          <w:color w:val="auto"/>
          <w:spacing w:val="20"/>
          <w:sz w:val="24"/>
          <w:highlight w:val="none"/>
        </w:rPr>
      </w:pPr>
    </w:p>
    <w:p w14:paraId="35ABD6AB">
      <w:pPr>
        <w:snapToGrid w:val="0"/>
        <w:spacing w:before="50" w:after="50"/>
        <w:rPr>
          <w:rFonts w:hint="eastAsia" w:ascii="宋体" w:hAnsi="宋体" w:eastAsia="宋体" w:cs="宋体"/>
          <w:color w:val="auto"/>
          <w:spacing w:val="20"/>
          <w:sz w:val="30"/>
          <w:szCs w:val="30"/>
          <w:highlight w:val="none"/>
        </w:rPr>
      </w:pPr>
    </w:p>
    <w:p w14:paraId="41BD2C7F">
      <w:pPr>
        <w:pStyle w:val="12"/>
        <w:ind w:firstLine="680"/>
        <w:rPr>
          <w:rFonts w:hint="eastAsia" w:ascii="宋体" w:hAnsi="宋体" w:eastAsia="宋体" w:cs="宋体"/>
          <w:color w:val="auto"/>
          <w:spacing w:val="20"/>
          <w:sz w:val="30"/>
          <w:szCs w:val="30"/>
          <w:highlight w:val="none"/>
        </w:rPr>
      </w:pPr>
    </w:p>
    <w:p w14:paraId="26BBB6FB">
      <w:pPr>
        <w:pStyle w:val="12"/>
        <w:ind w:firstLine="680"/>
        <w:rPr>
          <w:rFonts w:hint="eastAsia" w:ascii="宋体" w:hAnsi="宋体" w:eastAsia="宋体" w:cs="宋体"/>
          <w:color w:val="auto"/>
          <w:spacing w:val="20"/>
          <w:sz w:val="30"/>
          <w:szCs w:val="30"/>
          <w:highlight w:val="none"/>
        </w:rPr>
      </w:pPr>
    </w:p>
    <w:p w14:paraId="5791868D">
      <w:pPr>
        <w:pStyle w:val="12"/>
        <w:ind w:firstLine="680"/>
        <w:rPr>
          <w:rFonts w:hint="eastAsia" w:ascii="宋体" w:hAnsi="宋体" w:eastAsia="宋体" w:cs="宋体"/>
          <w:color w:val="auto"/>
          <w:spacing w:val="20"/>
          <w:sz w:val="30"/>
          <w:szCs w:val="30"/>
          <w:highlight w:val="none"/>
        </w:rPr>
      </w:pPr>
    </w:p>
    <w:p w14:paraId="06D32349">
      <w:pPr>
        <w:pStyle w:val="12"/>
        <w:ind w:firstLine="680"/>
        <w:rPr>
          <w:rFonts w:hint="eastAsia" w:ascii="宋体" w:hAnsi="宋体" w:eastAsia="宋体" w:cs="宋体"/>
          <w:color w:val="auto"/>
          <w:spacing w:val="20"/>
          <w:sz w:val="30"/>
          <w:szCs w:val="30"/>
          <w:highlight w:val="none"/>
        </w:rPr>
      </w:pPr>
    </w:p>
    <w:p w14:paraId="76DC4E0E">
      <w:pPr>
        <w:rPr>
          <w:rFonts w:hint="eastAsia" w:ascii="宋体" w:hAnsi="宋体" w:eastAsia="宋体" w:cs="宋体"/>
          <w:color w:val="auto"/>
          <w:sz w:val="24"/>
          <w:szCs w:val="18"/>
          <w:highlight w:val="none"/>
        </w:rPr>
      </w:pPr>
      <w:bookmarkStart w:id="170" w:name="_Toc2823"/>
      <w:r>
        <w:rPr>
          <w:rFonts w:hint="eastAsia" w:ascii="宋体" w:hAnsi="宋体" w:eastAsia="宋体" w:cs="宋体"/>
          <w:color w:val="auto"/>
          <w:sz w:val="24"/>
          <w:szCs w:val="18"/>
          <w:highlight w:val="none"/>
        </w:rPr>
        <w:br w:type="page"/>
      </w:r>
    </w:p>
    <w:p w14:paraId="0459C2FB">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十</w:t>
      </w:r>
      <w:r>
        <w:rPr>
          <w:rFonts w:hint="eastAsia" w:ascii="宋体" w:hAnsi="宋体" w:eastAsia="宋体" w:cs="宋体"/>
          <w:b/>
          <w:bCs/>
          <w:color w:val="auto"/>
          <w:sz w:val="24"/>
          <w:szCs w:val="32"/>
          <w:highlight w:val="none"/>
        </w:rPr>
        <w:t>：</w:t>
      </w:r>
    </w:p>
    <w:p w14:paraId="0D1472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技术响应及建议表</w:t>
      </w:r>
      <w:bookmarkEnd w:id="170"/>
    </w:p>
    <w:p w14:paraId="73B704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54DC7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93C71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980"/>
        <w:gridCol w:w="2520"/>
        <w:gridCol w:w="1953"/>
      </w:tblGrid>
      <w:tr w14:paraId="024E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6ECD62D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40" w:type="dxa"/>
            <w:vAlign w:val="center"/>
          </w:tcPr>
          <w:p w14:paraId="6958BFC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980" w:type="dxa"/>
            <w:vAlign w:val="center"/>
          </w:tcPr>
          <w:p w14:paraId="3F308E8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2520" w:type="dxa"/>
            <w:vAlign w:val="center"/>
          </w:tcPr>
          <w:p w14:paraId="7852502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响应文件响应</w:t>
            </w:r>
          </w:p>
        </w:tc>
        <w:tc>
          <w:tcPr>
            <w:tcW w:w="1953" w:type="dxa"/>
            <w:vAlign w:val="center"/>
          </w:tcPr>
          <w:p w14:paraId="0D36CDD6">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r>
      <w:tr w14:paraId="361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5D3C8EA9">
            <w:pPr>
              <w:snapToGrid w:val="0"/>
              <w:spacing w:before="50" w:after="50"/>
              <w:jc w:val="center"/>
              <w:rPr>
                <w:rFonts w:hint="eastAsia" w:ascii="宋体" w:hAnsi="宋体" w:eastAsia="宋体" w:cs="宋体"/>
                <w:color w:val="auto"/>
                <w:sz w:val="24"/>
                <w:highlight w:val="none"/>
              </w:rPr>
            </w:pPr>
          </w:p>
        </w:tc>
        <w:tc>
          <w:tcPr>
            <w:tcW w:w="1440" w:type="dxa"/>
            <w:vAlign w:val="center"/>
          </w:tcPr>
          <w:p w14:paraId="1E584B2F">
            <w:pPr>
              <w:snapToGrid w:val="0"/>
              <w:spacing w:before="50" w:after="50"/>
              <w:jc w:val="center"/>
              <w:rPr>
                <w:rFonts w:hint="eastAsia" w:ascii="宋体" w:hAnsi="宋体" w:eastAsia="宋体" w:cs="宋体"/>
                <w:color w:val="auto"/>
                <w:sz w:val="24"/>
                <w:highlight w:val="none"/>
              </w:rPr>
            </w:pPr>
          </w:p>
        </w:tc>
        <w:tc>
          <w:tcPr>
            <w:tcW w:w="1980" w:type="dxa"/>
            <w:vAlign w:val="center"/>
          </w:tcPr>
          <w:p w14:paraId="618F1B95">
            <w:pPr>
              <w:snapToGrid w:val="0"/>
              <w:spacing w:before="50" w:after="50"/>
              <w:jc w:val="center"/>
              <w:rPr>
                <w:rFonts w:hint="eastAsia" w:ascii="宋体" w:hAnsi="宋体" w:eastAsia="宋体" w:cs="宋体"/>
                <w:color w:val="auto"/>
                <w:sz w:val="24"/>
                <w:highlight w:val="none"/>
              </w:rPr>
            </w:pPr>
          </w:p>
        </w:tc>
        <w:tc>
          <w:tcPr>
            <w:tcW w:w="2520" w:type="dxa"/>
            <w:vAlign w:val="center"/>
          </w:tcPr>
          <w:p w14:paraId="7FCAC977">
            <w:pPr>
              <w:snapToGrid w:val="0"/>
              <w:spacing w:before="50" w:after="50"/>
              <w:jc w:val="center"/>
              <w:rPr>
                <w:rFonts w:hint="eastAsia" w:ascii="宋体" w:hAnsi="宋体" w:eastAsia="宋体" w:cs="宋体"/>
                <w:color w:val="auto"/>
                <w:sz w:val="24"/>
                <w:highlight w:val="none"/>
              </w:rPr>
            </w:pPr>
          </w:p>
        </w:tc>
        <w:tc>
          <w:tcPr>
            <w:tcW w:w="1953" w:type="dxa"/>
            <w:vAlign w:val="center"/>
          </w:tcPr>
          <w:p w14:paraId="675F728C">
            <w:pPr>
              <w:snapToGrid w:val="0"/>
              <w:spacing w:before="50" w:after="50"/>
              <w:jc w:val="center"/>
              <w:rPr>
                <w:rFonts w:hint="eastAsia" w:ascii="宋体" w:hAnsi="宋体" w:eastAsia="宋体" w:cs="宋体"/>
                <w:color w:val="auto"/>
                <w:sz w:val="24"/>
                <w:highlight w:val="none"/>
              </w:rPr>
            </w:pPr>
          </w:p>
        </w:tc>
      </w:tr>
      <w:tr w14:paraId="4CB3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377FE340">
            <w:pPr>
              <w:snapToGrid w:val="0"/>
              <w:spacing w:before="50" w:after="50"/>
              <w:jc w:val="center"/>
              <w:rPr>
                <w:rFonts w:hint="eastAsia" w:ascii="宋体" w:hAnsi="宋体" w:eastAsia="宋体" w:cs="宋体"/>
                <w:color w:val="auto"/>
                <w:sz w:val="24"/>
                <w:highlight w:val="none"/>
              </w:rPr>
            </w:pPr>
          </w:p>
        </w:tc>
        <w:tc>
          <w:tcPr>
            <w:tcW w:w="1440" w:type="dxa"/>
            <w:vAlign w:val="center"/>
          </w:tcPr>
          <w:p w14:paraId="4FA81F3B">
            <w:pPr>
              <w:snapToGrid w:val="0"/>
              <w:spacing w:before="50" w:after="50"/>
              <w:jc w:val="center"/>
              <w:rPr>
                <w:rFonts w:hint="eastAsia" w:ascii="宋体" w:hAnsi="宋体" w:eastAsia="宋体" w:cs="宋体"/>
                <w:color w:val="auto"/>
                <w:sz w:val="24"/>
                <w:highlight w:val="none"/>
              </w:rPr>
            </w:pPr>
          </w:p>
        </w:tc>
        <w:tc>
          <w:tcPr>
            <w:tcW w:w="1980" w:type="dxa"/>
            <w:vAlign w:val="center"/>
          </w:tcPr>
          <w:p w14:paraId="17DD0CCE">
            <w:pPr>
              <w:snapToGrid w:val="0"/>
              <w:spacing w:before="50" w:after="50"/>
              <w:jc w:val="center"/>
              <w:rPr>
                <w:rFonts w:hint="eastAsia" w:ascii="宋体" w:hAnsi="宋体" w:eastAsia="宋体" w:cs="宋体"/>
                <w:color w:val="auto"/>
                <w:sz w:val="24"/>
                <w:highlight w:val="none"/>
              </w:rPr>
            </w:pPr>
          </w:p>
        </w:tc>
        <w:tc>
          <w:tcPr>
            <w:tcW w:w="2520" w:type="dxa"/>
            <w:vAlign w:val="center"/>
          </w:tcPr>
          <w:p w14:paraId="10E302F5">
            <w:pPr>
              <w:snapToGrid w:val="0"/>
              <w:spacing w:before="50" w:after="50"/>
              <w:jc w:val="center"/>
              <w:rPr>
                <w:rFonts w:hint="eastAsia" w:ascii="宋体" w:hAnsi="宋体" w:eastAsia="宋体" w:cs="宋体"/>
                <w:color w:val="auto"/>
                <w:sz w:val="24"/>
                <w:highlight w:val="none"/>
              </w:rPr>
            </w:pPr>
          </w:p>
        </w:tc>
        <w:tc>
          <w:tcPr>
            <w:tcW w:w="1953" w:type="dxa"/>
            <w:vAlign w:val="center"/>
          </w:tcPr>
          <w:p w14:paraId="69236350">
            <w:pPr>
              <w:snapToGrid w:val="0"/>
              <w:spacing w:before="50" w:after="50"/>
              <w:jc w:val="center"/>
              <w:rPr>
                <w:rFonts w:hint="eastAsia" w:ascii="宋体" w:hAnsi="宋体" w:eastAsia="宋体" w:cs="宋体"/>
                <w:color w:val="auto"/>
                <w:sz w:val="24"/>
                <w:highlight w:val="none"/>
              </w:rPr>
            </w:pPr>
          </w:p>
        </w:tc>
      </w:tr>
      <w:tr w14:paraId="71D2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4926F998">
            <w:pPr>
              <w:snapToGrid w:val="0"/>
              <w:spacing w:before="50" w:after="50"/>
              <w:jc w:val="center"/>
              <w:rPr>
                <w:rFonts w:hint="eastAsia" w:ascii="宋体" w:hAnsi="宋体" w:eastAsia="宋体" w:cs="宋体"/>
                <w:color w:val="auto"/>
                <w:sz w:val="24"/>
                <w:highlight w:val="none"/>
              </w:rPr>
            </w:pPr>
          </w:p>
        </w:tc>
        <w:tc>
          <w:tcPr>
            <w:tcW w:w="1440" w:type="dxa"/>
            <w:vAlign w:val="center"/>
          </w:tcPr>
          <w:p w14:paraId="7829FD16">
            <w:pPr>
              <w:snapToGrid w:val="0"/>
              <w:spacing w:before="50" w:after="50"/>
              <w:jc w:val="center"/>
              <w:rPr>
                <w:rFonts w:hint="eastAsia" w:ascii="宋体" w:hAnsi="宋体" w:eastAsia="宋体" w:cs="宋体"/>
                <w:color w:val="auto"/>
                <w:sz w:val="24"/>
                <w:highlight w:val="none"/>
              </w:rPr>
            </w:pPr>
          </w:p>
        </w:tc>
        <w:tc>
          <w:tcPr>
            <w:tcW w:w="1980" w:type="dxa"/>
            <w:vAlign w:val="center"/>
          </w:tcPr>
          <w:p w14:paraId="0904CA5C">
            <w:pPr>
              <w:snapToGrid w:val="0"/>
              <w:spacing w:before="50" w:after="50"/>
              <w:jc w:val="center"/>
              <w:rPr>
                <w:rFonts w:hint="eastAsia" w:ascii="宋体" w:hAnsi="宋体" w:eastAsia="宋体" w:cs="宋体"/>
                <w:color w:val="auto"/>
                <w:sz w:val="24"/>
                <w:highlight w:val="none"/>
              </w:rPr>
            </w:pPr>
          </w:p>
        </w:tc>
        <w:tc>
          <w:tcPr>
            <w:tcW w:w="2520" w:type="dxa"/>
            <w:vAlign w:val="center"/>
          </w:tcPr>
          <w:p w14:paraId="5970FAC9">
            <w:pPr>
              <w:snapToGrid w:val="0"/>
              <w:spacing w:before="50" w:after="50"/>
              <w:jc w:val="center"/>
              <w:rPr>
                <w:rFonts w:hint="eastAsia" w:ascii="宋体" w:hAnsi="宋体" w:eastAsia="宋体" w:cs="宋体"/>
                <w:color w:val="auto"/>
                <w:sz w:val="24"/>
                <w:highlight w:val="none"/>
              </w:rPr>
            </w:pPr>
          </w:p>
        </w:tc>
        <w:tc>
          <w:tcPr>
            <w:tcW w:w="1953" w:type="dxa"/>
            <w:vAlign w:val="center"/>
          </w:tcPr>
          <w:p w14:paraId="1216448F">
            <w:pPr>
              <w:snapToGrid w:val="0"/>
              <w:spacing w:before="50" w:after="50"/>
              <w:jc w:val="center"/>
              <w:rPr>
                <w:rFonts w:hint="eastAsia" w:ascii="宋体" w:hAnsi="宋体" w:eastAsia="宋体" w:cs="宋体"/>
                <w:color w:val="auto"/>
                <w:sz w:val="24"/>
                <w:highlight w:val="none"/>
              </w:rPr>
            </w:pPr>
          </w:p>
        </w:tc>
      </w:tr>
      <w:tr w14:paraId="5E1E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37FC1DA3">
            <w:pPr>
              <w:snapToGrid w:val="0"/>
              <w:spacing w:before="50" w:after="50"/>
              <w:jc w:val="center"/>
              <w:rPr>
                <w:rFonts w:hint="eastAsia" w:ascii="宋体" w:hAnsi="宋体" w:eastAsia="宋体" w:cs="宋体"/>
                <w:color w:val="auto"/>
                <w:sz w:val="24"/>
                <w:highlight w:val="none"/>
              </w:rPr>
            </w:pPr>
          </w:p>
        </w:tc>
        <w:tc>
          <w:tcPr>
            <w:tcW w:w="1440" w:type="dxa"/>
            <w:vAlign w:val="center"/>
          </w:tcPr>
          <w:p w14:paraId="7935C5B2">
            <w:pPr>
              <w:snapToGrid w:val="0"/>
              <w:spacing w:before="50" w:after="50"/>
              <w:jc w:val="center"/>
              <w:rPr>
                <w:rFonts w:hint="eastAsia" w:ascii="宋体" w:hAnsi="宋体" w:eastAsia="宋体" w:cs="宋体"/>
                <w:color w:val="auto"/>
                <w:sz w:val="24"/>
                <w:highlight w:val="none"/>
              </w:rPr>
            </w:pPr>
          </w:p>
        </w:tc>
        <w:tc>
          <w:tcPr>
            <w:tcW w:w="1980" w:type="dxa"/>
            <w:vAlign w:val="center"/>
          </w:tcPr>
          <w:p w14:paraId="41955D53">
            <w:pPr>
              <w:snapToGrid w:val="0"/>
              <w:spacing w:before="50" w:after="50"/>
              <w:jc w:val="center"/>
              <w:rPr>
                <w:rFonts w:hint="eastAsia" w:ascii="宋体" w:hAnsi="宋体" w:eastAsia="宋体" w:cs="宋体"/>
                <w:color w:val="auto"/>
                <w:sz w:val="24"/>
                <w:highlight w:val="none"/>
              </w:rPr>
            </w:pPr>
          </w:p>
        </w:tc>
        <w:tc>
          <w:tcPr>
            <w:tcW w:w="2520" w:type="dxa"/>
            <w:vAlign w:val="center"/>
          </w:tcPr>
          <w:p w14:paraId="662F9882">
            <w:pPr>
              <w:snapToGrid w:val="0"/>
              <w:spacing w:before="50" w:after="50"/>
              <w:jc w:val="center"/>
              <w:rPr>
                <w:rFonts w:hint="eastAsia" w:ascii="宋体" w:hAnsi="宋体" w:eastAsia="宋体" w:cs="宋体"/>
                <w:color w:val="auto"/>
                <w:sz w:val="24"/>
                <w:highlight w:val="none"/>
              </w:rPr>
            </w:pPr>
          </w:p>
        </w:tc>
        <w:tc>
          <w:tcPr>
            <w:tcW w:w="1953" w:type="dxa"/>
            <w:vAlign w:val="center"/>
          </w:tcPr>
          <w:p w14:paraId="5DC83063">
            <w:pPr>
              <w:snapToGrid w:val="0"/>
              <w:spacing w:before="50" w:after="50"/>
              <w:jc w:val="center"/>
              <w:rPr>
                <w:rFonts w:hint="eastAsia" w:ascii="宋体" w:hAnsi="宋体" w:eastAsia="宋体" w:cs="宋体"/>
                <w:color w:val="auto"/>
                <w:sz w:val="24"/>
                <w:highlight w:val="none"/>
              </w:rPr>
            </w:pPr>
          </w:p>
        </w:tc>
      </w:tr>
      <w:tr w14:paraId="7E02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20" w:type="dxa"/>
            <w:vAlign w:val="center"/>
          </w:tcPr>
          <w:p w14:paraId="1DBFBD3C">
            <w:pPr>
              <w:snapToGrid w:val="0"/>
              <w:spacing w:before="50" w:after="50"/>
              <w:jc w:val="center"/>
              <w:rPr>
                <w:rFonts w:hint="eastAsia" w:ascii="宋体" w:hAnsi="宋体" w:eastAsia="宋体" w:cs="宋体"/>
                <w:color w:val="auto"/>
                <w:sz w:val="24"/>
                <w:highlight w:val="none"/>
              </w:rPr>
            </w:pPr>
          </w:p>
        </w:tc>
        <w:tc>
          <w:tcPr>
            <w:tcW w:w="1440" w:type="dxa"/>
            <w:vAlign w:val="center"/>
          </w:tcPr>
          <w:p w14:paraId="41FD9704">
            <w:pPr>
              <w:snapToGrid w:val="0"/>
              <w:spacing w:before="50" w:after="50"/>
              <w:jc w:val="center"/>
              <w:rPr>
                <w:rFonts w:hint="eastAsia" w:ascii="宋体" w:hAnsi="宋体" w:eastAsia="宋体" w:cs="宋体"/>
                <w:color w:val="auto"/>
                <w:sz w:val="24"/>
                <w:highlight w:val="none"/>
              </w:rPr>
            </w:pPr>
          </w:p>
        </w:tc>
        <w:tc>
          <w:tcPr>
            <w:tcW w:w="1980" w:type="dxa"/>
            <w:vAlign w:val="center"/>
          </w:tcPr>
          <w:p w14:paraId="21784C6A">
            <w:pPr>
              <w:snapToGrid w:val="0"/>
              <w:spacing w:before="50" w:after="50"/>
              <w:jc w:val="center"/>
              <w:rPr>
                <w:rFonts w:hint="eastAsia" w:ascii="宋体" w:hAnsi="宋体" w:eastAsia="宋体" w:cs="宋体"/>
                <w:color w:val="auto"/>
                <w:sz w:val="24"/>
                <w:highlight w:val="none"/>
              </w:rPr>
            </w:pPr>
          </w:p>
        </w:tc>
        <w:tc>
          <w:tcPr>
            <w:tcW w:w="2520" w:type="dxa"/>
            <w:vAlign w:val="center"/>
          </w:tcPr>
          <w:p w14:paraId="1B92320C">
            <w:pPr>
              <w:snapToGrid w:val="0"/>
              <w:spacing w:before="50" w:after="50"/>
              <w:jc w:val="center"/>
              <w:rPr>
                <w:rFonts w:hint="eastAsia" w:ascii="宋体" w:hAnsi="宋体" w:eastAsia="宋体" w:cs="宋体"/>
                <w:color w:val="auto"/>
                <w:sz w:val="24"/>
                <w:highlight w:val="none"/>
              </w:rPr>
            </w:pPr>
          </w:p>
        </w:tc>
        <w:tc>
          <w:tcPr>
            <w:tcW w:w="1953" w:type="dxa"/>
            <w:vAlign w:val="center"/>
          </w:tcPr>
          <w:p w14:paraId="4346C1B9">
            <w:pPr>
              <w:snapToGrid w:val="0"/>
              <w:spacing w:before="50" w:after="50"/>
              <w:jc w:val="center"/>
              <w:rPr>
                <w:rFonts w:hint="eastAsia" w:ascii="宋体" w:hAnsi="宋体" w:eastAsia="宋体" w:cs="宋体"/>
                <w:color w:val="auto"/>
                <w:sz w:val="24"/>
                <w:highlight w:val="none"/>
              </w:rPr>
            </w:pPr>
          </w:p>
        </w:tc>
      </w:tr>
      <w:tr w14:paraId="31AB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160" w:type="dxa"/>
            <w:gridSpan w:val="2"/>
            <w:vAlign w:val="center"/>
          </w:tcPr>
          <w:p w14:paraId="032D4C3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投标建议</w:t>
            </w:r>
          </w:p>
        </w:tc>
        <w:tc>
          <w:tcPr>
            <w:tcW w:w="6453" w:type="dxa"/>
            <w:gridSpan w:val="3"/>
            <w:vAlign w:val="center"/>
          </w:tcPr>
          <w:p w14:paraId="645543E2">
            <w:pPr>
              <w:spacing w:line="360" w:lineRule="auto"/>
              <w:jc w:val="center"/>
              <w:rPr>
                <w:rFonts w:hint="eastAsia" w:ascii="宋体" w:hAnsi="宋体" w:eastAsia="宋体" w:cs="宋体"/>
                <w:color w:val="auto"/>
                <w:sz w:val="24"/>
                <w:highlight w:val="none"/>
              </w:rPr>
            </w:pPr>
          </w:p>
        </w:tc>
      </w:tr>
    </w:tbl>
    <w:p w14:paraId="6B772A2A">
      <w:pPr>
        <w:snapToGrid w:val="0"/>
        <w:spacing w:line="360" w:lineRule="auto"/>
        <w:rPr>
          <w:rFonts w:hint="eastAsia" w:ascii="宋体" w:hAnsi="宋体" w:eastAsia="宋体" w:cs="宋体"/>
          <w:color w:val="auto"/>
          <w:sz w:val="24"/>
          <w:highlight w:val="none"/>
        </w:rPr>
      </w:pPr>
    </w:p>
    <w:p w14:paraId="32F27E53">
      <w:pPr>
        <w:pStyle w:val="14"/>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注：名称可基于项目清单根据供应商实际情况调整。</w:t>
      </w:r>
    </w:p>
    <w:p w14:paraId="6312DF6B">
      <w:pPr>
        <w:rPr>
          <w:rFonts w:hint="eastAsia" w:ascii="宋体" w:hAnsi="宋体" w:eastAsia="宋体" w:cs="宋体"/>
          <w:color w:val="auto"/>
          <w:sz w:val="24"/>
          <w:highlight w:val="none"/>
        </w:rPr>
      </w:pPr>
    </w:p>
    <w:p w14:paraId="6DC0A0ED">
      <w:pPr>
        <w:pStyle w:val="12"/>
        <w:rPr>
          <w:rFonts w:hint="eastAsia" w:ascii="宋体" w:hAnsi="宋体" w:eastAsia="宋体" w:cs="宋体"/>
          <w:color w:val="auto"/>
          <w:highlight w:val="none"/>
        </w:rPr>
      </w:pPr>
    </w:p>
    <w:p w14:paraId="28445BD8">
      <w:pPr>
        <w:snapToGrid w:val="0"/>
        <w:spacing w:line="360" w:lineRule="auto"/>
        <w:rPr>
          <w:rFonts w:hint="eastAsia" w:ascii="宋体" w:hAnsi="宋体" w:eastAsia="宋体" w:cs="宋体"/>
          <w:color w:val="auto"/>
          <w:sz w:val="24"/>
          <w:highlight w:val="none"/>
        </w:rPr>
      </w:pPr>
    </w:p>
    <w:p w14:paraId="7C9FC645">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5BFDFA4B">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1DFCD16">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0BB87A26">
      <w:pPr>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397D0E3D">
      <w:pP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十一</w:t>
      </w:r>
      <w:r>
        <w:rPr>
          <w:rFonts w:hint="eastAsia" w:ascii="宋体" w:hAnsi="宋体" w:eastAsia="宋体" w:cs="宋体"/>
          <w:b/>
          <w:bCs/>
          <w:color w:val="auto"/>
          <w:sz w:val="24"/>
          <w:szCs w:val="32"/>
          <w:highlight w:val="none"/>
        </w:rPr>
        <w:t>：</w:t>
      </w:r>
    </w:p>
    <w:p w14:paraId="652D6C1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商务响应表</w:t>
      </w:r>
    </w:p>
    <w:p w14:paraId="55693AD8">
      <w:pPr>
        <w:snapToGrid w:val="0"/>
        <w:spacing w:before="50"/>
        <w:jc w:val="center"/>
        <w:rPr>
          <w:rFonts w:hint="eastAsia" w:ascii="宋体" w:hAnsi="宋体" w:eastAsia="宋体" w:cs="宋体"/>
          <w:b/>
          <w:color w:val="auto"/>
          <w:sz w:val="32"/>
          <w:szCs w:val="32"/>
          <w:highlight w:val="none"/>
        </w:rPr>
      </w:pPr>
    </w:p>
    <w:p w14:paraId="1D1D42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B2C10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943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54"/>
        <w:gridCol w:w="2700"/>
        <w:gridCol w:w="1260"/>
        <w:gridCol w:w="3020"/>
      </w:tblGrid>
      <w:tr w14:paraId="11851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8698CD8">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4B1D9B2E">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1A1C120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p w14:paraId="2D3D491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tc>
        <w:tc>
          <w:tcPr>
            <w:tcW w:w="3020" w:type="dxa"/>
            <w:tcBorders>
              <w:top w:val="single" w:color="auto" w:sz="4" w:space="0"/>
              <w:left w:val="single" w:color="auto" w:sz="4" w:space="0"/>
              <w:bottom w:val="single" w:color="auto" w:sz="4" w:space="0"/>
              <w:right w:val="single" w:color="auto" w:sz="4" w:space="0"/>
            </w:tcBorders>
            <w:vAlign w:val="center"/>
          </w:tcPr>
          <w:p w14:paraId="2B0820A3">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供应商的承诺或说明</w:t>
            </w:r>
          </w:p>
        </w:tc>
      </w:tr>
      <w:tr w14:paraId="4741C2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D27AA5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服务时间及地点</w:t>
            </w:r>
          </w:p>
        </w:tc>
        <w:tc>
          <w:tcPr>
            <w:tcW w:w="2700" w:type="dxa"/>
            <w:tcBorders>
              <w:top w:val="single" w:color="auto" w:sz="4" w:space="0"/>
              <w:left w:val="single" w:color="auto" w:sz="4" w:space="0"/>
              <w:bottom w:val="single" w:color="auto" w:sz="4" w:space="0"/>
              <w:right w:val="single" w:color="auto" w:sz="4" w:space="0"/>
            </w:tcBorders>
            <w:vAlign w:val="center"/>
          </w:tcPr>
          <w:p w14:paraId="3AE49C35">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79A05C0">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1B2C648">
            <w:pPr>
              <w:snapToGrid w:val="0"/>
              <w:spacing w:before="50" w:after="50"/>
              <w:jc w:val="center"/>
              <w:rPr>
                <w:rFonts w:hint="eastAsia" w:ascii="宋体" w:hAnsi="宋体" w:eastAsia="宋体" w:cs="宋体"/>
                <w:color w:val="auto"/>
                <w:sz w:val="24"/>
                <w:highlight w:val="none"/>
              </w:rPr>
            </w:pPr>
          </w:p>
        </w:tc>
      </w:tr>
      <w:tr w14:paraId="6F2D54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CC83E8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付款条件</w:t>
            </w:r>
          </w:p>
        </w:tc>
        <w:tc>
          <w:tcPr>
            <w:tcW w:w="2700" w:type="dxa"/>
            <w:tcBorders>
              <w:top w:val="single" w:color="auto" w:sz="4" w:space="0"/>
              <w:left w:val="single" w:color="auto" w:sz="4" w:space="0"/>
              <w:bottom w:val="single" w:color="auto" w:sz="4" w:space="0"/>
              <w:right w:val="single" w:color="auto" w:sz="4" w:space="0"/>
            </w:tcBorders>
            <w:vAlign w:val="center"/>
          </w:tcPr>
          <w:p w14:paraId="40F409BF">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2A947B">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2D5E5E1C">
            <w:pPr>
              <w:snapToGrid w:val="0"/>
              <w:spacing w:before="50" w:after="50"/>
              <w:jc w:val="center"/>
              <w:rPr>
                <w:rFonts w:hint="eastAsia" w:ascii="宋体" w:hAnsi="宋体" w:eastAsia="宋体" w:cs="宋体"/>
                <w:color w:val="auto"/>
                <w:sz w:val="24"/>
                <w:highlight w:val="none"/>
              </w:rPr>
            </w:pPr>
          </w:p>
        </w:tc>
      </w:tr>
      <w:tr w14:paraId="1079D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669B6E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违约责任及争议解决方式</w:t>
            </w:r>
          </w:p>
        </w:tc>
        <w:tc>
          <w:tcPr>
            <w:tcW w:w="2700" w:type="dxa"/>
            <w:tcBorders>
              <w:top w:val="single" w:color="auto" w:sz="4" w:space="0"/>
              <w:left w:val="single" w:color="auto" w:sz="4" w:space="0"/>
              <w:bottom w:val="single" w:color="auto" w:sz="4" w:space="0"/>
              <w:right w:val="single" w:color="auto" w:sz="4" w:space="0"/>
            </w:tcBorders>
            <w:vAlign w:val="center"/>
          </w:tcPr>
          <w:p w14:paraId="2730EA88">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1D7F524">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4B9E6154">
            <w:pPr>
              <w:snapToGrid w:val="0"/>
              <w:spacing w:before="50" w:after="50"/>
              <w:jc w:val="center"/>
              <w:rPr>
                <w:rFonts w:hint="eastAsia" w:ascii="宋体" w:hAnsi="宋体" w:eastAsia="宋体" w:cs="宋体"/>
                <w:color w:val="auto"/>
                <w:sz w:val="24"/>
                <w:highlight w:val="none"/>
              </w:rPr>
            </w:pPr>
          </w:p>
        </w:tc>
      </w:tr>
      <w:tr w14:paraId="302D3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4557E0C4">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售后服务响应情况</w:t>
            </w:r>
          </w:p>
        </w:tc>
        <w:tc>
          <w:tcPr>
            <w:tcW w:w="2700" w:type="dxa"/>
            <w:tcBorders>
              <w:top w:val="single" w:color="auto" w:sz="4" w:space="0"/>
              <w:left w:val="single" w:color="auto" w:sz="4" w:space="0"/>
              <w:bottom w:val="single" w:color="auto" w:sz="4" w:space="0"/>
              <w:right w:val="single" w:color="auto" w:sz="4" w:space="0"/>
            </w:tcBorders>
            <w:vAlign w:val="center"/>
          </w:tcPr>
          <w:p w14:paraId="1A8F369D">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4FADF35">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174A3E0D">
            <w:pPr>
              <w:snapToGrid w:val="0"/>
              <w:spacing w:before="50" w:after="50"/>
              <w:jc w:val="center"/>
              <w:rPr>
                <w:rFonts w:hint="eastAsia" w:ascii="宋体" w:hAnsi="宋体" w:eastAsia="宋体" w:cs="宋体"/>
                <w:color w:val="auto"/>
                <w:sz w:val="24"/>
                <w:highlight w:val="none"/>
              </w:rPr>
            </w:pPr>
          </w:p>
        </w:tc>
      </w:tr>
      <w:tr w14:paraId="07A75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6EE44C96">
            <w:pPr>
              <w:snapToGrid w:val="0"/>
              <w:spacing w:before="50" w:after="5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w:t>
            </w:r>
            <w:r>
              <w:rPr>
                <w:rFonts w:hint="eastAsia" w:ascii="宋体" w:hAnsi="宋体" w:eastAsia="宋体" w:cs="宋体"/>
                <w:color w:val="auto"/>
                <w:sz w:val="24"/>
                <w:highlight w:val="none"/>
              </w:rPr>
              <w:t>服务</w:t>
            </w:r>
            <w:r>
              <w:rPr>
                <w:rFonts w:hint="eastAsia" w:ascii="宋体" w:hAnsi="宋体" w:eastAsia="宋体" w:cs="宋体"/>
                <w:color w:val="auto"/>
                <w:sz w:val="24"/>
                <w:highlight w:val="none"/>
                <w:lang w:val="en-US" w:eastAsia="zh-CN"/>
              </w:rPr>
              <w:t>承诺</w:t>
            </w:r>
          </w:p>
        </w:tc>
        <w:tc>
          <w:tcPr>
            <w:tcW w:w="2700" w:type="dxa"/>
            <w:tcBorders>
              <w:top w:val="single" w:color="auto" w:sz="4" w:space="0"/>
              <w:left w:val="single" w:color="auto" w:sz="4" w:space="0"/>
              <w:bottom w:val="single" w:color="auto" w:sz="4" w:space="0"/>
              <w:right w:val="single" w:color="auto" w:sz="4" w:space="0"/>
            </w:tcBorders>
            <w:vAlign w:val="center"/>
          </w:tcPr>
          <w:p w14:paraId="68E64759">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87B434">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89F012E">
            <w:pPr>
              <w:snapToGrid w:val="0"/>
              <w:spacing w:before="50" w:after="50"/>
              <w:jc w:val="center"/>
              <w:rPr>
                <w:rFonts w:hint="eastAsia" w:ascii="宋体" w:hAnsi="宋体" w:eastAsia="宋体" w:cs="宋体"/>
                <w:color w:val="auto"/>
                <w:sz w:val="24"/>
                <w:highlight w:val="none"/>
              </w:rPr>
            </w:pPr>
          </w:p>
        </w:tc>
      </w:tr>
      <w:tr w14:paraId="4C26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C69807A">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经验或业绩要求</w:t>
            </w:r>
          </w:p>
        </w:tc>
        <w:tc>
          <w:tcPr>
            <w:tcW w:w="2700" w:type="dxa"/>
            <w:tcBorders>
              <w:top w:val="single" w:color="auto" w:sz="4" w:space="0"/>
              <w:left w:val="single" w:color="auto" w:sz="4" w:space="0"/>
              <w:bottom w:val="single" w:color="auto" w:sz="4" w:space="0"/>
              <w:right w:val="single" w:color="auto" w:sz="4" w:space="0"/>
            </w:tcBorders>
            <w:vAlign w:val="center"/>
          </w:tcPr>
          <w:p w14:paraId="0B6248F8">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CA1D6CD">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3309863">
            <w:pPr>
              <w:snapToGrid w:val="0"/>
              <w:spacing w:before="50" w:after="50"/>
              <w:jc w:val="center"/>
              <w:rPr>
                <w:rFonts w:hint="eastAsia" w:ascii="宋体" w:hAnsi="宋体" w:eastAsia="宋体" w:cs="宋体"/>
                <w:color w:val="auto"/>
                <w:sz w:val="24"/>
                <w:highlight w:val="none"/>
              </w:rPr>
            </w:pPr>
          </w:p>
        </w:tc>
      </w:tr>
      <w:tr w14:paraId="41377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289EEF61">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各类证书</w:t>
            </w:r>
          </w:p>
        </w:tc>
        <w:tc>
          <w:tcPr>
            <w:tcW w:w="2700" w:type="dxa"/>
            <w:tcBorders>
              <w:top w:val="single" w:color="auto" w:sz="4" w:space="0"/>
              <w:left w:val="single" w:color="auto" w:sz="4" w:space="0"/>
              <w:bottom w:val="single" w:color="auto" w:sz="4" w:space="0"/>
              <w:right w:val="single" w:color="auto" w:sz="4" w:space="0"/>
            </w:tcBorders>
            <w:vAlign w:val="center"/>
          </w:tcPr>
          <w:p w14:paraId="3E943096">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2E3D534">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A7DEB04">
            <w:pPr>
              <w:snapToGrid w:val="0"/>
              <w:spacing w:before="50" w:after="50"/>
              <w:jc w:val="center"/>
              <w:rPr>
                <w:rFonts w:hint="eastAsia" w:ascii="宋体" w:hAnsi="宋体" w:eastAsia="宋体" w:cs="宋体"/>
                <w:color w:val="auto"/>
                <w:sz w:val="24"/>
                <w:highlight w:val="none"/>
              </w:rPr>
            </w:pPr>
          </w:p>
        </w:tc>
      </w:tr>
      <w:tr w14:paraId="5C63F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B426DD4">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69D9948E">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4ED0AE">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00CABE3">
            <w:pPr>
              <w:snapToGrid w:val="0"/>
              <w:spacing w:before="50" w:after="50"/>
              <w:jc w:val="center"/>
              <w:rPr>
                <w:rFonts w:hint="eastAsia" w:ascii="宋体" w:hAnsi="宋体" w:eastAsia="宋体" w:cs="宋体"/>
                <w:color w:val="auto"/>
                <w:sz w:val="24"/>
                <w:highlight w:val="none"/>
              </w:rPr>
            </w:pPr>
          </w:p>
        </w:tc>
      </w:tr>
      <w:tr w14:paraId="2B9DE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56CE14DE">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6B46FC2B">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19EFE7">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B468D24">
            <w:pPr>
              <w:snapToGrid w:val="0"/>
              <w:spacing w:before="50" w:after="50"/>
              <w:jc w:val="center"/>
              <w:rPr>
                <w:rFonts w:hint="eastAsia" w:ascii="宋体" w:hAnsi="宋体" w:eastAsia="宋体" w:cs="宋体"/>
                <w:color w:val="auto"/>
                <w:sz w:val="24"/>
                <w:highlight w:val="none"/>
              </w:rPr>
            </w:pPr>
          </w:p>
        </w:tc>
      </w:tr>
      <w:tr w14:paraId="1FBAB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75EC10E9">
            <w:pPr>
              <w:snapToGrid w:val="0"/>
              <w:spacing w:before="50" w:after="50"/>
              <w:jc w:val="center"/>
              <w:rPr>
                <w:rFonts w:hint="eastAsia" w:ascii="宋体" w:hAnsi="宋体" w:eastAsia="宋体" w:cs="宋体"/>
                <w:color w:val="auto"/>
                <w:sz w:val="24"/>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562BF1CF">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9C4D8A">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37AB0654">
            <w:pPr>
              <w:snapToGrid w:val="0"/>
              <w:spacing w:before="50" w:after="50"/>
              <w:jc w:val="center"/>
              <w:rPr>
                <w:rFonts w:hint="eastAsia" w:ascii="宋体" w:hAnsi="宋体" w:eastAsia="宋体" w:cs="宋体"/>
                <w:color w:val="auto"/>
                <w:sz w:val="24"/>
                <w:highlight w:val="none"/>
              </w:rPr>
            </w:pPr>
          </w:p>
        </w:tc>
      </w:tr>
      <w:tr w14:paraId="180BC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54" w:type="dxa"/>
            <w:tcBorders>
              <w:top w:val="single" w:color="auto" w:sz="4" w:space="0"/>
              <w:left w:val="single" w:color="auto" w:sz="4" w:space="0"/>
              <w:bottom w:val="single" w:color="auto" w:sz="4" w:space="0"/>
              <w:right w:val="single" w:color="auto" w:sz="4" w:space="0"/>
            </w:tcBorders>
            <w:vAlign w:val="center"/>
          </w:tcPr>
          <w:p w14:paraId="0E9E017C">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700" w:type="dxa"/>
            <w:tcBorders>
              <w:top w:val="single" w:color="auto" w:sz="4" w:space="0"/>
              <w:left w:val="single" w:color="auto" w:sz="4" w:space="0"/>
              <w:bottom w:val="single" w:color="auto" w:sz="4" w:space="0"/>
              <w:right w:val="single" w:color="auto" w:sz="4" w:space="0"/>
            </w:tcBorders>
            <w:vAlign w:val="center"/>
          </w:tcPr>
          <w:p w14:paraId="4A83968D">
            <w:pPr>
              <w:snapToGrid w:val="0"/>
              <w:spacing w:before="50" w:after="5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DD17FE">
            <w:pPr>
              <w:snapToGrid w:val="0"/>
              <w:spacing w:before="50" w:after="50"/>
              <w:jc w:val="center"/>
              <w:rPr>
                <w:rFonts w:hint="eastAsia" w:ascii="宋体" w:hAnsi="宋体" w:eastAsia="宋体" w:cs="宋体"/>
                <w:color w:val="auto"/>
                <w:sz w:val="24"/>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42A3A826">
            <w:pPr>
              <w:snapToGrid w:val="0"/>
              <w:spacing w:before="50" w:after="50"/>
              <w:jc w:val="center"/>
              <w:rPr>
                <w:rFonts w:hint="eastAsia" w:ascii="宋体" w:hAnsi="宋体" w:eastAsia="宋体" w:cs="宋体"/>
                <w:color w:val="auto"/>
                <w:sz w:val="24"/>
                <w:highlight w:val="none"/>
              </w:rPr>
            </w:pPr>
          </w:p>
        </w:tc>
      </w:tr>
    </w:tbl>
    <w:p w14:paraId="041CFE6C">
      <w:pPr>
        <w:spacing w:line="360" w:lineRule="auto"/>
        <w:ind w:left="3600" w:leftChars="1800" w:firstLine="480" w:firstLineChars="200"/>
        <w:rPr>
          <w:rFonts w:hint="eastAsia" w:ascii="宋体" w:hAnsi="宋体" w:eastAsia="宋体" w:cs="宋体"/>
          <w:color w:val="auto"/>
          <w:sz w:val="24"/>
          <w:highlight w:val="none"/>
        </w:rPr>
      </w:pPr>
    </w:p>
    <w:p w14:paraId="18F2820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注：在填写时，如本表格不适合投标单位的实际情况，可根据本表格式自行划表填写。</w:t>
      </w:r>
    </w:p>
    <w:p w14:paraId="1F43EFB4">
      <w:pPr>
        <w:spacing w:line="360" w:lineRule="auto"/>
        <w:ind w:left="3600" w:leftChars="1800" w:firstLine="480" w:firstLineChars="200"/>
        <w:rPr>
          <w:rFonts w:hint="eastAsia" w:ascii="宋体" w:hAnsi="宋体" w:eastAsia="宋体" w:cs="宋体"/>
          <w:color w:val="auto"/>
          <w:sz w:val="24"/>
          <w:highlight w:val="none"/>
        </w:rPr>
      </w:pPr>
    </w:p>
    <w:p w14:paraId="0B1662E5">
      <w:pPr>
        <w:spacing w:line="360" w:lineRule="auto"/>
        <w:ind w:left="3600" w:leftChars="1800" w:firstLine="480" w:firstLineChars="200"/>
        <w:rPr>
          <w:rFonts w:hint="eastAsia" w:ascii="宋体" w:hAnsi="宋体" w:eastAsia="宋体" w:cs="宋体"/>
          <w:color w:val="auto"/>
          <w:sz w:val="24"/>
          <w:highlight w:val="none"/>
        </w:rPr>
      </w:pPr>
    </w:p>
    <w:p w14:paraId="2C8F6748">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61E444FE">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1AD0F849">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11DE21D3">
      <w:pPr>
        <w:snapToGrid w:val="0"/>
        <w:spacing w:before="50" w:after="50"/>
        <w:rPr>
          <w:rFonts w:hint="eastAsia" w:ascii="宋体" w:hAnsi="宋体" w:eastAsia="宋体" w:cs="宋体"/>
          <w:b/>
          <w:bCs/>
          <w:color w:val="auto"/>
          <w:sz w:val="24"/>
          <w:highlight w:val="none"/>
          <w:lang w:val="zh-CN"/>
        </w:rPr>
      </w:pPr>
      <w:r>
        <w:rPr>
          <w:rFonts w:hint="eastAsia" w:ascii="宋体" w:hAnsi="宋体" w:eastAsia="宋体" w:cs="宋体"/>
          <w:color w:val="auto"/>
          <w:sz w:val="24"/>
          <w:highlight w:val="none"/>
        </w:rPr>
        <w:br w:type="page"/>
      </w:r>
      <w:r>
        <w:rPr>
          <w:rFonts w:hint="eastAsia" w:ascii="宋体" w:hAnsi="宋体" w:eastAsia="宋体" w:cs="宋体"/>
          <w:b/>
          <w:bCs/>
          <w:color w:val="auto"/>
          <w:sz w:val="24"/>
          <w:highlight w:val="none"/>
          <w:lang w:val="zh-CN"/>
        </w:rPr>
        <w:t>附件</w:t>
      </w:r>
      <w:r>
        <w:rPr>
          <w:rFonts w:hint="eastAsia" w:ascii="宋体" w:hAnsi="宋体" w:eastAsia="宋体" w:cs="宋体"/>
          <w:b/>
          <w:bCs/>
          <w:color w:val="auto"/>
          <w:sz w:val="24"/>
          <w:highlight w:val="none"/>
          <w:lang w:val="en-US" w:eastAsia="zh-CN"/>
        </w:rPr>
        <w:t>十二</w:t>
      </w:r>
      <w:r>
        <w:rPr>
          <w:rFonts w:hint="eastAsia" w:ascii="宋体" w:hAnsi="宋体" w:eastAsia="宋体" w:cs="宋体"/>
          <w:b/>
          <w:bCs/>
          <w:color w:val="auto"/>
          <w:sz w:val="24"/>
          <w:highlight w:val="none"/>
          <w:lang w:val="zh-CN"/>
        </w:rPr>
        <w:t>：</w:t>
      </w:r>
    </w:p>
    <w:p w14:paraId="40C2A7C5">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项目组人员清单</w:t>
      </w:r>
    </w:p>
    <w:p w14:paraId="0AF2757E">
      <w:pPr>
        <w:snapToGrid w:val="0"/>
        <w:spacing w:before="120" w:beforeLines="50" w:after="50"/>
        <w:jc w:val="center"/>
        <w:rPr>
          <w:rFonts w:hint="eastAsia" w:ascii="宋体" w:hAnsi="宋体" w:eastAsia="宋体" w:cs="宋体"/>
          <w:b/>
          <w:color w:val="auto"/>
          <w:sz w:val="30"/>
          <w:szCs w:val="30"/>
          <w:highlight w:val="none"/>
        </w:rPr>
      </w:pPr>
    </w:p>
    <w:p w14:paraId="65786F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40A3EE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采购编号：</w:t>
      </w:r>
    </w:p>
    <w:tbl>
      <w:tblPr>
        <w:tblStyle w:val="28"/>
        <w:tblW w:w="85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800"/>
        <w:gridCol w:w="1800"/>
      </w:tblGrid>
      <w:tr w14:paraId="207B7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4DEE7F9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369B0AB2">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26E37DF4">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14:paraId="691BA0D7">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证书编号</w:t>
            </w:r>
          </w:p>
        </w:tc>
        <w:tc>
          <w:tcPr>
            <w:tcW w:w="1800" w:type="dxa"/>
            <w:tcBorders>
              <w:top w:val="single" w:color="auto" w:sz="4" w:space="0"/>
              <w:left w:val="single" w:color="auto" w:sz="4" w:space="0"/>
              <w:bottom w:val="single" w:color="auto" w:sz="4" w:space="0"/>
              <w:right w:val="single" w:color="auto" w:sz="4" w:space="0"/>
            </w:tcBorders>
            <w:vAlign w:val="center"/>
          </w:tcPr>
          <w:p w14:paraId="49D20010">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17C7325D">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劳动合同编号</w:t>
            </w:r>
          </w:p>
        </w:tc>
      </w:tr>
      <w:tr w14:paraId="2B736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28C59834">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68EAEAC6">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3B3347A6">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B4BBEE7">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07D1B5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DA2A33D">
            <w:pPr>
              <w:snapToGrid w:val="0"/>
              <w:spacing w:before="120" w:beforeLines="50" w:after="50" w:line="460" w:lineRule="exact"/>
              <w:rPr>
                <w:rFonts w:hint="eastAsia" w:ascii="宋体" w:hAnsi="宋体" w:eastAsia="宋体" w:cs="宋体"/>
                <w:color w:val="auto"/>
                <w:sz w:val="24"/>
                <w:highlight w:val="none"/>
              </w:rPr>
            </w:pPr>
          </w:p>
        </w:tc>
      </w:tr>
      <w:tr w14:paraId="404ED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7299ACB6">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63C47CA5">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30CE5183">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6655C68">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132205F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8CEFBE9">
            <w:pPr>
              <w:snapToGrid w:val="0"/>
              <w:spacing w:before="120" w:beforeLines="50" w:after="50" w:line="460" w:lineRule="exact"/>
              <w:rPr>
                <w:rFonts w:hint="eastAsia" w:ascii="宋体" w:hAnsi="宋体" w:eastAsia="宋体" w:cs="宋体"/>
                <w:color w:val="auto"/>
                <w:sz w:val="24"/>
                <w:highlight w:val="none"/>
              </w:rPr>
            </w:pPr>
          </w:p>
        </w:tc>
      </w:tr>
      <w:tr w14:paraId="2133B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25B0BEC5">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23C92C0E">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1FF82A58">
            <w:pPr>
              <w:pStyle w:val="15"/>
              <w:snapToGrid w:val="0"/>
              <w:spacing w:before="120" w:beforeLines="50" w:after="50" w:line="460" w:lineRule="exact"/>
              <w:ind w:left="5250"/>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tcPr>
          <w:p w14:paraId="1EF31BA1">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D4E019C">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375191F">
            <w:pPr>
              <w:snapToGrid w:val="0"/>
              <w:spacing w:before="120" w:beforeLines="50" w:after="50" w:line="460" w:lineRule="exact"/>
              <w:rPr>
                <w:rFonts w:hint="eastAsia" w:ascii="宋体" w:hAnsi="宋体" w:eastAsia="宋体" w:cs="宋体"/>
                <w:color w:val="auto"/>
                <w:sz w:val="24"/>
                <w:highlight w:val="none"/>
              </w:rPr>
            </w:pPr>
          </w:p>
        </w:tc>
      </w:tr>
      <w:tr w14:paraId="5D740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1B2A046E">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7189E9D1">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21366887">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BBEF749">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F587A7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888D92A">
            <w:pPr>
              <w:snapToGrid w:val="0"/>
              <w:spacing w:before="120" w:beforeLines="50" w:after="50" w:line="460" w:lineRule="exact"/>
              <w:rPr>
                <w:rFonts w:hint="eastAsia" w:ascii="宋体" w:hAnsi="宋体" w:eastAsia="宋体" w:cs="宋体"/>
                <w:color w:val="auto"/>
                <w:sz w:val="24"/>
                <w:highlight w:val="none"/>
              </w:rPr>
            </w:pPr>
          </w:p>
        </w:tc>
      </w:tr>
      <w:tr w14:paraId="21AB8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078C34A4">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36C55B73">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4582A3D0">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5D009CB">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7BA3C4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BEC03C2">
            <w:pPr>
              <w:snapToGrid w:val="0"/>
              <w:spacing w:before="120" w:beforeLines="50" w:after="50" w:line="460" w:lineRule="exact"/>
              <w:rPr>
                <w:rFonts w:hint="eastAsia" w:ascii="宋体" w:hAnsi="宋体" w:eastAsia="宋体" w:cs="宋体"/>
                <w:color w:val="auto"/>
                <w:sz w:val="24"/>
                <w:highlight w:val="none"/>
              </w:rPr>
            </w:pPr>
          </w:p>
        </w:tc>
      </w:tr>
      <w:tr w14:paraId="53C00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10663F29">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11A80447">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4CE2553B">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622C7D6">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8F7A0B5">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FFA5D27">
            <w:pPr>
              <w:snapToGrid w:val="0"/>
              <w:spacing w:before="120" w:beforeLines="50" w:after="50" w:line="460" w:lineRule="exact"/>
              <w:rPr>
                <w:rFonts w:hint="eastAsia" w:ascii="宋体" w:hAnsi="宋体" w:eastAsia="宋体" w:cs="宋体"/>
                <w:color w:val="auto"/>
                <w:sz w:val="24"/>
                <w:highlight w:val="none"/>
              </w:rPr>
            </w:pPr>
          </w:p>
        </w:tc>
      </w:tr>
      <w:tr w14:paraId="6AC2C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6FF41CB2">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2C47DA07">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11056846">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2C62925">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8A43BF2">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91F8654">
            <w:pPr>
              <w:snapToGrid w:val="0"/>
              <w:spacing w:before="120" w:beforeLines="50" w:after="50" w:line="460" w:lineRule="exact"/>
              <w:rPr>
                <w:rFonts w:hint="eastAsia" w:ascii="宋体" w:hAnsi="宋体" w:eastAsia="宋体" w:cs="宋体"/>
                <w:color w:val="auto"/>
                <w:sz w:val="24"/>
                <w:highlight w:val="none"/>
              </w:rPr>
            </w:pPr>
          </w:p>
        </w:tc>
      </w:tr>
      <w:tr w14:paraId="6BF91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6E3D0CD1">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3A376F2A">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16AD98D2">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545DD3B">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17E4527">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D271C4B">
            <w:pPr>
              <w:snapToGrid w:val="0"/>
              <w:spacing w:before="120" w:beforeLines="50" w:after="50" w:line="460" w:lineRule="exact"/>
              <w:rPr>
                <w:rFonts w:hint="eastAsia" w:ascii="宋体" w:hAnsi="宋体" w:eastAsia="宋体" w:cs="宋体"/>
                <w:color w:val="auto"/>
                <w:sz w:val="24"/>
                <w:highlight w:val="none"/>
              </w:rPr>
            </w:pPr>
          </w:p>
        </w:tc>
      </w:tr>
      <w:tr w14:paraId="18E58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tcPr>
          <w:p w14:paraId="5EDC5410">
            <w:pPr>
              <w:snapToGrid w:val="0"/>
              <w:spacing w:before="120" w:beforeLines="50" w:after="50" w:line="460" w:lineRule="exact"/>
              <w:rPr>
                <w:rFonts w:hint="eastAsia" w:ascii="宋体" w:hAnsi="宋体" w:eastAsia="宋体" w:cs="宋体"/>
                <w:color w:val="auto"/>
                <w:sz w:val="24"/>
                <w:highlight w:val="none"/>
              </w:rPr>
            </w:pPr>
          </w:p>
        </w:tc>
        <w:tc>
          <w:tcPr>
            <w:tcW w:w="1004" w:type="dxa"/>
            <w:tcBorders>
              <w:top w:val="single" w:color="auto" w:sz="4" w:space="0"/>
              <w:left w:val="single" w:color="auto" w:sz="4" w:space="0"/>
              <w:bottom w:val="single" w:color="auto" w:sz="4" w:space="0"/>
              <w:right w:val="single" w:color="auto" w:sz="4" w:space="0"/>
            </w:tcBorders>
          </w:tcPr>
          <w:p w14:paraId="11826997">
            <w:pPr>
              <w:snapToGrid w:val="0"/>
              <w:spacing w:before="120" w:beforeLines="50" w:after="50" w:line="460" w:lineRule="exact"/>
              <w:rPr>
                <w:rFonts w:hint="eastAsia" w:ascii="宋体" w:hAnsi="宋体" w:eastAsia="宋体" w:cs="宋体"/>
                <w:color w:val="auto"/>
                <w:sz w:val="24"/>
                <w:highlight w:val="none"/>
              </w:rPr>
            </w:pPr>
          </w:p>
        </w:tc>
        <w:tc>
          <w:tcPr>
            <w:tcW w:w="1663" w:type="dxa"/>
            <w:tcBorders>
              <w:top w:val="single" w:color="auto" w:sz="4" w:space="0"/>
              <w:left w:val="single" w:color="auto" w:sz="4" w:space="0"/>
              <w:bottom w:val="single" w:color="auto" w:sz="4" w:space="0"/>
              <w:right w:val="single" w:color="auto" w:sz="4" w:space="0"/>
            </w:tcBorders>
          </w:tcPr>
          <w:p w14:paraId="2F05744C">
            <w:pPr>
              <w:snapToGrid w:val="0"/>
              <w:spacing w:before="120" w:beforeLines="50" w:after="50" w:line="460" w:lineRule="exact"/>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DF26183">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8B408AA">
            <w:pPr>
              <w:snapToGrid w:val="0"/>
              <w:spacing w:before="120" w:beforeLines="50" w:after="50" w:line="460" w:lineRule="exact"/>
              <w:rPr>
                <w:rFonts w:hint="eastAsia" w:ascii="宋体" w:hAnsi="宋体" w:eastAsia="宋体" w:cs="宋体"/>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54798271">
            <w:pPr>
              <w:snapToGrid w:val="0"/>
              <w:spacing w:before="120" w:beforeLines="50" w:after="50" w:line="460" w:lineRule="exact"/>
              <w:rPr>
                <w:rFonts w:hint="eastAsia" w:ascii="宋体" w:hAnsi="宋体" w:eastAsia="宋体" w:cs="宋体"/>
                <w:color w:val="auto"/>
                <w:sz w:val="24"/>
                <w:highlight w:val="none"/>
              </w:rPr>
            </w:pPr>
          </w:p>
        </w:tc>
      </w:tr>
    </w:tbl>
    <w:p w14:paraId="20EDE402">
      <w:pPr>
        <w:snapToGrid w:val="0"/>
        <w:spacing w:line="360" w:lineRule="auto"/>
        <w:jc w:val="left"/>
        <w:rPr>
          <w:rFonts w:hint="eastAsia" w:ascii="宋体" w:hAnsi="宋体" w:eastAsia="宋体" w:cs="宋体"/>
          <w:color w:val="auto"/>
          <w:sz w:val="24"/>
          <w:highlight w:val="none"/>
        </w:rPr>
      </w:pPr>
    </w:p>
    <w:p w14:paraId="4F734F7F">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注：在填写时，如本表格不适合投标单位的实际情况，可根据本表格式自行划表填写。 </w:t>
      </w:r>
    </w:p>
    <w:p w14:paraId="1C4950D9">
      <w:pPr>
        <w:snapToGrid w:val="0"/>
        <w:spacing w:before="50" w:after="120" w:afterLines="50" w:line="460" w:lineRule="exact"/>
        <w:jc w:val="left"/>
        <w:rPr>
          <w:rFonts w:hint="eastAsia" w:ascii="宋体" w:hAnsi="宋体" w:eastAsia="宋体" w:cs="宋体"/>
          <w:color w:val="auto"/>
          <w:sz w:val="24"/>
          <w:highlight w:val="none"/>
        </w:rPr>
      </w:pPr>
    </w:p>
    <w:p w14:paraId="75288D52">
      <w:pPr>
        <w:pStyle w:val="12"/>
        <w:rPr>
          <w:rFonts w:hint="eastAsia" w:ascii="宋体" w:hAnsi="宋体" w:eastAsia="宋体" w:cs="宋体"/>
          <w:color w:val="auto"/>
          <w:highlight w:val="none"/>
        </w:rPr>
      </w:pPr>
    </w:p>
    <w:p w14:paraId="011BBB27">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1EE9CF7B">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7B5C30DB">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3C1CDAEB">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color w:val="auto"/>
          <w:spacing w:val="20"/>
          <w:sz w:val="30"/>
          <w:szCs w:val="30"/>
          <w:highlight w:val="none"/>
        </w:rPr>
        <w:br w:type="page"/>
      </w:r>
      <w:r>
        <w:rPr>
          <w:rFonts w:hint="eastAsia" w:ascii="宋体" w:hAnsi="宋体" w:eastAsia="宋体" w:cs="宋体"/>
          <w:b/>
          <w:bCs/>
          <w:color w:val="auto"/>
          <w:sz w:val="36"/>
          <w:szCs w:val="36"/>
          <w:highlight w:val="none"/>
        </w:rPr>
        <w:t>报价文件</w:t>
      </w:r>
    </w:p>
    <w:p w14:paraId="1DE8A36A">
      <w:pPr>
        <w:spacing w:line="360" w:lineRule="auto"/>
        <w:jc w:val="center"/>
        <w:rPr>
          <w:rFonts w:hint="eastAsia" w:ascii="宋体" w:hAnsi="宋体" w:eastAsia="宋体" w:cs="宋体"/>
          <w:b/>
          <w:bCs/>
          <w:color w:val="auto"/>
          <w:sz w:val="36"/>
          <w:szCs w:val="36"/>
          <w:highlight w:val="none"/>
        </w:rPr>
      </w:pPr>
    </w:p>
    <w:p w14:paraId="491DC3E9">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A2928A4">
      <w:pPr>
        <w:pStyle w:val="12"/>
        <w:ind w:firstLine="723"/>
        <w:rPr>
          <w:rFonts w:hint="eastAsia" w:ascii="宋体" w:hAnsi="宋体" w:eastAsia="宋体" w:cs="宋体"/>
          <w:b/>
          <w:bCs/>
          <w:color w:val="auto"/>
          <w:sz w:val="36"/>
          <w:szCs w:val="36"/>
          <w:highlight w:val="none"/>
        </w:rPr>
      </w:pPr>
    </w:p>
    <w:p w14:paraId="18654BBD">
      <w:pPr>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磋商函（格式见附件）；</w:t>
      </w:r>
    </w:p>
    <w:p w14:paraId="7F699061">
      <w:pPr>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报价一览表（格式见附件）；</w:t>
      </w:r>
    </w:p>
    <w:p w14:paraId="472BE090">
      <w:pPr>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磋商报价明细表（格式见附件）。</w:t>
      </w:r>
    </w:p>
    <w:p w14:paraId="2B32C3D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5A9681">
      <w:pPr>
        <w:rPr>
          <w:rFonts w:hint="eastAsia" w:ascii="宋体" w:hAnsi="宋体" w:eastAsia="宋体" w:cs="宋体"/>
          <w:b/>
          <w:bCs/>
          <w:color w:val="auto"/>
          <w:highlight w:val="none"/>
          <w:lang w:val="zh-CN"/>
        </w:rPr>
      </w:pPr>
      <w:bookmarkStart w:id="171" w:name="_Toc3094"/>
      <w:bookmarkStart w:id="172" w:name="_Toc12011"/>
      <w:r>
        <w:rPr>
          <w:rFonts w:hint="eastAsia" w:ascii="宋体" w:hAnsi="宋体" w:eastAsia="宋体" w:cs="宋体"/>
          <w:b/>
          <w:bCs/>
          <w:color w:val="auto"/>
          <w:sz w:val="24"/>
          <w:szCs w:val="32"/>
          <w:highlight w:val="none"/>
          <w:lang w:val="zh-CN"/>
        </w:rPr>
        <w:t>附件</w:t>
      </w:r>
      <w:bookmarkStart w:id="173" w:name="_Toc130094924"/>
      <w:bookmarkStart w:id="174" w:name="_Toc98731770"/>
      <w:r>
        <w:rPr>
          <w:rFonts w:hint="eastAsia" w:ascii="宋体" w:hAnsi="宋体" w:eastAsia="宋体" w:cs="宋体"/>
          <w:b/>
          <w:bCs/>
          <w:color w:val="auto"/>
          <w:sz w:val="24"/>
          <w:szCs w:val="32"/>
          <w:highlight w:val="none"/>
          <w:lang w:val="en-US" w:eastAsia="zh-CN"/>
        </w:rPr>
        <w:t>十三</w:t>
      </w:r>
      <w:r>
        <w:rPr>
          <w:rFonts w:hint="eastAsia" w:ascii="宋体" w:hAnsi="宋体" w:eastAsia="宋体" w:cs="宋体"/>
          <w:b/>
          <w:bCs/>
          <w:color w:val="auto"/>
          <w:sz w:val="24"/>
          <w:szCs w:val="32"/>
          <w:highlight w:val="none"/>
        </w:rPr>
        <w:t>：</w:t>
      </w:r>
    </w:p>
    <w:p w14:paraId="7B2073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磋 商 函</w:t>
      </w:r>
      <w:bookmarkEnd w:id="171"/>
      <w:bookmarkEnd w:id="173"/>
      <w:bookmarkEnd w:id="174"/>
    </w:p>
    <w:p w14:paraId="7ED9BEDA">
      <w:pPr>
        <w:spacing w:line="360" w:lineRule="auto"/>
        <w:ind w:firstLine="480" w:firstLineChars="200"/>
        <w:rPr>
          <w:rFonts w:hint="eastAsia" w:ascii="宋体" w:hAnsi="宋体" w:eastAsia="宋体" w:cs="宋体"/>
          <w:color w:val="auto"/>
          <w:sz w:val="24"/>
          <w:highlight w:val="none"/>
          <w:u w:val="single"/>
        </w:rPr>
      </w:pPr>
    </w:p>
    <w:p w14:paraId="1B3974B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绍兴市上虞区曹娥街道社区卫生服务中心</w:t>
      </w:r>
      <w:r>
        <w:rPr>
          <w:rFonts w:hint="eastAsia" w:ascii="宋体" w:hAnsi="宋体" w:eastAsia="宋体" w:cs="宋体"/>
          <w:color w:val="auto"/>
          <w:sz w:val="24"/>
          <w:highlight w:val="none"/>
        </w:rPr>
        <w:t>：</w:t>
      </w:r>
    </w:p>
    <w:p w14:paraId="67727B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绍兴市上虞区公共资源交易中心</w:t>
      </w:r>
      <w:r>
        <w:rPr>
          <w:rFonts w:hint="eastAsia" w:ascii="宋体" w:hAnsi="宋体" w:eastAsia="宋体" w:cs="宋体"/>
          <w:color w:val="auto"/>
          <w:sz w:val="24"/>
          <w:highlight w:val="none"/>
        </w:rPr>
        <w:t>：</w:t>
      </w:r>
    </w:p>
    <w:p w14:paraId="36874D41">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我单位认真研究了关于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磋商文件，包括修改文件（如有的话）以及全部参考资料和有关附件。我们完全理解并接受磋商文件的各项规定和要求，对磋商文件的合理性、合法性不再有异议。如磋商文件前后有矛盾的，我方完全同意按贵方的理解处理。我单位承诺：</w:t>
      </w:r>
    </w:p>
    <w:p w14:paraId="4CE7D44C">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495300</wp:posOffset>
                </wp:positionV>
                <wp:extent cx="635" cy="0"/>
                <wp:effectExtent l="0" t="4445" r="0" b="5080"/>
                <wp:wrapNone/>
                <wp:docPr id="3"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9pt;margin-top:39pt;height:0pt;width:0.05pt;z-index:251660288;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k9JBrS&#10;AAAABwEAAA8AAAAAAAAAAQAgAAAAIgAAAGRycy9kb3ducmV2LnhtbFBLAQIUABQAAAAIAIdO4kAf&#10;UTwO7QEAAOIDAAAOAAAAAAAAAAEAIAAAACEBAABkcnMvZTJvRG9jLnhtbFBLBQYAAAAABgAGAFkB&#10;AACABQAAAAA=&#10;">
                <v:fill on="f" focussize="0,0"/>
                <v:stroke color="#000000" joinstyle="round"/>
                <v:imagedata o:title=""/>
                <o:lock v:ext="edit" aspectratio="f"/>
              </v:line>
            </w:pict>
          </mc:Fallback>
        </mc:AlternateConten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一旦我单位中标，我单位愿意承接报价一览表中所列的技术服务，服务期为：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3CC0E22">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.我方同意在</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须知规定的开标日期起遵守本</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文件中的承诺且在有效期满之前均具有约束力。</w:t>
      </w:r>
    </w:p>
    <w:p w14:paraId="3F02067C">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.我方承诺已经具备《中华人民共和国政府采购法》中规定的参加政府采购活动的供应商应当具备的条件。</w:t>
      </w:r>
    </w:p>
    <w:p w14:paraId="1C82125D">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.本公司</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文件中填列的配置、服务、数量等相关内容都是真实、准确的。保证在本次项目中所提供的资料全部真实和合法。同意向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提供可能另外要求的与投标有关的任何数据或资料。</w:t>
      </w:r>
    </w:p>
    <w:p w14:paraId="0484FA1A">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.我方理解贵方将不受你们所收到的最低报价的约束。</w:t>
      </w:r>
    </w:p>
    <w:p w14:paraId="03CB9E5D">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.本投标自开标之日（投标截止之日）起90天内有效。</w:t>
      </w:r>
    </w:p>
    <w:p w14:paraId="7411B074">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B295B92">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a)提供虚假材料谋取中标、成交的；</w:t>
      </w:r>
    </w:p>
    <w:p w14:paraId="68898B6B">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b)采取不正当手段诋毁、排挤其他供应商的；</w:t>
      </w:r>
    </w:p>
    <w:p w14:paraId="6F7FE89F">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c)与采购人、其它供应商或者采购代理机构恶意串通的；</w:t>
      </w:r>
    </w:p>
    <w:p w14:paraId="6C8675FD">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d)向采购人、采购代理机构行贿或者提供其他不正当利益的；</w:t>
      </w:r>
    </w:p>
    <w:p w14:paraId="738A5B46">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e)在招标采购过程中与采购人进行协商谈判的；</w:t>
      </w:r>
    </w:p>
    <w:p w14:paraId="1B22E1EC">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f)拒绝有关部门监督检查或提供虚假情况的。</w:t>
      </w:r>
    </w:p>
    <w:p w14:paraId="18D36ED5">
      <w:pPr>
        <w:spacing w:line="360" w:lineRule="auto"/>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供应商有前款第a)至e)项情形之一的，中标、成交无效。</w:t>
      </w:r>
    </w:p>
    <w:p w14:paraId="7CA55586">
      <w:pPr>
        <w:pStyle w:val="14"/>
        <w:snapToGrid w:val="0"/>
        <w:spacing w:line="360" w:lineRule="auto"/>
        <w:ind w:left="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0A0610F">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地址：</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邮编：</w:t>
      </w:r>
      <w:r>
        <w:rPr>
          <w:rFonts w:hint="eastAsia" w:ascii="宋体" w:hAnsi="宋体" w:eastAsia="宋体" w:cs="宋体"/>
          <w:bCs/>
          <w:color w:val="auto"/>
          <w:sz w:val="24"/>
          <w:szCs w:val="21"/>
          <w:highlight w:val="none"/>
          <w:u w:val="single"/>
        </w:rPr>
        <w:t xml:space="preserve">                 </w:t>
      </w:r>
    </w:p>
    <w:p w14:paraId="6B417850">
      <w:pPr>
        <w:spacing w:line="360" w:lineRule="auto"/>
        <w:ind w:firstLine="480" w:firstLineChars="200"/>
        <w:rPr>
          <w:rFonts w:hint="eastAsia" w:ascii="宋体" w:hAnsi="宋体" w:eastAsia="宋体" w:cs="宋体"/>
          <w:bCs/>
          <w:color w:val="auto"/>
          <w:sz w:val="24"/>
          <w:szCs w:val="21"/>
          <w:highlight w:val="none"/>
          <w:u w:val="single"/>
        </w:rPr>
      </w:pPr>
      <w:r>
        <w:rPr>
          <w:rFonts w:hint="eastAsia" w:ascii="宋体" w:hAnsi="宋体" w:eastAsia="宋体" w:cs="宋体"/>
          <w:bCs/>
          <w:color w:val="auto"/>
          <w:sz w:val="24"/>
          <w:szCs w:val="21"/>
          <w:highlight w:val="none"/>
        </w:rPr>
        <w:t>电话：</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传真：</w:t>
      </w:r>
      <w:r>
        <w:rPr>
          <w:rFonts w:hint="eastAsia" w:ascii="宋体" w:hAnsi="宋体" w:eastAsia="宋体" w:cs="宋体"/>
          <w:bCs/>
          <w:color w:val="auto"/>
          <w:sz w:val="24"/>
          <w:szCs w:val="21"/>
          <w:highlight w:val="none"/>
          <w:u w:val="single"/>
        </w:rPr>
        <w:t xml:space="preserve">                 </w:t>
      </w:r>
    </w:p>
    <w:p w14:paraId="2C0C4915">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供应商代表姓名：</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职务：</w:t>
      </w:r>
      <w:r>
        <w:rPr>
          <w:rFonts w:hint="eastAsia" w:ascii="宋体" w:hAnsi="宋体" w:eastAsia="宋体" w:cs="宋体"/>
          <w:bCs/>
          <w:color w:val="auto"/>
          <w:sz w:val="24"/>
          <w:szCs w:val="21"/>
          <w:highlight w:val="none"/>
          <w:u w:val="single"/>
        </w:rPr>
        <w:t xml:space="preserve">                 </w:t>
      </w:r>
    </w:p>
    <w:p w14:paraId="03E31DB4">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供应商名称</w:t>
      </w:r>
      <w:r>
        <w:rPr>
          <w:rFonts w:hint="eastAsia" w:ascii="宋体" w:hAnsi="宋体" w:eastAsia="宋体" w:cs="宋体"/>
          <w:bCs/>
          <w:color w:val="auto"/>
          <w:sz w:val="24"/>
          <w:szCs w:val="21"/>
          <w:highlight w:val="none"/>
          <w:u w:val="single"/>
        </w:rPr>
        <w:t>：                   　　　</w:t>
      </w:r>
    </w:p>
    <w:p w14:paraId="1F01769E">
      <w:pPr>
        <w:spacing w:line="360" w:lineRule="auto"/>
        <w:ind w:firstLine="480" w:firstLineChars="200"/>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（公章）：                   </w:t>
      </w:r>
    </w:p>
    <w:p w14:paraId="06D999E5">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5ADBE102">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ACBD4A3">
      <w:pPr>
        <w:rPr>
          <w:rFonts w:hint="eastAsia" w:ascii="宋体" w:hAnsi="宋体" w:eastAsia="宋体" w:cs="宋体"/>
          <w:b/>
          <w:bCs/>
          <w:color w:val="auto"/>
          <w:sz w:val="24"/>
          <w:szCs w:val="24"/>
          <w:highlight w:val="none"/>
          <w:lang w:val="zh-CN"/>
        </w:rPr>
      </w:pPr>
    </w:p>
    <w:p w14:paraId="4F9996CD">
      <w:pPr>
        <w:rPr>
          <w:rFonts w:hint="eastAsia" w:ascii="宋体" w:hAnsi="宋体" w:eastAsia="宋体" w:cs="宋体"/>
          <w:b/>
          <w:bCs/>
          <w:color w:val="auto"/>
          <w:sz w:val="24"/>
          <w:szCs w:val="24"/>
          <w:highlight w:val="none"/>
          <w:lang w:val="zh-CN"/>
        </w:rPr>
      </w:pPr>
    </w:p>
    <w:p w14:paraId="71A9889D">
      <w:pPr>
        <w:rPr>
          <w:rFonts w:hint="eastAsia" w:ascii="宋体" w:hAnsi="宋体" w:eastAsia="宋体" w:cs="宋体"/>
          <w:b/>
          <w:bCs/>
          <w:color w:val="auto"/>
          <w:sz w:val="24"/>
          <w:szCs w:val="24"/>
          <w:highlight w:val="none"/>
          <w:lang w:val="zh-CN"/>
        </w:rPr>
      </w:pPr>
    </w:p>
    <w:bookmarkEnd w:id="172"/>
    <w:p w14:paraId="26DAE9EB">
      <w:pPr>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br w:type="page"/>
      </w:r>
    </w:p>
    <w:p w14:paraId="3627A6DB">
      <w:pPr>
        <w:rPr>
          <w:rFonts w:hint="eastAsia" w:ascii="宋体" w:hAnsi="宋体" w:eastAsia="宋体" w:cs="宋体"/>
          <w:b/>
          <w:bCs/>
          <w:color w:val="auto"/>
          <w:sz w:val="24"/>
          <w:szCs w:val="32"/>
          <w:highlight w:val="none"/>
          <w:lang w:val="zh-CN"/>
        </w:rPr>
      </w:pPr>
      <w:r>
        <w:rPr>
          <w:rFonts w:hint="eastAsia" w:ascii="宋体" w:hAnsi="宋体" w:eastAsia="宋体" w:cs="宋体"/>
          <w:b/>
          <w:bCs/>
          <w:color w:val="auto"/>
          <w:sz w:val="24"/>
          <w:szCs w:val="32"/>
          <w:highlight w:val="none"/>
          <w:lang w:val="zh-CN"/>
        </w:rPr>
        <w:t>附件</w:t>
      </w:r>
      <w:bookmarkStart w:id="175" w:name="_Toc130094925"/>
      <w:bookmarkStart w:id="176" w:name="_Toc98731771"/>
      <w:r>
        <w:rPr>
          <w:rFonts w:hint="eastAsia" w:ascii="宋体" w:hAnsi="宋体" w:eastAsia="宋体" w:cs="宋体"/>
          <w:b/>
          <w:bCs/>
          <w:color w:val="auto"/>
          <w:sz w:val="24"/>
          <w:szCs w:val="32"/>
          <w:highlight w:val="none"/>
        </w:rPr>
        <w:t>十</w:t>
      </w:r>
      <w:r>
        <w:rPr>
          <w:rFonts w:hint="eastAsia" w:ascii="宋体" w:hAnsi="宋体" w:eastAsia="宋体" w:cs="宋体"/>
          <w:b/>
          <w:bCs/>
          <w:color w:val="auto"/>
          <w:sz w:val="24"/>
          <w:szCs w:val="32"/>
          <w:highlight w:val="none"/>
          <w:lang w:val="en-US" w:eastAsia="zh-CN"/>
        </w:rPr>
        <w:t>四</w:t>
      </w:r>
      <w:r>
        <w:rPr>
          <w:rFonts w:hint="eastAsia" w:ascii="宋体" w:hAnsi="宋体" w:eastAsia="宋体" w:cs="宋体"/>
          <w:b/>
          <w:bCs/>
          <w:color w:val="auto"/>
          <w:sz w:val="24"/>
          <w:szCs w:val="32"/>
          <w:highlight w:val="none"/>
        </w:rPr>
        <w:t>：</w:t>
      </w:r>
    </w:p>
    <w:p w14:paraId="544AA2C5">
      <w:pPr>
        <w:spacing w:line="360" w:lineRule="auto"/>
        <w:jc w:val="center"/>
        <w:rPr>
          <w:rFonts w:hint="eastAsia" w:ascii="宋体" w:hAnsi="宋体" w:eastAsia="宋体" w:cs="宋体"/>
          <w:b/>
          <w:bCs/>
          <w:color w:val="auto"/>
          <w:sz w:val="32"/>
          <w:szCs w:val="32"/>
          <w:highlight w:val="none"/>
        </w:rPr>
      </w:pPr>
      <w:bookmarkStart w:id="177" w:name="_Toc3109"/>
      <w:bookmarkStart w:id="178" w:name="_Toc24380"/>
      <w:r>
        <w:rPr>
          <w:rFonts w:hint="eastAsia" w:ascii="宋体" w:hAnsi="宋体" w:eastAsia="宋体" w:cs="宋体"/>
          <w:b/>
          <w:bCs/>
          <w:color w:val="auto"/>
          <w:sz w:val="32"/>
          <w:szCs w:val="32"/>
          <w:highlight w:val="none"/>
        </w:rPr>
        <w:t>报价一览表</w:t>
      </w:r>
      <w:bookmarkEnd w:id="175"/>
      <w:bookmarkEnd w:id="176"/>
      <w:bookmarkEnd w:id="177"/>
      <w:bookmarkEnd w:id="178"/>
    </w:p>
    <w:p w14:paraId="7CCF40DD">
      <w:pPr>
        <w:pStyle w:val="14"/>
        <w:spacing w:line="360" w:lineRule="auto"/>
        <w:rPr>
          <w:rFonts w:hint="eastAsia" w:ascii="宋体" w:hAnsi="宋体" w:eastAsia="宋体" w:cs="宋体"/>
          <w:color w:val="auto"/>
          <w:sz w:val="24"/>
          <w:highlight w:val="none"/>
        </w:rPr>
      </w:pPr>
    </w:p>
    <w:p w14:paraId="571C1F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5B20D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采购编号：               </w:t>
      </w:r>
    </w:p>
    <w:tbl>
      <w:tblPr>
        <w:tblStyle w:val="2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707"/>
      </w:tblGrid>
      <w:tr w14:paraId="04A7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2089" w:type="dxa"/>
            <w:vAlign w:val="center"/>
          </w:tcPr>
          <w:p w14:paraId="490C44A0">
            <w:pPr>
              <w:pStyle w:val="14"/>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投标总价</w:t>
            </w:r>
          </w:p>
        </w:tc>
        <w:tc>
          <w:tcPr>
            <w:tcW w:w="6707" w:type="dxa"/>
            <w:vAlign w:val="center"/>
          </w:tcPr>
          <w:p w14:paraId="0303532C">
            <w:pPr>
              <w:pStyle w:val="14"/>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元（小写：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w:t>
            </w:r>
          </w:p>
        </w:tc>
      </w:tr>
      <w:tr w14:paraId="0C10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8" w:hRule="atLeast"/>
          <w:jc w:val="center"/>
        </w:trPr>
        <w:tc>
          <w:tcPr>
            <w:tcW w:w="8796" w:type="dxa"/>
            <w:gridSpan w:val="2"/>
            <w:vAlign w:val="center"/>
          </w:tcPr>
          <w:p w14:paraId="7E40212E">
            <w:pPr>
              <w:pStyle w:val="72"/>
              <w:numPr>
                <w:ilvl w:val="0"/>
                <w:numId w:val="0"/>
              </w:numPr>
              <w:tabs>
                <w:tab w:val="left" w:pos="0"/>
              </w:tabs>
              <w:spacing w:before="0" w:after="0"/>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b w:val="0"/>
                <w:bCs w:val="0"/>
                <w:color w:val="auto"/>
                <w:szCs w:val="24"/>
                <w:highlight w:val="none"/>
              </w:rPr>
              <w:t>本次报价应包含项目所需全部服务，不得缺漏，是履行合同的最终价格</w:t>
            </w:r>
            <w:r>
              <w:rPr>
                <w:rFonts w:hint="eastAsia" w:ascii="宋体" w:hAnsi="宋体" w:eastAsia="宋体" w:cs="宋体"/>
                <w:b w:val="0"/>
                <w:bCs w:val="0"/>
                <w:color w:val="auto"/>
                <w:highlight w:val="none"/>
              </w:rPr>
              <w:t>包括但不限于人员费用、按规定缴纳的各类保险，交通费，加班费，福利费，管理费用、税费、办公用品、服装费、劳保用品、维修工具、安保器材、保洁用具等。</w:t>
            </w:r>
            <w:r>
              <w:rPr>
                <w:rFonts w:hint="eastAsia" w:ascii="宋体" w:hAnsi="宋体" w:eastAsia="宋体" w:cs="宋体"/>
                <w:b w:val="0"/>
                <w:bCs w:val="0"/>
                <w:color w:val="auto"/>
                <w:highlight w:val="none"/>
                <w:lang w:val="en-US" w:eastAsia="zh-CN"/>
              </w:rPr>
              <w:t>凡供应商在报价中未列明但又为本次采购所必备的项目或遗漏项目，采购方将一律视为已包括在合同价中，在合同执行中将不予考虑。</w:t>
            </w:r>
          </w:p>
        </w:tc>
      </w:tr>
    </w:tbl>
    <w:p w14:paraId="0EA3363D">
      <w:pPr>
        <w:pStyle w:val="14"/>
        <w:spacing w:line="360" w:lineRule="auto"/>
        <w:rPr>
          <w:rFonts w:hint="eastAsia" w:ascii="宋体" w:hAnsi="宋体" w:eastAsia="宋体" w:cs="宋体"/>
          <w:color w:val="auto"/>
          <w:sz w:val="24"/>
          <w:highlight w:val="none"/>
        </w:rPr>
      </w:pPr>
    </w:p>
    <w:p w14:paraId="18D7772D">
      <w:pPr>
        <w:pStyle w:val="14"/>
        <w:spacing w:line="360" w:lineRule="auto"/>
        <w:rPr>
          <w:rFonts w:hint="eastAsia" w:ascii="宋体" w:hAnsi="宋体" w:eastAsia="宋体" w:cs="宋体"/>
          <w:color w:val="auto"/>
          <w:sz w:val="24"/>
          <w:highlight w:val="none"/>
        </w:rPr>
      </w:pPr>
    </w:p>
    <w:p w14:paraId="607F8B80">
      <w:pPr>
        <w:pStyle w:val="14"/>
        <w:spacing w:line="360" w:lineRule="auto"/>
        <w:rPr>
          <w:rFonts w:hint="eastAsia" w:ascii="宋体" w:hAnsi="宋体" w:eastAsia="宋体" w:cs="宋体"/>
          <w:color w:val="auto"/>
          <w:sz w:val="24"/>
          <w:highlight w:val="none"/>
        </w:rPr>
      </w:pPr>
    </w:p>
    <w:p w14:paraId="0C9CCECF">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7727CE17">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5D2FAB3B">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p>
    <w:p w14:paraId="14551AA6">
      <w:pPr>
        <w:snapToGrid w:val="0"/>
        <w:spacing w:line="360" w:lineRule="auto"/>
        <w:ind w:firstLine="435"/>
        <w:rPr>
          <w:rFonts w:hint="eastAsia" w:ascii="宋体" w:hAnsi="宋体" w:eastAsia="宋体" w:cs="宋体"/>
          <w:color w:val="auto"/>
          <w:highlight w:val="none"/>
        </w:rPr>
      </w:pPr>
    </w:p>
    <w:p w14:paraId="2E4F47E6">
      <w:pPr>
        <w:snapToGrid w:val="0"/>
        <w:spacing w:line="360" w:lineRule="auto"/>
        <w:ind w:firstLine="435"/>
        <w:rPr>
          <w:rFonts w:hint="eastAsia" w:ascii="宋体" w:hAnsi="宋体" w:eastAsia="宋体" w:cs="宋体"/>
          <w:color w:val="auto"/>
          <w:highlight w:val="none"/>
        </w:rPr>
      </w:pPr>
    </w:p>
    <w:p w14:paraId="2C2A527C">
      <w:pPr>
        <w:snapToGrid w:val="0"/>
        <w:spacing w:line="360" w:lineRule="auto"/>
        <w:ind w:firstLine="435"/>
        <w:rPr>
          <w:rFonts w:hint="eastAsia" w:ascii="宋体" w:hAnsi="宋体" w:eastAsia="宋体" w:cs="宋体"/>
          <w:color w:val="auto"/>
          <w:highlight w:val="none"/>
        </w:rPr>
      </w:pPr>
    </w:p>
    <w:p w14:paraId="1F85D2AB">
      <w:pPr>
        <w:snapToGrid w:val="0"/>
        <w:spacing w:line="360" w:lineRule="auto"/>
        <w:ind w:firstLine="435"/>
        <w:rPr>
          <w:rFonts w:hint="eastAsia" w:ascii="宋体" w:hAnsi="宋体" w:eastAsia="宋体" w:cs="宋体"/>
          <w:color w:val="auto"/>
          <w:highlight w:val="none"/>
        </w:rPr>
      </w:pPr>
    </w:p>
    <w:p w14:paraId="3EE85DFE">
      <w:pPr>
        <w:snapToGrid w:val="0"/>
        <w:spacing w:line="360" w:lineRule="auto"/>
        <w:ind w:firstLine="435"/>
        <w:rPr>
          <w:rFonts w:hint="eastAsia" w:ascii="宋体" w:hAnsi="宋体" w:eastAsia="宋体" w:cs="宋体"/>
          <w:color w:val="auto"/>
          <w:highlight w:val="none"/>
        </w:rPr>
      </w:pPr>
    </w:p>
    <w:p w14:paraId="4276EB25">
      <w:pPr>
        <w:spacing w:line="360" w:lineRule="auto"/>
        <w:jc w:val="left"/>
        <w:rPr>
          <w:rFonts w:hint="eastAsia" w:ascii="宋体" w:hAnsi="宋体" w:eastAsia="宋体" w:cs="宋体"/>
          <w:b/>
          <w:bCs/>
          <w:color w:val="auto"/>
          <w:sz w:val="24"/>
          <w:highlight w:val="none"/>
          <w:lang w:val="zh-CN"/>
        </w:rPr>
      </w:pPr>
      <w:r>
        <w:rPr>
          <w:rFonts w:hint="eastAsia" w:ascii="宋体" w:hAnsi="宋体" w:eastAsia="宋体" w:cs="宋体"/>
          <w:color w:val="auto"/>
          <w:highlight w:val="none"/>
        </w:rPr>
        <w:br w:type="page"/>
      </w:r>
      <w:bookmarkStart w:id="179" w:name="_Toc7196"/>
      <w:r>
        <w:rPr>
          <w:rFonts w:hint="eastAsia" w:ascii="宋体" w:hAnsi="宋体" w:eastAsia="宋体" w:cs="宋体"/>
          <w:b/>
          <w:bCs/>
          <w:color w:val="auto"/>
          <w:sz w:val="24"/>
          <w:highlight w:val="none"/>
          <w:lang w:val="zh-CN"/>
        </w:rPr>
        <w:t>附件十</w:t>
      </w: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lang w:val="zh-CN"/>
        </w:rPr>
        <w:t>：</w:t>
      </w:r>
    </w:p>
    <w:p w14:paraId="673AE956">
      <w:pPr>
        <w:spacing w:line="360" w:lineRule="auto"/>
        <w:jc w:val="center"/>
        <w:rPr>
          <w:rFonts w:hint="eastAsia" w:ascii="宋体" w:hAnsi="宋体" w:eastAsia="宋体" w:cs="宋体"/>
          <w:b/>
          <w:bCs/>
          <w:color w:val="auto"/>
          <w:sz w:val="32"/>
          <w:szCs w:val="32"/>
          <w:highlight w:val="none"/>
        </w:rPr>
      </w:pPr>
      <w:bookmarkStart w:id="180" w:name="_Toc15340"/>
      <w:bookmarkStart w:id="181" w:name="_Toc10713"/>
      <w:r>
        <w:rPr>
          <w:rFonts w:hint="eastAsia" w:ascii="宋体" w:hAnsi="宋体" w:eastAsia="宋体" w:cs="宋体"/>
          <w:b/>
          <w:bCs/>
          <w:color w:val="auto"/>
          <w:sz w:val="32"/>
          <w:szCs w:val="32"/>
          <w:highlight w:val="none"/>
        </w:rPr>
        <w:t>磋商报价明细表</w:t>
      </w:r>
      <w:bookmarkEnd w:id="180"/>
      <w:bookmarkEnd w:id="181"/>
    </w:p>
    <w:p w14:paraId="5542C6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39F92C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采购编号：               </w:t>
      </w:r>
    </w:p>
    <w:tbl>
      <w:tblPr>
        <w:tblStyle w:val="28"/>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2284"/>
        <w:gridCol w:w="1490"/>
        <w:gridCol w:w="720"/>
        <w:gridCol w:w="648"/>
        <w:gridCol w:w="1147"/>
        <w:gridCol w:w="1123"/>
      </w:tblGrid>
      <w:tr w14:paraId="70B3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restart"/>
            <w:vAlign w:val="center"/>
          </w:tcPr>
          <w:p w14:paraId="4BDDC204">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w:t>
            </w:r>
          </w:p>
          <w:p w14:paraId="0B2344EB">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号</w:t>
            </w:r>
          </w:p>
        </w:tc>
        <w:tc>
          <w:tcPr>
            <w:tcW w:w="1080" w:type="dxa"/>
            <w:vMerge w:val="restart"/>
            <w:vAlign w:val="center"/>
          </w:tcPr>
          <w:p w14:paraId="5A82A0F0">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284" w:type="dxa"/>
            <w:vMerge w:val="restart"/>
            <w:vAlign w:val="center"/>
          </w:tcPr>
          <w:p w14:paraId="2A808A50">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1490" w:type="dxa"/>
            <w:vMerge w:val="restart"/>
            <w:vAlign w:val="center"/>
          </w:tcPr>
          <w:p w14:paraId="6264FFCC">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20" w:type="dxa"/>
            <w:vMerge w:val="restart"/>
            <w:vAlign w:val="center"/>
          </w:tcPr>
          <w:p w14:paraId="66DBFE9A">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14:paraId="06261D19">
            <w:pPr>
              <w:pStyle w:val="14"/>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位</w:t>
            </w:r>
          </w:p>
        </w:tc>
        <w:tc>
          <w:tcPr>
            <w:tcW w:w="648" w:type="dxa"/>
            <w:vMerge w:val="restart"/>
            <w:vAlign w:val="center"/>
          </w:tcPr>
          <w:p w14:paraId="6783105E">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270" w:type="dxa"/>
            <w:gridSpan w:val="2"/>
            <w:vAlign w:val="center"/>
          </w:tcPr>
          <w:p w14:paraId="035B0EE3">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投标报价（元）</w:t>
            </w:r>
          </w:p>
        </w:tc>
      </w:tr>
      <w:tr w14:paraId="18A4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40" w:type="dxa"/>
            <w:vMerge w:val="continue"/>
            <w:vAlign w:val="center"/>
          </w:tcPr>
          <w:p w14:paraId="57564A8C">
            <w:pPr>
              <w:pStyle w:val="14"/>
              <w:spacing w:line="360" w:lineRule="auto"/>
              <w:jc w:val="center"/>
              <w:rPr>
                <w:rFonts w:hint="eastAsia" w:ascii="宋体" w:hAnsi="宋体" w:eastAsia="宋体" w:cs="宋体"/>
                <w:color w:val="auto"/>
                <w:sz w:val="24"/>
                <w:highlight w:val="none"/>
              </w:rPr>
            </w:pPr>
          </w:p>
        </w:tc>
        <w:tc>
          <w:tcPr>
            <w:tcW w:w="1080" w:type="dxa"/>
            <w:vMerge w:val="continue"/>
            <w:vAlign w:val="center"/>
          </w:tcPr>
          <w:p w14:paraId="0E89318E">
            <w:pPr>
              <w:pStyle w:val="14"/>
              <w:spacing w:line="360" w:lineRule="auto"/>
              <w:jc w:val="center"/>
              <w:rPr>
                <w:rFonts w:hint="eastAsia" w:ascii="宋体" w:hAnsi="宋体" w:eastAsia="宋体" w:cs="宋体"/>
                <w:color w:val="auto"/>
                <w:sz w:val="24"/>
                <w:highlight w:val="none"/>
              </w:rPr>
            </w:pPr>
          </w:p>
        </w:tc>
        <w:tc>
          <w:tcPr>
            <w:tcW w:w="2284" w:type="dxa"/>
            <w:vMerge w:val="continue"/>
            <w:vAlign w:val="center"/>
          </w:tcPr>
          <w:p w14:paraId="543D2269">
            <w:pPr>
              <w:pStyle w:val="14"/>
              <w:spacing w:line="360" w:lineRule="auto"/>
              <w:jc w:val="center"/>
              <w:rPr>
                <w:rFonts w:hint="eastAsia" w:ascii="宋体" w:hAnsi="宋体" w:eastAsia="宋体" w:cs="宋体"/>
                <w:color w:val="auto"/>
                <w:sz w:val="24"/>
                <w:highlight w:val="none"/>
              </w:rPr>
            </w:pPr>
          </w:p>
        </w:tc>
        <w:tc>
          <w:tcPr>
            <w:tcW w:w="1490" w:type="dxa"/>
            <w:vMerge w:val="continue"/>
            <w:vAlign w:val="center"/>
          </w:tcPr>
          <w:p w14:paraId="69FAEB1F">
            <w:pPr>
              <w:pStyle w:val="14"/>
              <w:spacing w:line="360" w:lineRule="auto"/>
              <w:jc w:val="center"/>
              <w:rPr>
                <w:rFonts w:hint="eastAsia" w:ascii="宋体" w:hAnsi="宋体" w:eastAsia="宋体" w:cs="宋体"/>
                <w:color w:val="auto"/>
                <w:sz w:val="24"/>
                <w:highlight w:val="none"/>
              </w:rPr>
            </w:pPr>
          </w:p>
        </w:tc>
        <w:tc>
          <w:tcPr>
            <w:tcW w:w="720" w:type="dxa"/>
            <w:vMerge w:val="continue"/>
            <w:vAlign w:val="center"/>
          </w:tcPr>
          <w:p w14:paraId="344297B4">
            <w:pPr>
              <w:pStyle w:val="14"/>
              <w:spacing w:line="360" w:lineRule="auto"/>
              <w:jc w:val="center"/>
              <w:rPr>
                <w:rFonts w:hint="eastAsia" w:ascii="宋体" w:hAnsi="宋体" w:eastAsia="宋体" w:cs="宋体"/>
                <w:color w:val="auto"/>
                <w:sz w:val="24"/>
                <w:highlight w:val="none"/>
              </w:rPr>
            </w:pPr>
          </w:p>
        </w:tc>
        <w:tc>
          <w:tcPr>
            <w:tcW w:w="648" w:type="dxa"/>
            <w:vMerge w:val="continue"/>
            <w:vAlign w:val="center"/>
          </w:tcPr>
          <w:p w14:paraId="66A04859">
            <w:pPr>
              <w:pStyle w:val="14"/>
              <w:spacing w:line="360" w:lineRule="auto"/>
              <w:jc w:val="center"/>
              <w:rPr>
                <w:rFonts w:hint="eastAsia" w:ascii="宋体" w:hAnsi="宋体" w:eastAsia="宋体" w:cs="宋体"/>
                <w:color w:val="auto"/>
                <w:sz w:val="24"/>
                <w:highlight w:val="none"/>
              </w:rPr>
            </w:pPr>
          </w:p>
        </w:tc>
        <w:tc>
          <w:tcPr>
            <w:tcW w:w="1147" w:type="dxa"/>
            <w:vAlign w:val="center"/>
          </w:tcPr>
          <w:p w14:paraId="2D28226C">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1123" w:type="dxa"/>
            <w:vAlign w:val="center"/>
          </w:tcPr>
          <w:p w14:paraId="62F4F79F">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小计</w:t>
            </w:r>
          </w:p>
        </w:tc>
      </w:tr>
      <w:tr w14:paraId="2EDD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5D714B23">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605A6F28">
            <w:pPr>
              <w:pStyle w:val="14"/>
              <w:spacing w:line="360" w:lineRule="auto"/>
              <w:rPr>
                <w:rFonts w:hint="eastAsia" w:ascii="宋体" w:hAnsi="宋体" w:eastAsia="宋体" w:cs="宋体"/>
                <w:b/>
                <w:color w:val="auto"/>
                <w:sz w:val="24"/>
                <w:highlight w:val="none"/>
              </w:rPr>
            </w:pPr>
          </w:p>
        </w:tc>
        <w:tc>
          <w:tcPr>
            <w:tcW w:w="2284" w:type="dxa"/>
            <w:vAlign w:val="center"/>
          </w:tcPr>
          <w:p w14:paraId="1AA9CCA4">
            <w:pPr>
              <w:pStyle w:val="14"/>
              <w:spacing w:line="360" w:lineRule="auto"/>
              <w:rPr>
                <w:rFonts w:hint="eastAsia" w:ascii="宋体" w:hAnsi="宋体" w:eastAsia="宋体" w:cs="宋体"/>
                <w:b/>
                <w:color w:val="auto"/>
                <w:sz w:val="24"/>
                <w:highlight w:val="none"/>
              </w:rPr>
            </w:pPr>
          </w:p>
        </w:tc>
        <w:tc>
          <w:tcPr>
            <w:tcW w:w="1490" w:type="dxa"/>
            <w:vAlign w:val="center"/>
          </w:tcPr>
          <w:p w14:paraId="0E0C0709">
            <w:pPr>
              <w:pStyle w:val="14"/>
              <w:spacing w:line="360" w:lineRule="auto"/>
              <w:rPr>
                <w:rFonts w:hint="eastAsia" w:ascii="宋体" w:hAnsi="宋体" w:eastAsia="宋体" w:cs="宋体"/>
                <w:b/>
                <w:color w:val="auto"/>
                <w:sz w:val="24"/>
                <w:highlight w:val="none"/>
              </w:rPr>
            </w:pPr>
          </w:p>
        </w:tc>
        <w:tc>
          <w:tcPr>
            <w:tcW w:w="720" w:type="dxa"/>
            <w:vAlign w:val="center"/>
          </w:tcPr>
          <w:p w14:paraId="4BC92313">
            <w:pPr>
              <w:pStyle w:val="14"/>
              <w:spacing w:line="360" w:lineRule="auto"/>
              <w:rPr>
                <w:rFonts w:hint="eastAsia" w:ascii="宋体" w:hAnsi="宋体" w:eastAsia="宋体" w:cs="宋体"/>
                <w:b/>
                <w:color w:val="auto"/>
                <w:sz w:val="24"/>
                <w:highlight w:val="none"/>
              </w:rPr>
            </w:pPr>
          </w:p>
        </w:tc>
        <w:tc>
          <w:tcPr>
            <w:tcW w:w="648" w:type="dxa"/>
            <w:vAlign w:val="center"/>
          </w:tcPr>
          <w:p w14:paraId="04A4ED5E">
            <w:pPr>
              <w:pStyle w:val="14"/>
              <w:spacing w:line="360" w:lineRule="auto"/>
              <w:rPr>
                <w:rFonts w:hint="eastAsia" w:ascii="宋体" w:hAnsi="宋体" w:eastAsia="宋体" w:cs="宋体"/>
                <w:b/>
                <w:color w:val="auto"/>
                <w:sz w:val="24"/>
                <w:highlight w:val="none"/>
              </w:rPr>
            </w:pPr>
          </w:p>
        </w:tc>
        <w:tc>
          <w:tcPr>
            <w:tcW w:w="1147" w:type="dxa"/>
          </w:tcPr>
          <w:p w14:paraId="6CE560BE">
            <w:pPr>
              <w:pStyle w:val="14"/>
              <w:spacing w:line="360" w:lineRule="auto"/>
              <w:rPr>
                <w:rFonts w:hint="eastAsia" w:ascii="宋体" w:hAnsi="宋体" w:eastAsia="宋体" w:cs="宋体"/>
                <w:color w:val="auto"/>
                <w:sz w:val="24"/>
                <w:highlight w:val="none"/>
              </w:rPr>
            </w:pPr>
          </w:p>
        </w:tc>
        <w:tc>
          <w:tcPr>
            <w:tcW w:w="1123" w:type="dxa"/>
          </w:tcPr>
          <w:p w14:paraId="75BFA606">
            <w:pPr>
              <w:pStyle w:val="14"/>
              <w:spacing w:line="360" w:lineRule="auto"/>
              <w:rPr>
                <w:rFonts w:hint="eastAsia" w:ascii="宋体" w:hAnsi="宋体" w:eastAsia="宋体" w:cs="宋体"/>
                <w:color w:val="auto"/>
                <w:sz w:val="24"/>
                <w:highlight w:val="none"/>
              </w:rPr>
            </w:pPr>
          </w:p>
        </w:tc>
      </w:tr>
      <w:tr w14:paraId="306B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2A4E602A">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78BE0088">
            <w:pPr>
              <w:pStyle w:val="14"/>
              <w:spacing w:line="360" w:lineRule="auto"/>
              <w:rPr>
                <w:rFonts w:hint="eastAsia" w:ascii="宋体" w:hAnsi="宋体" w:eastAsia="宋体" w:cs="宋体"/>
                <w:b/>
                <w:color w:val="auto"/>
                <w:sz w:val="24"/>
                <w:highlight w:val="none"/>
              </w:rPr>
            </w:pPr>
          </w:p>
        </w:tc>
        <w:tc>
          <w:tcPr>
            <w:tcW w:w="2284" w:type="dxa"/>
            <w:vAlign w:val="center"/>
          </w:tcPr>
          <w:p w14:paraId="03F6C6D3">
            <w:pPr>
              <w:pStyle w:val="14"/>
              <w:spacing w:line="360" w:lineRule="auto"/>
              <w:rPr>
                <w:rFonts w:hint="eastAsia" w:ascii="宋体" w:hAnsi="宋体" w:eastAsia="宋体" w:cs="宋体"/>
                <w:b/>
                <w:color w:val="auto"/>
                <w:sz w:val="24"/>
                <w:highlight w:val="none"/>
              </w:rPr>
            </w:pPr>
          </w:p>
        </w:tc>
        <w:tc>
          <w:tcPr>
            <w:tcW w:w="1490" w:type="dxa"/>
            <w:vAlign w:val="center"/>
          </w:tcPr>
          <w:p w14:paraId="03E7BFFF">
            <w:pPr>
              <w:pStyle w:val="14"/>
              <w:spacing w:line="360" w:lineRule="auto"/>
              <w:rPr>
                <w:rFonts w:hint="eastAsia" w:ascii="宋体" w:hAnsi="宋体" w:eastAsia="宋体" w:cs="宋体"/>
                <w:b/>
                <w:color w:val="auto"/>
                <w:sz w:val="24"/>
                <w:highlight w:val="none"/>
              </w:rPr>
            </w:pPr>
          </w:p>
        </w:tc>
        <w:tc>
          <w:tcPr>
            <w:tcW w:w="720" w:type="dxa"/>
            <w:vAlign w:val="center"/>
          </w:tcPr>
          <w:p w14:paraId="66DC2C3A">
            <w:pPr>
              <w:pStyle w:val="14"/>
              <w:spacing w:line="360" w:lineRule="auto"/>
              <w:rPr>
                <w:rFonts w:hint="eastAsia" w:ascii="宋体" w:hAnsi="宋体" w:eastAsia="宋体" w:cs="宋体"/>
                <w:b/>
                <w:color w:val="auto"/>
                <w:sz w:val="24"/>
                <w:highlight w:val="none"/>
              </w:rPr>
            </w:pPr>
          </w:p>
        </w:tc>
        <w:tc>
          <w:tcPr>
            <w:tcW w:w="648" w:type="dxa"/>
            <w:vAlign w:val="center"/>
          </w:tcPr>
          <w:p w14:paraId="71F6C705">
            <w:pPr>
              <w:pStyle w:val="14"/>
              <w:spacing w:line="360" w:lineRule="auto"/>
              <w:rPr>
                <w:rFonts w:hint="eastAsia" w:ascii="宋体" w:hAnsi="宋体" w:eastAsia="宋体" w:cs="宋体"/>
                <w:b/>
                <w:color w:val="auto"/>
                <w:sz w:val="24"/>
                <w:highlight w:val="none"/>
              </w:rPr>
            </w:pPr>
          </w:p>
        </w:tc>
        <w:tc>
          <w:tcPr>
            <w:tcW w:w="1147" w:type="dxa"/>
          </w:tcPr>
          <w:p w14:paraId="54A54247">
            <w:pPr>
              <w:pStyle w:val="14"/>
              <w:spacing w:line="360" w:lineRule="auto"/>
              <w:rPr>
                <w:rFonts w:hint="eastAsia" w:ascii="宋体" w:hAnsi="宋体" w:eastAsia="宋体" w:cs="宋体"/>
                <w:color w:val="auto"/>
                <w:sz w:val="24"/>
                <w:highlight w:val="none"/>
              </w:rPr>
            </w:pPr>
          </w:p>
        </w:tc>
        <w:tc>
          <w:tcPr>
            <w:tcW w:w="1123" w:type="dxa"/>
          </w:tcPr>
          <w:p w14:paraId="42C27246">
            <w:pPr>
              <w:pStyle w:val="14"/>
              <w:spacing w:line="360" w:lineRule="auto"/>
              <w:rPr>
                <w:rFonts w:hint="eastAsia" w:ascii="宋体" w:hAnsi="宋体" w:eastAsia="宋体" w:cs="宋体"/>
                <w:color w:val="auto"/>
                <w:sz w:val="24"/>
                <w:highlight w:val="none"/>
              </w:rPr>
            </w:pPr>
          </w:p>
        </w:tc>
      </w:tr>
      <w:tr w14:paraId="0435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31FAD229">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1895B08D">
            <w:pPr>
              <w:pStyle w:val="14"/>
              <w:spacing w:line="360" w:lineRule="auto"/>
              <w:rPr>
                <w:rFonts w:hint="eastAsia" w:ascii="宋体" w:hAnsi="宋体" w:eastAsia="宋体" w:cs="宋体"/>
                <w:b/>
                <w:color w:val="auto"/>
                <w:sz w:val="24"/>
                <w:highlight w:val="none"/>
              </w:rPr>
            </w:pPr>
          </w:p>
        </w:tc>
        <w:tc>
          <w:tcPr>
            <w:tcW w:w="2284" w:type="dxa"/>
            <w:vAlign w:val="center"/>
          </w:tcPr>
          <w:p w14:paraId="3A5367B9">
            <w:pPr>
              <w:pStyle w:val="14"/>
              <w:spacing w:line="360" w:lineRule="auto"/>
              <w:rPr>
                <w:rFonts w:hint="eastAsia" w:ascii="宋体" w:hAnsi="宋体" w:eastAsia="宋体" w:cs="宋体"/>
                <w:b/>
                <w:color w:val="auto"/>
                <w:sz w:val="24"/>
                <w:highlight w:val="none"/>
              </w:rPr>
            </w:pPr>
          </w:p>
        </w:tc>
        <w:tc>
          <w:tcPr>
            <w:tcW w:w="1490" w:type="dxa"/>
            <w:vAlign w:val="center"/>
          </w:tcPr>
          <w:p w14:paraId="2DD338E4">
            <w:pPr>
              <w:pStyle w:val="14"/>
              <w:spacing w:line="360" w:lineRule="auto"/>
              <w:rPr>
                <w:rFonts w:hint="eastAsia" w:ascii="宋体" w:hAnsi="宋体" w:eastAsia="宋体" w:cs="宋体"/>
                <w:b/>
                <w:color w:val="auto"/>
                <w:sz w:val="24"/>
                <w:highlight w:val="none"/>
              </w:rPr>
            </w:pPr>
          </w:p>
        </w:tc>
        <w:tc>
          <w:tcPr>
            <w:tcW w:w="720" w:type="dxa"/>
            <w:vAlign w:val="center"/>
          </w:tcPr>
          <w:p w14:paraId="7141398E">
            <w:pPr>
              <w:pStyle w:val="14"/>
              <w:spacing w:line="360" w:lineRule="auto"/>
              <w:rPr>
                <w:rFonts w:hint="eastAsia" w:ascii="宋体" w:hAnsi="宋体" w:eastAsia="宋体" w:cs="宋体"/>
                <w:b/>
                <w:color w:val="auto"/>
                <w:sz w:val="24"/>
                <w:highlight w:val="none"/>
              </w:rPr>
            </w:pPr>
          </w:p>
        </w:tc>
        <w:tc>
          <w:tcPr>
            <w:tcW w:w="648" w:type="dxa"/>
            <w:vAlign w:val="center"/>
          </w:tcPr>
          <w:p w14:paraId="7C9DD418">
            <w:pPr>
              <w:pStyle w:val="14"/>
              <w:spacing w:line="360" w:lineRule="auto"/>
              <w:rPr>
                <w:rFonts w:hint="eastAsia" w:ascii="宋体" w:hAnsi="宋体" w:eastAsia="宋体" w:cs="宋体"/>
                <w:b/>
                <w:color w:val="auto"/>
                <w:sz w:val="24"/>
                <w:highlight w:val="none"/>
              </w:rPr>
            </w:pPr>
          </w:p>
        </w:tc>
        <w:tc>
          <w:tcPr>
            <w:tcW w:w="1147" w:type="dxa"/>
          </w:tcPr>
          <w:p w14:paraId="74CD1C23">
            <w:pPr>
              <w:pStyle w:val="14"/>
              <w:spacing w:line="360" w:lineRule="auto"/>
              <w:rPr>
                <w:rFonts w:hint="eastAsia" w:ascii="宋体" w:hAnsi="宋体" w:eastAsia="宋体" w:cs="宋体"/>
                <w:color w:val="auto"/>
                <w:sz w:val="24"/>
                <w:highlight w:val="none"/>
              </w:rPr>
            </w:pPr>
          </w:p>
        </w:tc>
        <w:tc>
          <w:tcPr>
            <w:tcW w:w="1123" w:type="dxa"/>
          </w:tcPr>
          <w:p w14:paraId="57C45BA2">
            <w:pPr>
              <w:pStyle w:val="14"/>
              <w:spacing w:line="360" w:lineRule="auto"/>
              <w:rPr>
                <w:rFonts w:hint="eastAsia" w:ascii="宋体" w:hAnsi="宋体" w:eastAsia="宋体" w:cs="宋体"/>
                <w:color w:val="auto"/>
                <w:sz w:val="24"/>
                <w:highlight w:val="none"/>
              </w:rPr>
            </w:pPr>
          </w:p>
        </w:tc>
      </w:tr>
      <w:tr w14:paraId="1CD9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7FCAB734">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3F267D19">
            <w:pPr>
              <w:pStyle w:val="14"/>
              <w:spacing w:line="360" w:lineRule="auto"/>
              <w:rPr>
                <w:rFonts w:hint="eastAsia" w:ascii="宋体" w:hAnsi="宋体" w:eastAsia="宋体" w:cs="宋体"/>
                <w:b/>
                <w:color w:val="auto"/>
                <w:sz w:val="24"/>
                <w:highlight w:val="none"/>
              </w:rPr>
            </w:pPr>
          </w:p>
        </w:tc>
        <w:tc>
          <w:tcPr>
            <w:tcW w:w="2284" w:type="dxa"/>
            <w:vAlign w:val="center"/>
          </w:tcPr>
          <w:p w14:paraId="3C7C9183">
            <w:pPr>
              <w:pStyle w:val="14"/>
              <w:spacing w:line="360" w:lineRule="auto"/>
              <w:rPr>
                <w:rFonts w:hint="eastAsia" w:ascii="宋体" w:hAnsi="宋体" w:eastAsia="宋体" w:cs="宋体"/>
                <w:b/>
                <w:color w:val="auto"/>
                <w:sz w:val="24"/>
                <w:highlight w:val="none"/>
              </w:rPr>
            </w:pPr>
          </w:p>
        </w:tc>
        <w:tc>
          <w:tcPr>
            <w:tcW w:w="1490" w:type="dxa"/>
            <w:vAlign w:val="center"/>
          </w:tcPr>
          <w:p w14:paraId="1139C52B">
            <w:pPr>
              <w:pStyle w:val="14"/>
              <w:spacing w:line="360" w:lineRule="auto"/>
              <w:rPr>
                <w:rFonts w:hint="eastAsia" w:ascii="宋体" w:hAnsi="宋体" w:eastAsia="宋体" w:cs="宋体"/>
                <w:b/>
                <w:color w:val="auto"/>
                <w:sz w:val="24"/>
                <w:highlight w:val="none"/>
              </w:rPr>
            </w:pPr>
          </w:p>
        </w:tc>
        <w:tc>
          <w:tcPr>
            <w:tcW w:w="720" w:type="dxa"/>
            <w:vAlign w:val="center"/>
          </w:tcPr>
          <w:p w14:paraId="62BCDCE2">
            <w:pPr>
              <w:pStyle w:val="14"/>
              <w:spacing w:line="360" w:lineRule="auto"/>
              <w:rPr>
                <w:rFonts w:hint="eastAsia" w:ascii="宋体" w:hAnsi="宋体" w:eastAsia="宋体" w:cs="宋体"/>
                <w:b/>
                <w:color w:val="auto"/>
                <w:sz w:val="24"/>
                <w:highlight w:val="none"/>
              </w:rPr>
            </w:pPr>
          </w:p>
        </w:tc>
        <w:tc>
          <w:tcPr>
            <w:tcW w:w="648" w:type="dxa"/>
            <w:vAlign w:val="center"/>
          </w:tcPr>
          <w:p w14:paraId="5B9D777E">
            <w:pPr>
              <w:pStyle w:val="14"/>
              <w:spacing w:line="360" w:lineRule="auto"/>
              <w:rPr>
                <w:rFonts w:hint="eastAsia" w:ascii="宋体" w:hAnsi="宋体" w:eastAsia="宋体" w:cs="宋体"/>
                <w:b/>
                <w:color w:val="auto"/>
                <w:sz w:val="24"/>
                <w:highlight w:val="none"/>
              </w:rPr>
            </w:pPr>
          </w:p>
        </w:tc>
        <w:tc>
          <w:tcPr>
            <w:tcW w:w="1147" w:type="dxa"/>
          </w:tcPr>
          <w:p w14:paraId="178A82ED">
            <w:pPr>
              <w:pStyle w:val="14"/>
              <w:spacing w:line="360" w:lineRule="auto"/>
              <w:rPr>
                <w:rFonts w:hint="eastAsia" w:ascii="宋体" w:hAnsi="宋体" w:eastAsia="宋体" w:cs="宋体"/>
                <w:color w:val="auto"/>
                <w:sz w:val="24"/>
                <w:highlight w:val="none"/>
              </w:rPr>
            </w:pPr>
          </w:p>
        </w:tc>
        <w:tc>
          <w:tcPr>
            <w:tcW w:w="1123" w:type="dxa"/>
          </w:tcPr>
          <w:p w14:paraId="79CA66A3">
            <w:pPr>
              <w:pStyle w:val="14"/>
              <w:spacing w:line="360" w:lineRule="auto"/>
              <w:rPr>
                <w:rFonts w:hint="eastAsia" w:ascii="宋体" w:hAnsi="宋体" w:eastAsia="宋体" w:cs="宋体"/>
                <w:color w:val="auto"/>
                <w:sz w:val="24"/>
                <w:highlight w:val="none"/>
              </w:rPr>
            </w:pPr>
          </w:p>
        </w:tc>
      </w:tr>
      <w:tr w14:paraId="1291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3B4F43DA">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6BD20533">
            <w:pPr>
              <w:pStyle w:val="14"/>
              <w:spacing w:line="360" w:lineRule="auto"/>
              <w:rPr>
                <w:rFonts w:hint="eastAsia" w:ascii="宋体" w:hAnsi="宋体" w:eastAsia="宋体" w:cs="宋体"/>
                <w:b/>
                <w:color w:val="auto"/>
                <w:sz w:val="24"/>
                <w:highlight w:val="none"/>
              </w:rPr>
            </w:pPr>
          </w:p>
        </w:tc>
        <w:tc>
          <w:tcPr>
            <w:tcW w:w="2284" w:type="dxa"/>
            <w:vAlign w:val="center"/>
          </w:tcPr>
          <w:p w14:paraId="11A08E7C">
            <w:pPr>
              <w:pStyle w:val="14"/>
              <w:spacing w:line="360" w:lineRule="auto"/>
              <w:rPr>
                <w:rFonts w:hint="eastAsia" w:ascii="宋体" w:hAnsi="宋体" w:eastAsia="宋体" w:cs="宋体"/>
                <w:b/>
                <w:color w:val="auto"/>
                <w:sz w:val="24"/>
                <w:highlight w:val="none"/>
              </w:rPr>
            </w:pPr>
          </w:p>
        </w:tc>
        <w:tc>
          <w:tcPr>
            <w:tcW w:w="1490" w:type="dxa"/>
            <w:vAlign w:val="center"/>
          </w:tcPr>
          <w:p w14:paraId="7BD44E73">
            <w:pPr>
              <w:pStyle w:val="14"/>
              <w:spacing w:line="360" w:lineRule="auto"/>
              <w:rPr>
                <w:rFonts w:hint="eastAsia" w:ascii="宋体" w:hAnsi="宋体" w:eastAsia="宋体" w:cs="宋体"/>
                <w:b/>
                <w:color w:val="auto"/>
                <w:sz w:val="24"/>
                <w:highlight w:val="none"/>
              </w:rPr>
            </w:pPr>
          </w:p>
        </w:tc>
        <w:tc>
          <w:tcPr>
            <w:tcW w:w="720" w:type="dxa"/>
            <w:vAlign w:val="center"/>
          </w:tcPr>
          <w:p w14:paraId="7A220456">
            <w:pPr>
              <w:pStyle w:val="14"/>
              <w:spacing w:line="360" w:lineRule="auto"/>
              <w:rPr>
                <w:rFonts w:hint="eastAsia" w:ascii="宋体" w:hAnsi="宋体" w:eastAsia="宋体" w:cs="宋体"/>
                <w:b/>
                <w:color w:val="auto"/>
                <w:sz w:val="24"/>
                <w:highlight w:val="none"/>
              </w:rPr>
            </w:pPr>
          </w:p>
        </w:tc>
        <w:tc>
          <w:tcPr>
            <w:tcW w:w="648" w:type="dxa"/>
            <w:vAlign w:val="center"/>
          </w:tcPr>
          <w:p w14:paraId="5D868E1B">
            <w:pPr>
              <w:pStyle w:val="14"/>
              <w:spacing w:line="360" w:lineRule="auto"/>
              <w:rPr>
                <w:rFonts w:hint="eastAsia" w:ascii="宋体" w:hAnsi="宋体" w:eastAsia="宋体" w:cs="宋体"/>
                <w:b/>
                <w:color w:val="auto"/>
                <w:sz w:val="24"/>
                <w:highlight w:val="none"/>
              </w:rPr>
            </w:pPr>
          </w:p>
        </w:tc>
        <w:tc>
          <w:tcPr>
            <w:tcW w:w="1147" w:type="dxa"/>
          </w:tcPr>
          <w:p w14:paraId="286ADC17">
            <w:pPr>
              <w:pStyle w:val="14"/>
              <w:spacing w:line="360" w:lineRule="auto"/>
              <w:rPr>
                <w:rFonts w:hint="eastAsia" w:ascii="宋体" w:hAnsi="宋体" w:eastAsia="宋体" w:cs="宋体"/>
                <w:color w:val="auto"/>
                <w:sz w:val="24"/>
                <w:highlight w:val="none"/>
              </w:rPr>
            </w:pPr>
          </w:p>
        </w:tc>
        <w:tc>
          <w:tcPr>
            <w:tcW w:w="1123" w:type="dxa"/>
          </w:tcPr>
          <w:p w14:paraId="2A9BCDFC">
            <w:pPr>
              <w:pStyle w:val="14"/>
              <w:spacing w:line="360" w:lineRule="auto"/>
              <w:rPr>
                <w:rFonts w:hint="eastAsia" w:ascii="宋体" w:hAnsi="宋体" w:eastAsia="宋体" w:cs="宋体"/>
                <w:color w:val="auto"/>
                <w:sz w:val="24"/>
                <w:highlight w:val="none"/>
              </w:rPr>
            </w:pPr>
          </w:p>
        </w:tc>
      </w:tr>
      <w:tr w14:paraId="2CEA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540" w:type="dxa"/>
            <w:vAlign w:val="center"/>
          </w:tcPr>
          <w:p w14:paraId="1FC7705A">
            <w:pPr>
              <w:pStyle w:val="14"/>
              <w:spacing w:line="360" w:lineRule="auto"/>
              <w:jc w:val="center"/>
              <w:rPr>
                <w:rFonts w:hint="eastAsia" w:ascii="宋体" w:hAnsi="宋体" w:eastAsia="宋体" w:cs="宋体"/>
                <w:b/>
                <w:color w:val="auto"/>
                <w:sz w:val="24"/>
                <w:highlight w:val="none"/>
              </w:rPr>
            </w:pPr>
          </w:p>
        </w:tc>
        <w:tc>
          <w:tcPr>
            <w:tcW w:w="1080" w:type="dxa"/>
            <w:vAlign w:val="center"/>
          </w:tcPr>
          <w:p w14:paraId="3534CD7A">
            <w:pPr>
              <w:pStyle w:val="14"/>
              <w:spacing w:line="360" w:lineRule="auto"/>
              <w:rPr>
                <w:rFonts w:hint="eastAsia" w:ascii="宋体" w:hAnsi="宋体" w:eastAsia="宋体" w:cs="宋体"/>
                <w:b/>
                <w:color w:val="auto"/>
                <w:sz w:val="24"/>
                <w:highlight w:val="none"/>
              </w:rPr>
            </w:pPr>
          </w:p>
        </w:tc>
        <w:tc>
          <w:tcPr>
            <w:tcW w:w="2284" w:type="dxa"/>
            <w:vAlign w:val="center"/>
          </w:tcPr>
          <w:p w14:paraId="34669061">
            <w:pPr>
              <w:pStyle w:val="14"/>
              <w:spacing w:line="360" w:lineRule="auto"/>
              <w:rPr>
                <w:rFonts w:hint="eastAsia" w:ascii="宋体" w:hAnsi="宋体" w:eastAsia="宋体" w:cs="宋体"/>
                <w:b/>
                <w:color w:val="auto"/>
                <w:highlight w:val="none"/>
              </w:rPr>
            </w:pPr>
          </w:p>
        </w:tc>
        <w:tc>
          <w:tcPr>
            <w:tcW w:w="1490" w:type="dxa"/>
            <w:vAlign w:val="center"/>
          </w:tcPr>
          <w:p w14:paraId="69B6794A">
            <w:pPr>
              <w:pStyle w:val="14"/>
              <w:spacing w:line="360" w:lineRule="auto"/>
              <w:rPr>
                <w:rFonts w:hint="eastAsia" w:ascii="宋体" w:hAnsi="宋体" w:eastAsia="宋体" w:cs="宋体"/>
                <w:b/>
                <w:color w:val="auto"/>
                <w:sz w:val="24"/>
                <w:highlight w:val="none"/>
              </w:rPr>
            </w:pPr>
          </w:p>
        </w:tc>
        <w:tc>
          <w:tcPr>
            <w:tcW w:w="720" w:type="dxa"/>
            <w:vAlign w:val="center"/>
          </w:tcPr>
          <w:p w14:paraId="343063BD">
            <w:pPr>
              <w:pStyle w:val="14"/>
              <w:spacing w:line="360" w:lineRule="auto"/>
              <w:rPr>
                <w:rFonts w:hint="eastAsia" w:ascii="宋体" w:hAnsi="宋体" w:eastAsia="宋体" w:cs="宋体"/>
                <w:b/>
                <w:color w:val="auto"/>
                <w:sz w:val="24"/>
                <w:highlight w:val="none"/>
              </w:rPr>
            </w:pPr>
          </w:p>
        </w:tc>
        <w:tc>
          <w:tcPr>
            <w:tcW w:w="648" w:type="dxa"/>
            <w:vAlign w:val="center"/>
          </w:tcPr>
          <w:p w14:paraId="7FDC47E5">
            <w:pPr>
              <w:pStyle w:val="14"/>
              <w:spacing w:line="360" w:lineRule="auto"/>
              <w:rPr>
                <w:rFonts w:hint="eastAsia" w:ascii="宋体" w:hAnsi="宋体" w:eastAsia="宋体" w:cs="宋体"/>
                <w:b/>
                <w:color w:val="auto"/>
                <w:sz w:val="24"/>
                <w:highlight w:val="none"/>
              </w:rPr>
            </w:pPr>
          </w:p>
        </w:tc>
        <w:tc>
          <w:tcPr>
            <w:tcW w:w="1147" w:type="dxa"/>
          </w:tcPr>
          <w:p w14:paraId="18AEEFF8">
            <w:pPr>
              <w:pStyle w:val="14"/>
              <w:spacing w:line="360" w:lineRule="auto"/>
              <w:rPr>
                <w:rFonts w:hint="eastAsia" w:ascii="宋体" w:hAnsi="宋体" w:eastAsia="宋体" w:cs="宋体"/>
                <w:color w:val="auto"/>
                <w:sz w:val="24"/>
                <w:highlight w:val="none"/>
              </w:rPr>
            </w:pPr>
          </w:p>
        </w:tc>
        <w:tc>
          <w:tcPr>
            <w:tcW w:w="1123" w:type="dxa"/>
          </w:tcPr>
          <w:p w14:paraId="052F7CBF">
            <w:pPr>
              <w:pStyle w:val="14"/>
              <w:spacing w:line="360" w:lineRule="auto"/>
              <w:rPr>
                <w:rFonts w:hint="eastAsia" w:ascii="宋体" w:hAnsi="宋体" w:eastAsia="宋体" w:cs="宋体"/>
                <w:color w:val="auto"/>
                <w:sz w:val="24"/>
                <w:highlight w:val="none"/>
              </w:rPr>
            </w:pPr>
          </w:p>
        </w:tc>
      </w:tr>
      <w:tr w14:paraId="1E9D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1620" w:type="dxa"/>
            <w:gridSpan w:val="2"/>
            <w:vAlign w:val="center"/>
          </w:tcPr>
          <w:p w14:paraId="338460BD">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投标总价</w:t>
            </w:r>
          </w:p>
        </w:tc>
        <w:tc>
          <w:tcPr>
            <w:tcW w:w="7412" w:type="dxa"/>
            <w:gridSpan w:val="6"/>
            <w:vAlign w:val="center"/>
          </w:tcPr>
          <w:p w14:paraId="7D8AE59A">
            <w:pPr>
              <w:pStyle w:val="14"/>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元（小写：</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w:t>
            </w:r>
          </w:p>
        </w:tc>
      </w:tr>
      <w:tr w14:paraId="396A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32" w:type="dxa"/>
            <w:gridSpan w:val="8"/>
            <w:vAlign w:val="center"/>
          </w:tcPr>
          <w:p w14:paraId="506E372D">
            <w:pPr>
              <w:pStyle w:val="72"/>
              <w:numPr>
                <w:ilvl w:val="0"/>
                <w:numId w:val="0"/>
              </w:numPr>
              <w:tabs>
                <w:tab w:val="left" w:pos="0"/>
              </w:tabs>
              <w:spacing w:before="0" w:after="0"/>
              <w:ind w:firstLine="480" w:firstLineChars="200"/>
              <w:rPr>
                <w:rFonts w:hint="eastAsia" w:ascii="宋体" w:hAnsi="宋体" w:eastAsia="宋体" w:cs="宋体"/>
                <w:color w:val="auto"/>
                <w:sz w:val="24"/>
                <w:highlight w:val="none"/>
                <w:lang w:eastAsia="zh-CN"/>
              </w:rPr>
            </w:pPr>
            <w:r>
              <w:rPr>
                <w:rFonts w:hint="eastAsia" w:ascii="宋体" w:hAnsi="宋体" w:eastAsia="宋体" w:cs="宋体"/>
                <w:b w:val="0"/>
                <w:bCs w:val="0"/>
                <w:color w:val="auto"/>
                <w:szCs w:val="24"/>
                <w:highlight w:val="none"/>
              </w:rPr>
              <w:t>本次报价应包含项目所需全部服务，不得缺漏，是履行合同的最终价格</w:t>
            </w:r>
            <w:r>
              <w:rPr>
                <w:rFonts w:hint="eastAsia" w:ascii="宋体" w:hAnsi="宋体" w:eastAsia="宋体" w:cs="宋体"/>
                <w:b w:val="0"/>
                <w:bCs w:val="0"/>
                <w:color w:val="auto"/>
                <w:highlight w:val="none"/>
              </w:rPr>
              <w:t>包括但不限于人员费用、按规定缴纳的各类保险，交通费，加班费，福利费，管理费用、税费、办公用品、服装费、劳保用品、维修工具、安保器材、保洁用具等。</w:t>
            </w:r>
            <w:r>
              <w:rPr>
                <w:rFonts w:hint="eastAsia" w:ascii="宋体" w:hAnsi="宋体" w:eastAsia="宋体" w:cs="宋体"/>
                <w:b w:val="0"/>
                <w:bCs w:val="0"/>
                <w:color w:val="auto"/>
                <w:highlight w:val="none"/>
                <w:lang w:val="en-US" w:eastAsia="zh-CN"/>
              </w:rPr>
              <w:t>凡供应商在报价中未列明但又为本次采购所必备的项目或遗漏项目，采购方将一律视为已包括在合同价中，在合同执行中将不予考虑。</w:t>
            </w:r>
          </w:p>
        </w:tc>
      </w:tr>
    </w:tbl>
    <w:p w14:paraId="587E1514">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注：内容可根据供应商实际情况自行调整。</w:t>
      </w:r>
    </w:p>
    <w:p w14:paraId="0EE5B6F5">
      <w:pPr>
        <w:pStyle w:val="14"/>
        <w:spacing w:line="360" w:lineRule="auto"/>
        <w:rPr>
          <w:rFonts w:hint="eastAsia" w:ascii="宋体" w:hAnsi="宋体" w:eastAsia="宋体" w:cs="宋体"/>
          <w:color w:val="auto"/>
          <w:sz w:val="24"/>
          <w:highlight w:val="none"/>
        </w:rPr>
      </w:pPr>
    </w:p>
    <w:p w14:paraId="25F52F21">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法定代表人签名（或签名章）：                       </w:t>
      </w:r>
    </w:p>
    <w:p w14:paraId="0BD83854">
      <w:pPr>
        <w:spacing w:line="360" w:lineRule="auto"/>
        <w:ind w:left="3600" w:leftChars="18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6F385FB3">
      <w:pPr>
        <w:spacing w:line="360" w:lineRule="auto"/>
        <w:ind w:firstLine="4080" w:firstLineChars="17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供应商全称（公章）：</w:t>
      </w:r>
      <w:bookmarkEnd w:id="179"/>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DCBE">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7A444">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57A444">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8DB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DAD4D">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0DAD4D">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42E81">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3F1D9">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43F1D9">
                    <w:pPr>
                      <w:pStyle w:val="1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D8BA">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A6920">
                          <w:pPr>
                            <w:pStyle w:val="17"/>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3A6920">
                    <w:pPr>
                      <w:pStyle w:val="17"/>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77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53F62"/>
    <w:multiLevelType w:val="singleLevel"/>
    <w:tmpl w:val="80553F62"/>
    <w:lvl w:ilvl="0" w:tentative="0">
      <w:start w:val="1"/>
      <w:numFmt w:val="decimal"/>
      <w:suff w:val="nothing"/>
      <w:lvlText w:val="%1．"/>
      <w:lvlJc w:val="left"/>
      <w:pPr>
        <w:ind w:left="0" w:firstLine="400"/>
      </w:pPr>
      <w:rPr>
        <w:rFonts w:hint="default"/>
      </w:rPr>
    </w:lvl>
  </w:abstractNum>
  <w:abstractNum w:abstractNumId="1">
    <w:nsid w:val="82AA70F8"/>
    <w:multiLevelType w:val="singleLevel"/>
    <w:tmpl w:val="82AA70F8"/>
    <w:lvl w:ilvl="0" w:tentative="0">
      <w:start w:val="1"/>
      <w:numFmt w:val="decimal"/>
      <w:suff w:val="nothing"/>
      <w:lvlText w:val="%1．"/>
      <w:lvlJc w:val="left"/>
      <w:pPr>
        <w:ind w:left="0" w:firstLine="400"/>
      </w:pPr>
      <w:rPr>
        <w:rFonts w:hint="default"/>
      </w:rPr>
    </w:lvl>
  </w:abstractNum>
  <w:abstractNum w:abstractNumId="2">
    <w:nsid w:val="882BE02B"/>
    <w:multiLevelType w:val="singleLevel"/>
    <w:tmpl w:val="882BE02B"/>
    <w:lvl w:ilvl="0" w:tentative="0">
      <w:start w:val="1"/>
      <w:numFmt w:val="decimalEnclosedCircleChinese"/>
      <w:suff w:val="nothing"/>
      <w:lvlText w:val="%1　"/>
      <w:lvlJc w:val="left"/>
      <w:pPr>
        <w:ind w:left="0" w:firstLine="1134"/>
      </w:pPr>
      <w:rPr>
        <w:rFonts w:hint="eastAsia"/>
      </w:rPr>
    </w:lvl>
  </w:abstractNum>
  <w:abstractNum w:abstractNumId="3">
    <w:nsid w:val="92491D66"/>
    <w:multiLevelType w:val="singleLevel"/>
    <w:tmpl w:val="92491D66"/>
    <w:lvl w:ilvl="0" w:tentative="0">
      <w:start w:val="1"/>
      <w:numFmt w:val="chineseCounting"/>
      <w:suff w:val="nothing"/>
      <w:lvlText w:val="（%1）"/>
      <w:lvlJc w:val="left"/>
      <w:pPr>
        <w:ind w:left="0" w:firstLine="420"/>
      </w:pPr>
      <w:rPr>
        <w:rFonts w:hint="eastAsia"/>
      </w:rPr>
    </w:lvl>
  </w:abstractNum>
  <w:abstractNum w:abstractNumId="4">
    <w:nsid w:val="9539A71B"/>
    <w:multiLevelType w:val="singleLevel"/>
    <w:tmpl w:val="9539A71B"/>
    <w:lvl w:ilvl="0" w:tentative="0">
      <w:start w:val="1"/>
      <w:numFmt w:val="chineseCounting"/>
      <w:suff w:val="nothing"/>
      <w:lvlText w:val="%1、"/>
      <w:lvlJc w:val="left"/>
      <w:pPr>
        <w:ind w:left="0" w:firstLine="420"/>
      </w:pPr>
      <w:rPr>
        <w:rFonts w:hint="eastAsia"/>
      </w:rPr>
    </w:lvl>
  </w:abstractNum>
  <w:abstractNum w:abstractNumId="5">
    <w:nsid w:val="966F95D4"/>
    <w:multiLevelType w:val="singleLevel"/>
    <w:tmpl w:val="966F95D4"/>
    <w:lvl w:ilvl="0" w:tentative="0">
      <w:start w:val="1"/>
      <w:numFmt w:val="decimalEnclosedCircleChinese"/>
      <w:suff w:val="nothing"/>
      <w:lvlText w:val="%1　"/>
      <w:lvlJc w:val="left"/>
      <w:pPr>
        <w:ind w:left="0" w:firstLine="400"/>
      </w:pPr>
      <w:rPr>
        <w:rFonts w:hint="eastAsia"/>
      </w:rPr>
    </w:lvl>
  </w:abstractNum>
  <w:abstractNum w:abstractNumId="6">
    <w:nsid w:val="986828A6"/>
    <w:multiLevelType w:val="singleLevel"/>
    <w:tmpl w:val="986828A6"/>
    <w:lvl w:ilvl="0" w:tentative="0">
      <w:start w:val="1"/>
      <w:numFmt w:val="decimal"/>
      <w:suff w:val="nothing"/>
      <w:lvlText w:val="%1．"/>
      <w:lvlJc w:val="left"/>
      <w:pPr>
        <w:ind w:left="0" w:firstLine="400"/>
      </w:pPr>
      <w:rPr>
        <w:rFonts w:hint="default"/>
      </w:rPr>
    </w:lvl>
  </w:abstractNum>
  <w:abstractNum w:abstractNumId="7">
    <w:nsid w:val="A4072450"/>
    <w:multiLevelType w:val="singleLevel"/>
    <w:tmpl w:val="A4072450"/>
    <w:lvl w:ilvl="0" w:tentative="0">
      <w:start w:val="1"/>
      <w:numFmt w:val="decimal"/>
      <w:suff w:val="nothing"/>
      <w:lvlText w:val="%1．"/>
      <w:lvlJc w:val="left"/>
      <w:pPr>
        <w:ind w:left="0" w:firstLine="400"/>
      </w:pPr>
      <w:rPr>
        <w:rFonts w:hint="default"/>
      </w:rPr>
    </w:lvl>
  </w:abstractNum>
  <w:abstractNum w:abstractNumId="8">
    <w:nsid w:val="AAFB5AB0"/>
    <w:multiLevelType w:val="singleLevel"/>
    <w:tmpl w:val="AAFB5AB0"/>
    <w:lvl w:ilvl="0" w:tentative="0">
      <w:start w:val="1"/>
      <w:numFmt w:val="decimal"/>
      <w:suff w:val="nothing"/>
      <w:lvlText w:val="%1．"/>
      <w:lvlJc w:val="left"/>
      <w:pPr>
        <w:ind w:left="0" w:firstLine="400"/>
      </w:pPr>
      <w:rPr>
        <w:rFonts w:hint="default"/>
      </w:rPr>
    </w:lvl>
  </w:abstractNum>
  <w:abstractNum w:abstractNumId="9">
    <w:nsid w:val="B07F9A69"/>
    <w:multiLevelType w:val="singleLevel"/>
    <w:tmpl w:val="B07F9A69"/>
    <w:lvl w:ilvl="0" w:tentative="0">
      <w:start w:val="1"/>
      <w:numFmt w:val="decimalEnclosedCircleChinese"/>
      <w:suff w:val="nothing"/>
      <w:lvlText w:val="%1　"/>
      <w:lvlJc w:val="left"/>
      <w:pPr>
        <w:ind w:left="0" w:firstLine="400"/>
      </w:pPr>
      <w:rPr>
        <w:rFonts w:hint="eastAsia"/>
      </w:rPr>
    </w:lvl>
  </w:abstractNum>
  <w:abstractNum w:abstractNumId="10">
    <w:nsid w:val="B62C7D31"/>
    <w:multiLevelType w:val="singleLevel"/>
    <w:tmpl w:val="B62C7D31"/>
    <w:lvl w:ilvl="0" w:tentative="0">
      <w:start w:val="1"/>
      <w:numFmt w:val="decimalEnclosedCircleChinese"/>
      <w:suff w:val="nothing"/>
      <w:lvlText w:val="%1　"/>
      <w:lvlJc w:val="left"/>
      <w:pPr>
        <w:ind w:left="0" w:firstLine="400"/>
      </w:pPr>
      <w:rPr>
        <w:rFonts w:hint="eastAsia"/>
      </w:rPr>
    </w:lvl>
  </w:abstractNum>
  <w:abstractNum w:abstractNumId="11">
    <w:nsid w:val="BFE15344"/>
    <w:multiLevelType w:val="singleLevel"/>
    <w:tmpl w:val="BFE15344"/>
    <w:lvl w:ilvl="0" w:tentative="0">
      <w:start w:val="1"/>
      <w:numFmt w:val="decimal"/>
      <w:suff w:val="nothing"/>
      <w:lvlText w:val="%1．"/>
      <w:lvlJc w:val="left"/>
      <w:pPr>
        <w:ind w:left="0" w:firstLine="400"/>
      </w:pPr>
      <w:rPr>
        <w:rFonts w:hint="default"/>
      </w:rPr>
    </w:lvl>
  </w:abstractNum>
  <w:abstractNum w:abstractNumId="12">
    <w:nsid w:val="CBC663D0"/>
    <w:multiLevelType w:val="singleLevel"/>
    <w:tmpl w:val="CBC663D0"/>
    <w:lvl w:ilvl="0" w:tentative="0">
      <w:start w:val="1"/>
      <w:numFmt w:val="decimal"/>
      <w:suff w:val="nothing"/>
      <w:lvlText w:val="%1．"/>
      <w:lvlJc w:val="left"/>
      <w:pPr>
        <w:ind w:left="0" w:firstLine="400"/>
      </w:pPr>
      <w:rPr>
        <w:rFonts w:hint="default"/>
      </w:rPr>
    </w:lvl>
  </w:abstractNum>
  <w:abstractNum w:abstractNumId="13">
    <w:nsid w:val="D348DFDE"/>
    <w:multiLevelType w:val="singleLevel"/>
    <w:tmpl w:val="D348DFDE"/>
    <w:lvl w:ilvl="0" w:tentative="0">
      <w:start w:val="1"/>
      <w:numFmt w:val="decimal"/>
      <w:suff w:val="nothing"/>
      <w:lvlText w:val="%1．"/>
      <w:lvlJc w:val="left"/>
      <w:pPr>
        <w:ind w:left="0" w:firstLine="400"/>
      </w:pPr>
      <w:rPr>
        <w:rFonts w:hint="default"/>
      </w:rPr>
    </w:lvl>
  </w:abstractNum>
  <w:abstractNum w:abstractNumId="14">
    <w:nsid w:val="D86B027D"/>
    <w:multiLevelType w:val="singleLevel"/>
    <w:tmpl w:val="D86B027D"/>
    <w:lvl w:ilvl="0" w:tentative="0">
      <w:start w:val="1"/>
      <w:numFmt w:val="decimal"/>
      <w:suff w:val="nothing"/>
      <w:lvlText w:val="%1．"/>
      <w:lvlJc w:val="left"/>
      <w:pPr>
        <w:ind w:left="0" w:firstLine="400"/>
      </w:pPr>
      <w:rPr>
        <w:rFonts w:hint="default"/>
      </w:rPr>
    </w:lvl>
  </w:abstractNum>
  <w:abstractNum w:abstractNumId="15">
    <w:nsid w:val="DB45346E"/>
    <w:multiLevelType w:val="singleLevel"/>
    <w:tmpl w:val="DB45346E"/>
    <w:lvl w:ilvl="0" w:tentative="0">
      <w:start w:val="1"/>
      <w:numFmt w:val="decimalEnclosedCircleChinese"/>
      <w:suff w:val="nothing"/>
      <w:lvlText w:val="%1　"/>
      <w:lvlJc w:val="left"/>
      <w:pPr>
        <w:ind w:left="0" w:firstLine="400"/>
      </w:pPr>
      <w:rPr>
        <w:rFonts w:hint="eastAsia"/>
      </w:rPr>
    </w:lvl>
  </w:abstractNum>
  <w:abstractNum w:abstractNumId="16">
    <w:nsid w:val="E2B6D590"/>
    <w:multiLevelType w:val="singleLevel"/>
    <w:tmpl w:val="E2B6D590"/>
    <w:lvl w:ilvl="0" w:tentative="0">
      <w:start w:val="1"/>
      <w:numFmt w:val="chineseCounting"/>
      <w:suff w:val="nothing"/>
      <w:lvlText w:val="（%1）"/>
      <w:lvlJc w:val="left"/>
      <w:rPr>
        <w:rFonts w:hint="eastAsia"/>
      </w:rPr>
    </w:lvl>
  </w:abstractNum>
  <w:abstractNum w:abstractNumId="17">
    <w:nsid w:val="E3C4599E"/>
    <w:multiLevelType w:val="singleLevel"/>
    <w:tmpl w:val="E3C4599E"/>
    <w:lvl w:ilvl="0" w:tentative="0">
      <w:start w:val="1"/>
      <w:numFmt w:val="decimal"/>
      <w:suff w:val="nothing"/>
      <w:lvlText w:val="%1．"/>
      <w:lvlJc w:val="left"/>
      <w:pPr>
        <w:ind w:left="0" w:firstLine="400"/>
      </w:pPr>
      <w:rPr>
        <w:rFonts w:hint="default"/>
      </w:rPr>
    </w:lvl>
  </w:abstractNum>
  <w:abstractNum w:abstractNumId="18">
    <w:nsid w:val="EDDD1E8B"/>
    <w:multiLevelType w:val="singleLevel"/>
    <w:tmpl w:val="EDDD1E8B"/>
    <w:lvl w:ilvl="0" w:tentative="0">
      <w:start w:val="1"/>
      <w:numFmt w:val="decimal"/>
      <w:suff w:val="nothing"/>
      <w:lvlText w:val="%1．"/>
      <w:lvlJc w:val="left"/>
      <w:pPr>
        <w:ind w:left="0" w:firstLine="400"/>
      </w:pPr>
      <w:rPr>
        <w:rFonts w:hint="default"/>
      </w:rPr>
    </w:lvl>
  </w:abstractNum>
  <w:abstractNum w:abstractNumId="19">
    <w:nsid w:val="EE0AD8E6"/>
    <w:multiLevelType w:val="singleLevel"/>
    <w:tmpl w:val="EE0AD8E6"/>
    <w:lvl w:ilvl="0" w:tentative="0">
      <w:start w:val="1"/>
      <w:numFmt w:val="chineseCounting"/>
      <w:suff w:val="nothing"/>
      <w:lvlText w:val="（%1）"/>
      <w:lvlJc w:val="left"/>
      <w:rPr>
        <w:rFonts w:hint="eastAsia"/>
      </w:rPr>
    </w:lvl>
  </w:abstractNum>
  <w:abstractNum w:abstractNumId="20">
    <w:nsid w:val="EE495AF6"/>
    <w:multiLevelType w:val="singleLevel"/>
    <w:tmpl w:val="EE495AF6"/>
    <w:lvl w:ilvl="0" w:tentative="0">
      <w:start w:val="1"/>
      <w:numFmt w:val="decimal"/>
      <w:suff w:val="nothing"/>
      <w:lvlText w:val="%1．"/>
      <w:lvlJc w:val="left"/>
      <w:pPr>
        <w:ind w:left="0" w:firstLine="400"/>
      </w:pPr>
      <w:rPr>
        <w:rFonts w:hint="default"/>
      </w:rPr>
    </w:lvl>
  </w:abstractNum>
  <w:abstractNum w:abstractNumId="21">
    <w:nsid w:val="F2E20D53"/>
    <w:multiLevelType w:val="singleLevel"/>
    <w:tmpl w:val="F2E20D53"/>
    <w:lvl w:ilvl="0" w:tentative="0">
      <w:start w:val="1"/>
      <w:numFmt w:val="decimal"/>
      <w:suff w:val="nothing"/>
      <w:lvlText w:val="%1．"/>
      <w:lvlJc w:val="left"/>
      <w:pPr>
        <w:ind w:left="0" w:firstLine="400"/>
      </w:pPr>
      <w:rPr>
        <w:rFonts w:hint="default"/>
      </w:rPr>
    </w:lvl>
  </w:abstractNum>
  <w:abstractNum w:abstractNumId="22">
    <w:nsid w:val="FE0CD8BA"/>
    <w:multiLevelType w:val="singleLevel"/>
    <w:tmpl w:val="FE0CD8BA"/>
    <w:lvl w:ilvl="0" w:tentative="0">
      <w:start w:val="1"/>
      <w:numFmt w:val="decimal"/>
      <w:suff w:val="nothing"/>
      <w:lvlText w:val="%1．"/>
      <w:lvlJc w:val="left"/>
      <w:pPr>
        <w:ind w:left="0" w:firstLine="400"/>
      </w:pPr>
      <w:rPr>
        <w:rFonts w:hint="default"/>
      </w:rPr>
    </w:lvl>
  </w:abstractNum>
  <w:abstractNum w:abstractNumId="23">
    <w:nsid w:val="FF8E5FC9"/>
    <w:multiLevelType w:val="singleLevel"/>
    <w:tmpl w:val="FF8E5FC9"/>
    <w:lvl w:ilvl="0" w:tentative="0">
      <w:start w:val="1"/>
      <w:numFmt w:val="decimal"/>
      <w:suff w:val="nothing"/>
      <w:lvlText w:val="%1．"/>
      <w:lvlJc w:val="left"/>
      <w:pPr>
        <w:ind w:firstLine="397"/>
      </w:pPr>
      <w:rPr>
        <w:rFonts w:hint="default"/>
      </w:rPr>
    </w:lvl>
  </w:abstractNum>
  <w:abstractNum w:abstractNumId="24">
    <w:nsid w:val="00000001"/>
    <w:multiLevelType w:val="singleLevel"/>
    <w:tmpl w:val="00000001"/>
    <w:lvl w:ilvl="0" w:tentative="0">
      <w:start w:val="1"/>
      <w:numFmt w:val="decimal"/>
      <w:suff w:val="nothing"/>
      <w:lvlText w:val="14.%1 "/>
      <w:lvlJc w:val="left"/>
      <w:pPr>
        <w:tabs>
          <w:tab w:val="left" w:pos="0"/>
        </w:tabs>
        <w:ind w:firstLine="40"/>
      </w:pPr>
      <w:rPr>
        <w:rFonts w:hint="default" w:ascii="宋体" w:hAnsi="宋体" w:eastAsia="宋体"/>
      </w:rPr>
    </w:lvl>
  </w:abstractNum>
  <w:abstractNum w:abstractNumId="25">
    <w:nsid w:val="00000002"/>
    <w:multiLevelType w:val="singleLevel"/>
    <w:tmpl w:val="00000002"/>
    <w:lvl w:ilvl="0" w:tentative="0">
      <w:start w:val="1"/>
      <w:numFmt w:val="chineseCounting"/>
      <w:suff w:val="nothing"/>
      <w:lvlText w:val="%1、"/>
      <w:lvlJc w:val="left"/>
      <w:rPr>
        <w:rFonts w:hint="eastAsia"/>
      </w:rPr>
    </w:lvl>
  </w:abstractNum>
  <w:abstractNum w:abstractNumId="26">
    <w:nsid w:val="00000003"/>
    <w:multiLevelType w:val="singleLevel"/>
    <w:tmpl w:val="00000003"/>
    <w:lvl w:ilvl="0" w:tentative="0">
      <w:start w:val="1"/>
      <w:numFmt w:val="chineseCounting"/>
      <w:suff w:val="nothing"/>
      <w:lvlText w:val="第%1条 "/>
      <w:lvlJc w:val="left"/>
      <w:pPr>
        <w:tabs>
          <w:tab w:val="left" w:pos="0"/>
        </w:tabs>
        <w:ind w:left="0" w:firstLine="397"/>
      </w:pPr>
      <w:rPr>
        <w:rFonts w:hint="eastAsia" w:ascii="宋体" w:hAnsi="宋体" w:eastAsia="宋体" w:cs="宋体"/>
      </w:rPr>
    </w:lvl>
  </w:abstractNum>
  <w:abstractNum w:abstractNumId="27">
    <w:nsid w:val="00000006"/>
    <w:multiLevelType w:val="singleLevel"/>
    <w:tmpl w:val="00000006"/>
    <w:lvl w:ilvl="0" w:tentative="0">
      <w:start w:val="1"/>
      <w:numFmt w:val="decimal"/>
      <w:suff w:val="nothing"/>
      <w:lvlText w:val="9.%1 "/>
      <w:lvlJc w:val="left"/>
      <w:pPr>
        <w:tabs>
          <w:tab w:val="left" w:pos="0"/>
        </w:tabs>
        <w:ind w:firstLine="40"/>
      </w:pPr>
      <w:rPr>
        <w:rFonts w:hint="default" w:ascii="宋体" w:hAnsi="宋体" w:eastAsia="宋体"/>
      </w:rPr>
    </w:lvl>
  </w:abstractNum>
  <w:abstractNum w:abstractNumId="28">
    <w:nsid w:val="00000007"/>
    <w:multiLevelType w:val="singleLevel"/>
    <w:tmpl w:val="00000007"/>
    <w:lvl w:ilvl="0" w:tentative="0">
      <w:start w:val="1"/>
      <w:numFmt w:val="decimalEnclosedCircleChinese"/>
      <w:suff w:val="nothing"/>
      <w:lvlText w:val="%1　"/>
      <w:lvlJc w:val="left"/>
      <w:pPr>
        <w:ind w:firstLine="397"/>
      </w:pPr>
      <w:rPr>
        <w:rFonts w:hint="eastAsia"/>
      </w:rPr>
    </w:lvl>
  </w:abstractNum>
  <w:abstractNum w:abstractNumId="29">
    <w:nsid w:val="00000009"/>
    <w:multiLevelType w:val="singleLevel"/>
    <w:tmpl w:val="00000009"/>
    <w:lvl w:ilvl="0" w:tentative="0">
      <w:start w:val="1"/>
      <w:numFmt w:val="decimalEnclosedCircleChinese"/>
      <w:suff w:val="nothing"/>
      <w:lvlText w:val="%1　"/>
      <w:lvlJc w:val="left"/>
      <w:pPr>
        <w:ind w:firstLine="1134"/>
      </w:pPr>
      <w:rPr>
        <w:rFonts w:hint="eastAsia"/>
      </w:rPr>
    </w:lvl>
  </w:abstractNum>
  <w:abstractNum w:abstractNumId="30">
    <w:nsid w:val="0000000A"/>
    <w:multiLevelType w:val="singleLevel"/>
    <w:tmpl w:val="0000000A"/>
    <w:lvl w:ilvl="0" w:tentative="0">
      <w:start w:val="4"/>
      <w:numFmt w:val="chineseCounting"/>
      <w:suff w:val="nothing"/>
      <w:lvlText w:val="%1、"/>
      <w:lvlJc w:val="left"/>
      <w:rPr>
        <w:rFonts w:hint="eastAsia"/>
      </w:rPr>
    </w:lvl>
  </w:abstractNum>
  <w:abstractNum w:abstractNumId="31">
    <w:nsid w:val="0000000C"/>
    <w:multiLevelType w:val="multilevel"/>
    <w:tmpl w:val="0000000C"/>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2">
    <w:nsid w:val="0000000D"/>
    <w:multiLevelType w:val="singleLevel"/>
    <w:tmpl w:val="0000000D"/>
    <w:lvl w:ilvl="0" w:tentative="0">
      <w:start w:val="1"/>
      <w:numFmt w:val="decimalEnclosedCircleChinese"/>
      <w:suff w:val="nothing"/>
      <w:lvlText w:val="%1　"/>
      <w:lvlJc w:val="left"/>
      <w:pPr>
        <w:ind w:firstLine="1134"/>
      </w:pPr>
      <w:rPr>
        <w:rFonts w:hint="eastAsia"/>
      </w:rPr>
    </w:lvl>
  </w:abstractNum>
  <w:abstractNum w:abstractNumId="33">
    <w:nsid w:val="0000000E"/>
    <w:multiLevelType w:val="singleLevel"/>
    <w:tmpl w:val="0000000E"/>
    <w:lvl w:ilvl="0" w:tentative="0">
      <w:start w:val="1"/>
      <w:numFmt w:val="decimal"/>
      <w:suff w:val="nothing"/>
      <w:lvlText w:val="%1．"/>
      <w:lvlJc w:val="left"/>
      <w:pPr>
        <w:ind w:firstLine="397"/>
      </w:pPr>
      <w:rPr>
        <w:rFonts w:hint="default"/>
      </w:rPr>
    </w:lvl>
  </w:abstractNum>
  <w:abstractNum w:abstractNumId="34">
    <w:nsid w:val="0000000F"/>
    <w:multiLevelType w:val="singleLevel"/>
    <w:tmpl w:val="0000000F"/>
    <w:lvl w:ilvl="0" w:tentative="0">
      <w:start w:val="1"/>
      <w:numFmt w:val="decimal"/>
      <w:suff w:val="nothing"/>
      <w:lvlText w:val="%1．"/>
      <w:lvlJc w:val="left"/>
      <w:pPr>
        <w:ind w:firstLine="397"/>
      </w:pPr>
      <w:rPr>
        <w:rFonts w:hint="default"/>
      </w:rPr>
    </w:lvl>
  </w:abstractNum>
  <w:abstractNum w:abstractNumId="35">
    <w:nsid w:val="00000021"/>
    <w:multiLevelType w:val="singleLevel"/>
    <w:tmpl w:val="00000021"/>
    <w:lvl w:ilvl="0" w:tentative="0">
      <w:start w:val="1"/>
      <w:numFmt w:val="decimal"/>
      <w:lvlText w:val="%1."/>
      <w:lvlJc w:val="left"/>
      <w:pPr>
        <w:tabs>
          <w:tab w:val="left" w:pos="312"/>
        </w:tabs>
      </w:pPr>
    </w:lvl>
  </w:abstractNum>
  <w:abstractNum w:abstractNumId="36">
    <w:nsid w:val="111BA3C1"/>
    <w:multiLevelType w:val="singleLevel"/>
    <w:tmpl w:val="111BA3C1"/>
    <w:lvl w:ilvl="0" w:tentative="0">
      <w:start w:val="1"/>
      <w:numFmt w:val="decimal"/>
      <w:suff w:val="nothing"/>
      <w:lvlText w:val="%1．"/>
      <w:lvlJc w:val="left"/>
      <w:pPr>
        <w:ind w:left="0" w:firstLine="400"/>
      </w:pPr>
      <w:rPr>
        <w:rFonts w:hint="default"/>
      </w:rPr>
    </w:lvl>
  </w:abstractNum>
  <w:abstractNum w:abstractNumId="37">
    <w:nsid w:val="1C8B4CC3"/>
    <w:multiLevelType w:val="singleLevel"/>
    <w:tmpl w:val="1C8B4CC3"/>
    <w:lvl w:ilvl="0" w:tentative="0">
      <w:start w:val="1"/>
      <w:numFmt w:val="decimal"/>
      <w:suff w:val="nothing"/>
      <w:lvlText w:val="%1．"/>
      <w:lvlJc w:val="left"/>
      <w:pPr>
        <w:ind w:left="0" w:firstLine="400"/>
      </w:pPr>
      <w:rPr>
        <w:rFonts w:hint="default"/>
      </w:rPr>
    </w:lvl>
  </w:abstractNum>
  <w:abstractNum w:abstractNumId="38">
    <w:nsid w:val="214BB253"/>
    <w:multiLevelType w:val="singleLevel"/>
    <w:tmpl w:val="214BB253"/>
    <w:lvl w:ilvl="0" w:tentative="0">
      <w:start w:val="1"/>
      <w:numFmt w:val="decimal"/>
      <w:suff w:val="nothing"/>
      <w:lvlText w:val="%1．"/>
      <w:lvlJc w:val="left"/>
      <w:pPr>
        <w:ind w:left="0" w:firstLine="400"/>
      </w:pPr>
      <w:rPr>
        <w:rFonts w:hint="default"/>
      </w:rPr>
    </w:lvl>
  </w:abstractNum>
  <w:abstractNum w:abstractNumId="39">
    <w:nsid w:val="2C5917C3"/>
    <w:multiLevelType w:val="multilevel"/>
    <w:tmpl w:val="2C5917C3"/>
    <w:lvl w:ilvl="0" w:tentative="0">
      <w:start w:val="1"/>
      <w:numFmt w:val="none"/>
      <w:suff w:val="nothing"/>
      <w:lvlText w:val="%1——"/>
      <w:lvlJc w:val="left"/>
      <w:pPr>
        <w:ind w:left="3348"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pStyle w:val="46"/>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0">
    <w:nsid w:val="2CB5CD65"/>
    <w:multiLevelType w:val="singleLevel"/>
    <w:tmpl w:val="2CB5CD65"/>
    <w:lvl w:ilvl="0" w:tentative="0">
      <w:start w:val="1"/>
      <w:numFmt w:val="decimal"/>
      <w:suff w:val="nothing"/>
      <w:lvlText w:val="%1．"/>
      <w:lvlJc w:val="left"/>
      <w:pPr>
        <w:ind w:left="0" w:firstLine="400"/>
      </w:pPr>
      <w:rPr>
        <w:rFonts w:hint="default"/>
      </w:rPr>
    </w:lvl>
  </w:abstractNum>
  <w:abstractNum w:abstractNumId="41">
    <w:nsid w:val="37C4C3D4"/>
    <w:multiLevelType w:val="singleLevel"/>
    <w:tmpl w:val="37C4C3D4"/>
    <w:lvl w:ilvl="0" w:tentative="0">
      <w:start w:val="1"/>
      <w:numFmt w:val="decimal"/>
      <w:suff w:val="nothing"/>
      <w:lvlText w:val="%1．"/>
      <w:lvlJc w:val="left"/>
      <w:pPr>
        <w:ind w:left="0" w:firstLine="400"/>
      </w:pPr>
      <w:rPr>
        <w:rFonts w:hint="default"/>
      </w:rPr>
    </w:lvl>
  </w:abstractNum>
  <w:abstractNum w:abstractNumId="42">
    <w:nsid w:val="3AFDAC36"/>
    <w:multiLevelType w:val="multilevel"/>
    <w:tmpl w:val="3AFDAC36"/>
    <w:lvl w:ilvl="0" w:tentative="0">
      <w:start w:val="1"/>
      <w:numFmt w:val="chineseCountingThousand"/>
      <w:suff w:val="nothing"/>
      <w:lvlText w:val="第%1章 "/>
      <w:lvlJc w:val="left"/>
      <w:rPr>
        <w:rFonts w:hint="eastAsia" w:cs="Times New Roman"/>
      </w:rPr>
    </w:lvl>
    <w:lvl w:ilvl="1" w:tentative="0">
      <w:start w:val="1"/>
      <w:numFmt w:val="decimal"/>
      <w:isLgl/>
      <w:lvlText w:val="%1.%2"/>
      <w:lvlJc w:val="left"/>
      <w:rPr>
        <w:rFonts w:hint="eastAsia" w:ascii="黑体" w:hAnsi="黑体" w:eastAsia="黑体" w:cs="Times New Roman"/>
        <w:sz w:val="32"/>
        <w:szCs w:val="32"/>
      </w:rPr>
    </w:lvl>
    <w:lvl w:ilvl="2" w:tentative="0">
      <w:start w:val="1"/>
      <w:numFmt w:val="decimal"/>
      <w:isLgl/>
      <w:lvlText w:val="%1.%2.%3."/>
      <w:lvlJc w:val="left"/>
      <w:rPr>
        <w:rFonts w:hint="eastAsia" w:ascii="黑体" w:hAnsi="黑体" w:eastAsia="黑体" w:cs="Times New Roman"/>
      </w:rPr>
    </w:lvl>
    <w:lvl w:ilvl="3" w:tentative="0">
      <w:start w:val="1"/>
      <w:numFmt w:val="decimal"/>
      <w:isLgl/>
      <w:lvlText w:val="%1.%2.%3.%4."/>
      <w:lvlJc w:val="left"/>
      <w:rPr>
        <w:rFonts w:hint="eastAsia" w:ascii="宋体" w:hAnsi="宋体" w:eastAsia="宋体" w:cs="Times New Roman"/>
      </w:rPr>
    </w:lvl>
    <w:lvl w:ilvl="4" w:tentative="0">
      <w:start w:val="1"/>
      <w:numFmt w:val="decimal"/>
      <w:isLgl/>
      <w:lvlText w:val="%1.%2.%3.%4.%5."/>
      <w:lvlJc w:val="left"/>
      <w:rPr>
        <w:rFonts w:hint="eastAsia" w:cs="Times New Roman"/>
        <w:b/>
        <w:bCs w:val="0"/>
        <w:i w:val="0"/>
        <w:iCs w:val="0"/>
        <w:caps w:val="0"/>
        <w:smallCaps w:val="0"/>
        <w:strike w:val="0"/>
        <w:dstrike w:val="0"/>
        <w:vanish w:val="0"/>
        <w:spacing w:val="0"/>
        <w:position w:val="0"/>
        <w:u w:val="none"/>
        <w:vertAlign w:val="baseline"/>
      </w:rPr>
    </w:lvl>
    <w:lvl w:ilvl="5" w:tentative="0">
      <w:start w:val="1"/>
      <w:numFmt w:val="decimal"/>
      <w:pStyle w:val="6"/>
      <w:isLgl/>
      <w:lvlText w:val="%1.%2.%3.%4.%5.%6."/>
      <w:lvlJc w:val="left"/>
    </w:lvl>
    <w:lvl w:ilvl="6" w:tentative="0">
      <w:start w:val="1"/>
      <w:numFmt w:val="decimal"/>
      <w:isLgl/>
      <w:lvlText w:val="%1.%2.%3.%4.%5.%6.%7"/>
      <w:lvlJc w:val="left"/>
      <w:rPr>
        <w:rFonts w:hint="eastAsia" w:cs="Times New Roman"/>
      </w:rPr>
    </w:lvl>
    <w:lvl w:ilvl="7" w:tentative="0">
      <w:start w:val="1"/>
      <w:numFmt w:val="decimal"/>
      <w:isLgl/>
      <w:lvlText w:val="%1.%2.%3.%4.%5.%6.%7.%8."/>
      <w:lvlJc w:val="left"/>
      <w:rPr>
        <w:rFonts w:cs="Times New Roman"/>
        <w:b/>
        <w:bCs w:val="0"/>
        <w:i w:val="0"/>
        <w:iCs w:val="0"/>
        <w:caps w:val="0"/>
        <w:smallCaps w:val="0"/>
        <w:strike w:val="0"/>
        <w:dstrike w:val="0"/>
        <w:vanish w:val="0"/>
        <w:spacing w:val="0"/>
        <w:position w:val="0"/>
        <w:u w:val="none"/>
        <w:vertAlign w:val="baseline"/>
      </w:rPr>
    </w:lvl>
    <w:lvl w:ilvl="8" w:tentative="0">
      <w:start w:val="1"/>
      <w:numFmt w:val="decimal"/>
      <w:isLgl/>
      <w:lvlText w:val="%1.%2.%3.%4.%5.%6.%7.%8.%9."/>
      <w:lvlJc w:val="left"/>
      <w:rPr>
        <w:rFonts w:hint="eastAsia" w:ascii="宋体" w:hAnsi="宋体" w:eastAsia="宋体" w:cs="Times New Roman"/>
      </w:rPr>
    </w:lvl>
  </w:abstractNum>
  <w:abstractNum w:abstractNumId="43">
    <w:nsid w:val="3C36EC9A"/>
    <w:multiLevelType w:val="singleLevel"/>
    <w:tmpl w:val="3C36EC9A"/>
    <w:lvl w:ilvl="0" w:tentative="0">
      <w:start w:val="1"/>
      <w:numFmt w:val="decimalEnclosedCircleChinese"/>
      <w:suff w:val="nothing"/>
      <w:lvlText w:val="%1　"/>
      <w:lvlJc w:val="left"/>
      <w:pPr>
        <w:ind w:left="0" w:firstLine="400"/>
      </w:pPr>
      <w:rPr>
        <w:rFonts w:hint="eastAsia"/>
      </w:rPr>
    </w:lvl>
  </w:abstractNum>
  <w:abstractNum w:abstractNumId="44">
    <w:nsid w:val="422C6F4B"/>
    <w:multiLevelType w:val="singleLevel"/>
    <w:tmpl w:val="422C6F4B"/>
    <w:lvl w:ilvl="0" w:tentative="0">
      <w:start w:val="1"/>
      <w:numFmt w:val="chineseCounting"/>
      <w:suff w:val="nothing"/>
      <w:lvlText w:val="（%1）"/>
      <w:lvlJc w:val="left"/>
      <w:rPr>
        <w:rFonts w:hint="eastAsia"/>
      </w:rPr>
    </w:lvl>
  </w:abstractNum>
  <w:abstractNum w:abstractNumId="45">
    <w:nsid w:val="426E64D8"/>
    <w:multiLevelType w:val="singleLevel"/>
    <w:tmpl w:val="426E64D8"/>
    <w:lvl w:ilvl="0" w:tentative="0">
      <w:start w:val="1"/>
      <w:numFmt w:val="chineseCounting"/>
      <w:suff w:val="nothing"/>
      <w:lvlText w:val="%1、"/>
      <w:lvlJc w:val="left"/>
      <w:pPr>
        <w:ind w:left="0" w:firstLine="420"/>
      </w:pPr>
      <w:rPr>
        <w:rFonts w:hint="eastAsia"/>
      </w:rPr>
    </w:lvl>
  </w:abstractNum>
  <w:abstractNum w:abstractNumId="46">
    <w:nsid w:val="438B5F3B"/>
    <w:multiLevelType w:val="singleLevel"/>
    <w:tmpl w:val="438B5F3B"/>
    <w:lvl w:ilvl="0" w:tentative="0">
      <w:start w:val="1"/>
      <w:numFmt w:val="decimal"/>
      <w:lvlText w:val="(%1)"/>
      <w:lvlJc w:val="left"/>
      <w:pPr>
        <w:ind w:left="425" w:hanging="425"/>
      </w:pPr>
      <w:rPr>
        <w:rFonts w:hint="default"/>
      </w:rPr>
    </w:lvl>
  </w:abstractNum>
  <w:abstractNum w:abstractNumId="47">
    <w:nsid w:val="57368EEB"/>
    <w:multiLevelType w:val="singleLevel"/>
    <w:tmpl w:val="57368EEB"/>
    <w:lvl w:ilvl="0" w:tentative="0">
      <w:start w:val="1"/>
      <w:numFmt w:val="chineseCounting"/>
      <w:suff w:val="nothing"/>
      <w:lvlText w:val="（%1）"/>
      <w:lvlJc w:val="left"/>
      <w:rPr>
        <w:rFonts w:hint="eastAsia"/>
      </w:rPr>
    </w:lvl>
  </w:abstractNum>
  <w:abstractNum w:abstractNumId="48">
    <w:nsid w:val="57D0AADC"/>
    <w:multiLevelType w:val="singleLevel"/>
    <w:tmpl w:val="57D0AADC"/>
    <w:lvl w:ilvl="0" w:tentative="0">
      <w:start w:val="1"/>
      <w:numFmt w:val="decimal"/>
      <w:suff w:val="nothing"/>
      <w:lvlText w:val="%1．"/>
      <w:lvlJc w:val="left"/>
      <w:pPr>
        <w:ind w:left="0" w:firstLine="400"/>
      </w:pPr>
      <w:rPr>
        <w:rFonts w:hint="default"/>
      </w:rPr>
    </w:lvl>
  </w:abstractNum>
  <w:abstractNum w:abstractNumId="49">
    <w:nsid w:val="596C8DC9"/>
    <w:multiLevelType w:val="singleLevel"/>
    <w:tmpl w:val="596C8DC9"/>
    <w:lvl w:ilvl="0" w:tentative="0">
      <w:start w:val="1"/>
      <w:numFmt w:val="decimal"/>
      <w:suff w:val="nothing"/>
      <w:lvlText w:val="%1．"/>
      <w:lvlJc w:val="left"/>
      <w:pPr>
        <w:ind w:left="0" w:firstLine="400"/>
      </w:pPr>
      <w:rPr>
        <w:rFonts w:hint="default"/>
      </w:rPr>
    </w:lvl>
  </w:abstractNum>
  <w:abstractNum w:abstractNumId="50">
    <w:nsid w:val="5A9A272F"/>
    <w:multiLevelType w:val="singleLevel"/>
    <w:tmpl w:val="5A9A272F"/>
    <w:lvl w:ilvl="0" w:tentative="0">
      <w:start w:val="1"/>
      <w:numFmt w:val="decimalEnclosedCircleChinese"/>
      <w:suff w:val="nothing"/>
      <w:lvlText w:val="%1　"/>
      <w:lvlJc w:val="left"/>
      <w:pPr>
        <w:ind w:left="0" w:firstLine="400"/>
      </w:pPr>
      <w:rPr>
        <w:rFonts w:hint="eastAsia"/>
      </w:rPr>
    </w:lvl>
  </w:abstractNum>
  <w:abstractNum w:abstractNumId="51">
    <w:nsid w:val="5DC45DD7"/>
    <w:multiLevelType w:val="singleLevel"/>
    <w:tmpl w:val="5DC45DD7"/>
    <w:lvl w:ilvl="0" w:tentative="0">
      <w:start w:val="1"/>
      <w:numFmt w:val="decimal"/>
      <w:suff w:val="nothing"/>
      <w:lvlText w:val="%1．"/>
      <w:lvlJc w:val="left"/>
      <w:pPr>
        <w:ind w:left="0" w:firstLine="400"/>
      </w:pPr>
      <w:rPr>
        <w:rFonts w:hint="default"/>
      </w:rPr>
    </w:lvl>
  </w:abstractNum>
  <w:abstractNum w:abstractNumId="52">
    <w:nsid w:val="616EDD34"/>
    <w:multiLevelType w:val="singleLevel"/>
    <w:tmpl w:val="616EDD34"/>
    <w:lvl w:ilvl="0" w:tentative="0">
      <w:start w:val="1"/>
      <w:numFmt w:val="decimal"/>
      <w:suff w:val="nothing"/>
      <w:lvlText w:val="%1．"/>
      <w:lvlJc w:val="left"/>
      <w:pPr>
        <w:ind w:left="0" w:firstLine="400"/>
      </w:pPr>
      <w:rPr>
        <w:rFonts w:hint="default"/>
      </w:rPr>
    </w:lvl>
  </w:abstractNum>
  <w:abstractNum w:abstractNumId="53">
    <w:nsid w:val="770A391A"/>
    <w:multiLevelType w:val="singleLevel"/>
    <w:tmpl w:val="770A391A"/>
    <w:lvl w:ilvl="0" w:tentative="0">
      <w:start w:val="1"/>
      <w:numFmt w:val="chineseCounting"/>
      <w:suff w:val="nothing"/>
      <w:lvlText w:val="%1、"/>
      <w:lvlJc w:val="left"/>
      <w:pPr>
        <w:ind w:left="0" w:firstLine="420"/>
      </w:pPr>
      <w:rPr>
        <w:rFonts w:hint="eastAsia"/>
      </w:rPr>
    </w:lvl>
  </w:abstractNum>
  <w:abstractNum w:abstractNumId="54">
    <w:nsid w:val="7B684E54"/>
    <w:multiLevelType w:val="singleLevel"/>
    <w:tmpl w:val="7B684E54"/>
    <w:lvl w:ilvl="0" w:tentative="0">
      <w:start w:val="1"/>
      <w:numFmt w:val="decimalEnclosedCircleChinese"/>
      <w:suff w:val="nothing"/>
      <w:lvlText w:val="%1　"/>
      <w:lvlJc w:val="left"/>
      <w:pPr>
        <w:ind w:left="0" w:firstLine="400"/>
      </w:pPr>
      <w:rPr>
        <w:rFonts w:hint="eastAsia"/>
      </w:rPr>
    </w:lvl>
  </w:abstractNum>
  <w:num w:numId="1">
    <w:abstractNumId w:val="31"/>
  </w:num>
  <w:num w:numId="2">
    <w:abstractNumId w:val="42"/>
  </w:num>
  <w:num w:numId="3">
    <w:abstractNumId w:val="39"/>
  </w:num>
  <w:num w:numId="4">
    <w:abstractNumId w:val="23"/>
  </w:num>
  <w:num w:numId="5">
    <w:abstractNumId w:val="33"/>
  </w:num>
  <w:num w:numId="6">
    <w:abstractNumId w:val="28"/>
  </w:num>
  <w:num w:numId="7">
    <w:abstractNumId w:val="34"/>
  </w:num>
  <w:num w:numId="8">
    <w:abstractNumId w:val="10"/>
  </w:num>
  <w:num w:numId="9">
    <w:abstractNumId w:val="27"/>
  </w:num>
  <w:num w:numId="10">
    <w:abstractNumId w:val="32"/>
  </w:num>
  <w:num w:numId="11">
    <w:abstractNumId w:val="43"/>
  </w:num>
  <w:num w:numId="12">
    <w:abstractNumId w:val="24"/>
  </w:num>
  <w:num w:numId="13">
    <w:abstractNumId w:val="29"/>
  </w:num>
  <w:num w:numId="14">
    <w:abstractNumId w:val="4"/>
  </w:num>
  <w:num w:numId="15">
    <w:abstractNumId w:val="44"/>
  </w:num>
  <w:num w:numId="16">
    <w:abstractNumId w:val="37"/>
  </w:num>
  <w:num w:numId="17">
    <w:abstractNumId w:val="51"/>
  </w:num>
  <w:num w:numId="18">
    <w:abstractNumId w:val="12"/>
  </w:num>
  <w:num w:numId="19">
    <w:abstractNumId w:val="16"/>
  </w:num>
  <w:num w:numId="20">
    <w:abstractNumId w:val="17"/>
  </w:num>
  <w:num w:numId="21">
    <w:abstractNumId w:val="36"/>
  </w:num>
  <w:num w:numId="22">
    <w:abstractNumId w:val="48"/>
  </w:num>
  <w:num w:numId="23">
    <w:abstractNumId w:val="13"/>
  </w:num>
  <w:num w:numId="24">
    <w:abstractNumId w:val="41"/>
  </w:num>
  <w:num w:numId="25">
    <w:abstractNumId w:val="53"/>
  </w:num>
  <w:num w:numId="26">
    <w:abstractNumId w:val="14"/>
  </w:num>
  <w:num w:numId="27">
    <w:abstractNumId w:val="38"/>
  </w:num>
  <w:num w:numId="28">
    <w:abstractNumId w:val="45"/>
  </w:num>
  <w:num w:numId="29">
    <w:abstractNumId w:val="25"/>
  </w:num>
  <w:num w:numId="30">
    <w:abstractNumId w:val="30"/>
  </w:num>
  <w:num w:numId="31">
    <w:abstractNumId w:val="26"/>
  </w:num>
  <w:num w:numId="32">
    <w:abstractNumId w:val="47"/>
  </w:num>
  <w:num w:numId="33">
    <w:abstractNumId w:val="20"/>
  </w:num>
  <w:num w:numId="34">
    <w:abstractNumId w:val="0"/>
  </w:num>
  <w:num w:numId="35">
    <w:abstractNumId w:val="7"/>
  </w:num>
  <w:num w:numId="36">
    <w:abstractNumId w:val="19"/>
  </w:num>
  <w:num w:numId="37">
    <w:abstractNumId w:val="49"/>
  </w:num>
  <w:num w:numId="38">
    <w:abstractNumId w:val="21"/>
  </w:num>
  <w:num w:numId="39">
    <w:abstractNumId w:val="6"/>
  </w:num>
  <w:num w:numId="40">
    <w:abstractNumId w:val="11"/>
  </w:num>
  <w:num w:numId="41">
    <w:abstractNumId w:val="18"/>
  </w:num>
  <w:num w:numId="42">
    <w:abstractNumId w:val="3"/>
  </w:num>
  <w:num w:numId="43">
    <w:abstractNumId w:val="52"/>
  </w:num>
  <w:num w:numId="44">
    <w:abstractNumId w:val="40"/>
  </w:num>
  <w:num w:numId="45">
    <w:abstractNumId w:val="50"/>
  </w:num>
  <w:num w:numId="46">
    <w:abstractNumId w:val="22"/>
  </w:num>
  <w:num w:numId="47">
    <w:abstractNumId w:val="5"/>
  </w:num>
  <w:num w:numId="48">
    <w:abstractNumId w:val="15"/>
  </w:num>
  <w:num w:numId="49">
    <w:abstractNumId w:val="8"/>
  </w:num>
  <w:num w:numId="50">
    <w:abstractNumId w:val="1"/>
  </w:num>
  <w:num w:numId="51">
    <w:abstractNumId w:val="9"/>
  </w:num>
  <w:num w:numId="52">
    <w:abstractNumId w:val="35"/>
  </w:num>
  <w:num w:numId="53">
    <w:abstractNumId w:val="54"/>
  </w:num>
  <w:num w:numId="54">
    <w:abstractNumId w:val="2"/>
  </w:num>
  <w:num w:numId="5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HorizontalSpacing w:val="10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WZmZGFmYmVhODdhMTc5OTRiNzc0MWQwMGQwMjAifQ=="/>
  </w:docVars>
  <w:rsids>
    <w:rsidRoot w:val="009238AE"/>
    <w:rsid w:val="00005CCA"/>
    <w:rsid w:val="000203FD"/>
    <w:rsid w:val="00024E8A"/>
    <w:rsid w:val="0006698C"/>
    <w:rsid w:val="0007016B"/>
    <w:rsid w:val="00085977"/>
    <w:rsid w:val="000A118A"/>
    <w:rsid w:val="000A79C7"/>
    <w:rsid w:val="000B3ED2"/>
    <w:rsid w:val="000E253D"/>
    <w:rsid w:val="00104083"/>
    <w:rsid w:val="0011189F"/>
    <w:rsid w:val="0015334C"/>
    <w:rsid w:val="00155EC9"/>
    <w:rsid w:val="00162F4F"/>
    <w:rsid w:val="001B53CA"/>
    <w:rsid w:val="001C462B"/>
    <w:rsid w:val="0020596C"/>
    <w:rsid w:val="00241844"/>
    <w:rsid w:val="0026130D"/>
    <w:rsid w:val="0028336A"/>
    <w:rsid w:val="00284BAC"/>
    <w:rsid w:val="002C77B0"/>
    <w:rsid w:val="002D0F58"/>
    <w:rsid w:val="003027E9"/>
    <w:rsid w:val="00303700"/>
    <w:rsid w:val="0032770A"/>
    <w:rsid w:val="003410EC"/>
    <w:rsid w:val="00370C7E"/>
    <w:rsid w:val="003A688A"/>
    <w:rsid w:val="003B0FBD"/>
    <w:rsid w:val="003D0404"/>
    <w:rsid w:val="003E654D"/>
    <w:rsid w:val="00421375"/>
    <w:rsid w:val="00440364"/>
    <w:rsid w:val="00443541"/>
    <w:rsid w:val="00444CA1"/>
    <w:rsid w:val="0044577A"/>
    <w:rsid w:val="00451447"/>
    <w:rsid w:val="004762C8"/>
    <w:rsid w:val="0047670C"/>
    <w:rsid w:val="0048177D"/>
    <w:rsid w:val="004E31A0"/>
    <w:rsid w:val="004F00E1"/>
    <w:rsid w:val="004F5BEC"/>
    <w:rsid w:val="00505860"/>
    <w:rsid w:val="00515DC6"/>
    <w:rsid w:val="00521AD2"/>
    <w:rsid w:val="005672F4"/>
    <w:rsid w:val="005A38CC"/>
    <w:rsid w:val="005B4B0B"/>
    <w:rsid w:val="005C4CFE"/>
    <w:rsid w:val="005C7898"/>
    <w:rsid w:val="006125B2"/>
    <w:rsid w:val="00637E3F"/>
    <w:rsid w:val="00664F5E"/>
    <w:rsid w:val="00697B9C"/>
    <w:rsid w:val="006D79B5"/>
    <w:rsid w:val="00702E43"/>
    <w:rsid w:val="00705638"/>
    <w:rsid w:val="00715EF9"/>
    <w:rsid w:val="00716322"/>
    <w:rsid w:val="00723887"/>
    <w:rsid w:val="007455BE"/>
    <w:rsid w:val="00754D5C"/>
    <w:rsid w:val="0078092C"/>
    <w:rsid w:val="00796F9A"/>
    <w:rsid w:val="007B2EAC"/>
    <w:rsid w:val="007B3B5A"/>
    <w:rsid w:val="007D144C"/>
    <w:rsid w:val="00802745"/>
    <w:rsid w:val="00845C29"/>
    <w:rsid w:val="008578AA"/>
    <w:rsid w:val="00867CCF"/>
    <w:rsid w:val="00873316"/>
    <w:rsid w:val="0087730C"/>
    <w:rsid w:val="0088699A"/>
    <w:rsid w:val="008B3887"/>
    <w:rsid w:val="008C5044"/>
    <w:rsid w:val="008C72CC"/>
    <w:rsid w:val="008E34EF"/>
    <w:rsid w:val="009050C0"/>
    <w:rsid w:val="009238AE"/>
    <w:rsid w:val="009443F5"/>
    <w:rsid w:val="00981653"/>
    <w:rsid w:val="00994F88"/>
    <w:rsid w:val="009D13B3"/>
    <w:rsid w:val="009E2834"/>
    <w:rsid w:val="00A1456B"/>
    <w:rsid w:val="00A15D82"/>
    <w:rsid w:val="00A230E7"/>
    <w:rsid w:val="00A56072"/>
    <w:rsid w:val="00A82D20"/>
    <w:rsid w:val="00A830A7"/>
    <w:rsid w:val="00A87EB2"/>
    <w:rsid w:val="00A97C7C"/>
    <w:rsid w:val="00AC29B4"/>
    <w:rsid w:val="00AE4A15"/>
    <w:rsid w:val="00B023F7"/>
    <w:rsid w:val="00B07915"/>
    <w:rsid w:val="00B248A9"/>
    <w:rsid w:val="00B2593F"/>
    <w:rsid w:val="00B7326F"/>
    <w:rsid w:val="00BD7BC2"/>
    <w:rsid w:val="00BF24EF"/>
    <w:rsid w:val="00BF782E"/>
    <w:rsid w:val="00C071E7"/>
    <w:rsid w:val="00C53929"/>
    <w:rsid w:val="00C62746"/>
    <w:rsid w:val="00C665DD"/>
    <w:rsid w:val="00C66A5A"/>
    <w:rsid w:val="00C82A9E"/>
    <w:rsid w:val="00C93B35"/>
    <w:rsid w:val="00CA05DC"/>
    <w:rsid w:val="00CA116E"/>
    <w:rsid w:val="00CB6D03"/>
    <w:rsid w:val="00CD0983"/>
    <w:rsid w:val="00D1074B"/>
    <w:rsid w:val="00D1598B"/>
    <w:rsid w:val="00D32FE0"/>
    <w:rsid w:val="00D40FE2"/>
    <w:rsid w:val="00D84DC1"/>
    <w:rsid w:val="00DA33C7"/>
    <w:rsid w:val="00DD2C96"/>
    <w:rsid w:val="00DD70BA"/>
    <w:rsid w:val="00DF7FAD"/>
    <w:rsid w:val="00E17F8F"/>
    <w:rsid w:val="00E759DE"/>
    <w:rsid w:val="00E8363E"/>
    <w:rsid w:val="00E863FE"/>
    <w:rsid w:val="00E877D2"/>
    <w:rsid w:val="00EA0CE7"/>
    <w:rsid w:val="00EF3768"/>
    <w:rsid w:val="00F031A7"/>
    <w:rsid w:val="00F11E73"/>
    <w:rsid w:val="00F37C15"/>
    <w:rsid w:val="00F40FD7"/>
    <w:rsid w:val="00F41FDC"/>
    <w:rsid w:val="00F66B7B"/>
    <w:rsid w:val="00F907CF"/>
    <w:rsid w:val="01042CD0"/>
    <w:rsid w:val="012810B4"/>
    <w:rsid w:val="012D1043"/>
    <w:rsid w:val="02271F96"/>
    <w:rsid w:val="024359DB"/>
    <w:rsid w:val="02441F1E"/>
    <w:rsid w:val="02FC45A7"/>
    <w:rsid w:val="03016292"/>
    <w:rsid w:val="03174F3D"/>
    <w:rsid w:val="034877EC"/>
    <w:rsid w:val="03642447"/>
    <w:rsid w:val="03D47D51"/>
    <w:rsid w:val="03D90444"/>
    <w:rsid w:val="040218DF"/>
    <w:rsid w:val="045A1585"/>
    <w:rsid w:val="04932222"/>
    <w:rsid w:val="04D255BF"/>
    <w:rsid w:val="04F331A7"/>
    <w:rsid w:val="0574114A"/>
    <w:rsid w:val="057E7B05"/>
    <w:rsid w:val="05812B41"/>
    <w:rsid w:val="058D5735"/>
    <w:rsid w:val="05A6204A"/>
    <w:rsid w:val="05BB42A5"/>
    <w:rsid w:val="06096508"/>
    <w:rsid w:val="067249C1"/>
    <w:rsid w:val="068D59DC"/>
    <w:rsid w:val="06B07B82"/>
    <w:rsid w:val="06B17E8C"/>
    <w:rsid w:val="06EE4206"/>
    <w:rsid w:val="06FD4A88"/>
    <w:rsid w:val="071E4020"/>
    <w:rsid w:val="0750564C"/>
    <w:rsid w:val="076A3D53"/>
    <w:rsid w:val="0788780A"/>
    <w:rsid w:val="07C37EEE"/>
    <w:rsid w:val="07D07BCF"/>
    <w:rsid w:val="07E8334B"/>
    <w:rsid w:val="07FCB73D"/>
    <w:rsid w:val="084D079F"/>
    <w:rsid w:val="0857273B"/>
    <w:rsid w:val="08A76D63"/>
    <w:rsid w:val="093A1985"/>
    <w:rsid w:val="095C7F3B"/>
    <w:rsid w:val="09CB082F"/>
    <w:rsid w:val="0A6D18E6"/>
    <w:rsid w:val="0A785CAB"/>
    <w:rsid w:val="0A7D68CB"/>
    <w:rsid w:val="0AB319EF"/>
    <w:rsid w:val="0AED4CFD"/>
    <w:rsid w:val="0B21451D"/>
    <w:rsid w:val="0B6A06C6"/>
    <w:rsid w:val="0B7A210F"/>
    <w:rsid w:val="0BE64C58"/>
    <w:rsid w:val="0C0B63CE"/>
    <w:rsid w:val="0C1B4CBB"/>
    <w:rsid w:val="0C2C0801"/>
    <w:rsid w:val="0C2C7CAB"/>
    <w:rsid w:val="0C545B8F"/>
    <w:rsid w:val="0C5F0057"/>
    <w:rsid w:val="0C721436"/>
    <w:rsid w:val="0C7E427E"/>
    <w:rsid w:val="0C8C1A61"/>
    <w:rsid w:val="0C947E70"/>
    <w:rsid w:val="0C9A4863"/>
    <w:rsid w:val="0CAE4DB1"/>
    <w:rsid w:val="0CBD462B"/>
    <w:rsid w:val="0D3249B2"/>
    <w:rsid w:val="0D330BC5"/>
    <w:rsid w:val="0D505C1B"/>
    <w:rsid w:val="0DAA38D5"/>
    <w:rsid w:val="0DE325EB"/>
    <w:rsid w:val="0E8C2C83"/>
    <w:rsid w:val="0F1267DA"/>
    <w:rsid w:val="0F1669F0"/>
    <w:rsid w:val="0F276507"/>
    <w:rsid w:val="0F3A448D"/>
    <w:rsid w:val="0F5F1F10"/>
    <w:rsid w:val="0F5F2068"/>
    <w:rsid w:val="0FBA06D1"/>
    <w:rsid w:val="0FBF2BE4"/>
    <w:rsid w:val="10264A11"/>
    <w:rsid w:val="10345524"/>
    <w:rsid w:val="107B4FAC"/>
    <w:rsid w:val="10833C11"/>
    <w:rsid w:val="10CE27F7"/>
    <w:rsid w:val="10DA3734"/>
    <w:rsid w:val="10E93D4E"/>
    <w:rsid w:val="10F6581D"/>
    <w:rsid w:val="11230CF7"/>
    <w:rsid w:val="11330EB6"/>
    <w:rsid w:val="1134195C"/>
    <w:rsid w:val="11610104"/>
    <w:rsid w:val="11643A43"/>
    <w:rsid w:val="117D2D56"/>
    <w:rsid w:val="119A66C4"/>
    <w:rsid w:val="11A32626"/>
    <w:rsid w:val="11A752F3"/>
    <w:rsid w:val="11B06C88"/>
    <w:rsid w:val="11C664AC"/>
    <w:rsid w:val="11CD3FC1"/>
    <w:rsid w:val="11EB7CC0"/>
    <w:rsid w:val="12125B6C"/>
    <w:rsid w:val="12136E27"/>
    <w:rsid w:val="12744159"/>
    <w:rsid w:val="12DC585B"/>
    <w:rsid w:val="12F820F0"/>
    <w:rsid w:val="133D454B"/>
    <w:rsid w:val="134F021D"/>
    <w:rsid w:val="13A55A1C"/>
    <w:rsid w:val="13AF07C8"/>
    <w:rsid w:val="13E9022F"/>
    <w:rsid w:val="13FB7F63"/>
    <w:rsid w:val="144B682A"/>
    <w:rsid w:val="14557FE0"/>
    <w:rsid w:val="145853B5"/>
    <w:rsid w:val="14834B75"/>
    <w:rsid w:val="14BF2C3D"/>
    <w:rsid w:val="14D233B9"/>
    <w:rsid w:val="14EC447B"/>
    <w:rsid w:val="14F00684"/>
    <w:rsid w:val="15246428"/>
    <w:rsid w:val="153638BB"/>
    <w:rsid w:val="15380EE2"/>
    <w:rsid w:val="15542020"/>
    <w:rsid w:val="156D4E90"/>
    <w:rsid w:val="15855928"/>
    <w:rsid w:val="15D1043A"/>
    <w:rsid w:val="15E16D29"/>
    <w:rsid w:val="15E4299E"/>
    <w:rsid w:val="163065E9"/>
    <w:rsid w:val="16333208"/>
    <w:rsid w:val="163A0A31"/>
    <w:rsid w:val="16BD6150"/>
    <w:rsid w:val="17003EBE"/>
    <w:rsid w:val="177E0A01"/>
    <w:rsid w:val="178076FA"/>
    <w:rsid w:val="17E418A4"/>
    <w:rsid w:val="17EE5A5B"/>
    <w:rsid w:val="18502096"/>
    <w:rsid w:val="18C6191C"/>
    <w:rsid w:val="190B5099"/>
    <w:rsid w:val="19304397"/>
    <w:rsid w:val="19375EE1"/>
    <w:rsid w:val="19406B43"/>
    <w:rsid w:val="195F21A6"/>
    <w:rsid w:val="19697EAD"/>
    <w:rsid w:val="198A6011"/>
    <w:rsid w:val="19AC7D2F"/>
    <w:rsid w:val="19CC78DF"/>
    <w:rsid w:val="19D246EC"/>
    <w:rsid w:val="19DF16C9"/>
    <w:rsid w:val="19FB0881"/>
    <w:rsid w:val="1AAB623F"/>
    <w:rsid w:val="1B1E18C7"/>
    <w:rsid w:val="1B225312"/>
    <w:rsid w:val="1B3277E5"/>
    <w:rsid w:val="1C016738"/>
    <w:rsid w:val="1C16002F"/>
    <w:rsid w:val="1C220782"/>
    <w:rsid w:val="1C527621"/>
    <w:rsid w:val="1C9553F8"/>
    <w:rsid w:val="1CE77446"/>
    <w:rsid w:val="1CF521D4"/>
    <w:rsid w:val="1D547061"/>
    <w:rsid w:val="1D823D48"/>
    <w:rsid w:val="1D9D670D"/>
    <w:rsid w:val="1DC839D2"/>
    <w:rsid w:val="1E1F235A"/>
    <w:rsid w:val="1E256A0D"/>
    <w:rsid w:val="1E2F1AD8"/>
    <w:rsid w:val="1E6B472F"/>
    <w:rsid w:val="1E850CF0"/>
    <w:rsid w:val="1E982F7E"/>
    <w:rsid w:val="1EBA489C"/>
    <w:rsid w:val="1EC154C0"/>
    <w:rsid w:val="1EDB3E43"/>
    <w:rsid w:val="1F0A4FA5"/>
    <w:rsid w:val="1F167030"/>
    <w:rsid w:val="1F224BAB"/>
    <w:rsid w:val="1F665CD6"/>
    <w:rsid w:val="1F715EB6"/>
    <w:rsid w:val="1FF02946"/>
    <w:rsid w:val="204F512F"/>
    <w:rsid w:val="20803CC9"/>
    <w:rsid w:val="20C55080"/>
    <w:rsid w:val="20DA089D"/>
    <w:rsid w:val="21001530"/>
    <w:rsid w:val="210668C5"/>
    <w:rsid w:val="21240AF9"/>
    <w:rsid w:val="213F1C3D"/>
    <w:rsid w:val="214178FD"/>
    <w:rsid w:val="214967B1"/>
    <w:rsid w:val="214C0884"/>
    <w:rsid w:val="218A31FD"/>
    <w:rsid w:val="218E0AB7"/>
    <w:rsid w:val="21D52DE3"/>
    <w:rsid w:val="21DC5877"/>
    <w:rsid w:val="21FA0981"/>
    <w:rsid w:val="2206754D"/>
    <w:rsid w:val="220821C8"/>
    <w:rsid w:val="22237002"/>
    <w:rsid w:val="223C1E72"/>
    <w:rsid w:val="225E003A"/>
    <w:rsid w:val="2284339C"/>
    <w:rsid w:val="22D221CB"/>
    <w:rsid w:val="22DE117B"/>
    <w:rsid w:val="232C1EE7"/>
    <w:rsid w:val="23363569"/>
    <w:rsid w:val="23434D46"/>
    <w:rsid w:val="23447230"/>
    <w:rsid w:val="23515DF1"/>
    <w:rsid w:val="23812232"/>
    <w:rsid w:val="23973225"/>
    <w:rsid w:val="23A61C99"/>
    <w:rsid w:val="23A81EB5"/>
    <w:rsid w:val="23B711DB"/>
    <w:rsid w:val="23C54D3D"/>
    <w:rsid w:val="23FE3883"/>
    <w:rsid w:val="242A0B1C"/>
    <w:rsid w:val="24470A2F"/>
    <w:rsid w:val="244B45EE"/>
    <w:rsid w:val="246B4024"/>
    <w:rsid w:val="24B77ED6"/>
    <w:rsid w:val="25093D8A"/>
    <w:rsid w:val="250D7AF6"/>
    <w:rsid w:val="25284930"/>
    <w:rsid w:val="256811D6"/>
    <w:rsid w:val="25E82A3D"/>
    <w:rsid w:val="25EB6B45"/>
    <w:rsid w:val="2604539D"/>
    <w:rsid w:val="261410CE"/>
    <w:rsid w:val="263E119E"/>
    <w:rsid w:val="26C840BD"/>
    <w:rsid w:val="27062E70"/>
    <w:rsid w:val="27A218E6"/>
    <w:rsid w:val="27C46B92"/>
    <w:rsid w:val="27E823ED"/>
    <w:rsid w:val="293366CF"/>
    <w:rsid w:val="29975399"/>
    <w:rsid w:val="2A2B4C0B"/>
    <w:rsid w:val="2A35429C"/>
    <w:rsid w:val="2A4E5C47"/>
    <w:rsid w:val="2A7A5D12"/>
    <w:rsid w:val="2A7E3970"/>
    <w:rsid w:val="2AA25646"/>
    <w:rsid w:val="2B426756"/>
    <w:rsid w:val="2B591CE7"/>
    <w:rsid w:val="2B7B1C5D"/>
    <w:rsid w:val="2B8F2CE8"/>
    <w:rsid w:val="2BA8213A"/>
    <w:rsid w:val="2BAD08B5"/>
    <w:rsid w:val="2BCB75D1"/>
    <w:rsid w:val="2BE53CA6"/>
    <w:rsid w:val="2BE87E13"/>
    <w:rsid w:val="2C163734"/>
    <w:rsid w:val="2C38632B"/>
    <w:rsid w:val="2C466C2E"/>
    <w:rsid w:val="2C51426A"/>
    <w:rsid w:val="2C852B16"/>
    <w:rsid w:val="2CAD372C"/>
    <w:rsid w:val="2CC056E2"/>
    <w:rsid w:val="2D03756A"/>
    <w:rsid w:val="2D4F15F3"/>
    <w:rsid w:val="2D6649A5"/>
    <w:rsid w:val="2E185B2A"/>
    <w:rsid w:val="2E241154"/>
    <w:rsid w:val="2E295DFA"/>
    <w:rsid w:val="2EB418E0"/>
    <w:rsid w:val="2EBD0E37"/>
    <w:rsid w:val="2F0A743A"/>
    <w:rsid w:val="2F17377A"/>
    <w:rsid w:val="2F1E5313"/>
    <w:rsid w:val="2F3B2D0A"/>
    <w:rsid w:val="2F3D71A1"/>
    <w:rsid w:val="2F717C57"/>
    <w:rsid w:val="2F767482"/>
    <w:rsid w:val="2FAB58C1"/>
    <w:rsid w:val="2FAE3F65"/>
    <w:rsid w:val="2FB52AE6"/>
    <w:rsid w:val="2FE079BA"/>
    <w:rsid w:val="2FEC137B"/>
    <w:rsid w:val="30353ACC"/>
    <w:rsid w:val="308A2F70"/>
    <w:rsid w:val="314414B7"/>
    <w:rsid w:val="318850D4"/>
    <w:rsid w:val="31A9534B"/>
    <w:rsid w:val="31B75293"/>
    <w:rsid w:val="32005712"/>
    <w:rsid w:val="327505AE"/>
    <w:rsid w:val="32EB3B6C"/>
    <w:rsid w:val="32FF3174"/>
    <w:rsid w:val="33176B01"/>
    <w:rsid w:val="33197D4D"/>
    <w:rsid w:val="33443909"/>
    <w:rsid w:val="334B0167"/>
    <w:rsid w:val="335608C6"/>
    <w:rsid w:val="339A10EE"/>
    <w:rsid w:val="33AD497E"/>
    <w:rsid w:val="33DB773D"/>
    <w:rsid w:val="34040B06"/>
    <w:rsid w:val="343476C7"/>
    <w:rsid w:val="34907349"/>
    <w:rsid w:val="34EA39B0"/>
    <w:rsid w:val="350A68FB"/>
    <w:rsid w:val="357402EF"/>
    <w:rsid w:val="35AE2C2F"/>
    <w:rsid w:val="35D00DF7"/>
    <w:rsid w:val="3684230E"/>
    <w:rsid w:val="369F2807"/>
    <w:rsid w:val="36B14785"/>
    <w:rsid w:val="36E3362D"/>
    <w:rsid w:val="36E37651"/>
    <w:rsid w:val="371D006C"/>
    <w:rsid w:val="372E253C"/>
    <w:rsid w:val="374D6389"/>
    <w:rsid w:val="37B77B75"/>
    <w:rsid w:val="37B81B43"/>
    <w:rsid w:val="37E85FD4"/>
    <w:rsid w:val="37EA34C5"/>
    <w:rsid w:val="37F81C64"/>
    <w:rsid w:val="37FE3BB5"/>
    <w:rsid w:val="382A0C93"/>
    <w:rsid w:val="38FB6BED"/>
    <w:rsid w:val="393B5E34"/>
    <w:rsid w:val="39463128"/>
    <w:rsid w:val="394A1468"/>
    <w:rsid w:val="395843EC"/>
    <w:rsid w:val="399129D3"/>
    <w:rsid w:val="39BF1234"/>
    <w:rsid w:val="39CE1AF2"/>
    <w:rsid w:val="3A101195"/>
    <w:rsid w:val="3A3E7A83"/>
    <w:rsid w:val="3A4257C1"/>
    <w:rsid w:val="3A7022ED"/>
    <w:rsid w:val="3A8D71F7"/>
    <w:rsid w:val="3A936E05"/>
    <w:rsid w:val="3A960F1D"/>
    <w:rsid w:val="3ADE6410"/>
    <w:rsid w:val="3B054911"/>
    <w:rsid w:val="3B404329"/>
    <w:rsid w:val="3B6A5442"/>
    <w:rsid w:val="3B820DE6"/>
    <w:rsid w:val="3B8C756F"/>
    <w:rsid w:val="3B985F13"/>
    <w:rsid w:val="3BFC6353"/>
    <w:rsid w:val="3C0A2B23"/>
    <w:rsid w:val="3C0E3BCD"/>
    <w:rsid w:val="3C687FDC"/>
    <w:rsid w:val="3C77021F"/>
    <w:rsid w:val="3C9E4CE8"/>
    <w:rsid w:val="3CDA6FF4"/>
    <w:rsid w:val="3CDC3297"/>
    <w:rsid w:val="3CE53F8F"/>
    <w:rsid w:val="3CF0648C"/>
    <w:rsid w:val="3DFA2EB5"/>
    <w:rsid w:val="3E3C7F23"/>
    <w:rsid w:val="3E481E73"/>
    <w:rsid w:val="3E5E7A24"/>
    <w:rsid w:val="3E5F0BC8"/>
    <w:rsid w:val="3EB63280"/>
    <w:rsid w:val="3EF94CDF"/>
    <w:rsid w:val="3F0338BD"/>
    <w:rsid w:val="3F1921C0"/>
    <w:rsid w:val="3F204B9F"/>
    <w:rsid w:val="3F510DCC"/>
    <w:rsid w:val="3F6D089B"/>
    <w:rsid w:val="3FFC1167"/>
    <w:rsid w:val="401D2662"/>
    <w:rsid w:val="408918AE"/>
    <w:rsid w:val="408C234E"/>
    <w:rsid w:val="40D07EFD"/>
    <w:rsid w:val="413A2307"/>
    <w:rsid w:val="413C1A16"/>
    <w:rsid w:val="415A658D"/>
    <w:rsid w:val="41815DE3"/>
    <w:rsid w:val="41BD0482"/>
    <w:rsid w:val="41D103D1"/>
    <w:rsid w:val="41E77D4E"/>
    <w:rsid w:val="42750D5C"/>
    <w:rsid w:val="427B2750"/>
    <w:rsid w:val="4286505C"/>
    <w:rsid w:val="4293772E"/>
    <w:rsid w:val="42AE6605"/>
    <w:rsid w:val="42CD2946"/>
    <w:rsid w:val="42D80D9B"/>
    <w:rsid w:val="43125214"/>
    <w:rsid w:val="4397623D"/>
    <w:rsid w:val="439F639C"/>
    <w:rsid w:val="43AE2740"/>
    <w:rsid w:val="44511EEC"/>
    <w:rsid w:val="445826E4"/>
    <w:rsid w:val="446D27C6"/>
    <w:rsid w:val="44F637E4"/>
    <w:rsid w:val="45096AB5"/>
    <w:rsid w:val="45303661"/>
    <w:rsid w:val="453E3FCF"/>
    <w:rsid w:val="4541586E"/>
    <w:rsid w:val="459C5C9F"/>
    <w:rsid w:val="45CC240A"/>
    <w:rsid w:val="45DC53CA"/>
    <w:rsid w:val="45F15930"/>
    <w:rsid w:val="46546DB5"/>
    <w:rsid w:val="466C70B0"/>
    <w:rsid w:val="46AB2EEC"/>
    <w:rsid w:val="46B61944"/>
    <w:rsid w:val="46C71DA3"/>
    <w:rsid w:val="46D36405"/>
    <w:rsid w:val="47463507"/>
    <w:rsid w:val="47A04ACD"/>
    <w:rsid w:val="47B47B3D"/>
    <w:rsid w:val="47B70069"/>
    <w:rsid w:val="47E56601"/>
    <w:rsid w:val="4891224F"/>
    <w:rsid w:val="48E00EFA"/>
    <w:rsid w:val="48F84495"/>
    <w:rsid w:val="490E445B"/>
    <w:rsid w:val="491134DD"/>
    <w:rsid w:val="493D00FA"/>
    <w:rsid w:val="49AB1508"/>
    <w:rsid w:val="49D04193"/>
    <w:rsid w:val="4A3239D7"/>
    <w:rsid w:val="4AAA5043"/>
    <w:rsid w:val="4AC24D5B"/>
    <w:rsid w:val="4B212CAE"/>
    <w:rsid w:val="4BC6475E"/>
    <w:rsid w:val="4C013661"/>
    <w:rsid w:val="4C043CBA"/>
    <w:rsid w:val="4C2F1992"/>
    <w:rsid w:val="4C87411C"/>
    <w:rsid w:val="4C981AC7"/>
    <w:rsid w:val="4CA6414B"/>
    <w:rsid w:val="4CB15087"/>
    <w:rsid w:val="4D35009F"/>
    <w:rsid w:val="4D41230A"/>
    <w:rsid w:val="4D8D1384"/>
    <w:rsid w:val="4DC25072"/>
    <w:rsid w:val="4DCE0FBA"/>
    <w:rsid w:val="4DDA5E53"/>
    <w:rsid w:val="4F2144B9"/>
    <w:rsid w:val="4F380341"/>
    <w:rsid w:val="4F587A3C"/>
    <w:rsid w:val="4F675674"/>
    <w:rsid w:val="4F6E05EC"/>
    <w:rsid w:val="4F816C21"/>
    <w:rsid w:val="4F9A2425"/>
    <w:rsid w:val="4FFC6C46"/>
    <w:rsid w:val="501871CB"/>
    <w:rsid w:val="50217E68"/>
    <w:rsid w:val="50316AFD"/>
    <w:rsid w:val="5052092F"/>
    <w:rsid w:val="50611726"/>
    <w:rsid w:val="50651496"/>
    <w:rsid w:val="507E1724"/>
    <w:rsid w:val="50940CD2"/>
    <w:rsid w:val="50BC3FFA"/>
    <w:rsid w:val="50E14862"/>
    <w:rsid w:val="50E753FB"/>
    <w:rsid w:val="50F70163"/>
    <w:rsid w:val="512630B2"/>
    <w:rsid w:val="5139014B"/>
    <w:rsid w:val="51431723"/>
    <w:rsid w:val="514359C6"/>
    <w:rsid w:val="5147420C"/>
    <w:rsid w:val="51B15B29"/>
    <w:rsid w:val="51B3364F"/>
    <w:rsid w:val="520D7203"/>
    <w:rsid w:val="520E2829"/>
    <w:rsid w:val="52232583"/>
    <w:rsid w:val="52310D91"/>
    <w:rsid w:val="523F4EE3"/>
    <w:rsid w:val="524A0E47"/>
    <w:rsid w:val="525E7A5F"/>
    <w:rsid w:val="52744FB0"/>
    <w:rsid w:val="52CA0C50"/>
    <w:rsid w:val="52DC2732"/>
    <w:rsid w:val="53000485"/>
    <w:rsid w:val="534C738D"/>
    <w:rsid w:val="538A03E0"/>
    <w:rsid w:val="539841AD"/>
    <w:rsid w:val="53AB6CD4"/>
    <w:rsid w:val="53BE6DFC"/>
    <w:rsid w:val="541505F1"/>
    <w:rsid w:val="54696A0D"/>
    <w:rsid w:val="54D44BD5"/>
    <w:rsid w:val="54EE53D1"/>
    <w:rsid w:val="54F00716"/>
    <w:rsid w:val="550D751A"/>
    <w:rsid w:val="551C775D"/>
    <w:rsid w:val="5520724E"/>
    <w:rsid w:val="555315B8"/>
    <w:rsid w:val="555D5520"/>
    <w:rsid w:val="559B0682"/>
    <w:rsid w:val="55A25EB5"/>
    <w:rsid w:val="560B7461"/>
    <w:rsid w:val="566C4D15"/>
    <w:rsid w:val="5684380C"/>
    <w:rsid w:val="56BC6F17"/>
    <w:rsid w:val="56C63E25"/>
    <w:rsid w:val="56EF307C"/>
    <w:rsid w:val="5700419D"/>
    <w:rsid w:val="571921A6"/>
    <w:rsid w:val="57382828"/>
    <w:rsid w:val="57541DD9"/>
    <w:rsid w:val="579B414A"/>
    <w:rsid w:val="57E64770"/>
    <w:rsid w:val="57E81B4E"/>
    <w:rsid w:val="57ED39CE"/>
    <w:rsid w:val="580B4436"/>
    <w:rsid w:val="581F4A8E"/>
    <w:rsid w:val="5839498E"/>
    <w:rsid w:val="586A6CA6"/>
    <w:rsid w:val="58725DE6"/>
    <w:rsid w:val="5898359F"/>
    <w:rsid w:val="594D6137"/>
    <w:rsid w:val="59926240"/>
    <w:rsid w:val="5A323AEF"/>
    <w:rsid w:val="5A5E2E5F"/>
    <w:rsid w:val="5AA71877"/>
    <w:rsid w:val="5AA83DCD"/>
    <w:rsid w:val="5AB21CD6"/>
    <w:rsid w:val="5ADB3703"/>
    <w:rsid w:val="5B2B4256"/>
    <w:rsid w:val="5B5BB8B4"/>
    <w:rsid w:val="5B6B6D49"/>
    <w:rsid w:val="5CAD50BD"/>
    <w:rsid w:val="5CB0524C"/>
    <w:rsid w:val="5CC816F1"/>
    <w:rsid w:val="5D060992"/>
    <w:rsid w:val="5D1B5A30"/>
    <w:rsid w:val="5D526412"/>
    <w:rsid w:val="5D582069"/>
    <w:rsid w:val="5D79574D"/>
    <w:rsid w:val="5DA327CA"/>
    <w:rsid w:val="5DF01239"/>
    <w:rsid w:val="5E167440"/>
    <w:rsid w:val="5E251431"/>
    <w:rsid w:val="5EDC10A8"/>
    <w:rsid w:val="5EEC0249"/>
    <w:rsid w:val="5F0000FE"/>
    <w:rsid w:val="5F170257"/>
    <w:rsid w:val="5F5875E4"/>
    <w:rsid w:val="5F9A19AB"/>
    <w:rsid w:val="5F9B7826"/>
    <w:rsid w:val="5FCA7075"/>
    <w:rsid w:val="60C76BAD"/>
    <w:rsid w:val="6129252B"/>
    <w:rsid w:val="61377DF9"/>
    <w:rsid w:val="617032A7"/>
    <w:rsid w:val="619D39D4"/>
    <w:rsid w:val="61D81D7A"/>
    <w:rsid w:val="62232B09"/>
    <w:rsid w:val="625768F3"/>
    <w:rsid w:val="62687F94"/>
    <w:rsid w:val="628D57F7"/>
    <w:rsid w:val="62976675"/>
    <w:rsid w:val="62A766D6"/>
    <w:rsid w:val="62BB05B6"/>
    <w:rsid w:val="6320666B"/>
    <w:rsid w:val="63275C4B"/>
    <w:rsid w:val="6381535B"/>
    <w:rsid w:val="63A24205"/>
    <w:rsid w:val="646031C3"/>
    <w:rsid w:val="64930758"/>
    <w:rsid w:val="64C0117D"/>
    <w:rsid w:val="64D64FF8"/>
    <w:rsid w:val="652B6A8A"/>
    <w:rsid w:val="655874CF"/>
    <w:rsid w:val="65CE7D84"/>
    <w:rsid w:val="66402691"/>
    <w:rsid w:val="66431BC8"/>
    <w:rsid w:val="667D5043"/>
    <w:rsid w:val="66995342"/>
    <w:rsid w:val="66E9411C"/>
    <w:rsid w:val="66EC3434"/>
    <w:rsid w:val="66FF570B"/>
    <w:rsid w:val="670755B5"/>
    <w:rsid w:val="670D42A8"/>
    <w:rsid w:val="67270AFC"/>
    <w:rsid w:val="677A263F"/>
    <w:rsid w:val="67BA0E3C"/>
    <w:rsid w:val="67DD5273"/>
    <w:rsid w:val="685327C0"/>
    <w:rsid w:val="68680898"/>
    <w:rsid w:val="688B27D8"/>
    <w:rsid w:val="68993147"/>
    <w:rsid w:val="68A90A0A"/>
    <w:rsid w:val="690B31DC"/>
    <w:rsid w:val="69A70B49"/>
    <w:rsid w:val="69AF0748"/>
    <w:rsid w:val="6A336057"/>
    <w:rsid w:val="6A3938D4"/>
    <w:rsid w:val="6A5058A7"/>
    <w:rsid w:val="6A740BDF"/>
    <w:rsid w:val="6A95793E"/>
    <w:rsid w:val="6AAE36B0"/>
    <w:rsid w:val="6AC12A02"/>
    <w:rsid w:val="6B15621D"/>
    <w:rsid w:val="6B480E55"/>
    <w:rsid w:val="6B551715"/>
    <w:rsid w:val="6B783E12"/>
    <w:rsid w:val="6B846454"/>
    <w:rsid w:val="6BA75B7B"/>
    <w:rsid w:val="6BA805FD"/>
    <w:rsid w:val="6BC93D43"/>
    <w:rsid w:val="6BE04BE9"/>
    <w:rsid w:val="6BF4036E"/>
    <w:rsid w:val="6C186A79"/>
    <w:rsid w:val="6C4C5CED"/>
    <w:rsid w:val="6C786982"/>
    <w:rsid w:val="6CC1245A"/>
    <w:rsid w:val="6D0D4676"/>
    <w:rsid w:val="6DFE6BFE"/>
    <w:rsid w:val="6E2D367D"/>
    <w:rsid w:val="6E435AAD"/>
    <w:rsid w:val="6E893520"/>
    <w:rsid w:val="6EEB5D7F"/>
    <w:rsid w:val="6F5F1535"/>
    <w:rsid w:val="6FDE7692"/>
    <w:rsid w:val="6FFD2926"/>
    <w:rsid w:val="701D1473"/>
    <w:rsid w:val="703D7D31"/>
    <w:rsid w:val="70645DE9"/>
    <w:rsid w:val="70B23596"/>
    <w:rsid w:val="711713B2"/>
    <w:rsid w:val="71327344"/>
    <w:rsid w:val="713C7877"/>
    <w:rsid w:val="71494FDF"/>
    <w:rsid w:val="71734C50"/>
    <w:rsid w:val="71B81C2B"/>
    <w:rsid w:val="71C254BD"/>
    <w:rsid w:val="71DC40DB"/>
    <w:rsid w:val="71F238C8"/>
    <w:rsid w:val="7205184D"/>
    <w:rsid w:val="72161365"/>
    <w:rsid w:val="722515A8"/>
    <w:rsid w:val="72366E16"/>
    <w:rsid w:val="72480C3E"/>
    <w:rsid w:val="72A723C4"/>
    <w:rsid w:val="72BA6194"/>
    <w:rsid w:val="72BD5C84"/>
    <w:rsid w:val="72D82B9F"/>
    <w:rsid w:val="72FF44EF"/>
    <w:rsid w:val="731410BE"/>
    <w:rsid w:val="73367E46"/>
    <w:rsid w:val="73563420"/>
    <w:rsid w:val="736E0127"/>
    <w:rsid w:val="73750E39"/>
    <w:rsid w:val="739130AC"/>
    <w:rsid w:val="73F14150"/>
    <w:rsid w:val="74312230"/>
    <w:rsid w:val="74567E45"/>
    <w:rsid w:val="74736F42"/>
    <w:rsid w:val="74B72DFB"/>
    <w:rsid w:val="74F02341"/>
    <w:rsid w:val="74FC7C64"/>
    <w:rsid w:val="75106193"/>
    <w:rsid w:val="75412B9C"/>
    <w:rsid w:val="75894543"/>
    <w:rsid w:val="75B50E95"/>
    <w:rsid w:val="75BA294F"/>
    <w:rsid w:val="75CA2B92"/>
    <w:rsid w:val="75D752AF"/>
    <w:rsid w:val="75DB7D75"/>
    <w:rsid w:val="75ED6353"/>
    <w:rsid w:val="763C5112"/>
    <w:rsid w:val="76C03F95"/>
    <w:rsid w:val="76C1664D"/>
    <w:rsid w:val="76C577E3"/>
    <w:rsid w:val="76C9109B"/>
    <w:rsid w:val="775252D0"/>
    <w:rsid w:val="77EB2CC5"/>
    <w:rsid w:val="7835388F"/>
    <w:rsid w:val="78411105"/>
    <w:rsid w:val="785B0696"/>
    <w:rsid w:val="78616A57"/>
    <w:rsid w:val="789F6B28"/>
    <w:rsid w:val="78EE303B"/>
    <w:rsid w:val="790E30DD"/>
    <w:rsid w:val="79A656C4"/>
    <w:rsid w:val="79DF0BD6"/>
    <w:rsid w:val="79EE4B02"/>
    <w:rsid w:val="79F15C6F"/>
    <w:rsid w:val="7A0F3269"/>
    <w:rsid w:val="7A10131C"/>
    <w:rsid w:val="7A816745"/>
    <w:rsid w:val="7A9F7CB9"/>
    <w:rsid w:val="7AC57DCC"/>
    <w:rsid w:val="7ACD6C80"/>
    <w:rsid w:val="7B0457FD"/>
    <w:rsid w:val="7B061A6B"/>
    <w:rsid w:val="7B1C223C"/>
    <w:rsid w:val="7B5B24DE"/>
    <w:rsid w:val="7B7979D7"/>
    <w:rsid w:val="7B835FAF"/>
    <w:rsid w:val="7BC32284"/>
    <w:rsid w:val="7BD34156"/>
    <w:rsid w:val="7BEE5100"/>
    <w:rsid w:val="7BFA1CF7"/>
    <w:rsid w:val="7C2428D0"/>
    <w:rsid w:val="7C2B5911"/>
    <w:rsid w:val="7C5807CC"/>
    <w:rsid w:val="7C644921"/>
    <w:rsid w:val="7CAC43F8"/>
    <w:rsid w:val="7CB77BE8"/>
    <w:rsid w:val="7CC8341A"/>
    <w:rsid w:val="7D0970D9"/>
    <w:rsid w:val="7D1A7FB8"/>
    <w:rsid w:val="7D30409D"/>
    <w:rsid w:val="7D431C3D"/>
    <w:rsid w:val="7D4A0A5C"/>
    <w:rsid w:val="7D5C17C4"/>
    <w:rsid w:val="7D745926"/>
    <w:rsid w:val="7D82324C"/>
    <w:rsid w:val="7D8775BA"/>
    <w:rsid w:val="7DE06322"/>
    <w:rsid w:val="7DE20C95"/>
    <w:rsid w:val="7E0A192A"/>
    <w:rsid w:val="7E33504C"/>
    <w:rsid w:val="7E512856"/>
    <w:rsid w:val="7E521472"/>
    <w:rsid w:val="7E867D1A"/>
    <w:rsid w:val="7EBB576E"/>
    <w:rsid w:val="7EC37B79"/>
    <w:rsid w:val="7EFE3F33"/>
    <w:rsid w:val="7F0215EE"/>
    <w:rsid w:val="7F1B445E"/>
    <w:rsid w:val="7F453289"/>
    <w:rsid w:val="7F6C6A68"/>
    <w:rsid w:val="7FB0104A"/>
    <w:rsid w:val="7FB349D3"/>
    <w:rsid w:val="7FFB09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link w:val="60"/>
    <w:qFormat/>
    <w:uiPriority w:val="99"/>
    <w:pPr>
      <w:keepNext/>
      <w:keepLines/>
      <w:spacing w:line="576" w:lineRule="auto"/>
      <w:jc w:val="center"/>
      <w:outlineLvl w:val="0"/>
    </w:pPr>
    <w:rPr>
      <w:rFonts w:ascii="Calibri" w:hAnsi="Calibri" w:eastAsia="宋体" w:cs="Calibri"/>
      <w:b/>
      <w:bCs/>
      <w:kern w:val="44"/>
      <w:sz w:val="44"/>
      <w:szCs w:val="44"/>
    </w:rPr>
  </w:style>
  <w:style w:type="paragraph" w:styleId="3">
    <w:name w:val="heading 2"/>
    <w:basedOn w:val="1"/>
    <w:next w:val="1"/>
    <w:link w:val="61"/>
    <w:qFormat/>
    <w:uiPriority w:val="99"/>
    <w:pPr>
      <w:keepNext/>
      <w:spacing w:line="216" w:lineRule="auto"/>
      <w:outlineLvl w:val="1"/>
    </w:pPr>
    <w:rPr>
      <w:rFonts w:ascii="宋体" w:hAnsi="宋体" w:cs="宋体"/>
      <w:b/>
      <w:bCs/>
      <w:sz w:val="24"/>
      <w:szCs w:val="28"/>
    </w:rPr>
  </w:style>
  <w:style w:type="paragraph" w:styleId="4">
    <w:name w:val="heading 3"/>
    <w:basedOn w:val="1"/>
    <w:next w:val="1"/>
    <w:link w:val="62"/>
    <w:qFormat/>
    <w:uiPriority w:val="99"/>
    <w:pPr>
      <w:keepNext/>
      <w:numPr>
        <w:ilvl w:val="0"/>
        <w:numId w:val="1"/>
      </w:numPr>
      <w:spacing w:line="216" w:lineRule="auto"/>
      <w:outlineLvl w:val="2"/>
    </w:pPr>
    <w:rPr>
      <w:rFonts w:ascii="宋体" w:hAnsi="宋体" w:cs="宋体"/>
      <w:b/>
      <w:bCs/>
      <w:sz w:val="24"/>
      <w:szCs w:val="28"/>
    </w:rPr>
  </w:style>
  <w:style w:type="paragraph" w:styleId="5">
    <w:name w:val="heading 4"/>
    <w:basedOn w:val="1"/>
    <w:next w:val="1"/>
    <w:qFormat/>
    <w:uiPriority w:val="0"/>
    <w:pPr>
      <w:keepLines/>
      <w:autoSpaceDE w:val="0"/>
      <w:autoSpaceDN w:val="0"/>
      <w:adjustRightInd w:val="0"/>
      <w:textAlignment w:val="baseline"/>
      <w:outlineLvl w:val="3"/>
    </w:pPr>
    <w:rPr>
      <w:rFonts w:ascii="Times New Roman" w:hAnsi="Times New Roman" w:eastAsia="楷体_GB2312" w:cs="Times New Roman"/>
      <w:b/>
      <w:snapToGrid w:val="0"/>
      <w:sz w:val="24"/>
      <w:lang w:val="en-US" w:eastAsia="zh-CN" w:bidi="ar-SA"/>
    </w:rPr>
  </w:style>
  <w:style w:type="paragraph" w:styleId="6">
    <w:name w:val="heading 6"/>
    <w:basedOn w:val="1"/>
    <w:next w:val="1"/>
    <w:qFormat/>
    <w:uiPriority w:val="0"/>
    <w:pPr>
      <w:numPr>
        <w:ilvl w:val="5"/>
        <w:numId w:val="2"/>
      </w:numPr>
      <w:tabs>
        <w:tab w:val="left" w:pos="0"/>
        <w:tab w:val="left" w:leader="dot" w:pos="420"/>
      </w:tabs>
      <w:adjustRightInd w:val="0"/>
      <w:spacing w:before="64" w:after="64" w:line="317" w:lineRule="auto"/>
      <w:ind w:firstLine="0" w:firstLineChars="0"/>
      <w:outlineLvl w:val="5"/>
    </w:pPr>
    <w:rPr>
      <w:rFonts w:ascii="Arial" w:hAnsi="Arial"/>
      <w:b/>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rFonts w:ascii="Times New Roman" w:hAnsi="Times New Roman" w:eastAsia="宋体" w:cs="Times New Roman"/>
      <w:lang w:val="en-US" w:eastAsia="zh-CN" w:bidi="ar-SA"/>
    </w:rPr>
  </w:style>
  <w:style w:type="paragraph" w:styleId="8">
    <w:name w:val="toc 4"/>
    <w:basedOn w:val="1"/>
    <w:next w:val="1"/>
    <w:qFormat/>
    <w:uiPriority w:val="39"/>
    <w:pPr>
      <w:ind w:left="1260" w:leftChars="600"/>
    </w:pPr>
    <w:rPr>
      <w:szCs w:val="24"/>
    </w:rPr>
  </w:style>
  <w:style w:type="paragraph" w:styleId="9">
    <w:name w:val="annotation text"/>
    <w:basedOn w:val="1"/>
    <w:qFormat/>
    <w:uiPriority w:val="0"/>
    <w:pPr>
      <w:adjustRightInd/>
      <w:jc w:val="left"/>
    </w:pPr>
  </w:style>
  <w:style w:type="paragraph" w:styleId="10">
    <w:name w:val="Body Text"/>
    <w:basedOn w:val="1"/>
    <w:next w:val="11"/>
    <w:link w:val="63"/>
    <w:qFormat/>
    <w:uiPriority w:val="99"/>
    <w:rPr>
      <w:rFonts w:ascii="Times New Roman" w:hAnsi="Times New Roman" w:eastAsia="宋体" w:cs="Times New Roman"/>
      <w:lang w:val="en-US" w:eastAsia="zh-CN" w:bidi="ar-SA"/>
    </w:rPr>
  </w:style>
  <w:style w:type="paragraph" w:styleId="11">
    <w:name w:val="Body Text First Indent"/>
    <w:basedOn w:val="10"/>
    <w:next w:val="1"/>
    <w:link w:val="71"/>
    <w:qFormat/>
    <w:uiPriority w:val="99"/>
    <w:pPr>
      <w:ind w:firstLine="420" w:firstLineChars="100"/>
    </w:pPr>
  </w:style>
  <w:style w:type="paragraph" w:styleId="12">
    <w:name w:val="Body Text Indent"/>
    <w:basedOn w:val="1"/>
    <w:next w:val="7"/>
    <w:link w:val="65"/>
    <w:qFormat/>
    <w:uiPriority w:val="99"/>
    <w:pPr>
      <w:adjustRightInd w:val="0"/>
      <w:spacing w:line="360" w:lineRule="auto"/>
      <w:ind w:firstLine="490"/>
    </w:pPr>
    <w:rPr>
      <w:rFonts w:ascii="宋体" w:hAnsi="宋体" w:eastAsia="宋体" w:cs="宋体"/>
      <w:sz w:val="24"/>
      <w:szCs w:val="24"/>
      <w:lang w:val="en-US" w:eastAsia="zh-CN" w:bidi="ar-SA"/>
    </w:rPr>
  </w:style>
  <w:style w:type="paragraph" w:styleId="13">
    <w:name w:val="toc 3"/>
    <w:next w:val="1"/>
    <w:qFormat/>
    <w:uiPriority w:val="99"/>
    <w:pPr>
      <w:ind w:left="840" w:leftChars="400"/>
    </w:pPr>
    <w:rPr>
      <w:rFonts w:ascii="Times New Roman" w:hAnsi="Times New Roman" w:eastAsia="宋体" w:cs="Times New Roman"/>
      <w:lang w:val="en-US" w:eastAsia="zh-CN" w:bidi="ar-SA"/>
    </w:rPr>
  </w:style>
  <w:style w:type="paragraph" w:styleId="14">
    <w:name w:val="Plain Text"/>
    <w:basedOn w:val="1"/>
    <w:next w:val="1"/>
    <w:link w:val="66"/>
    <w:qFormat/>
    <w:uiPriority w:val="0"/>
    <w:rPr>
      <w:rFonts w:ascii="宋体" w:hAnsi="Courier New" w:eastAsia="宋体" w:cs="宋体"/>
      <w:lang w:val="en-US" w:eastAsia="zh-CN" w:bidi="ar-SA"/>
    </w:rPr>
  </w:style>
  <w:style w:type="paragraph" w:styleId="15">
    <w:name w:val="Date"/>
    <w:basedOn w:val="1"/>
    <w:next w:val="1"/>
    <w:link w:val="67"/>
    <w:qFormat/>
    <w:uiPriority w:val="99"/>
    <w:pPr>
      <w:ind w:left="100" w:leftChars="2500"/>
    </w:pPr>
    <w:rPr>
      <w:rFonts w:ascii="宋体" w:hAnsi="宋体" w:eastAsia="宋体" w:cs="宋体"/>
      <w:color w:val="000000"/>
      <w:sz w:val="24"/>
      <w:szCs w:val="24"/>
      <w:lang w:val="en-US" w:eastAsia="zh-CN" w:bidi="ar-SA"/>
    </w:rPr>
  </w:style>
  <w:style w:type="paragraph" w:styleId="16">
    <w:name w:val="Balloon Text"/>
    <w:link w:val="68"/>
    <w:qFormat/>
    <w:uiPriority w:val="99"/>
    <w:rPr>
      <w:rFonts w:ascii="Times New Roman" w:hAnsi="Times New Roman" w:eastAsia="宋体" w:cs="Times New Roman"/>
      <w:sz w:val="18"/>
      <w:szCs w:val="18"/>
      <w:lang w:val="en-US" w:eastAsia="zh-CN" w:bidi="ar-SA"/>
    </w:rPr>
  </w:style>
  <w:style w:type="paragraph" w:styleId="17">
    <w:name w:val="footer"/>
    <w:basedOn w:val="1"/>
    <w:link w:val="69"/>
    <w:qFormat/>
    <w:uiPriority w:val="99"/>
    <w:pPr>
      <w:tabs>
        <w:tab w:val="center" w:pos="4153"/>
        <w:tab w:val="right" w:pos="8306"/>
      </w:tabs>
      <w:snapToGrid w:val="0"/>
    </w:pPr>
    <w:rPr>
      <w:rFonts w:ascii="Times New Roman" w:hAnsi="Times New Roman" w:eastAsia="宋体" w:cs="Times New Roman"/>
      <w:sz w:val="18"/>
      <w:szCs w:val="18"/>
      <w:lang w:val="en-US" w:eastAsia="zh-CN" w:bidi="ar-SA"/>
    </w:rPr>
  </w:style>
  <w:style w:type="paragraph" w:styleId="18">
    <w:name w:val="header"/>
    <w:link w:val="70"/>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宋体" w:hAnsi="Times New Roman" w:eastAsia="宋体" w:cs="宋体"/>
      <w:sz w:val="18"/>
      <w:szCs w:val="18"/>
      <w:lang w:val="en-US" w:eastAsia="zh-CN" w:bidi="ar-SA"/>
    </w:rPr>
  </w:style>
  <w:style w:type="paragraph" w:styleId="19">
    <w:name w:val="toc 1"/>
    <w:next w:val="1"/>
    <w:qFormat/>
    <w:uiPriority w:val="99"/>
    <w:pPr>
      <w:spacing w:line="360" w:lineRule="auto"/>
      <w:jc w:val="center"/>
    </w:pPr>
    <w:rPr>
      <w:rFonts w:ascii="Times New Roman" w:hAnsi="Times New Roman" w:eastAsia="宋体" w:cs="Times New Roman"/>
      <w:sz w:val="24"/>
      <w:lang w:val="en-US" w:eastAsia="zh-CN" w:bidi="ar-SA"/>
    </w:rPr>
  </w:style>
  <w:style w:type="paragraph" w:styleId="20">
    <w:name w:val="Subtitle"/>
    <w:basedOn w:val="1"/>
    <w:next w:val="1"/>
    <w:link w:val="91"/>
    <w:qFormat/>
    <w:uiPriority w:val="0"/>
    <w:pPr>
      <w:spacing w:before="240" w:after="60" w:line="312" w:lineRule="auto"/>
      <w:jc w:val="center"/>
      <w:outlineLvl w:val="1"/>
    </w:pPr>
    <w:rPr>
      <w:rFonts w:ascii="等线 Light" w:hAnsi="等线 Light"/>
      <w:b/>
      <w:bCs/>
      <w:snapToGrid w:val="0"/>
      <w:kern w:val="28"/>
      <w:sz w:val="32"/>
      <w:szCs w:val="32"/>
    </w:rPr>
  </w:style>
  <w:style w:type="paragraph" w:styleId="21">
    <w:name w:val="toc 6"/>
    <w:basedOn w:val="1"/>
    <w:next w:val="1"/>
    <w:qFormat/>
    <w:uiPriority w:val="0"/>
    <w:pPr>
      <w:ind w:left="2100" w:leftChars="1000"/>
    </w:pPr>
    <w:rPr>
      <w:kern w:val="2"/>
      <w:sz w:val="21"/>
      <w:szCs w:val="24"/>
    </w:rPr>
  </w:style>
  <w:style w:type="paragraph" w:styleId="22">
    <w:name w:val="toc 2"/>
    <w:next w:val="1"/>
    <w:qFormat/>
    <w:uiPriority w:val="99"/>
    <w:pPr>
      <w:spacing w:line="360" w:lineRule="auto"/>
      <w:ind w:left="420" w:leftChars="200"/>
    </w:pPr>
    <w:rPr>
      <w:rFonts w:ascii="Times New Roman" w:hAnsi="Times New Roman" w:eastAsia="宋体" w:cs="Times New Roman"/>
      <w:sz w:val="24"/>
      <w:lang w:val="en-US" w:eastAsia="zh-CN" w:bidi="ar-SA"/>
    </w:rPr>
  </w:style>
  <w:style w:type="paragraph" w:styleId="23">
    <w:name w:val="Body Text 2"/>
    <w:basedOn w:val="1"/>
    <w:qFormat/>
    <w:uiPriority w:val="0"/>
    <w:pPr>
      <w:spacing w:after="120" w:line="480" w:lineRule="auto"/>
    </w:pPr>
    <w:rPr>
      <w:rFonts w:ascii="Times New Roman" w:hAnsi="Times New Roman"/>
      <w:szCs w:val="20"/>
    </w:r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25">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26">
    <w:name w:val="Title"/>
    <w:basedOn w:val="1"/>
    <w:next w:val="1"/>
    <w:qFormat/>
    <w:uiPriority w:val="0"/>
    <w:pPr>
      <w:widowControl/>
      <w:overflowPunct w:val="0"/>
      <w:autoSpaceDE w:val="0"/>
      <w:autoSpaceDN w:val="0"/>
      <w:adjustRightInd w:val="0"/>
      <w:jc w:val="center"/>
      <w:textAlignment w:val="baseline"/>
    </w:pPr>
    <w:rPr>
      <w:b/>
      <w:sz w:val="24"/>
      <w:lang w:val="en-GB"/>
    </w:rPr>
  </w:style>
  <w:style w:type="paragraph" w:styleId="27">
    <w:name w:val="Body Text First Indent 2"/>
    <w:basedOn w:val="12"/>
    <w:next w:val="11"/>
    <w:qFormat/>
    <w:uiPriority w:val="0"/>
    <w:pPr>
      <w:ind w:firstLine="420"/>
    </w:pPr>
  </w:style>
  <w:style w:type="table" w:styleId="29">
    <w:name w:val="Table Grid"/>
    <w:basedOn w:val="2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99"/>
    <w:rPr>
      <w:b/>
      <w:bCs/>
    </w:rPr>
  </w:style>
  <w:style w:type="character" w:styleId="32">
    <w:name w:val="page number"/>
    <w:basedOn w:val="30"/>
    <w:qFormat/>
    <w:uiPriority w:val="99"/>
  </w:style>
  <w:style w:type="character" w:styleId="33">
    <w:name w:val="FollowedHyperlink"/>
    <w:basedOn w:val="30"/>
    <w:qFormat/>
    <w:uiPriority w:val="0"/>
    <w:rPr>
      <w:color w:val="800080"/>
      <w:u w:val="none"/>
    </w:rPr>
  </w:style>
  <w:style w:type="character" w:styleId="34">
    <w:name w:val="HTML Definition"/>
    <w:basedOn w:val="30"/>
    <w:qFormat/>
    <w:uiPriority w:val="0"/>
  </w:style>
  <w:style w:type="character" w:styleId="35">
    <w:name w:val="HTML Typewriter"/>
    <w:basedOn w:val="30"/>
    <w:qFormat/>
    <w:uiPriority w:val="0"/>
    <w:rPr>
      <w:rFonts w:hint="default" w:ascii="monospace" w:hAnsi="monospace" w:eastAsia="monospace" w:cs="monospace"/>
      <w:sz w:val="20"/>
    </w:rPr>
  </w:style>
  <w:style w:type="character" w:styleId="36">
    <w:name w:val="HTML Acronym"/>
    <w:basedOn w:val="30"/>
    <w:qFormat/>
    <w:uiPriority w:val="0"/>
  </w:style>
  <w:style w:type="character" w:styleId="37">
    <w:name w:val="HTML Variable"/>
    <w:basedOn w:val="30"/>
    <w:qFormat/>
    <w:uiPriority w:val="0"/>
  </w:style>
  <w:style w:type="character" w:styleId="38">
    <w:name w:val="Hyperlink"/>
    <w:basedOn w:val="30"/>
    <w:qFormat/>
    <w:uiPriority w:val="99"/>
    <w:rPr>
      <w:color w:val="0000FF"/>
      <w:u w:val="single"/>
    </w:rPr>
  </w:style>
  <w:style w:type="character" w:styleId="39">
    <w:name w:val="HTML Code"/>
    <w:basedOn w:val="30"/>
    <w:qFormat/>
    <w:uiPriority w:val="0"/>
    <w:rPr>
      <w:rFonts w:ascii="monospace" w:hAnsi="monospace" w:eastAsia="monospace" w:cs="monospace"/>
      <w:sz w:val="20"/>
    </w:rPr>
  </w:style>
  <w:style w:type="character" w:styleId="40">
    <w:name w:val="HTML Cite"/>
    <w:basedOn w:val="30"/>
    <w:qFormat/>
    <w:uiPriority w:val="0"/>
  </w:style>
  <w:style w:type="character" w:styleId="41">
    <w:name w:val="HTML Keyboard"/>
    <w:basedOn w:val="30"/>
    <w:qFormat/>
    <w:uiPriority w:val="0"/>
    <w:rPr>
      <w:rFonts w:hint="default" w:ascii="monospace" w:hAnsi="monospace" w:eastAsia="monospace" w:cs="monospace"/>
      <w:sz w:val="20"/>
    </w:rPr>
  </w:style>
  <w:style w:type="character" w:styleId="42">
    <w:name w:val="HTML Sample"/>
    <w:basedOn w:val="30"/>
    <w:qFormat/>
    <w:uiPriority w:val="0"/>
    <w:rPr>
      <w:rFonts w:hint="default" w:ascii="monospace" w:hAnsi="monospace" w:eastAsia="monospace" w:cs="monospace"/>
    </w:rPr>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4">
    <w:name w:val="Body Text Indent 2_bb4d1f65-70a2-4f69-8af3-194d898dc300"/>
    <w:basedOn w:val="1"/>
    <w:qFormat/>
    <w:uiPriority w:val="0"/>
    <w:pPr>
      <w:spacing w:after="120" w:line="480" w:lineRule="auto"/>
      <w:ind w:left="200" w:leftChars="200"/>
    </w:pPr>
    <w:rPr>
      <w:rFonts w:ascii="Times New Roman" w:hAnsi="Times New Roman"/>
    </w:rPr>
  </w:style>
  <w:style w:type="paragraph" w:customStyle="1" w:styleId="45">
    <w:name w:val="正文首行缩进1"/>
    <w:basedOn w:val="10"/>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46">
    <w:name w:val="标题 5（有编号）（绿盟科技）"/>
    <w:basedOn w:val="1"/>
    <w:next w:val="47"/>
    <w:qFormat/>
    <w:uiPriority w:val="0"/>
    <w:pPr>
      <w:keepNext/>
      <w:keepLines/>
      <w:numPr>
        <w:ilvl w:val="4"/>
        <w:numId w:val="3"/>
      </w:numPr>
      <w:tabs>
        <w:tab w:val="left" w:pos="0"/>
      </w:tabs>
      <w:spacing w:before="280" w:after="156" w:line="377" w:lineRule="auto"/>
      <w:jc w:val="left"/>
      <w:outlineLvl w:val="4"/>
    </w:pPr>
    <w:rPr>
      <w:rFonts w:ascii="Arial" w:hAnsi="Arial" w:eastAsia="黑体"/>
      <w:b/>
      <w:kern w:val="0"/>
      <w:sz w:val="24"/>
      <w:szCs w:val="28"/>
    </w:rPr>
  </w:style>
  <w:style w:type="paragraph" w:customStyle="1" w:styleId="47">
    <w:name w:val="正文（绿盟科技）"/>
    <w:qFormat/>
    <w:uiPriority w:val="99"/>
    <w:pPr>
      <w:spacing w:line="300" w:lineRule="auto"/>
    </w:pPr>
    <w:rPr>
      <w:rFonts w:ascii="Arial" w:hAnsi="Arial" w:eastAsia="宋体" w:cs="Times New Roman"/>
      <w:sz w:val="21"/>
      <w:szCs w:val="21"/>
      <w:lang w:val="en-US" w:eastAsia="zh-CN" w:bidi="ar-SA"/>
    </w:rPr>
  </w:style>
  <w:style w:type="paragraph" w:customStyle="1" w:styleId="48">
    <w:name w:val="Default"/>
    <w:next w:val="4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71"/>
    <w:next w:val="1"/>
    <w:qFormat/>
    <w:uiPriority w:val="0"/>
    <w:pPr>
      <w:wordWrap w:val="0"/>
      <w:ind w:left="2550"/>
      <w:jc w:val="both"/>
    </w:pPr>
    <w:rPr>
      <w:rFonts w:ascii="宋体" w:hAnsi="宋体" w:eastAsia="Times New Roman" w:cs="Times New Roman"/>
      <w:sz w:val="21"/>
      <w:lang w:val="en-US" w:eastAsia="zh-CN" w:bidi="ar-SA"/>
    </w:rPr>
  </w:style>
  <w:style w:type="paragraph" w:customStyle="1" w:styleId="50">
    <w:name w:val="正文1"/>
    <w:next w:val="51"/>
    <w:qFormat/>
    <w:uiPriority w:val="99"/>
    <w:pPr>
      <w:snapToGrid w:val="0"/>
      <w:spacing w:line="500" w:lineRule="exact"/>
      <w:ind w:firstLine="567"/>
    </w:pPr>
    <w:rPr>
      <w:rFonts w:ascii="楷体_GB2312" w:hAnsi="Times New Roman" w:eastAsia="楷体_GB2312" w:cs="楷体_GB2312"/>
      <w:sz w:val="28"/>
      <w:szCs w:val="28"/>
      <w:lang w:val="en-US" w:eastAsia="zh-CN" w:bidi="ar-SA"/>
    </w:rPr>
  </w:style>
  <w:style w:type="paragraph" w:customStyle="1" w:styleId="51">
    <w:name w:val="自动更正"/>
    <w:next w:val="52"/>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52">
    <w:name w:val="xl39"/>
    <w:next w:val="53"/>
    <w:qFormat/>
    <w:uiPriority w:val="99"/>
    <w:pPr>
      <w:pBdr>
        <w:top w:val="single" w:color="auto" w:sz="4" w:space="0"/>
        <w:bottom w:val="single" w:color="auto" w:sz="4" w:space="0"/>
        <w:right w:val="single" w:color="auto" w:sz="4" w:space="0"/>
      </w:pBdr>
      <w:spacing w:before="100" w:after="100"/>
      <w:textAlignment w:val="center"/>
    </w:pPr>
    <w:rPr>
      <w:rFonts w:ascii="Times New Roman" w:hAnsi="Times New Roman" w:eastAsia="宋体" w:cs="Times New Roman"/>
      <w:lang w:val="en-US" w:eastAsia="zh-CN" w:bidi="ar-SA"/>
    </w:rPr>
  </w:style>
  <w:style w:type="paragraph" w:customStyle="1" w:styleId="53">
    <w:name w:val="分手多日，近况如何？"/>
    <w:qFormat/>
    <w:uiPriority w:val="0"/>
    <w:pPr>
      <w:widowControl w:val="0"/>
      <w:jc w:val="both"/>
    </w:pPr>
    <w:rPr>
      <w:rFonts w:ascii="Times New Roman" w:hAnsi="Times New Roman" w:eastAsia="宋体" w:cs="Times New Roman"/>
      <w:sz w:val="21"/>
      <w:szCs w:val="21"/>
      <w:lang w:val="en-US" w:eastAsia="zh-CN" w:bidi="ar-SA"/>
    </w:rPr>
  </w:style>
  <w:style w:type="paragraph" w:styleId="54">
    <w:name w:val="List Paragraph"/>
    <w:basedOn w:val="1"/>
    <w:qFormat/>
    <w:uiPriority w:val="99"/>
    <w:pPr>
      <w:ind w:firstLine="420" w:firstLineChars="200"/>
    </w:pPr>
  </w:style>
  <w:style w:type="paragraph" w:customStyle="1" w:styleId="5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56">
    <w:name w:val="Quote"/>
    <w:basedOn w:val="1"/>
    <w:next w:val="1"/>
    <w:qFormat/>
    <w:uiPriority w:val="0"/>
    <w:pPr>
      <w:wordWrap w:val="0"/>
      <w:spacing w:before="200" w:after="160"/>
      <w:ind w:left="864" w:right="864"/>
      <w:jc w:val="center"/>
    </w:pPr>
    <w:rPr>
      <w:i/>
    </w:rPr>
  </w:style>
  <w:style w:type="paragraph" w:customStyle="1" w:styleId="57">
    <w:name w:val="Body Text First Indent1"/>
    <w:basedOn w:val="10"/>
    <w:qFormat/>
    <w:uiPriority w:val="0"/>
    <w:pPr>
      <w:tabs>
        <w:tab w:val="left" w:pos="1275"/>
      </w:tabs>
      <w:ind w:firstLine="420" w:firstLineChars="100"/>
    </w:pPr>
  </w:style>
  <w:style w:type="paragraph" w:customStyle="1" w:styleId="58">
    <w:name w:val="正文缩进1"/>
    <w:qFormat/>
    <w:uiPriority w:val="0"/>
    <w:pPr>
      <w:ind w:firstLine="420" w:firstLineChars="200"/>
    </w:pPr>
    <w:rPr>
      <w:rFonts w:ascii="Times New Roman" w:hAnsi="Times New Roman" w:eastAsia="宋体" w:cs="Times New Roman"/>
      <w:lang w:val="en-US" w:eastAsia="zh-CN" w:bidi="ar-SA"/>
    </w:rPr>
  </w:style>
  <w:style w:type="paragraph" w:customStyle="1" w:styleId="59">
    <w:name w:val="表格文字"/>
    <w:basedOn w:val="12"/>
    <w:next w:val="10"/>
    <w:qFormat/>
    <w:uiPriority w:val="0"/>
    <w:pPr>
      <w:adjustRightInd w:val="0"/>
      <w:spacing w:line="420" w:lineRule="atLeast"/>
      <w:textAlignment w:val="baseline"/>
    </w:pPr>
    <w:rPr>
      <w:rFonts w:ascii="Times New Roman" w:hAnsi="Times New Roman" w:eastAsia="宋体" w:cs="Times New Roman"/>
      <w:lang w:val="en-US" w:eastAsia="zh-CN" w:bidi="ar-SA"/>
    </w:rPr>
  </w:style>
  <w:style w:type="character" w:customStyle="1" w:styleId="60">
    <w:name w:val="标题 1 字符"/>
    <w:link w:val="2"/>
    <w:qFormat/>
    <w:uiPriority w:val="99"/>
    <w:rPr>
      <w:rFonts w:ascii="Calibri" w:hAnsi="Calibri" w:eastAsia="宋体" w:cs="Calibri"/>
      <w:b/>
      <w:bCs/>
      <w:kern w:val="44"/>
      <w:sz w:val="44"/>
      <w:szCs w:val="44"/>
      <w:lang w:val="en-US" w:eastAsia="zh-CN" w:bidi="ar-SA"/>
    </w:rPr>
  </w:style>
  <w:style w:type="character" w:customStyle="1" w:styleId="61">
    <w:name w:val="标题 2 字符"/>
    <w:basedOn w:val="30"/>
    <w:link w:val="3"/>
    <w:qFormat/>
    <w:uiPriority w:val="99"/>
    <w:rPr>
      <w:rFonts w:ascii="宋体" w:hAnsi="宋体" w:eastAsia="宋体" w:cs="宋体"/>
      <w:b/>
      <w:bCs/>
      <w:kern w:val="2"/>
      <w:sz w:val="24"/>
      <w:szCs w:val="28"/>
    </w:rPr>
  </w:style>
  <w:style w:type="character" w:customStyle="1" w:styleId="62">
    <w:name w:val="标题 3 字符"/>
    <w:basedOn w:val="30"/>
    <w:link w:val="4"/>
    <w:qFormat/>
    <w:uiPriority w:val="99"/>
    <w:rPr>
      <w:rFonts w:ascii="宋体" w:hAnsi="宋体" w:eastAsia="宋体" w:cs="宋体"/>
      <w:b/>
      <w:bCs/>
      <w:kern w:val="2"/>
      <w:sz w:val="24"/>
      <w:szCs w:val="28"/>
    </w:rPr>
  </w:style>
  <w:style w:type="character" w:customStyle="1" w:styleId="63">
    <w:name w:val="正文文本 字符"/>
    <w:basedOn w:val="30"/>
    <w:link w:val="10"/>
    <w:qFormat/>
    <w:uiPriority w:val="99"/>
    <w:rPr>
      <w:rFonts w:ascii="Times New Roman" w:hAnsi="Times New Roman"/>
      <w:szCs w:val="21"/>
    </w:rPr>
  </w:style>
  <w:style w:type="paragraph" w:customStyle="1" w:styleId="64">
    <w:name w:val="样式 表格正文 + 两端对齐"/>
    <w:next w:val="50"/>
    <w:qFormat/>
    <w:uiPriority w:val="99"/>
    <w:pPr>
      <w:spacing w:line="300" w:lineRule="auto"/>
    </w:pPr>
    <w:rPr>
      <w:rFonts w:ascii="Times New Roman" w:hAnsi="Times New Roman" w:eastAsia="宋体" w:cs="Times New Roman"/>
      <w:sz w:val="24"/>
      <w:szCs w:val="24"/>
      <w:lang w:val="en-US" w:eastAsia="zh-CN" w:bidi="ar-SA"/>
    </w:rPr>
  </w:style>
  <w:style w:type="character" w:customStyle="1" w:styleId="65">
    <w:name w:val="正文文本缩进 字符"/>
    <w:basedOn w:val="30"/>
    <w:link w:val="12"/>
    <w:qFormat/>
    <w:uiPriority w:val="99"/>
    <w:rPr>
      <w:rFonts w:ascii="Times New Roman" w:hAnsi="Times New Roman"/>
      <w:szCs w:val="21"/>
    </w:rPr>
  </w:style>
  <w:style w:type="character" w:customStyle="1" w:styleId="66">
    <w:name w:val="纯文本 字符"/>
    <w:basedOn w:val="30"/>
    <w:link w:val="14"/>
    <w:qFormat/>
    <w:uiPriority w:val="99"/>
    <w:rPr>
      <w:rFonts w:ascii="宋体" w:hAnsi="Courier New" w:cs="Courier New"/>
      <w:szCs w:val="21"/>
    </w:rPr>
  </w:style>
  <w:style w:type="character" w:customStyle="1" w:styleId="67">
    <w:name w:val="日期 字符"/>
    <w:basedOn w:val="30"/>
    <w:link w:val="15"/>
    <w:qFormat/>
    <w:uiPriority w:val="99"/>
    <w:rPr>
      <w:rFonts w:ascii="Times New Roman" w:hAnsi="Times New Roman"/>
      <w:szCs w:val="21"/>
    </w:rPr>
  </w:style>
  <w:style w:type="character" w:customStyle="1" w:styleId="68">
    <w:name w:val="批注框文本 字符"/>
    <w:basedOn w:val="30"/>
    <w:link w:val="16"/>
    <w:qFormat/>
    <w:uiPriority w:val="99"/>
    <w:rPr>
      <w:kern w:val="2"/>
      <w:sz w:val="18"/>
      <w:szCs w:val="18"/>
    </w:rPr>
  </w:style>
  <w:style w:type="character" w:customStyle="1" w:styleId="69">
    <w:name w:val="页脚 字符"/>
    <w:basedOn w:val="30"/>
    <w:link w:val="17"/>
    <w:qFormat/>
    <w:uiPriority w:val="99"/>
    <w:rPr>
      <w:rFonts w:ascii="Times New Roman" w:hAnsi="Times New Roman"/>
      <w:sz w:val="18"/>
      <w:szCs w:val="18"/>
    </w:rPr>
  </w:style>
  <w:style w:type="character" w:customStyle="1" w:styleId="70">
    <w:name w:val="页眉 字符"/>
    <w:basedOn w:val="30"/>
    <w:link w:val="18"/>
    <w:qFormat/>
    <w:uiPriority w:val="99"/>
    <w:rPr>
      <w:rFonts w:ascii="Times New Roman" w:hAnsi="Times New Roman"/>
      <w:sz w:val="18"/>
      <w:szCs w:val="18"/>
    </w:rPr>
  </w:style>
  <w:style w:type="character" w:customStyle="1" w:styleId="71">
    <w:name w:val="正文文本首行缩进 字符"/>
    <w:basedOn w:val="63"/>
    <w:link w:val="11"/>
    <w:qFormat/>
    <w:uiPriority w:val="99"/>
    <w:rPr>
      <w:rFonts w:ascii="Times New Roman" w:hAnsi="Times New Roman"/>
      <w:szCs w:val="21"/>
    </w:rPr>
  </w:style>
  <w:style w:type="paragraph" w:customStyle="1" w:styleId="72">
    <w:name w:val="正文2"/>
    <w:basedOn w:val="23"/>
    <w:link w:val="94"/>
    <w:qFormat/>
    <w:uiPriority w:val="0"/>
    <w:pPr>
      <w:adjustRightInd w:val="0"/>
      <w:spacing w:before="156" w:line="360" w:lineRule="auto"/>
      <w:ind w:firstLine="510" w:firstLineChars="200"/>
    </w:pPr>
    <w:rPr>
      <w:rFonts w:ascii="Times New Roman" w:hAnsi="Times New Roman" w:eastAsia="宋体" w:cs="Times New Roman"/>
      <w:sz w:val="24"/>
      <w:szCs w:val="24"/>
      <w:lang w:val="en-US" w:eastAsia="zh-CN" w:bidi="ar-SA"/>
    </w:rPr>
  </w:style>
  <w:style w:type="paragraph" w:customStyle="1" w:styleId="73">
    <w:name w:val="List Paragraph1"/>
    <w:qFormat/>
    <w:uiPriority w:val="99"/>
    <w:pPr>
      <w:ind w:firstLine="420" w:firstLineChars="200"/>
    </w:pPr>
    <w:rPr>
      <w:rFonts w:ascii="Calibri" w:hAnsi="Calibri" w:eastAsia="宋体" w:cs="Calibri"/>
      <w:lang w:val="en-US" w:eastAsia="zh-CN" w:bidi="ar-SA"/>
    </w:rPr>
  </w:style>
  <w:style w:type="character" w:customStyle="1" w:styleId="74">
    <w:name w:val="style81"/>
    <w:qFormat/>
    <w:uiPriority w:val="99"/>
    <w:rPr>
      <w:sz w:val="20"/>
      <w:szCs w:val="20"/>
    </w:rPr>
  </w:style>
  <w:style w:type="paragraph" w:customStyle="1" w:styleId="75">
    <w:name w:val="列出段落1"/>
    <w:qFormat/>
    <w:uiPriority w:val="99"/>
    <w:pPr>
      <w:ind w:firstLine="420"/>
    </w:pPr>
    <w:rPr>
      <w:rFonts w:ascii="Times New Roman" w:hAnsi="Times New Roman" w:eastAsia="宋体" w:cs="Times New Roman"/>
      <w:lang w:val="en-US" w:eastAsia="zh-CN" w:bidi="ar-SA"/>
    </w:rPr>
  </w:style>
  <w:style w:type="paragraph" w:customStyle="1" w:styleId="76">
    <w:name w:val="表格"/>
    <w:qFormat/>
    <w:uiPriority w:val="99"/>
    <w:pPr>
      <w:autoSpaceDE w:val="0"/>
      <w:autoSpaceDN w:val="0"/>
      <w:jc w:val="center"/>
      <w:textAlignment w:val="baseline"/>
    </w:pPr>
    <w:rPr>
      <w:rFonts w:ascii="Times New Roman" w:hAnsi="Times New Roman" w:eastAsia="宋体" w:cs="Times New Roman"/>
      <w:color w:val="000000"/>
      <w:lang w:val="en-US" w:eastAsia="zh-CN" w:bidi="ar-SA"/>
    </w:rPr>
  </w:style>
  <w:style w:type="character" w:customStyle="1" w:styleId="77">
    <w:name w:val="02 Char"/>
    <w:link w:val="78"/>
    <w:qFormat/>
    <w:uiPriority w:val="99"/>
    <w:rPr>
      <w:rFonts w:ascii="宋体" w:cs="宋体"/>
      <w:b/>
      <w:bCs/>
      <w:color w:val="FF0000"/>
      <w:kern w:val="2"/>
      <w:sz w:val="28"/>
      <w:szCs w:val="28"/>
    </w:rPr>
  </w:style>
  <w:style w:type="paragraph" w:customStyle="1" w:styleId="78">
    <w:name w:val="02"/>
    <w:basedOn w:val="3"/>
    <w:link w:val="77"/>
    <w:qFormat/>
    <w:uiPriority w:val="99"/>
    <w:pPr>
      <w:jc w:val="center"/>
    </w:pPr>
    <w:rPr>
      <w:color w:val="FF0000"/>
    </w:rPr>
  </w:style>
  <w:style w:type="character" w:customStyle="1" w:styleId="79">
    <w:name w:val="03 Char"/>
    <w:link w:val="80"/>
    <w:qFormat/>
    <w:uiPriority w:val="99"/>
    <w:rPr>
      <w:rFonts w:ascii="宋体" w:cs="宋体"/>
      <w:b/>
      <w:bCs/>
      <w:kern w:val="2"/>
      <w:sz w:val="28"/>
      <w:szCs w:val="28"/>
    </w:rPr>
  </w:style>
  <w:style w:type="paragraph" w:customStyle="1" w:styleId="80">
    <w:name w:val="03"/>
    <w:basedOn w:val="4"/>
    <w:link w:val="79"/>
    <w:qFormat/>
    <w:uiPriority w:val="99"/>
    <w:pPr>
      <w:numPr>
        <w:ilvl w:val="0"/>
        <w:numId w:val="0"/>
      </w:numPr>
    </w:pPr>
  </w:style>
  <w:style w:type="character" w:customStyle="1" w:styleId="81">
    <w:name w:val="宋体小四 Char"/>
    <w:link w:val="82"/>
    <w:qFormat/>
    <w:uiPriority w:val="99"/>
    <w:rPr>
      <w:rFonts w:ascii="宋体" w:eastAsia="宋体" w:cs="宋体"/>
      <w:kern w:val="2"/>
      <w:sz w:val="24"/>
      <w:szCs w:val="24"/>
    </w:rPr>
  </w:style>
  <w:style w:type="paragraph" w:customStyle="1" w:styleId="82">
    <w:name w:val="宋体小四"/>
    <w:link w:val="81"/>
    <w:qFormat/>
    <w:uiPriority w:val="99"/>
    <w:pPr>
      <w:spacing w:line="360" w:lineRule="auto"/>
      <w:ind w:firstLine="480" w:firstLineChars="200"/>
    </w:pPr>
    <w:rPr>
      <w:rFonts w:ascii="宋体" w:hAnsi="宋体" w:eastAsia="宋体" w:cs="宋体"/>
      <w:sz w:val="24"/>
      <w:szCs w:val="24"/>
      <w:lang w:val="en-US" w:eastAsia="zh-CN" w:bidi="ar-SA"/>
    </w:rPr>
  </w:style>
  <w:style w:type="character" w:customStyle="1" w:styleId="83">
    <w:name w:val="fontstyle01"/>
    <w:basedOn w:val="30"/>
    <w:qFormat/>
    <w:uiPriority w:val="99"/>
    <w:rPr>
      <w:rFonts w:ascii="宋体" w:eastAsia="宋体" w:cs="宋体"/>
      <w:color w:val="000000"/>
      <w:sz w:val="22"/>
      <w:szCs w:val="22"/>
    </w:rPr>
  </w:style>
  <w:style w:type="paragraph" w:customStyle="1" w:styleId="84">
    <w:name w:val="正文首行缩进2字符"/>
    <w:qFormat/>
    <w:uiPriority w:val="99"/>
    <w:pPr>
      <w:spacing w:line="360" w:lineRule="auto"/>
      <w:ind w:firstLine="200" w:firstLineChars="200"/>
    </w:pPr>
    <w:rPr>
      <w:rFonts w:ascii="Times New Roman" w:hAnsi="Times New Roman" w:eastAsia="宋体" w:cs="Times New Roman"/>
      <w:lang w:val="en-US" w:eastAsia="zh-CN" w:bidi="ar-SA"/>
    </w:rPr>
  </w:style>
  <w:style w:type="paragraph" w:customStyle="1" w:styleId="85">
    <w:name w:val="居中表格内容标题"/>
    <w:basedOn w:val="86"/>
    <w:qFormat/>
    <w:uiPriority w:val="0"/>
    <w:pPr>
      <w:jc w:val="center"/>
    </w:pPr>
    <w:rPr>
      <w:b/>
    </w:rPr>
  </w:style>
  <w:style w:type="paragraph" w:customStyle="1" w:styleId="86">
    <w:name w:val="居中表格内容"/>
    <w:qFormat/>
    <w:uiPriority w:val="0"/>
    <w:rPr>
      <w:rFonts w:ascii="Times New Roman" w:hAnsi="Times New Roman" w:eastAsia="宋体" w:cs="Times New Roman"/>
      <w:szCs w:val="28"/>
      <w:lang w:val="en-US" w:eastAsia="zh-CN" w:bidi="ar-SA"/>
    </w:rPr>
  </w:style>
  <w:style w:type="paragraph" w:customStyle="1" w:styleId="87">
    <w:name w:val="列表段落1"/>
    <w:link w:val="88"/>
    <w:qFormat/>
    <w:uiPriority w:val="34"/>
    <w:pPr>
      <w:ind w:firstLine="420" w:firstLineChars="200"/>
    </w:pPr>
    <w:rPr>
      <w:rFonts w:ascii="Times New Roman" w:hAnsi="Times New Roman" w:eastAsia="宋体" w:cs="Times New Roman"/>
      <w:lang w:val="en-US" w:eastAsia="zh-CN" w:bidi="ar-SA"/>
    </w:rPr>
  </w:style>
  <w:style w:type="character" w:customStyle="1" w:styleId="88">
    <w:name w:val="列表段落 字符"/>
    <w:basedOn w:val="30"/>
    <w:link w:val="87"/>
    <w:qFormat/>
    <w:uiPriority w:val="34"/>
  </w:style>
  <w:style w:type="table" w:customStyle="1" w:styleId="89">
    <w:name w:val="网格型浅色1"/>
    <w:basedOn w:val="28"/>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90">
    <w:name w:val="正文（首行缩进2字符）"/>
    <w:basedOn w:val="1"/>
    <w:qFormat/>
    <w:uiPriority w:val="0"/>
    <w:pPr>
      <w:spacing w:line="360" w:lineRule="auto"/>
      <w:ind w:firstLine="480" w:firstLineChars="200"/>
    </w:pPr>
    <w:rPr>
      <w:kern w:val="2"/>
      <w:sz w:val="24"/>
    </w:rPr>
  </w:style>
  <w:style w:type="character" w:customStyle="1" w:styleId="91">
    <w:name w:val="副标题 字符"/>
    <w:basedOn w:val="30"/>
    <w:link w:val="20"/>
    <w:qFormat/>
    <w:uiPriority w:val="0"/>
    <w:rPr>
      <w:rFonts w:ascii="等线 Light" w:hAnsi="等线 Light"/>
      <w:b/>
      <w:bCs/>
      <w:snapToGrid w:val="0"/>
      <w:kern w:val="28"/>
      <w:sz w:val="32"/>
      <w:szCs w:val="32"/>
    </w:rPr>
  </w:style>
  <w:style w:type="paragraph" w:customStyle="1" w:styleId="92">
    <w:name w:val="正文小四"/>
    <w:basedOn w:val="1"/>
    <w:qFormat/>
    <w:uiPriority w:val="0"/>
    <w:pPr>
      <w:widowControl/>
      <w:spacing w:line="360" w:lineRule="auto"/>
      <w:ind w:firstLine="200" w:firstLineChars="200"/>
      <w:jc w:val="left"/>
    </w:pPr>
    <w:rPr>
      <w:rFonts w:ascii="Calibri" w:hAnsi="Calibri" w:eastAsia="仿宋"/>
      <w:snapToGrid w:val="0"/>
      <w:sz w:val="24"/>
      <w:szCs w:val="21"/>
    </w:rPr>
  </w:style>
  <w:style w:type="paragraph" w:customStyle="1" w:styleId="93">
    <w:name w:val="样式x"/>
    <w:basedOn w:val="4"/>
    <w:qFormat/>
    <w:uiPriority w:val="0"/>
    <w:pPr>
      <w:widowControl w:val="0"/>
      <w:numPr>
        <w:numId w:val="0"/>
      </w:numPr>
      <w:ind w:left="1275" w:hanging="720"/>
      <w:jc w:val="both"/>
    </w:pPr>
    <w:rPr>
      <w:rFonts w:hAnsi="Times New Roman" w:eastAsia="仿宋" w:cs="Times New Roman"/>
      <w:bCs w:val="0"/>
      <w:snapToGrid w:val="0"/>
      <w:kern w:val="2"/>
      <w:szCs w:val="20"/>
    </w:rPr>
  </w:style>
  <w:style w:type="character" w:customStyle="1" w:styleId="94">
    <w:name w:val="正文2 Char Char"/>
    <w:link w:val="72"/>
    <w:qFormat/>
    <w:uiPriority w:val="0"/>
    <w:rPr>
      <w:sz w:val="24"/>
      <w:szCs w:val="24"/>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 w:type="paragraph" w:customStyle="1" w:styleId="96">
    <w:name w:val="WPSOffice手动目录 2"/>
    <w:qFormat/>
    <w:uiPriority w:val="0"/>
    <w:pPr>
      <w:ind w:leftChars="200"/>
    </w:pPr>
    <w:rPr>
      <w:rFonts w:ascii="Times New Roman" w:hAnsi="Times New Roman" w:eastAsia="宋体" w:cs="Times New Roman"/>
      <w:sz w:val="20"/>
      <w:szCs w:val="20"/>
    </w:rPr>
  </w:style>
  <w:style w:type="character" w:customStyle="1" w:styleId="97">
    <w:name w:val="NormalCharacter"/>
    <w:qFormat/>
    <w:uiPriority w:val="0"/>
    <w:rPr>
      <w:rFonts w:ascii="Tahoma" w:hAnsi="Tahoma"/>
      <w:sz w:val="24"/>
      <w:szCs w:val="20"/>
    </w:rPr>
  </w:style>
  <w:style w:type="paragraph" w:customStyle="1" w:styleId="98">
    <w:name w:val="表格正文"/>
    <w:basedOn w:val="1"/>
    <w:qFormat/>
    <w:uiPriority w:val="0"/>
    <w:pPr>
      <w:spacing w:before="0" w:beforeLines="0" w:line="240" w:lineRule="auto"/>
      <w:ind w:firstLine="0" w:firstLineChars="0"/>
      <w:jc w:val="center"/>
    </w:pPr>
    <w:rPr>
      <w:sz w:val="21"/>
      <w:szCs w:val="24"/>
    </w:rPr>
  </w:style>
  <w:style w:type="table" w:customStyle="1" w:styleId="99">
    <w:name w:val="Table Normal"/>
    <w:semiHidden/>
    <w:unhideWhenUsed/>
    <w:qFormat/>
    <w:uiPriority w:val="0"/>
    <w:tblPr>
      <w:tblCellMar>
        <w:top w:w="0" w:type="dxa"/>
        <w:left w:w="0" w:type="dxa"/>
        <w:bottom w:w="0" w:type="dxa"/>
        <w:right w:w="0" w:type="dxa"/>
      </w:tblCellMar>
    </w:tblPr>
  </w:style>
  <w:style w:type="paragraph" w:customStyle="1" w:styleId="100">
    <w:name w:val="内容"/>
    <w:basedOn w:val="1"/>
    <w:qFormat/>
    <w:uiPriority w:val="0"/>
    <w:pPr>
      <w:spacing w:line="560" w:lineRule="exact"/>
      <w:ind w:left="141" w:leftChars="67" w:firstLine="480" w:firstLineChars="200"/>
    </w:pPr>
    <w:rPr>
      <w:rFonts w:ascii="楷体_GB2312" w:hAnsi="楷体_GB2312" w:eastAsia="楷体_GB2312"/>
      <w:kern w:val="0"/>
      <w:sz w:val="24"/>
    </w:rPr>
  </w:style>
  <w:style w:type="character" w:customStyle="1" w:styleId="101">
    <w:name w:val="font31"/>
    <w:qFormat/>
    <w:uiPriority w:val="0"/>
    <w:rPr>
      <w:rFonts w:ascii="Calibri" w:hAnsi="Calibri" w:cs="Calibri"/>
      <w:color w:val="000000"/>
      <w:sz w:val="24"/>
      <w:szCs w:val="24"/>
      <w:u w:val="none"/>
    </w:rPr>
  </w:style>
  <w:style w:type="character" w:customStyle="1" w:styleId="102">
    <w:name w:val="font01"/>
    <w:basedOn w:val="30"/>
    <w:qFormat/>
    <w:uiPriority w:val="0"/>
    <w:rPr>
      <w:rFonts w:hint="eastAsia" w:ascii="宋体" w:hAnsi="宋体" w:eastAsia="宋体" w:cs="宋体"/>
      <w:color w:val="000000"/>
      <w:sz w:val="24"/>
      <w:szCs w:val="24"/>
      <w:u w:val="none"/>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104">
    <w:name w:val="font11"/>
    <w:qFormat/>
    <w:uiPriority w:val="0"/>
    <w:rPr>
      <w:rFonts w:hint="eastAsia" w:ascii="宋体" w:hAnsi="宋体" w:eastAsia="宋体" w:cs="宋体"/>
      <w:b/>
      <w:iCs/>
      <w:color w:val="FF0000"/>
      <w:kern w:val="0"/>
      <w:sz w:val="20"/>
      <w:szCs w:val="20"/>
      <w:u w:val="none"/>
      <w:lang w:eastAsia="en-US"/>
    </w:rPr>
  </w:style>
  <w:style w:type="paragraph" w:customStyle="1" w:styleId="105">
    <w:name w:val="BodyText1I2"/>
    <w:basedOn w:val="106"/>
    <w:qFormat/>
    <w:uiPriority w:val="0"/>
    <w:pPr>
      <w:ind w:firstLine="420"/>
    </w:pPr>
    <w:rPr>
      <w:sz w:val="21"/>
    </w:rPr>
  </w:style>
  <w:style w:type="paragraph" w:customStyle="1" w:styleId="106">
    <w:name w:val="BodyTextIndent"/>
    <w:basedOn w:val="1"/>
    <w:next w:val="105"/>
    <w:qFormat/>
    <w:uiPriority w:val="0"/>
    <w:pPr>
      <w:spacing w:line="360" w:lineRule="auto"/>
      <w:ind w:firstLine="490"/>
      <w:jc w:val="left"/>
    </w:pPr>
    <w:rPr>
      <w:rFonts w:ascii="宋体" w:hAnsi="宋体"/>
      <w:sz w:val="24"/>
    </w:rPr>
  </w:style>
  <w:style w:type="paragraph" w:customStyle="1" w:styleId="107">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08">
    <w:name w:val="正文（缩进）"/>
    <w:basedOn w:val="1"/>
    <w:qFormat/>
    <w:uiPriority w:val="0"/>
    <w:pPr>
      <w:spacing w:beforeLines="50" w:afterLines="50" w:line="360" w:lineRule="auto"/>
      <w:ind w:firstLine="480" w:firstLineChars="200"/>
    </w:pPr>
    <w:rPr>
      <w:rFonts w:ascii="Times New Roman" w:hAnsi="Times New Roman" w:eastAsia="宋体" w:cs="Times New Roman"/>
      <w:kern w:val="0"/>
      <w:sz w:val="24"/>
      <w:lang w:val="zh-CN"/>
    </w:rPr>
  </w:style>
  <w:style w:type="paragraph" w:customStyle="1" w:styleId="109">
    <w:name w:val="标准投标正文"/>
    <w:qFormat/>
    <w:uiPriority w:val="0"/>
    <w:pPr>
      <w:widowControl w:val="0"/>
      <w:snapToGrid w:val="0"/>
      <w:spacing w:line="360" w:lineRule="auto"/>
      <w:ind w:firstLine="480" w:firstLineChars="200"/>
    </w:pPr>
    <w:rPr>
      <w:rFonts w:ascii="仿宋" w:hAnsi="仿宋" w:eastAsia="仿宋" w:cs="仿宋"/>
      <w:kern w:val="2"/>
      <w:sz w:val="24"/>
      <w:szCs w:val="24"/>
      <w:lang w:val="en-US" w:eastAsia="zh-CN" w:bidi="ar-SA"/>
    </w:rPr>
  </w:style>
  <w:style w:type="paragraph" w:customStyle="1" w:styleId="110">
    <w:name w:val="4正-b"/>
    <w:basedOn w:val="1"/>
    <w:qFormat/>
    <w:uiPriority w:val="0"/>
    <w:pPr>
      <w:widowControl/>
      <w:spacing w:before="120" w:after="100"/>
    </w:pPr>
    <w:rPr>
      <w:rFonts w:ascii="Arial" w:hAnsi="Arial" w:cs="Arial"/>
      <w:iCs/>
    </w:rPr>
  </w:style>
  <w:style w:type="character" w:customStyle="1" w:styleId="111">
    <w:name w:val="font21"/>
    <w:basedOn w:val="30"/>
    <w:qFormat/>
    <w:uiPriority w:val="0"/>
    <w:rPr>
      <w:rFonts w:hint="default" w:ascii="Tahoma" w:hAnsi="Tahoma" w:eastAsia="Tahoma" w:cs="Tahoma"/>
      <w:color w:val="000000"/>
      <w:sz w:val="22"/>
      <w:szCs w:val="22"/>
      <w:u w:val="none"/>
    </w:rPr>
  </w:style>
  <w:style w:type="paragraph" w:customStyle="1" w:styleId="112">
    <w:name w:val="列出段落21"/>
    <w:basedOn w:val="1"/>
    <w:qFormat/>
    <w:uiPriority w:val="0"/>
    <w:pPr>
      <w:spacing w:line="400" w:lineRule="exact"/>
      <w:jc w:val="both"/>
    </w:pPr>
    <w:rPr>
      <w:rFonts w:ascii="Calibri" w:hAnsi="Calibri"/>
      <w:sz w:val="21"/>
      <w:szCs w:val="22"/>
    </w:rPr>
  </w:style>
  <w:style w:type="paragraph" w:customStyle="1" w:styleId="113">
    <w:name w:val="Body Text First Indent 21"/>
    <w:basedOn w:val="114"/>
    <w:qFormat/>
    <w:uiPriority w:val="0"/>
    <w:pPr>
      <w:spacing w:after="120" w:line="240" w:lineRule="auto"/>
      <w:ind w:left="420" w:leftChars="200" w:firstLine="420" w:firstLineChars="200"/>
    </w:pPr>
    <w:rPr>
      <w:sz w:val="21"/>
    </w:rPr>
  </w:style>
  <w:style w:type="paragraph" w:customStyle="1" w:styleId="114">
    <w:name w:val="Body Text Indent1"/>
    <w:basedOn w:val="1"/>
    <w:next w:val="1"/>
    <w:qFormat/>
    <w:uiPriority w:val="0"/>
    <w:pPr>
      <w:spacing w:line="200" w:lineRule="exact"/>
      <w:ind w:firstLine="301"/>
    </w:pPr>
    <w:rPr>
      <w:rFonts w:ascii="宋体" w:hAnsi="Courier New"/>
      <w:spacing w:val="-4"/>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85</Pages>
  <Words>18485</Words>
  <Characters>19609</Characters>
  <Lines>243</Lines>
  <Paragraphs>68</Paragraphs>
  <TotalTime>89</TotalTime>
  <ScaleCrop>false</ScaleCrop>
  <LinksUpToDate>false</LinksUpToDate>
  <CharactersWithSpaces>19884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2021-11-23T16:07:00Z</dcterms:created>
  <dc:creator>陈圣楠</dc:creator>
  <cp:lastModifiedBy>周英俊</cp:lastModifiedBy>
  <cp:lastPrinted>2024-01-14T02:04:00Z</cp:lastPrinted>
  <dcterms:modified xsi:type="dcterms:W3CDTF">2026-06-04T07:19:59Z</dcterms:modified>
  <dc:title>浙江绍兴上虞人民调解服务标准化</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55C6676C960A40DCAA6FF2294973822E_13</vt:lpwstr>
  </property>
  <property fmtid="{D5CDD505-2E9C-101B-9397-08002B2CF9AE}" pid="4" name="KSOTemplateDocerSaveRecord">
    <vt:lpwstr>eyJoZGlkIjoiZmMzM2FmODQ0ZDNhMjIwMjQ0ZDNmZTM1YWI2YTEyZWUiLCJ1c2VySWQiOiIxOTg0NjU4NDQifQ==</vt:lpwstr>
  </property>
</Properties>
</file>