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BAC6C">
      <w:pPr>
        <w:spacing w:line="360" w:lineRule="auto"/>
        <w:ind w:firstLine="600"/>
        <w:rPr>
          <w:rFonts w:hint="eastAsia" w:ascii="楷体_GB2312" w:eastAsia="楷体_GB2312"/>
          <w:bCs/>
          <w:color w:val="auto"/>
          <w:sz w:val="30"/>
          <w:szCs w:val="30"/>
          <w:highlight w:val="none"/>
        </w:rPr>
      </w:pPr>
      <w:r>
        <w:rPr>
          <w:rFonts w:hint="eastAsia" w:ascii="楷体_GB2312" w:eastAsia="楷体_GB2312"/>
          <w:bCs/>
          <w:color w:val="auto"/>
          <w:sz w:val="30"/>
          <w:szCs w:val="30"/>
          <w:highlight w:val="none"/>
        </w:rPr>
        <w:t xml:space="preserve"> </w:t>
      </w:r>
    </w:p>
    <w:p w14:paraId="42927AE2">
      <w:pPr>
        <w:pStyle w:val="17"/>
        <w:rPr>
          <w:rFonts w:hint="eastAsia"/>
          <w:color w:val="auto"/>
          <w:highlight w:val="none"/>
        </w:rPr>
      </w:pPr>
    </w:p>
    <w:p w14:paraId="08810D2B">
      <w:pPr>
        <w:pStyle w:val="17"/>
        <w:adjustRightInd w:val="0"/>
        <w:snapToGrid w:val="0"/>
        <w:spacing w:line="360" w:lineRule="auto"/>
        <w:jc w:val="center"/>
        <w:rPr>
          <w:rFonts w:hint="eastAsia" w:ascii="宋体" w:hAnsi="宋体" w:eastAsia="宋体"/>
          <w:color w:val="auto"/>
          <w:sz w:val="36"/>
          <w:szCs w:val="36"/>
          <w:highlight w:val="none"/>
          <w:lang w:eastAsia="zh-CN"/>
        </w:rPr>
      </w:pPr>
      <w:r>
        <w:rPr>
          <w:rFonts w:hint="eastAsia" w:ascii="宋体" w:hAnsi="宋体" w:eastAsia="宋体"/>
          <w:color w:val="auto"/>
          <w:sz w:val="36"/>
          <w:szCs w:val="36"/>
          <w:highlight w:val="none"/>
          <w:lang w:eastAsia="zh-CN"/>
        </w:rPr>
        <w:t>玉溪职业技术学院（云南省玉溪工业财贸学校）澄江职中提级管理项目（1包）校园监控系统升级改造项目</w:t>
      </w:r>
    </w:p>
    <w:p w14:paraId="59E2CEA9">
      <w:pPr>
        <w:spacing w:line="360" w:lineRule="auto"/>
        <w:jc w:val="center"/>
        <w:rPr>
          <w:rFonts w:hint="eastAsia"/>
          <w:b/>
          <w:bCs/>
          <w:color w:val="auto"/>
          <w:sz w:val="72"/>
          <w:szCs w:val="72"/>
          <w:highlight w:val="none"/>
        </w:rPr>
      </w:pPr>
    </w:p>
    <w:p w14:paraId="6D1F1164">
      <w:pPr>
        <w:spacing w:line="360" w:lineRule="auto"/>
        <w:jc w:val="center"/>
        <w:rPr>
          <w:rFonts w:hint="eastAsia"/>
          <w:b/>
          <w:bCs/>
          <w:color w:val="auto"/>
          <w:sz w:val="72"/>
          <w:szCs w:val="72"/>
          <w:highlight w:val="none"/>
        </w:rPr>
      </w:pPr>
    </w:p>
    <w:p w14:paraId="5BEB2E06">
      <w:pPr>
        <w:spacing w:line="360" w:lineRule="auto"/>
        <w:jc w:val="center"/>
        <w:rPr>
          <w:rFonts w:hint="eastAsia"/>
          <w:b/>
          <w:bCs/>
          <w:color w:val="auto"/>
          <w:sz w:val="72"/>
          <w:szCs w:val="72"/>
          <w:highlight w:val="none"/>
        </w:rPr>
      </w:pPr>
      <w:r>
        <w:rPr>
          <w:rFonts w:hint="eastAsia"/>
          <w:b/>
          <w:bCs/>
          <w:color w:val="auto"/>
          <w:sz w:val="72"/>
          <w:szCs w:val="72"/>
          <w:highlight w:val="none"/>
        </w:rPr>
        <w:t>招 标 文 件</w:t>
      </w:r>
    </w:p>
    <w:p w14:paraId="68519064">
      <w:pPr>
        <w:spacing w:line="360" w:lineRule="auto"/>
        <w:jc w:val="center"/>
        <w:rPr>
          <w:rFonts w:hint="eastAsia"/>
          <w:b/>
          <w:bCs/>
          <w:color w:val="auto"/>
          <w:sz w:val="28"/>
          <w:szCs w:val="28"/>
          <w:highlight w:val="none"/>
        </w:rPr>
      </w:pPr>
    </w:p>
    <w:p w14:paraId="1C1D41F8">
      <w:pPr>
        <w:spacing w:line="360" w:lineRule="auto"/>
        <w:jc w:val="center"/>
        <w:rPr>
          <w:rFonts w:hint="eastAsia"/>
          <w:b/>
          <w:bCs/>
          <w:color w:val="auto"/>
          <w:sz w:val="28"/>
          <w:szCs w:val="48"/>
          <w:highlight w:val="none"/>
        </w:rPr>
      </w:pPr>
    </w:p>
    <w:p w14:paraId="29788151">
      <w:pPr>
        <w:spacing w:line="360" w:lineRule="auto"/>
        <w:jc w:val="center"/>
        <w:rPr>
          <w:rFonts w:hint="eastAsia" w:eastAsia="宋体"/>
          <w:b/>
          <w:bCs/>
          <w:color w:val="auto"/>
          <w:sz w:val="28"/>
          <w:szCs w:val="48"/>
          <w:highlight w:val="none"/>
          <w:lang w:eastAsia="zh-CN"/>
        </w:rPr>
      </w:pPr>
      <w:r>
        <w:rPr>
          <w:rFonts w:hint="eastAsia"/>
          <w:b/>
          <w:bCs/>
          <w:color w:val="auto"/>
          <w:sz w:val="28"/>
          <w:szCs w:val="48"/>
          <w:highlight w:val="none"/>
        </w:rPr>
        <w:t>项目编号：</w:t>
      </w:r>
      <w:r>
        <w:rPr>
          <w:rFonts w:hint="eastAsia"/>
          <w:b/>
          <w:bCs/>
          <w:color w:val="auto"/>
          <w:sz w:val="28"/>
          <w:szCs w:val="48"/>
          <w:highlight w:val="none"/>
          <w:lang w:eastAsia="zh-CN"/>
        </w:rPr>
        <w:t>ZZGL-2026070H</w:t>
      </w:r>
    </w:p>
    <w:p w14:paraId="0F05B913">
      <w:pPr>
        <w:spacing w:line="360" w:lineRule="auto"/>
        <w:jc w:val="center"/>
        <w:rPr>
          <w:rFonts w:hint="eastAsia"/>
          <w:b/>
          <w:bCs/>
          <w:color w:val="auto"/>
          <w:sz w:val="28"/>
          <w:szCs w:val="28"/>
          <w:highlight w:val="none"/>
        </w:rPr>
      </w:pPr>
    </w:p>
    <w:p w14:paraId="6999CDAA">
      <w:pPr>
        <w:spacing w:line="360" w:lineRule="auto"/>
        <w:jc w:val="center"/>
        <w:rPr>
          <w:rFonts w:hint="eastAsia"/>
          <w:b/>
          <w:bCs/>
          <w:color w:val="auto"/>
          <w:sz w:val="28"/>
          <w:szCs w:val="28"/>
          <w:highlight w:val="none"/>
        </w:rPr>
      </w:pPr>
    </w:p>
    <w:p w14:paraId="14CCD51B">
      <w:pPr>
        <w:adjustRightInd w:val="0"/>
        <w:snapToGrid w:val="0"/>
        <w:spacing w:line="480" w:lineRule="auto"/>
        <w:jc w:val="center"/>
        <w:rPr>
          <w:rFonts w:hint="eastAsia"/>
          <w:b/>
          <w:bCs/>
          <w:color w:val="auto"/>
          <w:sz w:val="32"/>
          <w:szCs w:val="48"/>
          <w:highlight w:val="none"/>
        </w:rPr>
      </w:pPr>
    </w:p>
    <w:p w14:paraId="11182BC0">
      <w:pPr>
        <w:adjustRightInd w:val="0"/>
        <w:snapToGrid w:val="0"/>
        <w:spacing w:line="480" w:lineRule="auto"/>
        <w:rPr>
          <w:rFonts w:hint="eastAsia"/>
          <w:b/>
          <w:bCs/>
          <w:color w:val="auto"/>
          <w:sz w:val="32"/>
          <w:szCs w:val="48"/>
          <w:highlight w:val="none"/>
        </w:rPr>
      </w:pPr>
    </w:p>
    <w:p w14:paraId="67532E67">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 购 人：</w:t>
      </w:r>
      <w:r>
        <w:rPr>
          <w:rFonts w:hint="eastAsia"/>
          <w:b/>
          <w:bCs/>
          <w:color w:val="auto"/>
          <w:sz w:val="28"/>
          <w:szCs w:val="28"/>
          <w:highlight w:val="none"/>
          <w:u w:val="single"/>
        </w:rPr>
        <w:t xml:space="preserve">玉溪职业技术学院（云南省玉溪工业财贸学校） </w:t>
      </w:r>
      <w:r>
        <w:rPr>
          <w:rFonts w:hint="eastAsia"/>
          <w:b/>
          <w:bCs/>
          <w:color w:val="auto"/>
          <w:sz w:val="28"/>
          <w:szCs w:val="28"/>
          <w:highlight w:val="none"/>
          <w:u w:val="single"/>
          <w:lang w:val="en-US" w:eastAsia="zh-CN"/>
        </w:rPr>
        <w:t xml:space="preserve">         </w:t>
      </w:r>
      <w:r>
        <w:rPr>
          <w:rFonts w:hint="eastAsia"/>
          <w:b/>
          <w:bCs/>
          <w:color w:val="auto"/>
          <w:sz w:val="28"/>
          <w:szCs w:val="28"/>
          <w:highlight w:val="none"/>
          <w:u w:val="single"/>
        </w:rPr>
        <w:t xml:space="preserve"> (盖章)</w:t>
      </w:r>
    </w:p>
    <w:p w14:paraId="7D281475">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采购代理机构：</w:t>
      </w:r>
      <w:r>
        <w:rPr>
          <w:rFonts w:hint="eastAsia"/>
          <w:b/>
          <w:bCs/>
          <w:color w:val="auto"/>
          <w:sz w:val="28"/>
          <w:szCs w:val="28"/>
          <w:highlight w:val="none"/>
          <w:u w:val="single"/>
        </w:rPr>
        <w:t xml:space="preserve">云南中诏项目管理有限公司 </w:t>
      </w:r>
      <w:r>
        <w:rPr>
          <w:b/>
          <w:bCs/>
          <w:color w:val="auto"/>
          <w:sz w:val="28"/>
          <w:szCs w:val="28"/>
          <w:highlight w:val="none"/>
          <w:u w:val="single"/>
        </w:rPr>
        <w:t xml:space="preserve">           </w:t>
      </w:r>
      <w:r>
        <w:rPr>
          <w:rFonts w:hint="eastAsia"/>
          <w:b/>
          <w:bCs/>
          <w:color w:val="auto"/>
          <w:sz w:val="28"/>
          <w:szCs w:val="28"/>
          <w:highlight w:val="none"/>
          <w:u w:val="single"/>
          <w:lang w:val="en-US" w:eastAsia="zh-CN"/>
        </w:rPr>
        <w:t xml:space="preserve">          </w:t>
      </w:r>
      <w:r>
        <w:rPr>
          <w:rFonts w:hint="eastAsia"/>
          <w:b/>
          <w:bCs/>
          <w:color w:val="auto"/>
          <w:sz w:val="28"/>
          <w:szCs w:val="28"/>
          <w:highlight w:val="none"/>
          <w:u w:val="single"/>
        </w:rPr>
        <w:t xml:space="preserve">   (盖章)</w:t>
      </w:r>
    </w:p>
    <w:p w14:paraId="05A5D40E">
      <w:pPr>
        <w:adjustRightInd w:val="0"/>
        <w:snapToGrid w:val="0"/>
        <w:spacing w:line="480" w:lineRule="auto"/>
        <w:rPr>
          <w:rFonts w:hint="eastAsia"/>
          <w:color w:val="auto"/>
          <w:sz w:val="28"/>
          <w:szCs w:val="28"/>
          <w:highlight w:val="none"/>
        </w:rPr>
      </w:pPr>
      <w:r>
        <w:rPr>
          <w:rFonts w:hint="eastAsia"/>
          <w:b/>
          <w:bCs/>
          <w:color w:val="auto"/>
          <w:sz w:val="28"/>
          <w:szCs w:val="28"/>
          <w:highlight w:val="none"/>
        </w:rPr>
        <w:t>日期：2026年</w:t>
      </w:r>
      <w:r>
        <w:rPr>
          <w:rFonts w:hint="eastAsia"/>
          <w:b/>
          <w:bCs/>
          <w:color w:val="auto"/>
          <w:sz w:val="28"/>
          <w:szCs w:val="28"/>
          <w:highlight w:val="none"/>
          <w:lang w:val="en-US" w:eastAsia="zh-CN"/>
        </w:rPr>
        <w:t>5</w:t>
      </w:r>
      <w:r>
        <w:rPr>
          <w:rFonts w:hint="eastAsia"/>
          <w:b/>
          <w:bCs/>
          <w:color w:val="auto"/>
          <w:sz w:val="28"/>
          <w:szCs w:val="28"/>
          <w:highlight w:val="none"/>
        </w:rPr>
        <w:t>月</w:t>
      </w:r>
      <w:r>
        <w:rPr>
          <w:rFonts w:hint="eastAsia"/>
          <w:b/>
          <w:bCs/>
          <w:color w:val="auto"/>
          <w:sz w:val="28"/>
          <w:szCs w:val="28"/>
          <w:highlight w:val="none"/>
          <w:lang w:val="en-US" w:eastAsia="zh-CN"/>
        </w:rPr>
        <w:t>8</w:t>
      </w:r>
      <w:r>
        <w:rPr>
          <w:rFonts w:hint="eastAsia"/>
          <w:b/>
          <w:bCs/>
          <w:color w:val="auto"/>
          <w:sz w:val="28"/>
          <w:szCs w:val="28"/>
          <w:highlight w:val="none"/>
        </w:rPr>
        <w:t>日</w:t>
      </w:r>
    </w:p>
    <w:p w14:paraId="45C4C0D4">
      <w:pPr>
        <w:spacing w:line="360" w:lineRule="auto"/>
        <w:ind w:firstLine="482" w:firstLineChars="200"/>
        <w:rPr>
          <w:rFonts w:hint="eastAsia"/>
          <w:b/>
          <w:color w:val="auto"/>
          <w:highlight w:val="none"/>
        </w:rPr>
        <w:sectPr>
          <w:headerReference r:id="rId5" w:type="first"/>
          <w:headerReference r:id="rId3" w:type="default"/>
          <w:footerReference r:id="rId6" w:type="default"/>
          <w:headerReference r:id="rId4" w:type="even"/>
          <w:footerReference r:id="rId7" w:type="even"/>
          <w:pgSz w:w="11906" w:h="16838"/>
          <w:pgMar w:top="1134" w:right="1134" w:bottom="1134" w:left="1134" w:header="720" w:footer="720" w:gutter="0"/>
          <w:cols w:space="0" w:num="1"/>
          <w:titlePg/>
          <w:docGrid w:type="lines" w:linePitch="331" w:charSpace="0"/>
        </w:sectPr>
      </w:pPr>
    </w:p>
    <w:p w14:paraId="28265125">
      <w:pPr>
        <w:pStyle w:val="22"/>
        <w:rPr>
          <w:rFonts w:hint="eastAsia"/>
          <w:color w:val="auto"/>
          <w:sz w:val="28"/>
          <w:szCs w:val="28"/>
          <w:highlight w:val="none"/>
        </w:rPr>
      </w:pPr>
      <w:r>
        <w:rPr>
          <w:rFonts w:hint="eastAsia"/>
          <w:color w:val="auto"/>
          <w:sz w:val="28"/>
          <w:szCs w:val="28"/>
          <w:highlight w:val="none"/>
        </w:rPr>
        <w:t>目  录</w:t>
      </w:r>
    </w:p>
    <w:p w14:paraId="4B4BB48A">
      <w:pPr>
        <w:pStyle w:val="29"/>
        <w:tabs>
          <w:tab w:val="right" w:leader="dot" w:pos="9412"/>
          <w:tab w:val="clear" w:pos="9900"/>
        </w:tabs>
        <w:rPr>
          <w:color w:val="auto"/>
          <w:highlight w:val="none"/>
        </w:rPr>
      </w:pPr>
      <w:r>
        <w:rPr>
          <w:b w:val="0"/>
          <w:color w:val="auto"/>
          <w:sz w:val="24"/>
          <w:szCs w:val="24"/>
          <w:highlight w:val="none"/>
        </w:rPr>
        <w:fldChar w:fldCharType="begin"/>
      </w:r>
      <w:r>
        <w:rPr>
          <w:b w:val="0"/>
          <w:color w:val="auto"/>
          <w:sz w:val="24"/>
          <w:szCs w:val="24"/>
          <w:highlight w:val="none"/>
        </w:rPr>
        <w:instrText xml:space="preserve"> TOC \o "1-2" \h \z \u </w:instrText>
      </w:r>
      <w:r>
        <w:rPr>
          <w:b w:val="0"/>
          <w:color w:val="auto"/>
          <w:sz w:val="24"/>
          <w:szCs w:val="24"/>
          <w:highlight w:val="none"/>
        </w:rPr>
        <w:fldChar w:fldCharType="separate"/>
      </w:r>
      <w:r>
        <w:rPr>
          <w:color w:val="auto"/>
          <w:szCs w:val="24"/>
          <w:highlight w:val="none"/>
        </w:rPr>
        <w:fldChar w:fldCharType="begin"/>
      </w:r>
      <w:r>
        <w:rPr>
          <w:color w:val="auto"/>
          <w:szCs w:val="24"/>
          <w:highlight w:val="none"/>
        </w:rPr>
        <w:instrText xml:space="preserve"> HYPERLINK \l _Toc3812 </w:instrText>
      </w:r>
      <w:r>
        <w:rPr>
          <w:color w:val="auto"/>
          <w:szCs w:val="24"/>
          <w:highlight w:val="none"/>
        </w:rPr>
        <w:fldChar w:fldCharType="separate"/>
      </w:r>
      <w:r>
        <w:rPr>
          <w:rFonts w:hint="eastAsia" w:ascii="宋体" w:hAnsi="宋体" w:eastAsia="宋体"/>
          <w:bCs/>
          <w:color w:val="auto"/>
          <w:szCs w:val="3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_Toc3812 \h </w:instrText>
      </w:r>
      <w:r>
        <w:rPr>
          <w:color w:val="auto"/>
          <w:highlight w:val="none"/>
        </w:rPr>
        <w:fldChar w:fldCharType="separate"/>
      </w:r>
      <w:r>
        <w:rPr>
          <w:color w:val="auto"/>
          <w:highlight w:val="none"/>
        </w:rPr>
        <w:t>1</w:t>
      </w:r>
      <w:r>
        <w:rPr>
          <w:color w:val="auto"/>
          <w:highlight w:val="none"/>
        </w:rPr>
        <w:fldChar w:fldCharType="end"/>
      </w:r>
      <w:r>
        <w:rPr>
          <w:color w:val="auto"/>
          <w:szCs w:val="24"/>
          <w:highlight w:val="none"/>
        </w:rPr>
        <w:fldChar w:fldCharType="end"/>
      </w:r>
    </w:p>
    <w:p w14:paraId="1548C6CE">
      <w:pPr>
        <w:pStyle w:val="29"/>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_Toc9274 </w:instrText>
      </w:r>
      <w:r>
        <w:rPr>
          <w:bCs/>
          <w:color w:val="auto"/>
          <w:szCs w:val="24"/>
          <w:highlight w:val="none"/>
        </w:rPr>
        <w:fldChar w:fldCharType="separate"/>
      </w:r>
      <w:r>
        <w:rPr>
          <w:rFonts w:hint="eastAsia" w:ascii="宋体" w:hAnsi="宋体" w:eastAsia="宋体"/>
          <w:color w:val="auto"/>
          <w:szCs w:val="3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_Toc9274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620A1FE6">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_Toc965 </w:instrText>
      </w:r>
      <w:r>
        <w:rPr>
          <w:bCs/>
          <w:color w:val="auto"/>
          <w:szCs w:val="24"/>
          <w:highlight w:val="none"/>
        </w:rPr>
        <w:fldChar w:fldCharType="separate"/>
      </w:r>
      <w:r>
        <w:rPr>
          <w:rFonts w:hint="eastAsia"/>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_Toc965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061FBA7E">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_Toc24627 </w:instrText>
      </w:r>
      <w:r>
        <w:rPr>
          <w:bCs/>
          <w:color w:val="auto"/>
          <w:szCs w:val="24"/>
          <w:highlight w:val="none"/>
        </w:rPr>
        <w:fldChar w:fldCharType="separate"/>
      </w:r>
      <w:r>
        <w:rPr>
          <w:rFonts w:hint="eastAsia"/>
          <w:color w:val="auto"/>
          <w:highlight w:val="none"/>
        </w:rPr>
        <w:t>一、总  则</w:t>
      </w:r>
      <w:r>
        <w:rPr>
          <w:color w:val="auto"/>
          <w:highlight w:val="none"/>
        </w:rPr>
        <w:tab/>
      </w:r>
      <w:r>
        <w:rPr>
          <w:color w:val="auto"/>
          <w:highlight w:val="none"/>
        </w:rPr>
        <w:fldChar w:fldCharType="begin"/>
      </w:r>
      <w:r>
        <w:rPr>
          <w:color w:val="auto"/>
          <w:highlight w:val="none"/>
        </w:rPr>
        <w:instrText xml:space="preserve"> PAGEREF _Toc24627 \h </w:instrText>
      </w:r>
      <w:r>
        <w:rPr>
          <w:color w:val="auto"/>
          <w:highlight w:val="none"/>
        </w:rPr>
        <w:fldChar w:fldCharType="separate"/>
      </w:r>
      <w:r>
        <w:rPr>
          <w:color w:val="auto"/>
          <w:highlight w:val="none"/>
        </w:rPr>
        <w:t>7</w:t>
      </w:r>
      <w:r>
        <w:rPr>
          <w:color w:val="auto"/>
          <w:highlight w:val="none"/>
        </w:rPr>
        <w:fldChar w:fldCharType="end"/>
      </w:r>
      <w:r>
        <w:rPr>
          <w:bCs/>
          <w:color w:val="auto"/>
          <w:szCs w:val="24"/>
          <w:highlight w:val="none"/>
        </w:rPr>
        <w:fldChar w:fldCharType="end"/>
      </w:r>
    </w:p>
    <w:p w14:paraId="0EEBEDE5">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_Toc3240 </w:instrText>
      </w:r>
      <w:r>
        <w:rPr>
          <w:bCs/>
          <w:color w:val="auto"/>
          <w:szCs w:val="24"/>
          <w:highlight w:val="none"/>
        </w:rPr>
        <w:fldChar w:fldCharType="separate"/>
      </w:r>
      <w:r>
        <w:rPr>
          <w:rFonts w:hint="eastAsia"/>
          <w:color w:val="auto"/>
          <w:highlight w:val="none"/>
        </w:rPr>
        <w:t>二、招标文件</w:t>
      </w:r>
      <w:r>
        <w:rPr>
          <w:color w:val="auto"/>
          <w:highlight w:val="none"/>
        </w:rPr>
        <w:tab/>
      </w:r>
      <w:r>
        <w:rPr>
          <w:color w:val="auto"/>
          <w:highlight w:val="none"/>
        </w:rPr>
        <w:fldChar w:fldCharType="begin"/>
      </w:r>
      <w:r>
        <w:rPr>
          <w:color w:val="auto"/>
          <w:highlight w:val="none"/>
        </w:rPr>
        <w:instrText xml:space="preserve"> PAGEREF _Toc3240 \h </w:instrText>
      </w:r>
      <w:r>
        <w:rPr>
          <w:color w:val="auto"/>
          <w:highlight w:val="none"/>
        </w:rPr>
        <w:fldChar w:fldCharType="separate"/>
      </w:r>
      <w:r>
        <w:rPr>
          <w:color w:val="auto"/>
          <w:highlight w:val="none"/>
        </w:rPr>
        <w:t>8</w:t>
      </w:r>
      <w:r>
        <w:rPr>
          <w:color w:val="auto"/>
          <w:highlight w:val="none"/>
        </w:rPr>
        <w:fldChar w:fldCharType="end"/>
      </w:r>
      <w:r>
        <w:rPr>
          <w:bCs/>
          <w:color w:val="auto"/>
          <w:szCs w:val="24"/>
          <w:highlight w:val="none"/>
        </w:rPr>
        <w:fldChar w:fldCharType="end"/>
      </w:r>
    </w:p>
    <w:p w14:paraId="01F5595B">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_Toc26938 </w:instrText>
      </w:r>
      <w:r>
        <w:rPr>
          <w:bCs/>
          <w:color w:val="auto"/>
          <w:szCs w:val="24"/>
          <w:highlight w:val="none"/>
        </w:rPr>
        <w:fldChar w:fldCharType="separate"/>
      </w:r>
      <w:r>
        <w:rPr>
          <w:rFonts w:hint="eastAsia"/>
          <w:color w:val="auto"/>
          <w:highlight w:val="none"/>
        </w:rPr>
        <w:t>三、投标文件的编制</w:t>
      </w:r>
      <w:r>
        <w:rPr>
          <w:color w:val="auto"/>
          <w:highlight w:val="none"/>
        </w:rPr>
        <w:tab/>
      </w:r>
      <w:r>
        <w:rPr>
          <w:color w:val="auto"/>
          <w:highlight w:val="none"/>
        </w:rPr>
        <w:fldChar w:fldCharType="begin"/>
      </w:r>
      <w:r>
        <w:rPr>
          <w:color w:val="auto"/>
          <w:highlight w:val="none"/>
        </w:rPr>
        <w:instrText xml:space="preserve"> PAGEREF _Toc26938 \h </w:instrText>
      </w:r>
      <w:r>
        <w:rPr>
          <w:color w:val="auto"/>
          <w:highlight w:val="none"/>
        </w:rPr>
        <w:fldChar w:fldCharType="separate"/>
      </w:r>
      <w:r>
        <w:rPr>
          <w:color w:val="auto"/>
          <w:highlight w:val="none"/>
        </w:rPr>
        <w:t>9</w:t>
      </w:r>
      <w:r>
        <w:rPr>
          <w:color w:val="auto"/>
          <w:highlight w:val="none"/>
        </w:rPr>
        <w:fldChar w:fldCharType="end"/>
      </w:r>
      <w:r>
        <w:rPr>
          <w:bCs/>
          <w:color w:val="auto"/>
          <w:szCs w:val="24"/>
          <w:highlight w:val="none"/>
        </w:rPr>
        <w:fldChar w:fldCharType="end"/>
      </w:r>
    </w:p>
    <w:p w14:paraId="33EF9657">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_Toc30756 </w:instrText>
      </w:r>
      <w:r>
        <w:rPr>
          <w:bCs/>
          <w:color w:val="auto"/>
          <w:szCs w:val="24"/>
          <w:highlight w:val="none"/>
        </w:rPr>
        <w:fldChar w:fldCharType="separate"/>
      </w:r>
      <w:r>
        <w:rPr>
          <w:rFonts w:hint="eastAsia"/>
          <w:color w:val="auto"/>
          <w:highlight w:val="none"/>
        </w:rPr>
        <w:t>四、投标文件的提交</w:t>
      </w:r>
      <w:r>
        <w:rPr>
          <w:color w:val="auto"/>
          <w:highlight w:val="none"/>
        </w:rPr>
        <w:tab/>
      </w:r>
      <w:r>
        <w:rPr>
          <w:color w:val="auto"/>
          <w:highlight w:val="none"/>
        </w:rPr>
        <w:fldChar w:fldCharType="begin"/>
      </w:r>
      <w:r>
        <w:rPr>
          <w:color w:val="auto"/>
          <w:highlight w:val="none"/>
        </w:rPr>
        <w:instrText xml:space="preserve"> PAGEREF _Toc30756 \h </w:instrText>
      </w:r>
      <w:r>
        <w:rPr>
          <w:color w:val="auto"/>
          <w:highlight w:val="none"/>
        </w:rPr>
        <w:fldChar w:fldCharType="separate"/>
      </w:r>
      <w:r>
        <w:rPr>
          <w:color w:val="auto"/>
          <w:highlight w:val="none"/>
        </w:rPr>
        <w:t>11</w:t>
      </w:r>
      <w:r>
        <w:rPr>
          <w:color w:val="auto"/>
          <w:highlight w:val="none"/>
        </w:rPr>
        <w:fldChar w:fldCharType="end"/>
      </w:r>
      <w:r>
        <w:rPr>
          <w:bCs/>
          <w:color w:val="auto"/>
          <w:szCs w:val="24"/>
          <w:highlight w:val="none"/>
        </w:rPr>
        <w:fldChar w:fldCharType="end"/>
      </w:r>
    </w:p>
    <w:p w14:paraId="5F4EAF78">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_Toc15924 </w:instrText>
      </w:r>
      <w:r>
        <w:rPr>
          <w:bCs/>
          <w:color w:val="auto"/>
          <w:szCs w:val="24"/>
          <w:highlight w:val="none"/>
        </w:rPr>
        <w:fldChar w:fldCharType="separate"/>
      </w:r>
      <w:r>
        <w:rPr>
          <w:rFonts w:hint="eastAsia"/>
          <w:color w:val="auto"/>
          <w:highlight w:val="none"/>
        </w:rPr>
        <w:t>五、开标与评标</w:t>
      </w:r>
      <w:r>
        <w:rPr>
          <w:color w:val="auto"/>
          <w:highlight w:val="none"/>
        </w:rPr>
        <w:tab/>
      </w:r>
      <w:r>
        <w:rPr>
          <w:color w:val="auto"/>
          <w:highlight w:val="none"/>
        </w:rPr>
        <w:fldChar w:fldCharType="begin"/>
      </w:r>
      <w:r>
        <w:rPr>
          <w:color w:val="auto"/>
          <w:highlight w:val="none"/>
        </w:rPr>
        <w:instrText xml:space="preserve"> PAGEREF _Toc15924 \h </w:instrText>
      </w:r>
      <w:r>
        <w:rPr>
          <w:color w:val="auto"/>
          <w:highlight w:val="none"/>
        </w:rPr>
        <w:fldChar w:fldCharType="separate"/>
      </w:r>
      <w:r>
        <w:rPr>
          <w:color w:val="auto"/>
          <w:highlight w:val="none"/>
        </w:rPr>
        <w:t>11</w:t>
      </w:r>
      <w:r>
        <w:rPr>
          <w:color w:val="auto"/>
          <w:highlight w:val="none"/>
        </w:rPr>
        <w:fldChar w:fldCharType="end"/>
      </w:r>
      <w:r>
        <w:rPr>
          <w:bCs/>
          <w:color w:val="auto"/>
          <w:szCs w:val="24"/>
          <w:highlight w:val="none"/>
        </w:rPr>
        <w:fldChar w:fldCharType="end"/>
      </w:r>
    </w:p>
    <w:p w14:paraId="77BA4FFC">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_Toc12682 </w:instrText>
      </w:r>
      <w:r>
        <w:rPr>
          <w:bCs/>
          <w:color w:val="auto"/>
          <w:szCs w:val="24"/>
          <w:highlight w:val="none"/>
        </w:rPr>
        <w:fldChar w:fldCharType="separate"/>
      </w:r>
      <w:r>
        <w:rPr>
          <w:rFonts w:hint="eastAsia"/>
          <w:color w:val="auto"/>
          <w:highlight w:val="none"/>
        </w:rPr>
        <w:t>六、中标结果</w:t>
      </w:r>
      <w:r>
        <w:rPr>
          <w:color w:val="auto"/>
          <w:highlight w:val="none"/>
        </w:rPr>
        <w:tab/>
      </w:r>
      <w:r>
        <w:rPr>
          <w:color w:val="auto"/>
          <w:highlight w:val="none"/>
        </w:rPr>
        <w:fldChar w:fldCharType="begin"/>
      </w:r>
      <w:r>
        <w:rPr>
          <w:color w:val="auto"/>
          <w:highlight w:val="none"/>
        </w:rPr>
        <w:instrText xml:space="preserve"> PAGEREF _Toc12682 \h </w:instrText>
      </w:r>
      <w:r>
        <w:rPr>
          <w:color w:val="auto"/>
          <w:highlight w:val="none"/>
        </w:rPr>
        <w:fldChar w:fldCharType="separate"/>
      </w:r>
      <w:r>
        <w:rPr>
          <w:color w:val="auto"/>
          <w:highlight w:val="none"/>
        </w:rPr>
        <w:t>13</w:t>
      </w:r>
      <w:r>
        <w:rPr>
          <w:color w:val="auto"/>
          <w:highlight w:val="none"/>
        </w:rPr>
        <w:fldChar w:fldCharType="end"/>
      </w:r>
      <w:r>
        <w:rPr>
          <w:bCs/>
          <w:color w:val="auto"/>
          <w:szCs w:val="24"/>
          <w:highlight w:val="none"/>
        </w:rPr>
        <w:fldChar w:fldCharType="end"/>
      </w:r>
    </w:p>
    <w:p w14:paraId="605779DA">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_Toc27947 </w:instrText>
      </w:r>
      <w:r>
        <w:rPr>
          <w:bCs/>
          <w:color w:val="auto"/>
          <w:szCs w:val="24"/>
          <w:highlight w:val="none"/>
        </w:rPr>
        <w:fldChar w:fldCharType="separate"/>
      </w:r>
      <w:r>
        <w:rPr>
          <w:rFonts w:hint="eastAsia"/>
          <w:color w:val="auto"/>
          <w:highlight w:val="none"/>
        </w:rPr>
        <w:t>七、其他事项</w:t>
      </w:r>
      <w:r>
        <w:rPr>
          <w:color w:val="auto"/>
          <w:highlight w:val="none"/>
        </w:rPr>
        <w:tab/>
      </w:r>
      <w:r>
        <w:rPr>
          <w:color w:val="auto"/>
          <w:highlight w:val="none"/>
        </w:rPr>
        <w:fldChar w:fldCharType="begin"/>
      </w:r>
      <w:r>
        <w:rPr>
          <w:color w:val="auto"/>
          <w:highlight w:val="none"/>
        </w:rPr>
        <w:instrText xml:space="preserve"> PAGEREF _Toc27947 \h </w:instrText>
      </w:r>
      <w:r>
        <w:rPr>
          <w:color w:val="auto"/>
          <w:highlight w:val="none"/>
        </w:rPr>
        <w:fldChar w:fldCharType="separate"/>
      </w:r>
      <w:r>
        <w:rPr>
          <w:color w:val="auto"/>
          <w:highlight w:val="none"/>
        </w:rPr>
        <w:t>14</w:t>
      </w:r>
      <w:r>
        <w:rPr>
          <w:color w:val="auto"/>
          <w:highlight w:val="none"/>
        </w:rPr>
        <w:fldChar w:fldCharType="end"/>
      </w:r>
      <w:r>
        <w:rPr>
          <w:bCs/>
          <w:color w:val="auto"/>
          <w:szCs w:val="24"/>
          <w:highlight w:val="none"/>
        </w:rPr>
        <w:fldChar w:fldCharType="end"/>
      </w:r>
    </w:p>
    <w:p w14:paraId="4823C9D6">
      <w:pPr>
        <w:pStyle w:val="29"/>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_Toc1738 </w:instrText>
      </w:r>
      <w:r>
        <w:rPr>
          <w:bCs/>
          <w:color w:val="auto"/>
          <w:szCs w:val="24"/>
          <w:highlight w:val="none"/>
        </w:rPr>
        <w:fldChar w:fldCharType="separate"/>
      </w:r>
      <w:r>
        <w:rPr>
          <w:rFonts w:hint="eastAsia" w:ascii="宋体" w:hAnsi="宋体" w:eastAsia="宋体"/>
          <w:bCs/>
          <w:color w:val="auto"/>
          <w:szCs w:val="30"/>
          <w:highlight w:val="none"/>
        </w:rPr>
        <w:t>第三章  评标方法（综合评分法）</w:t>
      </w:r>
      <w:r>
        <w:rPr>
          <w:color w:val="auto"/>
          <w:highlight w:val="none"/>
        </w:rPr>
        <w:tab/>
      </w:r>
      <w:r>
        <w:rPr>
          <w:color w:val="auto"/>
          <w:highlight w:val="none"/>
        </w:rPr>
        <w:fldChar w:fldCharType="begin"/>
      </w:r>
      <w:r>
        <w:rPr>
          <w:color w:val="auto"/>
          <w:highlight w:val="none"/>
        </w:rPr>
        <w:instrText xml:space="preserve"> PAGEREF _Toc1738 \h </w:instrText>
      </w:r>
      <w:r>
        <w:rPr>
          <w:color w:val="auto"/>
          <w:highlight w:val="none"/>
        </w:rPr>
        <w:fldChar w:fldCharType="separate"/>
      </w:r>
      <w:r>
        <w:rPr>
          <w:color w:val="auto"/>
          <w:highlight w:val="none"/>
        </w:rPr>
        <w:t>18</w:t>
      </w:r>
      <w:r>
        <w:rPr>
          <w:color w:val="auto"/>
          <w:highlight w:val="none"/>
        </w:rPr>
        <w:fldChar w:fldCharType="end"/>
      </w:r>
      <w:r>
        <w:rPr>
          <w:bCs/>
          <w:color w:val="auto"/>
          <w:szCs w:val="24"/>
          <w:highlight w:val="none"/>
        </w:rPr>
        <w:fldChar w:fldCharType="end"/>
      </w:r>
    </w:p>
    <w:p w14:paraId="23F4343C">
      <w:pPr>
        <w:pStyle w:val="29"/>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_Toc27670 </w:instrText>
      </w:r>
      <w:r>
        <w:rPr>
          <w:bCs/>
          <w:color w:val="auto"/>
          <w:szCs w:val="24"/>
          <w:highlight w:val="none"/>
        </w:rPr>
        <w:fldChar w:fldCharType="separate"/>
      </w:r>
      <w:r>
        <w:rPr>
          <w:rFonts w:hint="eastAsia" w:ascii="宋体" w:hAnsi="宋体" w:eastAsia="宋体"/>
          <w:bCs/>
          <w:color w:val="auto"/>
          <w:szCs w:val="30"/>
          <w:highlight w:val="none"/>
        </w:rPr>
        <w:t>第四章  采购需求</w:t>
      </w:r>
      <w:r>
        <w:rPr>
          <w:color w:val="auto"/>
          <w:highlight w:val="none"/>
        </w:rPr>
        <w:tab/>
      </w:r>
      <w:r>
        <w:rPr>
          <w:color w:val="auto"/>
          <w:highlight w:val="none"/>
        </w:rPr>
        <w:fldChar w:fldCharType="begin"/>
      </w:r>
      <w:r>
        <w:rPr>
          <w:color w:val="auto"/>
          <w:highlight w:val="none"/>
        </w:rPr>
        <w:instrText xml:space="preserve"> PAGEREF _Toc27670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5B148543">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_Toc7846 </w:instrText>
      </w:r>
      <w:r>
        <w:rPr>
          <w:bCs/>
          <w:color w:val="auto"/>
          <w:szCs w:val="24"/>
          <w:highlight w:val="none"/>
        </w:rPr>
        <w:fldChar w:fldCharType="separate"/>
      </w:r>
      <w:r>
        <w:rPr>
          <w:rFonts w:hint="eastAsia"/>
          <w:color w:val="auto"/>
          <w:szCs w:val="24"/>
          <w:highlight w:val="none"/>
        </w:rPr>
        <w:t>一、采购标的项目概况，以及为落实政府采购政策需满足的要求</w:t>
      </w:r>
      <w:r>
        <w:rPr>
          <w:color w:val="auto"/>
          <w:highlight w:val="none"/>
        </w:rPr>
        <w:tab/>
      </w:r>
      <w:r>
        <w:rPr>
          <w:color w:val="auto"/>
          <w:highlight w:val="none"/>
        </w:rPr>
        <w:fldChar w:fldCharType="begin"/>
      </w:r>
      <w:r>
        <w:rPr>
          <w:color w:val="auto"/>
          <w:highlight w:val="none"/>
        </w:rPr>
        <w:instrText xml:space="preserve"> PAGEREF _Toc7846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5BF88F80">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_Toc13517 </w:instrText>
      </w:r>
      <w:r>
        <w:rPr>
          <w:bCs/>
          <w:color w:val="auto"/>
          <w:szCs w:val="24"/>
          <w:highlight w:val="none"/>
        </w:rPr>
        <w:fldChar w:fldCharType="separate"/>
      </w:r>
      <w:r>
        <w:rPr>
          <w:rFonts w:hint="eastAsia"/>
          <w:color w:val="auto"/>
          <w:szCs w:val="24"/>
          <w:highlight w:val="none"/>
        </w:rPr>
        <w:t>二、执行的国家相关标准、行业标准、地方标准或者其他标准、规范</w:t>
      </w:r>
      <w:r>
        <w:rPr>
          <w:color w:val="auto"/>
          <w:highlight w:val="none"/>
        </w:rPr>
        <w:tab/>
      </w:r>
      <w:r>
        <w:rPr>
          <w:color w:val="auto"/>
          <w:highlight w:val="none"/>
        </w:rPr>
        <w:fldChar w:fldCharType="begin"/>
      </w:r>
      <w:r>
        <w:rPr>
          <w:color w:val="auto"/>
          <w:highlight w:val="none"/>
        </w:rPr>
        <w:instrText xml:space="preserve"> PAGEREF _Toc13517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5896327D">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_Toc10567 </w:instrText>
      </w:r>
      <w:r>
        <w:rPr>
          <w:bCs/>
          <w:color w:val="auto"/>
          <w:szCs w:val="24"/>
          <w:highlight w:val="none"/>
        </w:rPr>
        <w:fldChar w:fldCharType="separate"/>
      </w:r>
      <w:r>
        <w:rPr>
          <w:rFonts w:hint="eastAsia"/>
          <w:color w:val="auto"/>
          <w:szCs w:val="24"/>
          <w:highlight w:val="none"/>
        </w:rPr>
        <w:t>三、采购标的的采购内容及要求</w:t>
      </w:r>
      <w:r>
        <w:rPr>
          <w:color w:val="auto"/>
          <w:highlight w:val="none"/>
        </w:rPr>
        <w:tab/>
      </w:r>
      <w:r>
        <w:rPr>
          <w:color w:val="auto"/>
          <w:highlight w:val="none"/>
        </w:rPr>
        <w:fldChar w:fldCharType="begin"/>
      </w:r>
      <w:r>
        <w:rPr>
          <w:color w:val="auto"/>
          <w:highlight w:val="none"/>
        </w:rPr>
        <w:instrText xml:space="preserve"> PAGEREF _Toc10567 \h </w:instrText>
      </w:r>
      <w:r>
        <w:rPr>
          <w:color w:val="auto"/>
          <w:highlight w:val="none"/>
        </w:rPr>
        <w:fldChar w:fldCharType="separate"/>
      </w:r>
      <w:r>
        <w:rPr>
          <w:color w:val="auto"/>
          <w:highlight w:val="none"/>
        </w:rPr>
        <w:t>27</w:t>
      </w:r>
      <w:r>
        <w:rPr>
          <w:color w:val="auto"/>
          <w:highlight w:val="none"/>
        </w:rPr>
        <w:fldChar w:fldCharType="end"/>
      </w:r>
      <w:r>
        <w:rPr>
          <w:bCs/>
          <w:color w:val="auto"/>
          <w:szCs w:val="24"/>
          <w:highlight w:val="none"/>
        </w:rPr>
        <w:fldChar w:fldCharType="end"/>
      </w:r>
    </w:p>
    <w:p w14:paraId="6B4FEB7D">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_Toc9657 </w:instrText>
      </w:r>
      <w:r>
        <w:rPr>
          <w:bCs/>
          <w:color w:val="auto"/>
          <w:szCs w:val="24"/>
          <w:highlight w:val="none"/>
        </w:rPr>
        <w:fldChar w:fldCharType="separate"/>
      </w:r>
      <w:r>
        <w:rPr>
          <w:rFonts w:hint="eastAsia"/>
          <w:color w:val="auto"/>
          <w:szCs w:val="24"/>
          <w:highlight w:val="none"/>
        </w:rPr>
        <w:t>四、采购标的的数量、采购项目服务期限及交货地点</w:t>
      </w:r>
      <w:r>
        <w:rPr>
          <w:color w:val="auto"/>
          <w:highlight w:val="none"/>
        </w:rPr>
        <w:tab/>
      </w:r>
      <w:r>
        <w:rPr>
          <w:color w:val="auto"/>
          <w:highlight w:val="none"/>
        </w:rPr>
        <w:fldChar w:fldCharType="begin"/>
      </w:r>
      <w:r>
        <w:rPr>
          <w:color w:val="auto"/>
          <w:highlight w:val="none"/>
        </w:rPr>
        <w:instrText xml:space="preserve"> PAGEREF _Toc9657 \h </w:instrText>
      </w:r>
      <w:r>
        <w:rPr>
          <w:color w:val="auto"/>
          <w:highlight w:val="none"/>
        </w:rPr>
        <w:fldChar w:fldCharType="separate"/>
      </w:r>
      <w:r>
        <w:rPr>
          <w:color w:val="auto"/>
          <w:highlight w:val="none"/>
        </w:rPr>
        <w:t>52</w:t>
      </w:r>
      <w:r>
        <w:rPr>
          <w:color w:val="auto"/>
          <w:highlight w:val="none"/>
        </w:rPr>
        <w:fldChar w:fldCharType="end"/>
      </w:r>
      <w:r>
        <w:rPr>
          <w:bCs/>
          <w:color w:val="auto"/>
          <w:szCs w:val="24"/>
          <w:highlight w:val="none"/>
        </w:rPr>
        <w:fldChar w:fldCharType="end"/>
      </w:r>
    </w:p>
    <w:p w14:paraId="7DA654D4">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_Toc26291 </w:instrText>
      </w:r>
      <w:r>
        <w:rPr>
          <w:bCs/>
          <w:color w:val="auto"/>
          <w:szCs w:val="24"/>
          <w:highlight w:val="none"/>
        </w:rPr>
        <w:fldChar w:fldCharType="separate"/>
      </w:r>
      <w:r>
        <w:rPr>
          <w:rFonts w:hint="eastAsia"/>
          <w:color w:val="auto"/>
          <w:szCs w:val="24"/>
          <w:highlight w:val="none"/>
        </w:rPr>
        <w:t>五、验收标准</w:t>
      </w:r>
      <w:r>
        <w:rPr>
          <w:color w:val="auto"/>
          <w:highlight w:val="none"/>
        </w:rPr>
        <w:tab/>
      </w:r>
      <w:r>
        <w:rPr>
          <w:color w:val="auto"/>
          <w:highlight w:val="none"/>
        </w:rPr>
        <w:fldChar w:fldCharType="begin"/>
      </w:r>
      <w:r>
        <w:rPr>
          <w:color w:val="auto"/>
          <w:highlight w:val="none"/>
        </w:rPr>
        <w:instrText xml:space="preserve"> PAGEREF _Toc26291 \h </w:instrText>
      </w:r>
      <w:r>
        <w:rPr>
          <w:color w:val="auto"/>
          <w:highlight w:val="none"/>
        </w:rPr>
        <w:fldChar w:fldCharType="separate"/>
      </w:r>
      <w:r>
        <w:rPr>
          <w:color w:val="auto"/>
          <w:highlight w:val="none"/>
        </w:rPr>
        <w:t>52</w:t>
      </w:r>
      <w:r>
        <w:rPr>
          <w:color w:val="auto"/>
          <w:highlight w:val="none"/>
        </w:rPr>
        <w:fldChar w:fldCharType="end"/>
      </w:r>
      <w:r>
        <w:rPr>
          <w:bCs/>
          <w:color w:val="auto"/>
          <w:szCs w:val="24"/>
          <w:highlight w:val="none"/>
        </w:rPr>
        <w:fldChar w:fldCharType="end"/>
      </w:r>
    </w:p>
    <w:p w14:paraId="2410F1CA">
      <w:pPr>
        <w:pStyle w:val="29"/>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_Toc29959 </w:instrText>
      </w:r>
      <w:r>
        <w:rPr>
          <w:bCs/>
          <w:color w:val="auto"/>
          <w:szCs w:val="24"/>
          <w:highlight w:val="none"/>
        </w:rPr>
        <w:fldChar w:fldCharType="separate"/>
      </w:r>
      <w:r>
        <w:rPr>
          <w:rFonts w:hint="eastAsia" w:ascii="宋体" w:hAnsi="宋体" w:eastAsia="宋体"/>
          <w:bCs/>
          <w:color w:val="auto"/>
          <w:szCs w:val="30"/>
          <w:highlight w:val="none"/>
        </w:rPr>
        <w:t>第五章  合同书样式及主要条款(此合同范本仅供参考)</w:t>
      </w:r>
      <w:r>
        <w:rPr>
          <w:color w:val="auto"/>
          <w:highlight w:val="none"/>
        </w:rPr>
        <w:tab/>
      </w:r>
      <w:r>
        <w:rPr>
          <w:color w:val="auto"/>
          <w:highlight w:val="none"/>
        </w:rPr>
        <w:fldChar w:fldCharType="begin"/>
      </w:r>
      <w:r>
        <w:rPr>
          <w:color w:val="auto"/>
          <w:highlight w:val="none"/>
        </w:rPr>
        <w:instrText xml:space="preserve"> PAGEREF _Toc29959 \h </w:instrText>
      </w:r>
      <w:r>
        <w:rPr>
          <w:color w:val="auto"/>
          <w:highlight w:val="none"/>
        </w:rPr>
        <w:fldChar w:fldCharType="separate"/>
      </w:r>
      <w:r>
        <w:rPr>
          <w:color w:val="auto"/>
          <w:highlight w:val="none"/>
        </w:rPr>
        <w:t>54</w:t>
      </w:r>
      <w:r>
        <w:rPr>
          <w:color w:val="auto"/>
          <w:highlight w:val="none"/>
        </w:rPr>
        <w:fldChar w:fldCharType="end"/>
      </w:r>
      <w:r>
        <w:rPr>
          <w:bCs/>
          <w:color w:val="auto"/>
          <w:szCs w:val="24"/>
          <w:highlight w:val="none"/>
        </w:rPr>
        <w:fldChar w:fldCharType="end"/>
      </w:r>
    </w:p>
    <w:p w14:paraId="2513D493">
      <w:pPr>
        <w:pStyle w:val="29"/>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_Toc14771 </w:instrText>
      </w:r>
      <w:r>
        <w:rPr>
          <w:bCs/>
          <w:color w:val="auto"/>
          <w:szCs w:val="24"/>
          <w:highlight w:val="none"/>
        </w:rPr>
        <w:fldChar w:fldCharType="separate"/>
      </w:r>
      <w:r>
        <w:rPr>
          <w:rFonts w:hint="eastAsia" w:ascii="宋体" w:hAnsi="宋体" w:eastAsia="宋体"/>
          <w:bCs/>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_Toc14771 \h </w:instrText>
      </w:r>
      <w:r>
        <w:rPr>
          <w:color w:val="auto"/>
          <w:highlight w:val="none"/>
        </w:rPr>
        <w:fldChar w:fldCharType="separate"/>
      </w:r>
      <w:r>
        <w:rPr>
          <w:color w:val="auto"/>
          <w:highlight w:val="none"/>
        </w:rPr>
        <w:t>60</w:t>
      </w:r>
      <w:r>
        <w:rPr>
          <w:color w:val="auto"/>
          <w:highlight w:val="none"/>
        </w:rPr>
        <w:fldChar w:fldCharType="end"/>
      </w:r>
      <w:r>
        <w:rPr>
          <w:bCs/>
          <w:color w:val="auto"/>
          <w:szCs w:val="24"/>
          <w:highlight w:val="none"/>
        </w:rPr>
        <w:fldChar w:fldCharType="end"/>
      </w:r>
    </w:p>
    <w:p w14:paraId="1840032C">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_Toc12899 </w:instrText>
      </w:r>
      <w:r>
        <w:rPr>
          <w:bCs/>
          <w:color w:val="auto"/>
          <w:szCs w:val="24"/>
          <w:highlight w:val="none"/>
        </w:rPr>
        <w:fldChar w:fldCharType="separate"/>
      </w:r>
      <w:r>
        <w:rPr>
          <w:rFonts w:hint="eastAsia" w:ascii="仿宋_BG2312"/>
          <w:color w:val="auto"/>
          <w:highlight w:val="none"/>
          <w:shd w:val="clear" w:fill="FFFFFF"/>
        </w:rPr>
        <w:t xml:space="preserve">一、 </w:t>
      </w:r>
      <w:r>
        <w:rPr>
          <w:rFonts w:hint="eastAsia" w:ascii="仿宋_BG2312"/>
          <w:color w:val="auto"/>
          <w:highlight w:val="none"/>
          <w:shd w:val="clear" w:color="auto" w:fill="FFFFFF"/>
        </w:rPr>
        <w:t>资格审查部分</w:t>
      </w:r>
      <w:r>
        <w:rPr>
          <w:color w:val="auto"/>
          <w:highlight w:val="none"/>
        </w:rPr>
        <w:tab/>
      </w:r>
      <w:r>
        <w:rPr>
          <w:color w:val="auto"/>
          <w:highlight w:val="none"/>
        </w:rPr>
        <w:fldChar w:fldCharType="begin"/>
      </w:r>
      <w:r>
        <w:rPr>
          <w:color w:val="auto"/>
          <w:highlight w:val="none"/>
        </w:rPr>
        <w:instrText xml:space="preserve"> PAGEREF _Toc12899 \h </w:instrText>
      </w:r>
      <w:r>
        <w:rPr>
          <w:color w:val="auto"/>
          <w:highlight w:val="none"/>
        </w:rPr>
        <w:fldChar w:fldCharType="separate"/>
      </w:r>
      <w:r>
        <w:rPr>
          <w:color w:val="auto"/>
          <w:highlight w:val="none"/>
        </w:rPr>
        <w:t>62</w:t>
      </w:r>
      <w:r>
        <w:rPr>
          <w:color w:val="auto"/>
          <w:highlight w:val="none"/>
        </w:rPr>
        <w:fldChar w:fldCharType="end"/>
      </w:r>
      <w:r>
        <w:rPr>
          <w:bCs/>
          <w:color w:val="auto"/>
          <w:szCs w:val="24"/>
          <w:highlight w:val="none"/>
        </w:rPr>
        <w:fldChar w:fldCharType="end"/>
      </w:r>
    </w:p>
    <w:p w14:paraId="307EA2C3">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_Toc29482 </w:instrText>
      </w:r>
      <w:r>
        <w:rPr>
          <w:bCs/>
          <w:color w:val="auto"/>
          <w:szCs w:val="24"/>
          <w:highlight w:val="none"/>
        </w:rPr>
        <w:fldChar w:fldCharType="separate"/>
      </w:r>
      <w:r>
        <w:rPr>
          <w:rFonts w:hint="eastAsia"/>
          <w:color w:val="auto"/>
          <w:highlight w:val="none"/>
        </w:rPr>
        <w:t>二、投标文件商务部分</w:t>
      </w:r>
      <w:r>
        <w:rPr>
          <w:color w:val="auto"/>
          <w:highlight w:val="none"/>
        </w:rPr>
        <w:tab/>
      </w:r>
      <w:r>
        <w:rPr>
          <w:color w:val="auto"/>
          <w:highlight w:val="none"/>
        </w:rPr>
        <w:fldChar w:fldCharType="begin"/>
      </w:r>
      <w:r>
        <w:rPr>
          <w:color w:val="auto"/>
          <w:highlight w:val="none"/>
        </w:rPr>
        <w:instrText xml:space="preserve"> PAGEREF _Toc29482 \h </w:instrText>
      </w:r>
      <w:r>
        <w:rPr>
          <w:color w:val="auto"/>
          <w:highlight w:val="none"/>
        </w:rPr>
        <w:fldChar w:fldCharType="separate"/>
      </w:r>
      <w:r>
        <w:rPr>
          <w:color w:val="auto"/>
          <w:highlight w:val="none"/>
        </w:rPr>
        <w:t>67</w:t>
      </w:r>
      <w:r>
        <w:rPr>
          <w:color w:val="auto"/>
          <w:highlight w:val="none"/>
        </w:rPr>
        <w:fldChar w:fldCharType="end"/>
      </w:r>
      <w:r>
        <w:rPr>
          <w:bCs/>
          <w:color w:val="auto"/>
          <w:szCs w:val="24"/>
          <w:highlight w:val="none"/>
        </w:rPr>
        <w:fldChar w:fldCharType="end"/>
      </w:r>
    </w:p>
    <w:p w14:paraId="2B619AC0">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_Toc29567 </w:instrText>
      </w:r>
      <w:r>
        <w:rPr>
          <w:bCs/>
          <w:color w:val="auto"/>
          <w:szCs w:val="24"/>
          <w:highlight w:val="none"/>
        </w:rPr>
        <w:fldChar w:fldCharType="separate"/>
      </w:r>
      <w:r>
        <w:rPr>
          <w:rFonts w:hint="eastAsia" w:ascii="仿宋_BG2312"/>
          <w:color w:val="auto"/>
          <w:highlight w:val="none"/>
          <w:shd w:val="clear" w:color="auto" w:fill="FFFFFF"/>
        </w:rPr>
        <w:t>三、投标报价部分</w:t>
      </w:r>
      <w:r>
        <w:rPr>
          <w:color w:val="auto"/>
          <w:highlight w:val="none"/>
        </w:rPr>
        <w:tab/>
      </w:r>
      <w:r>
        <w:rPr>
          <w:color w:val="auto"/>
          <w:highlight w:val="none"/>
        </w:rPr>
        <w:fldChar w:fldCharType="begin"/>
      </w:r>
      <w:r>
        <w:rPr>
          <w:color w:val="auto"/>
          <w:highlight w:val="none"/>
        </w:rPr>
        <w:instrText xml:space="preserve"> PAGEREF _Toc29567 \h </w:instrText>
      </w:r>
      <w:r>
        <w:rPr>
          <w:color w:val="auto"/>
          <w:highlight w:val="none"/>
        </w:rPr>
        <w:fldChar w:fldCharType="separate"/>
      </w:r>
      <w:r>
        <w:rPr>
          <w:color w:val="auto"/>
          <w:highlight w:val="none"/>
        </w:rPr>
        <w:t>73</w:t>
      </w:r>
      <w:r>
        <w:rPr>
          <w:color w:val="auto"/>
          <w:highlight w:val="none"/>
        </w:rPr>
        <w:fldChar w:fldCharType="end"/>
      </w:r>
      <w:r>
        <w:rPr>
          <w:bCs/>
          <w:color w:val="auto"/>
          <w:szCs w:val="24"/>
          <w:highlight w:val="none"/>
        </w:rPr>
        <w:fldChar w:fldCharType="end"/>
      </w:r>
    </w:p>
    <w:p w14:paraId="0F4D3198">
      <w:pPr>
        <w:pStyle w:val="34"/>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_Toc8434 </w:instrText>
      </w:r>
      <w:r>
        <w:rPr>
          <w:bCs/>
          <w:color w:val="auto"/>
          <w:szCs w:val="24"/>
          <w:highlight w:val="none"/>
        </w:rPr>
        <w:fldChar w:fldCharType="separate"/>
      </w:r>
      <w:r>
        <w:rPr>
          <w:rFonts w:hint="eastAsia" w:ascii="仿宋_BG2312"/>
          <w:color w:val="auto"/>
          <w:highlight w:val="none"/>
          <w:shd w:val="clear" w:color="auto" w:fill="FFFFFF"/>
        </w:rPr>
        <w:t>四、投标文件技术部分</w:t>
      </w:r>
      <w:r>
        <w:rPr>
          <w:color w:val="auto"/>
          <w:highlight w:val="none"/>
        </w:rPr>
        <w:tab/>
      </w:r>
      <w:r>
        <w:rPr>
          <w:color w:val="auto"/>
          <w:highlight w:val="none"/>
        </w:rPr>
        <w:fldChar w:fldCharType="begin"/>
      </w:r>
      <w:r>
        <w:rPr>
          <w:color w:val="auto"/>
          <w:highlight w:val="none"/>
        </w:rPr>
        <w:instrText xml:space="preserve"> PAGEREF _Toc8434 \h </w:instrText>
      </w:r>
      <w:r>
        <w:rPr>
          <w:color w:val="auto"/>
          <w:highlight w:val="none"/>
        </w:rPr>
        <w:fldChar w:fldCharType="separate"/>
      </w:r>
      <w:r>
        <w:rPr>
          <w:color w:val="auto"/>
          <w:highlight w:val="none"/>
        </w:rPr>
        <w:t>79</w:t>
      </w:r>
      <w:r>
        <w:rPr>
          <w:color w:val="auto"/>
          <w:highlight w:val="none"/>
        </w:rPr>
        <w:fldChar w:fldCharType="end"/>
      </w:r>
      <w:r>
        <w:rPr>
          <w:bCs/>
          <w:color w:val="auto"/>
          <w:szCs w:val="24"/>
          <w:highlight w:val="none"/>
        </w:rPr>
        <w:fldChar w:fldCharType="end"/>
      </w:r>
    </w:p>
    <w:p w14:paraId="4899A2EC">
      <w:pPr>
        <w:pStyle w:val="34"/>
        <w:tabs>
          <w:tab w:val="center" w:leader="dot" w:pos="9870"/>
          <w:tab w:val="center" w:leader="dot" w:pos="9900"/>
          <w:tab w:val="left" w:pos="10080"/>
        </w:tabs>
        <w:spacing w:line="360" w:lineRule="auto"/>
        <w:ind w:left="0"/>
        <w:jc w:val="both"/>
        <w:rPr>
          <w:rFonts w:hint="eastAsia" w:eastAsia="隶书"/>
          <w:bCs/>
          <w:color w:val="auto"/>
          <w:sz w:val="18"/>
          <w:szCs w:val="18"/>
          <w:highlight w:val="none"/>
        </w:rPr>
        <w:sectPr>
          <w:pgSz w:w="11906" w:h="16838"/>
          <w:pgMar w:top="1134" w:right="1247" w:bottom="1134" w:left="1247" w:header="720" w:footer="720" w:gutter="0"/>
          <w:cols w:space="720" w:num="1"/>
          <w:titlePg/>
          <w:docGrid w:type="lines" w:linePitch="331" w:charSpace="0"/>
        </w:sectPr>
      </w:pPr>
      <w:r>
        <w:rPr>
          <w:bCs/>
          <w:color w:val="auto"/>
          <w:szCs w:val="24"/>
          <w:highlight w:val="none"/>
        </w:rPr>
        <w:fldChar w:fldCharType="end"/>
      </w:r>
    </w:p>
    <w:p w14:paraId="490C19D1">
      <w:pPr>
        <w:pStyle w:val="2"/>
        <w:spacing w:before="0"/>
        <w:ind w:left="0" w:firstLine="0"/>
        <w:jc w:val="center"/>
        <w:rPr>
          <w:rFonts w:hint="eastAsia" w:ascii="宋体" w:hAnsi="宋体" w:eastAsia="宋体"/>
          <w:bCs/>
          <w:color w:val="auto"/>
          <w:sz w:val="30"/>
          <w:szCs w:val="30"/>
          <w:highlight w:val="none"/>
        </w:rPr>
      </w:pPr>
      <w:bookmarkStart w:id="0" w:name="_Toc3812"/>
      <w:r>
        <w:rPr>
          <w:rFonts w:hint="eastAsia" w:ascii="宋体" w:hAnsi="宋体" w:eastAsia="宋体"/>
          <w:bCs/>
          <w:color w:val="auto"/>
          <w:sz w:val="30"/>
          <w:szCs w:val="30"/>
          <w:highlight w:val="none"/>
        </w:rPr>
        <w:t xml:space="preserve">第一章  </w:t>
      </w:r>
      <w:bookmarkStart w:id="1" w:name="OLE_LINK23"/>
      <w:r>
        <w:rPr>
          <w:rFonts w:hint="eastAsia" w:ascii="宋体" w:hAnsi="宋体" w:eastAsia="宋体"/>
          <w:bCs/>
          <w:color w:val="auto"/>
          <w:sz w:val="30"/>
          <w:szCs w:val="30"/>
          <w:highlight w:val="none"/>
        </w:rPr>
        <w:t>招标公告</w:t>
      </w:r>
      <w:bookmarkEnd w:id="0"/>
    </w:p>
    <w:tbl>
      <w:tblPr>
        <w:tblStyle w:val="42"/>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2"/>
      </w:tblGrid>
      <w:tr w14:paraId="7C17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9682" w:type="dxa"/>
          </w:tcPr>
          <w:p w14:paraId="704737D9">
            <w:pPr>
              <w:pStyle w:val="13"/>
              <w:spacing w:line="360" w:lineRule="auto"/>
              <w:ind w:firstLine="482" w:firstLineChars="200"/>
              <w:rPr>
                <w:rFonts w:hint="eastAsia" w:ascii="宋体" w:hAnsi="宋体" w:cs="宋体"/>
                <w:b/>
                <w:bCs/>
                <w:color w:val="auto"/>
                <w:kern w:val="0"/>
                <w:sz w:val="24"/>
                <w:szCs w:val="24"/>
                <w:highlight w:val="none"/>
              </w:rPr>
            </w:pPr>
            <w:r>
              <w:rPr>
                <w:rFonts w:ascii="宋体" w:hAnsi="宋体" w:cs="宋体"/>
                <w:b/>
                <w:bCs/>
                <w:color w:val="auto"/>
                <w:kern w:val="0"/>
                <w:sz w:val="24"/>
                <w:szCs w:val="24"/>
                <w:highlight w:val="none"/>
              </w:rPr>
              <w:t>项目概况</w:t>
            </w:r>
          </w:p>
          <w:p w14:paraId="77366043">
            <w:pPr>
              <w:pStyle w:val="13"/>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szCs w:val="24"/>
                <w:highlight w:val="none"/>
                <w:lang w:eastAsia="zh-CN"/>
              </w:rPr>
              <w:t>玉溪职业技术学院（云南省玉溪工业财贸学校）澄江职中提级管理项目（1包）校园监控系统升级改造项目</w:t>
            </w:r>
            <w:r>
              <w:rPr>
                <w:rFonts w:ascii="宋体" w:hAnsi="宋体" w:cs="宋体"/>
                <w:color w:val="auto"/>
                <w:kern w:val="0"/>
                <w:sz w:val="24"/>
                <w:szCs w:val="24"/>
                <w:highlight w:val="none"/>
              </w:rPr>
              <w:t>的潜在投标人应</w:t>
            </w:r>
            <w:r>
              <w:rPr>
                <w:rFonts w:hint="eastAsia" w:ascii="宋体" w:hAnsi="宋体" w:cs="宋体"/>
                <w:color w:val="auto"/>
                <w:kern w:val="0"/>
                <w:sz w:val="24"/>
                <w:szCs w:val="24"/>
                <w:highlight w:val="none"/>
              </w:rPr>
              <w:t>登录政采云平台（</w:t>
            </w:r>
            <w:r>
              <w:rPr>
                <w:rFonts w:ascii="宋体" w:hAnsi="宋体" w:cs="宋体"/>
                <w:color w:val="auto"/>
                <w:kern w:val="0"/>
                <w:sz w:val="24"/>
                <w:szCs w:val="24"/>
                <w:highlight w:val="none"/>
              </w:rPr>
              <w:t>https://www.zcygov.cn/）</w:t>
            </w:r>
            <w:r>
              <w:rPr>
                <w:rFonts w:hint="eastAsia" w:ascii="宋体" w:hAnsi="宋体" w:cs="宋体"/>
                <w:color w:val="auto"/>
                <w:kern w:val="0"/>
                <w:sz w:val="24"/>
                <w:szCs w:val="24"/>
                <w:highlight w:val="none"/>
              </w:rPr>
              <w:t>获取招标文件</w:t>
            </w:r>
            <w:r>
              <w:rPr>
                <w:rFonts w:ascii="宋体" w:hAnsi="宋体" w:cs="宋体"/>
                <w:color w:val="auto"/>
                <w:kern w:val="0"/>
                <w:sz w:val="24"/>
                <w:szCs w:val="24"/>
                <w:highlight w:val="none"/>
              </w:rPr>
              <w:t>，</w:t>
            </w:r>
            <w:bookmarkStart w:id="2" w:name="_Hlt130408163"/>
            <w:bookmarkEnd w:id="2"/>
            <w:bookmarkStart w:id="3" w:name="_Hlt130408162"/>
            <w:bookmarkEnd w:id="3"/>
            <w:bookmarkStart w:id="4" w:name="_Hlt130408164"/>
            <w:bookmarkEnd w:id="4"/>
            <w:bookmarkStart w:id="5" w:name="_Hlt130408161"/>
            <w:bookmarkEnd w:id="5"/>
            <w:r>
              <w:rPr>
                <w:rFonts w:hint="eastAsia" w:ascii="宋体" w:hAnsi="宋体" w:cs="宋体"/>
                <w:color w:val="auto"/>
                <w:kern w:val="0"/>
                <w:sz w:val="24"/>
                <w:szCs w:val="24"/>
                <w:highlight w:val="none"/>
              </w:rPr>
              <w:t>并于2026年</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29</w:t>
            </w:r>
            <w:r>
              <w:rPr>
                <w:rFonts w:hint="eastAsia" w:ascii="宋体" w:hAnsi="宋体" w:cs="宋体"/>
                <w:color w:val="auto"/>
                <w:kern w:val="0"/>
                <w:sz w:val="24"/>
                <w:szCs w:val="24"/>
                <w:highlight w:val="none"/>
              </w:rPr>
              <w:t>日</w:t>
            </w:r>
            <w:r>
              <w:rPr>
                <w:rFonts w:ascii="宋体" w:hAnsi="宋体" w:cs="宋体"/>
                <w:color w:val="auto"/>
                <w:kern w:val="0"/>
                <w:sz w:val="24"/>
                <w:szCs w:val="24"/>
                <w:highlight w:val="none"/>
              </w:rPr>
              <w:t>9点00分（北京时间）前递交投标文件。</w:t>
            </w:r>
          </w:p>
        </w:tc>
      </w:tr>
    </w:tbl>
    <w:p w14:paraId="3B40373F">
      <w:pPr>
        <w:snapToGrid w:val="0"/>
        <w:spacing w:line="360" w:lineRule="auto"/>
        <w:ind w:firstLine="482" w:firstLineChars="200"/>
        <w:contextualSpacing/>
        <w:rPr>
          <w:rFonts w:hint="eastAsia"/>
          <w:b/>
          <w:color w:val="auto"/>
          <w:highlight w:val="none"/>
        </w:rPr>
      </w:pPr>
      <w:bookmarkStart w:id="6" w:name="_Toc357500906"/>
      <w:r>
        <w:rPr>
          <w:rFonts w:hint="eastAsia"/>
          <w:b/>
          <w:color w:val="auto"/>
          <w:highlight w:val="none"/>
        </w:rPr>
        <w:t>一、项目基本情况</w:t>
      </w:r>
    </w:p>
    <w:bookmarkEnd w:id="6"/>
    <w:p w14:paraId="299437A4">
      <w:pPr>
        <w:snapToGrid w:val="0"/>
        <w:spacing w:line="360" w:lineRule="auto"/>
        <w:ind w:firstLine="480" w:firstLineChars="200"/>
        <w:contextualSpacing/>
        <w:rPr>
          <w:rFonts w:hint="eastAsia" w:eastAsia="宋体"/>
          <w:color w:val="auto"/>
          <w:highlight w:val="none"/>
          <w:lang w:eastAsia="zh-CN"/>
        </w:rPr>
      </w:pPr>
      <w:bookmarkStart w:id="7" w:name="_Toc357500908"/>
      <w:r>
        <w:rPr>
          <w:rFonts w:hint="eastAsia"/>
          <w:color w:val="auto"/>
          <w:highlight w:val="none"/>
        </w:rPr>
        <w:t>1.项目</w:t>
      </w:r>
      <w:r>
        <w:rPr>
          <w:color w:val="auto"/>
          <w:highlight w:val="none"/>
        </w:rPr>
        <w:t>编号：</w:t>
      </w:r>
      <w:bookmarkEnd w:id="7"/>
      <w:bookmarkStart w:id="8" w:name="_Toc357500909"/>
      <w:r>
        <w:rPr>
          <w:rFonts w:hint="eastAsia"/>
          <w:color w:val="auto"/>
          <w:highlight w:val="none"/>
          <w:lang w:eastAsia="zh-CN"/>
        </w:rPr>
        <w:t>ZZGL-2026070H</w:t>
      </w:r>
    </w:p>
    <w:p w14:paraId="36275A8E">
      <w:pPr>
        <w:snapToGrid w:val="0"/>
        <w:spacing w:line="360" w:lineRule="auto"/>
        <w:ind w:firstLine="480" w:firstLineChars="200"/>
        <w:contextualSpacing/>
        <w:rPr>
          <w:rFonts w:hint="eastAsia"/>
          <w:color w:val="auto"/>
          <w:highlight w:val="none"/>
        </w:rPr>
      </w:pPr>
      <w:r>
        <w:rPr>
          <w:rFonts w:hint="eastAsia"/>
          <w:color w:val="auto"/>
          <w:highlight w:val="none"/>
        </w:rPr>
        <w:t>2.项目</w:t>
      </w:r>
      <w:r>
        <w:rPr>
          <w:color w:val="auto"/>
          <w:highlight w:val="none"/>
        </w:rPr>
        <w:t>名称：</w:t>
      </w:r>
      <w:bookmarkEnd w:id="8"/>
      <w:bookmarkStart w:id="9" w:name="_Toc357500910"/>
      <w:r>
        <w:rPr>
          <w:rFonts w:hint="eastAsia"/>
          <w:color w:val="auto"/>
          <w:highlight w:val="none"/>
          <w:lang w:eastAsia="zh-CN"/>
        </w:rPr>
        <w:t>玉溪职业技术学院（云南省玉溪工业财贸学校）澄江职中提级管理项目（1包）校园监控系统升级改造项目</w:t>
      </w:r>
      <w:r>
        <w:rPr>
          <w:rFonts w:hint="eastAsia"/>
          <w:color w:val="auto"/>
          <w:highlight w:val="none"/>
        </w:rPr>
        <w:t>；</w:t>
      </w:r>
    </w:p>
    <w:p w14:paraId="1EC9DA78">
      <w:pPr>
        <w:snapToGrid w:val="0"/>
        <w:spacing w:line="360" w:lineRule="auto"/>
        <w:ind w:firstLine="480" w:firstLineChars="200"/>
        <w:contextualSpacing/>
        <w:rPr>
          <w:rFonts w:hint="eastAsia"/>
          <w:color w:val="auto"/>
          <w:highlight w:val="none"/>
        </w:rPr>
      </w:pPr>
      <w:r>
        <w:rPr>
          <w:rFonts w:hint="eastAsia"/>
          <w:color w:val="auto"/>
          <w:highlight w:val="none"/>
        </w:rPr>
        <w:t>3.采购预算价（最高限价）：¥</w:t>
      </w:r>
      <w:r>
        <w:rPr>
          <w:rFonts w:hint="eastAsia"/>
          <w:color w:val="auto"/>
          <w:highlight w:val="none"/>
          <w:lang w:val="en-US" w:eastAsia="zh-CN"/>
        </w:rPr>
        <w:t>65.0</w:t>
      </w:r>
      <w:r>
        <w:rPr>
          <w:rFonts w:hint="eastAsia"/>
          <w:color w:val="auto"/>
          <w:highlight w:val="none"/>
        </w:rPr>
        <w:t>0万元（人民币</w:t>
      </w:r>
      <w:r>
        <w:rPr>
          <w:rFonts w:hint="eastAsia"/>
          <w:color w:val="auto"/>
          <w:highlight w:val="none"/>
          <w:lang w:val="en-US" w:eastAsia="zh-CN"/>
        </w:rPr>
        <w:t>陆拾伍万元整</w:t>
      </w:r>
      <w:r>
        <w:rPr>
          <w:rFonts w:hint="eastAsia"/>
          <w:color w:val="auto"/>
          <w:highlight w:val="none"/>
        </w:rPr>
        <w:t>）；</w:t>
      </w:r>
    </w:p>
    <w:p w14:paraId="40CF021D">
      <w:pPr>
        <w:snapToGrid w:val="0"/>
        <w:spacing w:line="360" w:lineRule="auto"/>
        <w:ind w:firstLine="480" w:firstLineChars="200"/>
        <w:contextualSpacing/>
        <w:rPr>
          <w:rFonts w:hint="eastAsia" w:eastAsia="宋体"/>
          <w:color w:val="auto"/>
          <w:highlight w:val="none"/>
          <w:lang w:eastAsia="zh-CN"/>
        </w:rPr>
      </w:pPr>
      <w:r>
        <w:rPr>
          <w:rFonts w:hint="eastAsia"/>
          <w:color w:val="auto"/>
          <w:highlight w:val="none"/>
        </w:rPr>
        <w:t>4.</w:t>
      </w:r>
      <w:bookmarkEnd w:id="9"/>
      <w:r>
        <w:rPr>
          <w:color w:val="auto"/>
          <w:highlight w:val="none"/>
        </w:rPr>
        <w:t>采购</w:t>
      </w:r>
      <w:r>
        <w:rPr>
          <w:rFonts w:hint="eastAsia"/>
          <w:color w:val="auto"/>
          <w:highlight w:val="none"/>
        </w:rPr>
        <w:t>需求</w:t>
      </w:r>
      <w:r>
        <w:rPr>
          <w:color w:val="auto"/>
          <w:highlight w:val="none"/>
        </w:rPr>
        <w:t>：</w:t>
      </w:r>
      <w:bookmarkStart w:id="10" w:name="_Hlk190244897"/>
      <w:r>
        <w:rPr>
          <w:rFonts w:hint="eastAsia"/>
          <w:color w:val="auto"/>
          <w:highlight w:val="none"/>
          <w:lang w:eastAsia="zh-CN"/>
        </w:rPr>
        <w:t>玉溪职业技术学院（云南省玉溪工业财贸学校）澄江职中提级管理项目（1包）校园监控系统升级改造项目</w:t>
      </w:r>
      <w:r>
        <w:rPr>
          <w:rFonts w:hint="eastAsia"/>
          <w:color w:val="auto"/>
          <w:highlight w:val="none"/>
        </w:rPr>
        <w:t>，</w:t>
      </w:r>
      <w:r>
        <w:rPr>
          <w:rFonts w:hint="eastAsia"/>
          <w:color w:val="auto"/>
          <w:highlight w:val="none"/>
          <w:lang w:val="en-US" w:eastAsia="zh-CN"/>
        </w:rPr>
        <w:t>具体内容详见第四章采购需求。</w:t>
      </w:r>
    </w:p>
    <w:bookmarkEnd w:id="10"/>
    <w:p w14:paraId="6090E82D">
      <w:pPr>
        <w:snapToGrid w:val="0"/>
        <w:spacing w:line="360" w:lineRule="auto"/>
        <w:ind w:firstLine="480" w:firstLineChars="200"/>
        <w:contextualSpacing/>
        <w:rPr>
          <w:rFonts w:hint="eastAsia"/>
          <w:color w:val="auto"/>
          <w:highlight w:val="none"/>
        </w:rPr>
      </w:pPr>
      <w:r>
        <w:rPr>
          <w:rFonts w:hint="eastAsia"/>
          <w:color w:val="auto"/>
          <w:highlight w:val="none"/>
        </w:rPr>
        <w:t>5.合同履行期限：自合同签</w:t>
      </w:r>
      <w:r>
        <w:rPr>
          <w:rFonts w:hint="eastAsia"/>
          <w:color w:val="auto"/>
          <w:highlight w:val="none"/>
          <w:lang w:eastAsia="zh-CN"/>
        </w:rPr>
        <w:t>订之日起</w:t>
      </w:r>
      <w:r>
        <w:rPr>
          <w:rFonts w:hint="eastAsia"/>
          <w:color w:val="auto"/>
          <w:highlight w:val="none"/>
          <w:lang w:val="en-US" w:eastAsia="zh-CN"/>
        </w:rPr>
        <w:t>9</w:t>
      </w:r>
      <w:r>
        <w:rPr>
          <w:rFonts w:hint="eastAsia"/>
          <w:color w:val="auto"/>
          <w:highlight w:val="none"/>
          <w:lang w:eastAsia="zh-CN"/>
        </w:rPr>
        <w:t>0日历天内完成</w:t>
      </w:r>
      <w:r>
        <w:rPr>
          <w:rFonts w:hint="eastAsia"/>
          <w:color w:val="auto"/>
          <w:highlight w:val="none"/>
        </w:rPr>
        <w:t>设备安装调试，并投入使用。</w:t>
      </w:r>
    </w:p>
    <w:p w14:paraId="3227F7CA">
      <w:pPr>
        <w:snapToGrid w:val="0"/>
        <w:spacing w:line="360" w:lineRule="auto"/>
        <w:ind w:firstLine="480" w:firstLineChars="200"/>
        <w:contextualSpacing/>
        <w:rPr>
          <w:rFonts w:hint="eastAsia"/>
          <w:color w:val="auto"/>
          <w:highlight w:val="none"/>
        </w:rPr>
      </w:pPr>
      <w:bookmarkStart w:id="11" w:name="_Hlk209448581"/>
      <w:r>
        <w:rPr>
          <w:rFonts w:hint="eastAsia"/>
          <w:color w:val="auto"/>
          <w:highlight w:val="none"/>
        </w:rPr>
        <w:t>6.</w:t>
      </w:r>
      <w:r>
        <w:rPr>
          <w:rFonts w:hint="eastAsia"/>
          <w:color w:val="auto"/>
          <w:highlight w:val="none"/>
          <w:lang w:val="en-US" w:eastAsia="zh-CN"/>
        </w:rPr>
        <w:t>服务</w:t>
      </w:r>
      <w:r>
        <w:rPr>
          <w:rFonts w:hint="eastAsia"/>
          <w:color w:val="auto"/>
          <w:highlight w:val="none"/>
        </w:rPr>
        <w:t>地点：采购人指定地点。</w:t>
      </w:r>
    </w:p>
    <w:bookmarkEnd w:id="11"/>
    <w:p w14:paraId="4259DA5F">
      <w:pPr>
        <w:snapToGrid w:val="0"/>
        <w:spacing w:line="360" w:lineRule="auto"/>
        <w:ind w:firstLine="480" w:firstLineChars="200"/>
        <w:contextualSpacing/>
        <w:rPr>
          <w:rFonts w:hint="eastAsia"/>
          <w:color w:val="auto"/>
          <w:highlight w:val="none"/>
        </w:rPr>
      </w:pPr>
      <w:r>
        <w:rPr>
          <w:rFonts w:hint="eastAsia"/>
          <w:color w:val="auto"/>
          <w:highlight w:val="none"/>
        </w:rPr>
        <w:t>7.质量要求：符合国家相关标准及规范要求，且一次性验收合格，投入正常使用。</w:t>
      </w:r>
    </w:p>
    <w:p w14:paraId="0C1B4E20">
      <w:pPr>
        <w:snapToGrid w:val="0"/>
        <w:spacing w:line="360" w:lineRule="auto"/>
        <w:ind w:firstLine="480" w:firstLineChars="200"/>
        <w:contextualSpacing/>
        <w:rPr>
          <w:rFonts w:hint="eastAsia"/>
          <w:color w:val="auto"/>
          <w:highlight w:val="none"/>
        </w:rPr>
      </w:pPr>
      <w:r>
        <w:rPr>
          <w:rFonts w:hint="eastAsia"/>
          <w:color w:val="auto"/>
          <w:highlight w:val="none"/>
        </w:rPr>
        <w:t>8.本项目不接受联合体投标。</w:t>
      </w:r>
    </w:p>
    <w:p w14:paraId="0E90CC6A">
      <w:pPr>
        <w:snapToGrid w:val="0"/>
        <w:spacing w:line="360" w:lineRule="auto"/>
        <w:ind w:firstLine="482" w:firstLineChars="200"/>
        <w:contextualSpacing/>
        <w:rPr>
          <w:rFonts w:hint="eastAsia"/>
          <w:b/>
          <w:color w:val="auto"/>
          <w:highlight w:val="none"/>
        </w:rPr>
      </w:pPr>
      <w:bookmarkStart w:id="12" w:name="_Toc357500914"/>
      <w:r>
        <w:rPr>
          <w:rFonts w:hint="eastAsia"/>
          <w:b/>
          <w:color w:val="auto"/>
          <w:highlight w:val="none"/>
        </w:rPr>
        <w:t>二</w:t>
      </w:r>
      <w:r>
        <w:rPr>
          <w:b/>
          <w:color w:val="auto"/>
          <w:highlight w:val="none"/>
        </w:rPr>
        <w:t>、</w:t>
      </w:r>
      <w:r>
        <w:rPr>
          <w:rFonts w:hint="eastAsia"/>
          <w:b/>
          <w:color w:val="auto"/>
          <w:highlight w:val="none"/>
        </w:rPr>
        <w:t>申请人的资格要求：</w:t>
      </w:r>
      <w:bookmarkEnd w:id="12"/>
    </w:p>
    <w:p w14:paraId="63FEA71E">
      <w:pPr>
        <w:snapToGrid w:val="0"/>
        <w:spacing w:line="360" w:lineRule="auto"/>
        <w:ind w:firstLine="482" w:firstLineChars="200"/>
        <w:contextualSpacing/>
        <w:rPr>
          <w:rFonts w:hint="eastAsia"/>
          <w:b/>
          <w:bCs/>
          <w:color w:val="auto"/>
          <w:highlight w:val="none"/>
        </w:rPr>
      </w:pPr>
      <w:bookmarkStart w:id="13" w:name="_Toc357500925"/>
      <w:r>
        <w:rPr>
          <w:rFonts w:hint="eastAsia"/>
          <w:b/>
          <w:bCs/>
          <w:color w:val="auto"/>
          <w:highlight w:val="none"/>
        </w:rPr>
        <w:t>1.满足《中华人民共和国政府采购法》第二十二条规定</w:t>
      </w:r>
    </w:p>
    <w:p w14:paraId="3B5E14F9">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23575D97">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69AE281E">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w:t>
      </w:r>
      <w:bookmarkStart w:id="14" w:name="_Hlk209448688"/>
      <w:r>
        <w:rPr>
          <w:rFonts w:hint="eastAsia"/>
          <w:color w:val="auto"/>
          <w:highlight w:val="none"/>
        </w:rPr>
        <w:t>失信被执行人、</w:t>
      </w:r>
      <w:r>
        <w:rPr>
          <w:color w:val="auto"/>
          <w:highlight w:val="none"/>
        </w:rPr>
        <w:t>严重失信主体名单查询</w:t>
      </w:r>
      <w:r>
        <w:rPr>
          <w:rFonts w:hint="eastAsia"/>
          <w:color w:val="auto"/>
          <w:highlight w:val="none"/>
        </w:rPr>
        <w:t>、重大税收违法失信主体名单</w:t>
      </w:r>
      <w:bookmarkEnd w:id="14"/>
      <w:r>
        <w:rPr>
          <w:rFonts w:hint="eastAsia"/>
          <w:color w:val="auto"/>
          <w:highlight w:val="none"/>
        </w:rPr>
        <w:t>；在“中国政府采购网”(www.ccgp.gov.cn) 中未被列入：政府采购严重违法失信行为记录名单。</w:t>
      </w:r>
    </w:p>
    <w:p w14:paraId="594604ED">
      <w:pPr>
        <w:snapToGrid w:val="0"/>
        <w:spacing w:line="360" w:lineRule="auto"/>
        <w:ind w:firstLine="482" w:firstLineChars="200"/>
        <w:contextualSpacing/>
        <w:rPr>
          <w:rFonts w:hint="eastAsia"/>
          <w:b/>
          <w:bCs/>
          <w:color w:val="auto"/>
          <w:highlight w:val="none"/>
        </w:rPr>
      </w:pPr>
      <w:r>
        <w:rPr>
          <w:rFonts w:hint="eastAsia"/>
          <w:b/>
          <w:bCs/>
          <w:color w:val="auto"/>
          <w:highlight w:val="none"/>
        </w:rPr>
        <w:t>2.本项目的特定资格要求：无。</w:t>
      </w:r>
    </w:p>
    <w:bookmarkEnd w:id="13"/>
    <w:p w14:paraId="6E37E5DD">
      <w:pPr>
        <w:snapToGrid w:val="0"/>
        <w:spacing w:line="360" w:lineRule="auto"/>
        <w:ind w:firstLine="482" w:firstLineChars="200"/>
        <w:contextualSpacing/>
        <w:rPr>
          <w:rFonts w:hint="eastAsia"/>
          <w:b/>
          <w:color w:val="auto"/>
          <w:highlight w:val="none"/>
        </w:rPr>
      </w:pPr>
      <w:r>
        <w:rPr>
          <w:rFonts w:hint="eastAsia"/>
          <w:b/>
          <w:color w:val="auto"/>
          <w:highlight w:val="none"/>
        </w:rPr>
        <w:t>三</w:t>
      </w:r>
      <w:r>
        <w:rPr>
          <w:b/>
          <w:color w:val="auto"/>
          <w:highlight w:val="none"/>
        </w:rPr>
        <w:t>、获取招标文件</w:t>
      </w:r>
    </w:p>
    <w:p w14:paraId="717A5375">
      <w:pPr>
        <w:snapToGrid w:val="0"/>
        <w:spacing w:line="360" w:lineRule="auto"/>
        <w:ind w:firstLine="480" w:firstLineChars="200"/>
        <w:contextualSpacing/>
        <w:rPr>
          <w:rFonts w:hint="eastAsia"/>
          <w:color w:val="auto"/>
          <w:highlight w:val="none"/>
        </w:rPr>
      </w:pPr>
      <w:r>
        <w:rPr>
          <w:color w:val="auto"/>
          <w:highlight w:val="none"/>
        </w:rPr>
        <w:t>1.时间：</w:t>
      </w:r>
      <w:r>
        <w:rPr>
          <w:rFonts w:hint="eastAsia"/>
          <w:color w:val="auto"/>
          <w:highlight w:val="none"/>
        </w:rPr>
        <w:t>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8</w:t>
      </w:r>
      <w:r>
        <w:rPr>
          <w:rFonts w:hint="eastAsia"/>
          <w:color w:val="auto"/>
          <w:highlight w:val="none"/>
        </w:rPr>
        <w:t>日至2026年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14</w:t>
      </w:r>
      <w:r>
        <w:rPr>
          <w:rFonts w:hint="eastAsia"/>
          <w:color w:val="auto"/>
          <w:highlight w:val="none"/>
        </w:rPr>
        <w:t>日23时59分</w:t>
      </w:r>
      <w:r>
        <w:rPr>
          <w:color w:val="auto"/>
          <w:highlight w:val="none"/>
        </w:rPr>
        <w:t>。</w:t>
      </w:r>
    </w:p>
    <w:p w14:paraId="7CE09939">
      <w:pPr>
        <w:snapToGrid w:val="0"/>
        <w:spacing w:line="360" w:lineRule="auto"/>
        <w:ind w:firstLine="480" w:firstLineChars="200"/>
        <w:contextualSpacing/>
        <w:rPr>
          <w:rFonts w:hint="eastAsia"/>
          <w:color w:val="auto"/>
          <w:highlight w:val="none"/>
        </w:rPr>
      </w:pPr>
      <w:r>
        <w:rPr>
          <w:color w:val="auto"/>
          <w:highlight w:val="none"/>
        </w:rPr>
        <w:t>2.地点：</w:t>
      </w:r>
      <w:r>
        <w:rPr>
          <w:rFonts w:hint="eastAsia"/>
          <w:color w:val="auto"/>
          <w:highlight w:val="none"/>
        </w:rPr>
        <w:t>政采云平台（</w:t>
      </w:r>
      <w:r>
        <w:rPr>
          <w:color w:val="auto"/>
          <w:highlight w:val="none"/>
        </w:rPr>
        <w:t>https://www.zcygov.cn/）</w:t>
      </w:r>
      <w:r>
        <w:rPr>
          <w:rFonts w:hint="eastAsia"/>
          <w:color w:val="auto"/>
          <w:highlight w:val="none"/>
        </w:rPr>
        <w:t>。</w:t>
      </w:r>
    </w:p>
    <w:p w14:paraId="4F632B4C">
      <w:pPr>
        <w:snapToGrid w:val="0"/>
        <w:spacing w:line="360" w:lineRule="auto"/>
        <w:ind w:firstLine="480" w:firstLineChars="200"/>
        <w:contextualSpacing/>
        <w:rPr>
          <w:rFonts w:hint="eastAsia"/>
          <w:bCs/>
          <w:color w:val="auto"/>
          <w:highlight w:val="none"/>
        </w:rPr>
      </w:pPr>
      <w:r>
        <w:rPr>
          <w:color w:val="auto"/>
          <w:highlight w:val="none"/>
        </w:rPr>
        <w:t>3.方式：</w:t>
      </w:r>
      <w:r>
        <w:rPr>
          <w:rFonts w:hint="eastAsia"/>
          <w:bCs/>
          <w:color w:val="auto"/>
          <w:highlight w:val="none"/>
        </w:rPr>
        <w:t>凡有意参加投标者，须在政采云平台办理数字证书（</w:t>
      </w:r>
      <w:r>
        <w:rPr>
          <w:bCs/>
          <w:color w:val="auto"/>
          <w:highlight w:val="none"/>
        </w:rPr>
        <w:t>CA)，CA申领链接http://yzt.ynsmartcert.cn/cms/yztynzz.html，数字证书（CA）办理完成后需在政采云平台绑定数字证书(CA)并在平台获取采购文件及其它采购资料。</w:t>
      </w:r>
    </w:p>
    <w:p w14:paraId="2A80EBBC">
      <w:pPr>
        <w:snapToGrid w:val="0"/>
        <w:spacing w:line="360" w:lineRule="auto"/>
        <w:ind w:firstLine="480" w:firstLineChars="200"/>
        <w:contextualSpacing/>
        <w:rPr>
          <w:rFonts w:hint="eastAsia"/>
          <w:bCs/>
          <w:color w:val="auto"/>
          <w:highlight w:val="none"/>
        </w:rPr>
      </w:pPr>
      <w:r>
        <w:rPr>
          <w:rFonts w:hint="eastAsia"/>
          <w:bCs/>
          <w:color w:val="auto"/>
          <w:highlight w:val="none"/>
        </w:rPr>
        <w:t>注</w:t>
      </w:r>
      <w:r>
        <w:rPr>
          <w:bCs/>
          <w:color w:val="auto"/>
          <w:highlight w:val="none"/>
        </w:rPr>
        <w:t>:各投标人应在开标前确保成为政采云平台供应商，并完成CA数字证书申领。因未注册入库，未办理CA数字证书等原因造成无法投标或投标失败等由投标人自行承担,有意参加投标的投标人，须在政采云平办理数字证书(CA) ，CA申领链接: http://yzt.ynsmartcert.cn/cms/yztynzz.html。</w:t>
      </w:r>
    </w:p>
    <w:p w14:paraId="2EE05F11">
      <w:pPr>
        <w:snapToGrid w:val="0"/>
        <w:spacing w:line="360" w:lineRule="auto"/>
        <w:ind w:firstLine="480" w:firstLineChars="200"/>
        <w:contextualSpacing/>
        <w:rPr>
          <w:rFonts w:hint="eastAsia"/>
          <w:color w:val="auto"/>
          <w:highlight w:val="none"/>
        </w:rPr>
      </w:pPr>
      <w:r>
        <w:rPr>
          <w:rFonts w:hint="eastAsia"/>
          <w:bCs/>
          <w:color w:val="auto"/>
          <w:highlight w:val="none"/>
        </w:rPr>
        <w:t>如有问题可拨打政采云客户服务热线</w:t>
      </w:r>
      <w:r>
        <w:rPr>
          <w:bCs/>
          <w:color w:val="auto"/>
          <w:highlight w:val="none"/>
        </w:rPr>
        <w:t>95763进一步咨询，数字证书问题可咨询云南壹证通CA：</w:t>
      </w:r>
      <w:r>
        <w:rPr>
          <w:rFonts w:hint="eastAsia"/>
          <w:bCs/>
          <w:color w:val="auto"/>
          <w:highlight w:val="none"/>
        </w:rPr>
        <w:t>400-004-0628</w:t>
      </w:r>
      <w:r>
        <w:rPr>
          <w:bCs/>
          <w:color w:val="auto"/>
          <w:highlight w:val="none"/>
        </w:rPr>
        <w:t>（紧急可拨19988166369）。</w:t>
      </w:r>
    </w:p>
    <w:p w14:paraId="70ABEBDC">
      <w:pPr>
        <w:snapToGrid w:val="0"/>
        <w:spacing w:line="360" w:lineRule="auto"/>
        <w:ind w:firstLine="482" w:firstLineChars="200"/>
        <w:contextualSpacing/>
        <w:rPr>
          <w:rFonts w:hint="eastAsia"/>
          <w:b/>
          <w:color w:val="auto"/>
          <w:highlight w:val="none"/>
        </w:rPr>
      </w:pPr>
      <w:bookmarkStart w:id="15" w:name="_Toc357500934"/>
      <w:r>
        <w:rPr>
          <w:rFonts w:hint="eastAsia"/>
          <w:b/>
          <w:color w:val="auto"/>
          <w:highlight w:val="none"/>
        </w:rPr>
        <w:t>四</w:t>
      </w:r>
      <w:r>
        <w:rPr>
          <w:b/>
          <w:color w:val="auto"/>
          <w:highlight w:val="none"/>
        </w:rPr>
        <w:t>、</w:t>
      </w:r>
      <w:r>
        <w:rPr>
          <w:rFonts w:hint="eastAsia"/>
          <w:b/>
          <w:color w:val="auto"/>
          <w:highlight w:val="none"/>
        </w:rPr>
        <w:t>提交投标文件截止时间、开标时间和地点</w:t>
      </w:r>
      <w:bookmarkEnd w:id="15"/>
    </w:p>
    <w:p w14:paraId="0E844B37">
      <w:pPr>
        <w:adjustRightInd w:val="0"/>
        <w:snapToGrid w:val="0"/>
        <w:spacing w:line="360" w:lineRule="auto"/>
        <w:ind w:firstLine="482" w:firstLineChars="200"/>
        <w:rPr>
          <w:rFonts w:hint="eastAsia"/>
          <w:b/>
          <w:color w:val="auto"/>
          <w:highlight w:val="none"/>
        </w:rPr>
      </w:pPr>
      <w:bookmarkStart w:id="16" w:name="_Hlk9279800"/>
      <w:r>
        <w:rPr>
          <w:b/>
          <w:color w:val="auto"/>
          <w:highlight w:val="none"/>
        </w:rPr>
        <w:t>1.网上递交电子投标文件：</w:t>
      </w:r>
    </w:p>
    <w:p w14:paraId="04462CDD">
      <w:pPr>
        <w:adjustRightInd w:val="0"/>
        <w:snapToGrid w:val="0"/>
        <w:spacing w:line="360" w:lineRule="auto"/>
        <w:ind w:firstLine="480" w:firstLineChars="200"/>
        <w:rPr>
          <w:rFonts w:hint="eastAsia"/>
          <w:color w:val="auto"/>
          <w:highlight w:val="none"/>
        </w:rPr>
      </w:pPr>
      <w:r>
        <w:rPr>
          <w:rFonts w:hint="eastAsia"/>
          <w:color w:val="auto"/>
          <w:highlight w:val="none"/>
        </w:rPr>
        <w:t>1.1递交投标文件截止时间：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w:t>
      </w:r>
      <w:r>
        <w:rPr>
          <w:rFonts w:hint="eastAsia"/>
          <w:color w:val="auto"/>
          <w:highlight w:val="none"/>
        </w:rPr>
        <w:t>（北京时间，下同）；</w:t>
      </w:r>
    </w:p>
    <w:p w14:paraId="1333D063">
      <w:pPr>
        <w:adjustRightInd w:val="0"/>
        <w:snapToGrid w:val="0"/>
        <w:spacing w:line="360" w:lineRule="auto"/>
        <w:ind w:firstLine="480" w:firstLineChars="200"/>
        <w:rPr>
          <w:rFonts w:hint="eastAsia"/>
          <w:color w:val="auto"/>
          <w:highlight w:val="none"/>
        </w:rPr>
      </w:pPr>
      <w:r>
        <w:rPr>
          <w:rFonts w:hint="eastAsia"/>
          <w:color w:val="auto"/>
          <w:highlight w:val="none"/>
        </w:rPr>
        <w:t>1.2投标</w:t>
      </w:r>
      <w:r>
        <w:rPr>
          <w:color w:val="auto"/>
          <w:highlight w:val="none"/>
        </w:rPr>
        <w:t>文件递交</w:t>
      </w:r>
      <w:r>
        <w:rPr>
          <w:rFonts w:hint="eastAsia"/>
          <w:color w:val="auto"/>
          <w:highlight w:val="none"/>
        </w:rPr>
        <w:t>网址</w:t>
      </w:r>
      <w:r>
        <w:rPr>
          <w:color w:val="auto"/>
          <w:highlight w:val="none"/>
        </w:rPr>
        <w:t>为</w:t>
      </w:r>
      <w:r>
        <w:rPr>
          <w:rFonts w:hint="eastAsia"/>
          <w:color w:val="auto"/>
          <w:highlight w:val="none"/>
        </w:rPr>
        <w:t>：</w:t>
      </w:r>
      <w:bookmarkStart w:id="17" w:name="_Hlk160697840"/>
      <w:r>
        <w:rPr>
          <w:rFonts w:hint="eastAsia"/>
          <w:color w:val="auto"/>
          <w:highlight w:val="none"/>
        </w:rPr>
        <w:t>政采云平台（</w:t>
      </w:r>
      <w:r>
        <w:rPr>
          <w:color w:val="auto"/>
          <w:highlight w:val="none"/>
        </w:rPr>
        <w:t>http：//www.zcygov.cn）</w:t>
      </w:r>
      <w:bookmarkEnd w:id="17"/>
      <w:r>
        <w:rPr>
          <w:rFonts w:hint="eastAsia"/>
          <w:color w:val="auto"/>
          <w:highlight w:val="none"/>
        </w:rPr>
        <w:t>；</w:t>
      </w:r>
    </w:p>
    <w:p w14:paraId="45CE1EFC">
      <w:pPr>
        <w:adjustRightInd w:val="0"/>
        <w:snapToGrid w:val="0"/>
        <w:spacing w:line="360" w:lineRule="auto"/>
        <w:ind w:firstLine="482" w:firstLineChars="200"/>
        <w:rPr>
          <w:rFonts w:hint="eastAsia"/>
          <w:b/>
          <w:color w:val="auto"/>
          <w:highlight w:val="none"/>
        </w:rPr>
      </w:pPr>
      <w:r>
        <w:rPr>
          <w:rFonts w:hint="eastAsia"/>
          <w:b/>
          <w:color w:val="auto"/>
          <w:highlight w:val="none"/>
        </w:rPr>
        <w:t>2.开标时间和地点：</w:t>
      </w:r>
    </w:p>
    <w:p w14:paraId="0F878C28">
      <w:pPr>
        <w:adjustRightInd w:val="0"/>
        <w:snapToGrid w:val="0"/>
        <w:spacing w:line="360" w:lineRule="auto"/>
        <w:ind w:firstLine="480" w:firstLineChars="200"/>
        <w:rPr>
          <w:rFonts w:hint="eastAsia"/>
          <w:color w:val="auto"/>
          <w:highlight w:val="none"/>
        </w:rPr>
      </w:pPr>
      <w:r>
        <w:rPr>
          <w:rFonts w:hint="eastAsia"/>
          <w:color w:val="auto"/>
          <w:highlight w:val="none"/>
        </w:rPr>
        <w:t>2.1开标时间：</w:t>
      </w:r>
      <w:r>
        <w:rPr>
          <w:rFonts w:hint="eastAsia"/>
          <w:b/>
          <w:color w:val="auto"/>
          <w:highlight w:val="none"/>
        </w:rPr>
        <w:t>2026年5月</w:t>
      </w:r>
      <w:r>
        <w:rPr>
          <w:rFonts w:hint="eastAsia"/>
          <w:b/>
          <w:color w:val="auto"/>
          <w:highlight w:val="none"/>
          <w:lang w:val="en-US" w:eastAsia="zh-CN"/>
        </w:rPr>
        <w:t>29</w:t>
      </w:r>
      <w:r>
        <w:rPr>
          <w:rFonts w:hint="eastAsia"/>
          <w:b/>
          <w:color w:val="auto"/>
          <w:highlight w:val="none"/>
        </w:rPr>
        <w:t>日09时00分</w:t>
      </w:r>
      <w:r>
        <w:rPr>
          <w:color w:val="auto"/>
          <w:highlight w:val="none"/>
        </w:rPr>
        <w:t>（北京时间）</w:t>
      </w:r>
    </w:p>
    <w:p w14:paraId="5E188F81">
      <w:pPr>
        <w:adjustRightInd w:val="0"/>
        <w:snapToGrid w:val="0"/>
        <w:spacing w:line="360" w:lineRule="auto"/>
        <w:ind w:firstLine="480" w:firstLineChars="200"/>
        <w:rPr>
          <w:rFonts w:hint="eastAsia"/>
          <w:bCs/>
          <w:color w:val="auto"/>
          <w:highlight w:val="none"/>
        </w:rPr>
      </w:pPr>
      <w:r>
        <w:rPr>
          <w:rFonts w:hint="eastAsia"/>
          <w:color w:val="auto"/>
          <w:highlight w:val="none"/>
        </w:rPr>
        <w:t>2.2地点：</w:t>
      </w:r>
      <w:r>
        <w:rPr>
          <w:rFonts w:hint="eastAsia"/>
          <w:bCs/>
          <w:color w:val="auto"/>
          <w:highlight w:val="none"/>
        </w:rPr>
        <w:t>政采云平台（</w:t>
      </w:r>
      <w:r>
        <w:rPr>
          <w:bCs/>
          <w:color w:val="auto"/>
          <w:highlight w:val="none"/>
        </w:rPr>
        <w:t>http：//www.zcygov.cn）</w:t>
      </w:r>
      <w:r>
        <w:rPr>
          <w:rFonts w:hint="eastAsia"/>
          <w:bCs/>
          <w:color w:val="auto"/>
          <w:highlight w:val="none"/>
        </w:rPr>
        <w:t>。</w:t>
      </w:r>
    </w:p>
    <w:p w14:paraId="6F4631C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开标参与方式：本项目采用远程开标方式进行开标，投标人无需到达现场</w:t>
      </w:r>
      <w:r>
        <w:rPr>
          <w:color w:val="auto"/>
          <w:highlight w:val="none"/>
        </w:rPr>
        <w:t>。</w:t>
      </w:r>
    </w:p>
    <w:bookmarkEnd w:id="16"/>
    <w:p w14:paraId="72F1CC41">
      <w:pPr>
        <w:snapToGrid w:val="0"/>
        <w:spacing w:line="360" w:lineRule="auto"/>
        <w:ind w:firstLine="482" w:firstLineChars="200"/>
        <w:contextualSpacing/>
        <w:rPr>
          <w:rFonts w:hint="eastAsia"/>
          <w:b/>
          <w:color w:val="auto"/>
          <w:highlight w:val="none"/>
        </w:rPr>
      </w:pPr>
      <w:bookmarkStart w:id="18" w:name="_Toc357500942"/>
      <w:r>
        <w:rPr>
          <w:rFonts w:hint="eastAsia"/>
          <w:b/>
          <w:color w:val="auto"/>
          <w:highlight w:val="none"/>
        </w:rPr>
        <w:t>五</w:t>
      </w:r>
      <w:r>
        <w:rPr>
          <w:b/>
          <w:color w:val="auto"/>
          <w:highlight w:val="none"/>
        </w:rPr>
        <w:t>、发布媒介及公告期限</w:t>
      </w:r>
      <w:bookmarkEnd w:id="18"/>
    </w:p>
    <w:p w14:paraId="4135D5C5">
      <w:pPr>
        <w:snapToGrid w:val="0"/>
        <w:spacing w:line="360" w:lineRule="auto"/>
        <w:ind w:firstLine="480" w:firstLineChars="200"/>
        <w:contextualSpacing/>
        <w:rPr>
          <w:rFonts w:hint="eastAsia"/>
          <w:color w:val="auto"/>
          <w:highlight w:val="none"/>
        </w:rPr>
      </w:pPr>
      <w:bookmarkStart w:id="19" w:name="_Toc357500943"/>
      <w:r>
        <w:rPr>
          <w:color w:val="auto"/>
          <w:highlight w:val="none"/>
        </w:rPr>
        <w:t>1.本项目招标公告同时在云南省政府采购网</w:t>
      </w:r>
      <w:r>
        <w:rPr>
          <w:rFonts w:hint="eastAsia"/>
          <w:color w:val="auto"/>
          <w:highlight w:val="none"/>
        </w:rPr>
        <w:t>（</w:t>
      </w:r>
      <w:r>
        <w:rPr>
          <w:color w:val="auto"/>
          <w:highlight w:val="none"/>
        </w:rPr>
        <w:t>http://www.yngp.com/</w:t>
      </w:r>
      <w:r>
        <w:rPr>
          <w:rFonts w:hint="eastAsia"/>
          <w:color w:val="auto"/>
          <w:highlight w:val="none"/>
        </w:rPr>
        <w:t>）发布，采购人及采购代理机构对其它网站或媒体转载的公告及公告内容不承担任何责任。</w:t>
      </w:r>
      <w:bookmarkEnd w:id="19"/>
    </w:p>
    <w:p w14:paraId="4956BFA8">
      <w:pPr>
        <w:snapToGrid w:val="0"/>
        <w:spacing w:line="360" w:lineRule="auto"/>
        <w:ind w:firstLine="480" w:firstLineChars="200"/>
        <w:contextualSpacing/>
        <w:rPr>
          <w:rFonts w:hint="eastAsia"/>
          <w:color w:val="auto"/>
          <w:highlight w:val="none"/>
        </w:rPr>
      </w:pPr>
      <w:r>
        <w:rPr>
          <w:color w:val="auto"/>
          <w:highlight w:val="none"/>
        </w:rPr>
        <w:t>2.本公告期限自本公告发布之日起5个工作日。</w:t>
      </w:r>
    </w:p>
    <w:p w14:paraId="200368C0">
      <w:pPr>
        <w:snapToGrid w:val="0"/>
        <w:spacing w:line="360" w:lineRule="auto"/>
        <w:ind w:firstLine="482" w:firstLineChars="200"/>
        <w:contextualSpacing/>
        <w:rPr>
          <w:rFonts w:hint="eastAsia"/>
          <w:b/>
          <w:color w:val="auto"/>
          <w:highlight w:val="none"/>
        </w:rPr>
      </w:pPr>
      <w:bookmarkStart w:id="20" w:name="_Toc357500938"/>
      <w:r>
        <w:rPr>
          <w:rFonts w:hint="eastAsia"/>
          <w:b/>
          <w:color w:val="auto"/>
          <w:highlight w:val="none"/>
        </w:rPr>
        <w:t>六</w:t>
      </w:r>
      <w:r>
        <w:rPr>
          <w:b/>
          <w:color w:val="auto"/>
          <w:highlight w:val="none"/>
        </w:rPr>
        <w:t>、</w:t>
      </w:r>
      <w:bookmarkEnd w:id="20"/>
      <w:r>
        <w:rPr>
          <w:b/>
          <w:color w:val="auto"/>
          <w:highlight w:val="none"/>
        </w:rPr>
        <w:t>其他补充事宜</w:t>
      </w:r>
    </w:p>
    <w:p w14:paraId="3DD643A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w:t>
      </w:r>
      <w:r>
        <w:rPr>
          <w:rFonts w:hint="eastAsia"/>
          <w:color w:val="auto"/>
          <w:highlight w:val="none"/>
        </w:rPr>
        <w:t>投标文件上传</w:t>
      </w:r>
    </w:p>
    <w:p w14:paraId="5FED1B9A">
      <w:pPr>
        <w:snapToGrid w:val="0"/>
        <w:spacing w:line="360" w:lineRule="auto"/>
        <w:ind w:firstLine="480" w:firstLineChars="200"/>
        <w:contextualSpacing/>
        <w:rPr>
          <w:rFonts w:hint="eastAsia"/>
          <w:color w:val="auto"/>
          <w:highlight w:val="none"/>
        </w:rPr>
      </w:pPr>
      <w:r>
        <w:rPr>
          <w:rFonts w:hint="eastAsia"/>
          <w:color w:val="auto"/>
          <w:highlight w:val="none"/>
        </w:rPr>
        <w:t>投标人应按照本项目采购文件和</w:t>
      </w:r>
      <w:r>
        <w:rPr>
          <w:color w:val="auto"/>
          <w:highlight w:val="none"/>
        </w:rPr>
        <w:t>"政采云"平台的要求编制、加密后在投标文件提交截止时间前</w:t>
      </w:r>
      <w:r>
        <w:rPr>
          <w:rFonts w:hint="eastAsia"/>
          <w:color w:val="auto"/>
          <w:highlight w:val="none"/>
        </w:rPr>
        <w:t>将投标文件</w:t>
      </w:r>
      <w:r>
        <w:rPr>
          <w:color w:val="auto"/>
          <w:highlight w:val="none"/>
        </w:rPr>
        <w:t>上传至"政采云"平台，按《供应商操作指南》（https://edu.zcygov.cn/luban/yunnan-dzjy-gys?utm=a0017.b3687.48.18.4b09ec80cbc911edb8a97356c5970511）完成远程投标文件解密等相关操作。投标文件提交截止时间前未完成投标文件上传的，视为撤回投标文件。若投标人未在规定时间完成投标文件解密，则视为无效投标，不再进入评标阶段</w:t>
      </w:r>
      <w:r>
        <w:rPr>
          <w:rFonts w:hint="eastAsia"/>
          <w:color w:val="auto"/>
          <w:highlight w:val="none"/>
        </w:rPr>
        <w:t>，投标人</w:t>
      </w:r>
      <w:r>
        <w:rPr>
          <w:color w:val="auto"/>
          <w:highlight w:val="none"/>
        </w:rPr>
        <w:t>在"政采云"平</w:t>
      </w:r>
      <w:r>
        <w:rPr>
          <w:rFonts w:hint="eastAsia"/>
          <w:color w:val="auto"/>
          <w:highlight w:val="none"/>
        </w:rPr>
        <w:t>台提交电子版投标文件时，请填写参加远程采购活动经办人联系方式。</w:t>
      </w:r>
    </w:p>
    <w:p w14:paraId="2648D1EA">
      <w:pPr>
        <w:snapToGrid w:val="0"/>
        <w:spacing w:line="360" w:lineRule="auto"/>
        <w:ind w:firstLine="480" w:firstLineChars="200"/>
        <w:contextualSpacing/>
        <w:rPr>
          <w:rFonts w:hint="eastAsia"/>
          <w:color w:val="auto"/>
          <w:highlight w:val="none"/>
        </w:rPr>
      </w:pPr>
      <w:r>
        <w:rPr>
          <w:rFonts w:hint="eastAsia"/>
          <w:color w:val="auto"/>
          <w:highlight w:val="none"/>
        </w:rPr>
        <w:t>注：任何因忽视或误解而导致投标文件未上传或已上传但未按规定的操作流程及时间要求进行解密的，由投标人自行负责。</w:t>
      </w:r>
    </w:p>
    <w:p w14:paraId="52A9D83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.需要落实的政府采购政策</w:t>
      </w:r>
    </w:p>
    <w:p w14:paraId="58D8D0DB">
      <w:pPr>
        <w:snapToGrid w:val="0"/>
        <w:spacing w:line="360" w:lineRule="auto"/>
        <w:ind w:firstLine="480" w:firstLineChars="200"/>
        <w:contextualSpacing/>
        <w:rPr>
          <w:rFonts w:hint="eastAsia"/>
          <w:color w:val="auto"/>
          <w:highlight w:val="none"/>
          <w:shd w:val="clear" w:color="auto" w:fill="FFFFFF"/>
        </w:rPr>
      </w:pPr>
      <w:r>
        <w:rPr>
          <w:rFonts w:hint="eastAsia"/>
          <w:color w:val="auto"/>
          <w:highlight w:val="none"/>
          <w:shd w:val="clear" w:color="auto" w:fill="FFFFFF"/>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r>
        <w:rPr>
          <w:color w:val="auto"/>
          <w:highlight w:val="none"/>
          <w:shd w:val="clear" w:color="auto" w:fill="FFFFFF"/>
        </w:rPr>
        <w:t>。</w:t>
      </w:r>
    </w:p>
    <w:p w14:paraId="10D14CB6">
      <w:pPr>
        <w:snapToGrid w:val="0"/>
        <w:spacing w:line="360" w:lineRule="auto"/>
        <w:ind w:firstLine="482" w:firstLineChars="200"/>
        <w:contextualSpacing/>
        <w:rPr>
          <w:rFonts w:hint="eastAsia"/>
          <w:b/>
          <w:color w:val="auto"/>
          <w:highlight w:val="none"/>
        </w:rPr>
      </w:pPr>
      <w:r>
        <w:rPr>
          <w:rFonts w:hint="eastAsia"/>
          <w:b/>
          <w:color w:val="auto"/>
          <w:highlight w:val="none"/>
        </w:rPr>
        <w:t>七</w:t>
      </w:r>
      <w:r>
        <w:rPr>
          <w:b/>
          <w:color w:val="auto"/>
          <w:highlight w:val="none"/>
        </w:rPr>
        <w:t>、凡对本次采购提出询问，请按以下方式联系</w:t>
      </w:r>
    </w:p>
    <w:p w14:paraId="48788BDA">
      <w:pPr>
        <w:snapToGrid w:val="0"/>
        <w:spacing w:line="360" w:lineRule="auto"/>
        <w:ind w:firstLine="480" w:firstLineChars="200"/>
        <w:contextualSpacing/>
        <w:rPr>
          <w:rFonts w:hint="eastAsia"/>
          <w:color w:val="auto"/>
          <w:highlight w:val="none"/>
        </w:rPr>
      </w:pPr>
      <w:r>
        <w:rPr>
          <w:color w:val="auto"/>
          <w:highlight w:val="none"/>
        </w:rPr>
        <w:t>1.</w:t>
      </w:r>
      <w:r>
        <w:rPr>
          <w:rFonts w:hint="eastAsia"/>
          <w:color w:val="auto"/>
          <w:highlight w:val="none"/>
        </w:rPr>
        <w:t>采购人</w:t>
      </w:r>
      <w:r>
        <w:rPr>
          <w:color w:val="auto"/>
          <w:highlight w:val="none"/>
        </w:rPr>
        <w:t>信息</w:t>
      </w:r>
    </w:p>
    <w:p w14:paraId="539A0AB4">
      <w:pPr>
        <w:snapToGrid w:val="0"/>
        <w:spacing w:line="360" w:lineRule="auto"/>
        <w:ind w:firstLine="480" w:firstLineChars="200"/>
        <w:contextualSpacing/>
        <w:rPr>
          <w:rFonts w:hint="eastAsia" w:eastAsia="宋体"/>
          <w:color w:val="auto"/>
          <w:highlight w:val="none"/>
          <w:lang w:eastAsia="zh-CN"/>
        </w:rPr>
      </w:pPr>
      <w:r>
        <w:rPr>
          <w:color w:val="auto"/>
          <w:highlight w:val="none"/>
        </w:rPr>
        <w:t>名 称：</w:t>
      </w:r>
      <w:r>
        <w:rPr>
          <w:rFonts w:hint="eastAsia"/>
          <w:color w:val="auto"/>
          <w:highlight w:val="none"/>
        </w:rPr>
        <w:t>玉溪职业技术学院（云南省玉溪工业财贸学校）</w:t>
      </w:r>
    </w:p>
    <w:p w14:paraId="4BA90AC5">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color w:val="auto"/>
          <w:highlight w:val="none"/>
        </w:rPr>
        <w:t>：玉溪市红塔区科创大道9号</w:t>
      </w:r>
    </w:p>
    <w:p w14:paraId="34EE2D36">
      <w:pPr>
        <w:snapToGrid w:val="0"/>
        <w:spacing w:line="360" w:lineRule="auto"/>
        <w:ind w:firstLine="480" w:firstLineChars="200"/>
        <w:contextualSpacing/>
        <w:rPr>
          <w:rFonts w:hint="eastAsia"/>
          <w:color w:val="auto"/>
          <w:highlight w:val="none"/>
        </w:rPr>
      </w:pPr>
      <w:r>
        <w:rPr>
          <w:rFonts w:hint="eastAsia"/>
          <w:color w:val="auto"/>
          <w:highlight w:val="none"/>
        </w:rPr>
        <w:t>联系人：周老师</w:t>
      </w:r>
    </w:p>
    <w:p w14:paraId="304939D3">
      <w:pPr>
        <w:snapToGrid w:val="0"/>
        <w:spacing w:line="360" w:lineRule="auto"/>
        <w:ind w:firstLine="480" w:firstLineChars="200"/>
        <w:contextualSpacing/>
        <w:rPr>
          <w:rFonts w:hint="eastAsia"/>
          <w:color w:val="auto"/>
          <w:highlight w:val="none"/>
        </w:rPr>
      </w:pPr>
      <w:r>
        <w:rPr>
          <w:rFonts w:hint="eastAsia"/>
          <w:color w:val="auto"/>
          <w:highlight w:val="none"/>
        </w:rPr>
        <w:t>电  话：15758119852</w:t>
      </w:r>
    </w:p>
    <w:p w14:paraId="043C18E4">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w:t>
      </w:r>
      <w:r>
        <w:rPr>
          <w:rFonts w:hint="eastAsia"/>
          <w:color w:val="auto"/>
          <w:highlight w:val="none"/>
        </w:rPr>
        <w:t>采购</w:t>
      </w:r>
      <w:r>
        <w:rPr>
          <w:color w:val="auto"/>
          <w:highlight w:val="none"/>
        </w:rPr>
        <w:t>代理机构信息</w:t>
      </w:r>
    </w:p>
    <w:p w14:paraId="10939003">
      <w:pPr>
        <w:snapToGrid w:val="0"/>
        <w:spacing w:line="360" w:lineRule="auto"/>
        <w:ind w:firstLine="480" w:firstLineChars="200"/>
        <w:contextualSpacing/>
        <w:rPr>
          <w:rFonts w:hint="eastAsia"/>
          <w:color w:val="auto"/>
          <w:highlight w:val="none"/>
        </w:rPr>
      </w:pPr>
      <w:r>
        <w:rPr>
          <w:rFonts w:hint="eastAsia"/>
          <w:color w:val="auto"/>
          <w:highlight w:val="none"/>
        </w:rPr>
        <w:t>名 称</w:t>
      </w:r>
      <w:r>
        <w:rPr>
          <w:color w:val="auto"/>
          <w:highlight w:val="none"/>
        </w:rPr>
        <w:t>：</w:t>
      </w:r>
      <w:r>
        <w:rPr>
          <w:rFonts w:hint="eastAsia"/>
          <w:color w:val="auto"/>
          <w:highlight w:val="none"/>
        </w:rPr>
        <w:t>云南中诏项目管理有限公司</w:t>
      </w:r>
    </w:p>
    <w:p w14:paraId="08088AE0">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bCs/>
          <w:color w:val="auto"/>
          <w:highlight w:val="none"/>
        </w:rPr>
        <w:t>云南省玉溪市红塔区东风中路100号景明上居四楼（方源中医馆旁外部电梯四楼）</w:t>
      </w:r>
    </w:p>
    <w:p w14:paraId="4AC4674D">
      <w:pPr>
        <w:snapToGrid w:val="0"/>
        <w:spacing w:line="360" w:lineRule="auto"/>
        <w:ind w:firstLine="480" w:firstLineChars="200"/>
        <w:contextualSpacing/>
        <w:rPr>
          <w:rFonts w:hint="eastAsia"/>
          <w:color w:val="auto"/>
          <w:highlight w:val="none"/>
        </w:rPr>
      </w:pPr>
      <w:r>
        <w:rPr>
          <w:rFonts w:hint="eastAsia"/>
          <w:color w:val="auto"/>
          <w:highlight w:val="none"/>
        </w:rPr>
        <w:t>3.项目联系方式</w:t>
      </w:r>
    </w:p>
    <w:p w14:paraId="6BBBCA17">
      <w:pPr>
        <w:snapToGrid w:val="0"/>
        <w:spacing w:line="360" w:lineRule="auto"/>
        <w:ind w:firstLine="480" w:firstLineChars="200"/>
        <w:contextualSpacing/>
        <w:rPr>
          <w:rFonts w:hint="eastAsia"/>
          <w:color w:val="auto"/>
          <w:highlight w:val="none"/>
        </w:rPr>
      </w:pPr>
      <w:r>
        <w:rPr>
          <w:rFonts w:hint="eastAsia"/>
          <w:color w:val="auto"/>
          <w:highlight w:val="none"/>
        </w:rPr>
        <w:t>项目联系人：王海涛、李悦</w:t>
      </w:r>
      <w:r>
        <w:rPr>
          <w:rFonts w:hint="eastAsia"/>
          <w:color w:val="auto"/>
          <w:highlight w:val="none"/>
          <w:lang w:eastAsia="zh-CN"/>
        </w:rPr>
        <w:t>、</w:t>
      </w:r>
      <w:r>
        <w:rPr>
          <w:rFonts w:hint="eastAsia"/>
          <w:color w:val="auto"/>
          <w:highlight w:val="none"/>
        </w:rPr>
        <w:t>夏苋春、张瑜、李艳菠、解瑾屹</w:t>
      </w:r>
    </w:p>
    <w:p w14:paraId="1E44BB62">
      <w:pPr>
        <w:snapToGrid w:val="0"/>
        <w:spacing w:line="360" w:lineRule="auto"/>
        <w:ind w:firstLine="480" w:firstLineChars="200"/>
        <w:contextualSpacing/>
        <w:rPr>
          <w:rFonts w:hint="eastAsia"/>
          <w:color w:val="auto"/>
          <w:highlight w:val="none"/>
        </w:rPr>
      </w:pPr>
      <w:r>
        <w:rPr>
          <w:rFonts w:hint="eastAsia"/>
          <w:color w:val="auto"/>
          <w:highlight w:val="none"/>
        </w:rPr>
        <w:t xml:space="preserve">联系电话：0877-6168806/13608772096               </w:t>
      </w:r>
    </w:p>
    <w:p w14:paraId="4DD56F26">
      <w:pPr>
        <w:snapToGrid w:val="0"/>
        <w:spacing w:line="360" w:lineRule="auto"/>
        <w:ind w:firstLine="480" w:firstLineChars="200"/>
        <w:contextualSpacing/>
        <w:rPr>
          <w:rFonts w:hint="eastAsia"/>
          <w:bCs/>
          <w:color w:val="auto"/>
          <w:highlight w:val="none"/>
        </w:rPr>
      </w:pPr>
      <w:r>
        <w:rPr>
          <w:rFonts w:hint="eastAsia"/>
          <w:color w:val="auto"/>
          <w:highlight w:val="none"/>
        </w:rPr>
        <w:t>日期：</w:t>
      </w:r>
      <w:bookmarkEnd w:id="1"/>
      <w:r>
        <w:rPr>
          <w:rFonts w:hint="eastAsia"/>
          <w:bCs/>
          <w:color w:val="auto"/>
          <w:highlight w:val="none"/>
        </w:rPr>
        <w:t>2026年</w:t>
      </w:r>
      <w:r>
        <w:rPr>
          <w:rFonts w:hint="eastAsia"/>
          <w:bCs/>
          <w:color w:val="auto"/>
          <w:highlight w:val="none"/>
          <w:lang w:val="en-US" w:eastAsia="zh-CN"/>
        </w:rPr>
        <w:t>5</w:t>
      </w:r>
      <w:r>
        <w:rPr>
          <w:rFonts w:hint="eastAsia"/>
          <w:bCs/>
          <w:color w:val="auto"/>
          <w:highlight w:val="none"/>
        </w:rPr>
        <w:t>月</w:t>
      </w:r>
      <w:r>
        <w:rPr>
          <w:rFonts w:hint="eastAsia"/>
          <w:bCs/>
          <w:color w:val="auto"/>
          <w:highlight w:val="none"/>
          <w:lang w:val="en-US" w:eastAsia="zh-CN"/>
        </w:rPr>
        <w:t>8</w:t>
      </w:r>
      <w:r>
        <w:rPr>
          <w:rFonts w:hint="eastAsia"/>
          <w:bCs/>
          <w:color w:val="auto"/>
          <w:highlight w:val="none"/>
        </w:rPr>
        <w:t>日</w:t>
      </w:r>
    </w:p>
    <w:p w14:paraId="1015E8C3">
      <w:pPr>
        <w:pStyle w:val="2"/>
        <w:snapToGrid w:val="0"/>
        <w:spacing w:before="0"/>
        <w:ind w:left="0" w:firstLine="0"/>
        <w:jc w:val="center"/>
        <w:rPr>
          <w:rFonts w:hint="eastAsia" w:ascii="宋体" w:hAnsi="宋体" w:eastAsia="宋体"/>
          <w:color w:val="auto"/>
          <w:sz w:val="36"/>
          <w:szCs w:val="36"/>
          <w:highlight w:val="none"/>
        </w:rPr>
      </w:pPr>
      <w:r>
        <w:rPr>
          <w:color w:val="auto"/>
          <w:sz w:val="36"/>
          <w:highlight w:val="none"/>
        </w:rPr>
        <w:br w:type="page"/>
      </w:r>
      <w:bookmarkStart w:id="21" w:name="_Toc9274"/>
      <w:r>
        <w:rPr>
          <w:rFonts w:hint="eastAsia" w:ascii="宋体" w:hAnsi="宋体" w:eastAsia="宋体"/>
          <w:color w:val="auto"/>
          <w:sz w:val="30"/>
          <w:szCs w:val="30"/>
          <w:highlight w:val="none"/>
        </w:rPr>
        <w:t>第二章  投标人须知</w:t>
      </w:r>
      <w:bookmarkEnd w:id="21"/>
    </w:p>
    <w:p w14:paraId="338F4028">
      <w:pPr>
        <w:pStyle w:val="3"/>
        <w:rPr>
          <w:rFonts w:hint="eastAsia"/>
          <w:color w:val="auto"/>
          <w:highlight w:val="none"/>
        </w:rPr>
      </w:pPr>
      <w:bookmarkStart w:id="22" w:name="_Toc22781"/>
      <w:bookmarkStart w:id="23" w:name="_Toc965"/>
      <w:bookmarkStart w:id="24" w:name="_Toc1164"/>
      <w:bookmarkStart w:id="25" w:name="_Toc451172696"/>
      <w:r>
        <w:rPr>
          <w:rFonts w:hint="eastAsia"/>
          <w:color w:val="auto"/>
          <w:highlight w:val="none"/>
        </w:rPr>
        <w:t>投标人须知前附表</w:t>
      </w:r>
      <w:bookmarkEnd w:id="22"/>
      <w:bookmarkEnd w:id="23"/>
      <w:bookmarkEnd w:id="24"/>
      <w:bookmarkEnd w:id="25"/>
    </w:p>
    <w:tbl>
      <w:tblPr>
        <w:tblStyle w:val="42"/>
        <w:tblW w:w="962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
        <w:gridCol w:w="1540"/>
        <w:gridCol w:w="7186"/>
      </w:tblGrid>
      <w:tr w14:paraId="382F8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tblHeader/>
          <w:jc w:val="center"/>
        </w:trPr>
        <w:tc>
          <w:tcPr>
            <w:tcW w:w="894" w:type="dxa"/>
            <w:vAlign w:val="center"/>
          </w:tcPr>
          <w:p w14:paraId="199D04AB">
            <w:pPr>
              <w:pStyle w:val="22"/>
              <w:rPr>
                <w:rFonts w:hint="eastAsia"/>
                <w:color w:val="auto"/>
                <w:highlight w:val="none"/>
              </w:rPr>
            </w:pPr>
            <w:bookmarkStart w:id="26" w:name="_Toc26125"/>
            <w:bookmarkStart w:id="27" w:name="_Toc20781"/>
            <w:r>
              <w:rPr>
                <w:color w:val="auto"/>
                <w:highlight w:val="none"/>
              </w:rPr>
              <w:t>条款号</w:t>
            </w:r>
          </w:p>
        </w:tc>
        <w:tc>
          <w:tcPr>
            <w:tcW w:w="1540" w:type="dxa"/>
            <w:vAlign w:val="center"/>
          </w:tcPr>
          <w:p w14:paraId="37C8C832">
            <w:pPr>
              <w:pStyle w:val="22"/>
              <w:rPr>
                <w:rFonts w:hint="eastAsia"/>
                <w:color w:val="auto"/>
                <w:highlight w:val="none"/>
              </w:rPr>
            </w:pPr>
            <w:r>
              <w:rPr>
                <w:color w:val="auto"/>
                <w:highlight w:val="none"/>
              </w:rPr>
              <w:t>条 款 名 称</w:t>
            </w:r>
          </w:p>
        </w:tc>
        <w:tc>
          <w:tcPr>
            <w:tcW w:w="7186" w:type="dxa"/>
            <w:vAlign w:val="center"/>
          </w:tcPr>
          <w:p w14:paraId="2CB50939">
            <w:pPr>
              <w:pStyle w:val="22"/>
              <w:rPr>
                <w:rFonts w:hint="eastAsia"/>
                <w:color w:val="auto"/>
                <w:highlight w:val="none"/>
              </w:rPr>
            </w:pPr>
            <w:r>
              <w:rPr>
                <w:color w:val="auto"/>
                <w:highlight w:val="none"/>
              </w:rPr>
              <w:t>编 列 内 容</w:t>
            </w:r>
          </w:p>
        </w:tc>
      </w:tr>
      <w:tr w14:paraId="37BDD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894" w:type="dxa"/>
            <w:vAlign w:val="center"/>
          </w:tcPr>
          <w:p w14:paraId="12862B37">
            <w:pPr>
              <w:pStyle w:val="22"/>
              <w:rPr>
                <w:rFonts w:hint="eastAsia"/>
                <w:color w:val="auto"/>
                <w:highlight w:val="none"/>
              </w:rPr>
            </w:pPr>
            <w:r>
              <w:rPr>
                <w:rFonts w:hint="eastAsia"/>
                <w:color w:val="auto"/>
                <w:highlight w:val="none"/>
              </w:rPr>
              <w:t>1</w:t>
            </w:r>
          </w:p>
        </w:tc>
        <w:tc>
          <w:tcPr>
            <w:tcW w:w="1540" w:type="dxa"/>
            <w:vAlign w:val="center"/>
          </w:tcPr>
          <w:p w14:paraId="40348C8F">
            <w:pPr>
              <w:pStyle w:val="22"/>
              <w:rPr>
                <w:rFonts w:hint="eastAsia"/>
                <w:color w:val="auto"/>
                <w:highlight w:val="none"/>
                <w:u w:val="single"/>
              </w:rPr>
            </w:pPr>
            <w:r>
              <w:rPr>
                <w:rFonts w:hint="eastAsia"/>
                <w:color w:val="auto"/>
                <w:highlight w:val="none"/>
              </w:rPr>
              <w:t>采购</w:t>
            </w:r>
            <w:r>
              <w:rPr>
                <w:color w:val="auto"/>
                <w:highlight w:val="none"/>
              </w:rPr>
              <w:t>人</w:t>
            </w:r>
          </w:p>
        </w:tc>
        <w:tc>
          <w:tcPr>
            <w:tcW w:w="7186" w:type="dxa"/>
            <w:vAlign w:val="center"/>
          </w:tcPr>
          <w:p w14:paraId="3B0130E7">
            <w:pPr>
              <w:adjustRightInd w:val="0"/>
              <w:snapToGrid w:val="0"/>
              <w:spacing w:line="360" w:lineRule="auto"/>
              <w:rPr>
                <w:rFonts w:hint="eastAsia" w:eastAsia="宋体"/>
                <w:color w:val="auto"/>
                <w:sz w:val="21"/>
                <w:szCs w:val="21"/>
                <w:highlight w:val="none"/>
                <w:lang w:eastAsia="zh-CN"/>
              </w:rPr>
            </w:pPr>
            <w:r>
              <w:rPr>
                <w:rFonts w:hint="eastAsia" w:eastAsia="宋体"/>
                <w:color w:val="auto"/>
                <w:sz w:val="21"/>
                <w:szCs w:val="21"/>
                <w:highlight w:val="none"/>
                <w:lang w:eastAsia="zh-CN"/>
              </w:rPr>
              <w:t>玉溪职业技术学院（云南省玉溪工业财贸学校）</w:t>
            </w:r>
          </w:p>
        </w:tc>
      </w:tr>
      <w:tr w14:paraId="6EE6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94" w:type="dxa"/>
            <w:vAlign w:val="center"/>
          </w:tcPr>
          <w:p w14:paraId="08FE2B58">
            <w:pPr>
              <w:pStyle w:val="22"/>
              <w:rPr>
                <w:rFonts w:hint="eastAsia"/>
                <w:color w:val="auto"/>
                <w:highlight w:val="none"/>
              </w:rPr>
            </w:pPr>
            <w:r>
              <w:rPr>
                <w:rFonts w:hint="eastAsia"/>
                <w:color w:val="auto"/>
                <w:highlight w:val="none"/>
              </w:rPr>
              <w:t>2</w:t>
            </w:r>
          </w:p>
        </w:tc>
        <w:tc>
          <w:tcPr>
            <w:tcW w:w="1540" w:type="dxa"/>
            <w:vAlign w:val="center"/>
          </w:tcPr>
          <w:p w14:paraId="19D19208">
            <w:pPr>
              <w:pStyle w:val="22"/>
              <w:rPr>
                <w:rFonts w:hint="eastAsia"/>
                <w:color w:val="auto"/>
                <w:highlight w:val="none"/>
              </w:rPr>
            </w:pPr>
            <w:r>
              <w:rPr>
                <w:rFonts w:hint="eastAsia"/>
                <w:color w:val="auto"/>
                <w:highlight w:val="none"/>
              </w:rPr>
              <w:t>采购代理机构</w:t>
            </w:r>
          </w:p>
        </w:tc>
        <w:tc>
          <w:tcPr>
            <w:tcW w:w="7186" w:type="dxa"/>
            <w:vAlign w:val="center"/>
          </w:tcPr>
          <w:p w14:paraId="17DC0630">
            <w:pPr>
              <w:adjustRightInd w:val="0"/>
              <w:snapToGrid w:val="0"/>
              <w:spacing w:line="360" w:lineRule="auto"/>
              <w:rPr>
                <w:rFonts w:hint="eastAsia"/>
                <w:color w:val="auto"/>
                <w:sz w:val="21"/>
                <w:szCs w:val="21"/>
                <w:highlight w:val="none"/>
              </w:rPr>
            </w:pPr>
            <w:r>
              <w:rPr>
                <w:rFonts w:hint="eastAsia"/>
                <w:color w:val="auto"/>
                <w:sz w:val="21"/>
                <w:szCs w:val="21"/>
                <w:highlight w:val="none"/>
              </w:rPr>
              <w:t>云南中诏项目管理有限公司</w:t>
            </w:r>
          </w:p>
        </w:tc>
      </w:tr>
      <w:tr w14:paraId="171D8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atLeast"/>
          <w:jc w:val="center"/>
        </w:trPr>
        <w:tc>
          <w:tcPr>
            <w:tcW w:w="894" w:type="dxa"/>
            <w:vAlign w:val="center"/>
          </w:tcPr>
          <w:p w14:paraId="0F250201">
            <w:pPr>
              <w:pStyle w:val="22"/>
              <w:rPr>
                <w:rFonts w:hint="eastAsia"/>
                <w:color w:val="auto"/>
                <w:highlight w:val="none"/>
              </w:rPr>
            </w:pPr>
            <w:r>
              <w:rPr>
                <w:rFonts w:hint="eastAsia"/>
                <w:color w:val="auto"/>
                <w:highlight w:val="none"/>
              </w:rPr>
              <w:t>3</w:t>
            </w:r>
          </w:p>
        </w:tc>
        <w:tc>
          <w:tcPr>
            <w:tcW w:w="1540" w:type="dxa"/>
            <w:vAlign w:val="center"/>
          </w:tcPr>
          <w:p w14:paraId="19CAA886">
            <w:pPr>
              <w:pStyle w:val="120"/>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项目名称及项目编号</w:t>
            </w:r>
          </w:p>
        </w:tc>
        <w:tc>
          <w:tcPr>
            <w:tcW w:w="7186" w:type="dxa"/>
            <w:vAlign w:val="center"/>
          </w:tcPr>
          <w:p w14:paraId="0EAFCD16">
            <w:pPr>
              <w:pStyle w:val="120"/>
              <w:adjustRightInd w:val="0"/>
              <w:spacing w:afterLines="0" w:line="360" w:lineRule="auto"/>
              <w:ind w:firstLine="0" w:firstLineChars="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w:t>
            </w:r>
            <w:r>
              <w:rPr>
                <w:rFonts w:hint="eastAsia" w:ascii="宋体" w:hAnsi="宋体" w:eastAsia="宋体"/>
                <w:color w:val="auto"/>
                <w:sz w:val="21"/>
                <w:szCs w:val="21"/>
                <w:highlight w:val="none"/>
                <w:lang w:eastAsia="zh-CN"/>
              </w:rPr>
              <w:t>玉溪职业技术学院（云南省玉溪工业财贸学校）澄江职中提级管理项目（1包）校园监控系统升级改造项目</w:t>
            </w:r>
            <w:r>
              <w:rPr>
                <w:rFonts w:hint="eastAsia" w:ascii="宋体" w:hAnsi="宋体" w:eastAsia="宋体"/>
                <w:color w:val="auto"/>
                <w:sz w:val="21"/>
                <w:szCs w:val="21"/>
                <w:highlight w:val="none"/>
              </w:rPr>
              <w:t>；</w:t>
            </w:r>
          </w:p>
          <w:p w14:paraId="095B8582">
            <w:pPr>
              <w:pStyle w:val="120"/>
              <w:adjustRightInd w:val="0"/>
              <w:spacing w:afterLines="0" w:line="360" w:lineRule="auto"/>
              <w:ind w:firstLine="0" w:firstLineChars="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项目编号：</w:t>
            </w:r>
            <w:r>
              <w:rPr>
                <w:rFonts w:hint="eastAsia" w:ascii="宋体" w:hAnsi="宋体" w:eastAsia="宋体"/>
                <w:color w:val="auto"/>
                <w:sz w:val="21"/>
                <w:szCs w:val="21"/>
                <w:highlight w:val="none"/>
                <w:lang w:eastAsia="zh-CN"/>
              </w:rPr>
              <w:t>ZZGL-2026070H</w:t>
            </w:r>
          </w:p>
        </w:tc>
      </w:tr>
      <w:tr w14:paraId="42941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4" w:hRule="atLeast"/>
          <w:jc w:val="center"/>
        </w:trPr>
        <w:tc>
          <w:tcPr>
            <w:tcW w:w="894" w:type="dxa"/>
            <w:vAlign w:val="center"/>
          </w:tcPr>
          <w:p w14:paraId="63FAB411">
            <w:pPr>
              <w:pStyle w:val="22"/>
              <w:rPr>
                <w:rFonts w:hint="eastAsia"/>
                <w:color w:val="auto"/>
                <w:highlight w:val="none"/>
              </w:rPr>
            </w:pPr>
            <w:r>
              <w:rPr>
                <w:rFonts w:hint="eastAsia"/>
                <w:color w:val="auto"/>
                <w:highlight w:val="none"/>
              </w:rPr>
              <w:t>4</w:t>
            </w:r>
          </w:p>
        </w:tc>
        <w:tc>
          <w:tcPr>
            <w:tcW w:w="1540" w:type="dxa"/>
            <w:vAlign w:val="center"/>
          </w:tcPr>
          <w:p w14:paraId="23DAD93A">
            <w:pPr>
              <w:pStyle w:val="120"/>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是否面向中小企业预留项目</w:t>
            </w:r>
          </w:p>
        </w:tc>
        <w:tc>
          <w:tcPr>
            <w:tcW w:w="7186" w:type="dxa"/>
            <w:vAlign w:val="center"/>
          </w:tcPr>
          <w:p w14:paraId="1DCC52E0">
            <w:pPr>
              <w:pStyle w:val="120"/>
              <w:adjustRightInd w:val="0"/>
              <w:spacing w:afterLines="0" w:line="360" w:lineRule="auto"/>
              <w:ind w:firstLine="0" w:firstLineChars="0"/>
              <w:jc w:val="left"/>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lang w:val="en-US" w:eastAsia="zh-CN"/>
              </w:rPr>
              <w:t>是，全部预留</w:t>
            </w:r>
          </w:p>
        </w:tc>
      </w:tr>
      <w:tr w14:paraId="2DDC61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4" w:hRule="atLeast"/>
          <w:jc w:val="center"/>
        </w:trPr>
        <w:tc>
          <w:tcPr>
            <w:tcW w:w="894" w:type="dxa"/>
            <w:vAlign w:val="center"/>
          </w:tcPr>
          <w:p w14:paraId="4615E6D7">
            <w:pPr>
              <w:pStyle w:val="22"/>
              <w:rPr>
                <w:rFonts w:hint="eastAsia"/>
                <w:color w:val="auto"/>
                <w:highlight w:val="none"/>
              </w:rPr>
            </w:pPr>
            <w:r>
              <w:rPr>
                <w:rFonts w:hint="eastAsia"/>
                <w:color w:val="auto"/>
                <w:highlight w:val="none"/>
              </w:rPr>
              <w:t>5</w:t>
            </w:r>
          </w:p>
        </w:tc>
        <w:tc>
          <w:tcPr>
            <w:tcW w:w="1540" w:type="dxa"/>
            <w:vAlign w:val="center"/>
          </w:tcPr>
          <w:p w14:paraId="51459FDE">
            <w:pPr>
              <w:pStyle w:val="22"/>
              <w:rPr>
                <w:rFonts w:hint="eastAsia"/>
                <w:color w:val="auto"/>
                <w:highlight w:val="none"/>
              </w:rPr>
            </w:pPr>
            <w:r>
              <w:rPr>
                <w:rFonts w:hint="eastAsia"/>
                <w:color w:val="auto"/>
                <w:highlight w:val="none"/>
              </w:rPr>
              <w:t>采购需求</w:t>
            </w:r>
          </w:p>
        </w:tc>
        <w:tc>
          <w:tcPr>
            <w:tcW w:w="7186" w:type="dxa"/>
            <w:vAlign w:val="center"/>
          </w:tcPr>
          <w:p w14:paraId="7712F8B6">
            <w:pPr>
              <w:adjustRightInd w:val="0"/>
              <w:snapToGrid w:val="0"/>
              <w:spacing w:line="360" w:lineRule="auto"/>
              <w:rPr>
                <w:rFonts w:hint="eastAsia"/>
                <w:bCs/>
                <w:color w:val="auto"/>
                <w:sz w:val="21"/>
                <w:szCs w:val="21"/>
                <w:highlight w:val="none"/>
              </w:rPr>
            </w:pPr>
            <w:r>
              <w:rPr>
                <w:rFonts w:hint="eastAsia"/>
                <w:bCs/>
                <w:color w:val="auto"/>
                <w:sz w:val="21"/>
                <w:szCs w:val="21"/>
                <w:highlight w:val="none"/>
                <w:lang w:eastAsia="zh-CN"/>
              </w:rPr>
              <w:t>玉溪职业技术学院（云南省玉溪工业财贸学校）澄江职中提级管理项目（1包）校园监控系统升级改造项目</w:t>
            </w:r>
            <w:r>
              <w:rPr>
                <w:rFonts w:hint="eastAsia"/>
                <w:bCs/>
                <w:color w:val="auto"/>
                <w:sz w:val="21"/>
                <w:szCs w:val="21"/>
                <w:highlight w:val="none"/>
              </w:rPr>
              <w:t>，具体内容详见第四章采购需求。</w:t>
            </w:r>
          </w:p>
        </w:tc>
      </w:tr>
      <w:tr w14:paraId="233F4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894" w:type="dxa"/>
            <w:vAlign w:val="center"/>
          </w:tcPr>
          <w:p w14:paraId="7AA81B1F">
            <w:pPr>
              <w:pStyle w:val="22"/>
              <w:rPr>
                <w:rFonts w:hint="eastAsia"/>
                <w:color w:val="auto"/>
                <w:highlight w:val="none"/>
              </w:rPr>
            </w:pPr>
            <w:r>
              <w:rPr>
                <w:rFonts w:hint="eastAsia"/>
                <w:color w:val="auto"/>
                <w:highlight w:val="none"/>
              </w:rPr>
              <w:t>6</w:t>
            </w:r>
          </w:p>
        </w:tc>
        <w:tc>
          <w:tcPr>
            <w:tcW w:w="1540" w:type="dxa"/>
            <w:vAlign w:val="center"/>
          </w:tcPr>
          <w:p w14:paraId="1E2569E7">
            <w:pPr>
              <w:pStyle w:val="22"/>
              <w:rPr>
                <w:rFonts w:hint="eastAsia"/>
                <w:color w:val="auto"/>
                <w:highlight w:val="none"/>
              </w:rPr>
            </w:pPr>
            <w:bookmarkStart w:id="28" w:name="_Hlk148635653"/>
            <w:r>
              <w:rPr>
                <w:rFonts w:hint="eastAsia"/>
                <w:color w:val="auto"/>
                <w:highlight w:val="none"/>
                <w:lang w:val="en-US" w:eastAsia="zh-CN"/>
              </w:rPr>
              <w:t>服务</w:t>
            </w:r>
            <w:r>
              <w:rPr>
                <w:rFonts w:hint="eastAsia"/>
                <w:color w:val="auto"/>
                <w:highlight w:val="none"/>
              </w:rPr>
              <w:t>地点</w:t>
            </w:r>
            <w:bookmarkEnd w:id="28"/>
          </w:p>
        </w:tc>
        <w:tc>
          <w:tcPr>
            <w:tcW w:w="7186" w:type="dxa"/>
            <w:vAlign w:val="center"/>
          </w:tcPr>
          <w:p w14:paraId="1C5C7D4A">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采购人指定地点。</w:t>
            </w:r>
          </w:p>
        </w:tc>
      </w:tr>
      <w:tr w14:paraId="284DC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4D7F211D">
            <w:pPr>
              <w:pStyle w:val="22"/>
              <w:rPr>
                <w:rFonts w:hint="eastAsia"/>
                <w:color w:val="auto"/>
                <w:highlight w:val="none"/>
              </w:rPr>
            </w:pPr>
            <w:r>
              <w:rPr>
                <w:rFonts w:hint="eastAsia"/>
                <w:color w:val="auto"/>
                <w:highlight w:val="none"/>
              </w:rPr>
              <w:t>7</w:t>
            </w:r>
          </w:p>
        </w:tc>
        <w:tc>
          <w:tcPr>
            <w:tcW w:w="1540" w:type="dxa"/>
            <w:vAlign w:val="center"/>
          </w:tcPr>
          <w:p w14:paraId="2126463B">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合同履行期限</w:t>
            </w:r>
          </w:p>
        </w:tc>
        <w:tc>
          <w:tcPr>
            <w:tcW w:w="7186" w:type="dxa"/>
            <w:vAlign w:val="center"/>
          </w:tcPr>
          <w:p w14:paraId="5461001A">
            <w:pPr>
              <w:adjustRightInd w:val="0"/>
              <w:snapToGrid w:val="0"/>
              <w:spacing w:line="360" w:lineRule="auto"/>
              <w:rPr>
                <w:rFonts w:hint="eastAsia"/>
                <w:color w:val="auto"/>
                <w:sz w:val="21"/>
                <w:szCs w:val="21"/>
                <w:highlight w:val="none"/>
              </w:rPr>
            </w:pPr>
            <w:r>
              <w:rPr>
                <w:rFonts w:hint="eastAsia"/>
                <w:color w:val="auto"/>
                <w:sz w:val="21"/>
                <w:szCs w:val="21"/>
                <w:highlight w:val="none"/>
              </w:rPr>
              <w:t>自合同签</w:t>
            </w:r>
            <w:r>
              <w:rPr>
                <w:rFonts w:hint="eastAsia"/>
                <w:color w:val="auto"/>
                <w:sz w:val="21"/>
                <w:szCs w:val="21"/>
                <w:highlight w:val="none"/>
                <w:lang w:eastAsia="zh-CN"/>
              </w:rPr>
              <w:t>订之日起</w:t>
            </w:r>
            <w:r>
              <w:rPr>
                <w:rFonts w:hint="eastAsia"/>
                <w:color w:val="auto"/>
                <w:sz w:val="21"/>
                <w:szCs w:val="21"/>
                <w:highlight w:val="none"/>
                <w:lang w:val="en-US" w:eastAsia="zh-CN"/>
              </w:rPr>
              <w:t>9</w:t>
            </w:r>
            <w:r>
              <w:rPr>
                <w:rFonts w:hint="eastAsia"/>
                <w:color w:val="auto"/>
                <w:sz w:val="21"/>
                <w:szCs w:val="21"/>
                <w:highlight w:val="none"/>
                <w:lang w:eastAsia="zh-CN"/>
              </w:rPr>
              <w:t>0日历天内完成</w:t>
            </w:r>
            <w:r>
              <w:rPr>
                <w:rFonts w:hint="eastAsia"/>
                <w:color w:val="auto"/>
                <w:sz w:val="21"/>
                <w:szCs w:val="21"/>
                <w:highlight w:val="none"/>
              </w:rPr>
              <w:t>设备安装调试，并投入使用。</w:t>
            </w:r>
          </w:p>
        </w:tc>
      </w:tr>
      <w:tr w14:paraId="2FA49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atLeast"/>
          <w:jc w:val="center"/>
        </w:trPr>
        <w:tc>
          <w:tcPr>
            <w:tcW w:w="894" w:type="dxa"/>
            <w:vAlign w:val="center"/>
          </w:tcPr>
          <w:p w14:paraId="4AFAB652">
            <w:pPr>
              <w:pStyle w:val="22"/>
              <w:rPr>
                <w:rFonts w:hint="eastAsia"/>
                <w:color w:val="auto"/>
                <w:highlight w:val="none"/>
              </w:rPr>
            </w:pPr>
            <w:r>
              <w:rPr>
                <w:rFonts w:hint="eastAsia"/>
                <w:color w:val="auto"/>
                <w:highlight w:val="none"/>
              </w:rPr>
              <w:t>8</w:t>
            </w:r>
          </w:p>
        </w:tc>
        <w:tc>
          <w:tcPr>
            <w:tcW w:w="1540" w:type="dxa"/>
            <w:vAlign w:val="center"/>
          </w:tcPr>
          <w:p w14:paraId="0F31339F">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质量要求</w:t>
            </w:r>
          </w:p>
        </w:tc>
        <w:tc>
          <w:tcPr>
            <w:tcW w:w="7186" w:type="dxa"/>
            <w:vAlign w:val="center"/>
          </w:tcPr>
          <w:p w14:paraId="6D960757">
            <w:pPr>
              <w:adjustRightInd w:val="0"/>
              <w:snapToGrid w:val="0"/>
              <w:spacing w:line="360" w:lineRule="auto"/>
              <w:rPr>
                <w:rFonts w:hint="eastAsia"/>
                <w:color w:val="auto"/>
                <w:sz w:val="21"/>
                <w:szCs w:val="21"/>
                <w:highlight w:val="none"/>
              </w:rPr>
            </w:pPr>
            <w:r>
              <w:rPr>
                <w:rFonts w:hint="eastAsia"/>
                <w:bCs/>
                <w:color w:val="auto"/>
                <w:sz w:val="21"/>
                <w:szCs w:val="21"/>
                <w:highlight w:val="none"/>
              </w:rPr>
              <w:t>符合国家相关标准及规范要求，且一次性验收合格，投入正常使用。</w:t>
            </w:r>
          </w:p>
        </w:tc>
      </w:tr>
      <w:tr w14:paraId="300A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85DB5FA">
            <w:pPr>
              <w:pStyle w:val="22"/>
              <w:rPr>
                <w:rFonts w:hint="eastAsia"/>
                <w:b/>
                <w:bCs/>
                <w:color w:val="auto"/>
                <w:highlight w:val="none"/>
              </w:rPr>
            </w:pPr>
            <w:r>
              <w:rPr>
                <w:rFonts w:hint="eastAsia"/>
                <w:b/>
                <w:bCs/>
                <w:color w:val="auto"/>
                <w:highlight w:val="none"/>
              </w:rPr>
              <w:t>9</w:t>
            </w:r>
          </w:p>
        </w:tc>
        <w:tc>
          <w:tcPr>
            <w:tcW w:w="1540" w:type="dxa"/>
            <w:vAlign w:val="center"/>
          </w:tcPr>
          <w:p w14:paraId="1E1B17E1">
            <w:pPr>
              <w:adjustRightInd w:val="0"/>
              <w:snapToGrid w:val="0"/>
              <w:spacing w:line="360" w:lineRule="auto"/>
              <w:jc w:val="center"/>
              <w:rPr>
                <w:rFonts w:hint="eastAsia"/>
                <w:b/>
                <w:bCs/>
                <w:color w:val="auto"/>
                <w:sz w:val="21"/>
                <w:szCs w:val="21"/>
                <w:highlight w:val="none"/>
              </w:rPr>
            </w:pPr>
            <w:r>
              <w:rPr>
                <w:rFonts w:hint="eastAsia"/>
                <w:b/>
                <w:bCs/>
                <w:color w:val="auto"/>
                <w:sz w:val="21"/>
                <w:szCs w:val="21"/>
                <w:highlight w:val="none"/>
              </w:rPr>
              <w:t>报价方式</w:t>
            </w:r>
          </w:p>
        </w:tc>
        <w:tc>
          <w:tcPr>
            <w:tcW w:w="7186" w:type="dxa"/>
            <w:vAlign w:val="center"/>
          </w:tcPr>
          <w:p w14:paraId="106FE756">
            <w:pPr>
              <w:pStyle w:val="127"/>
              <w:adjustRightInd w:val="0"/>
              <w:snapToGrid w:val="0"/>
              <w:spacing w:before="0" w:after="0" w:line="360" w:lineRule="auto"/>
              <w:jc w:val="both"/>
              <w:rPr>
                <w:rFonts w:hint="eastAsia"/>
                <w:b/>
                <w:bCs/>
                <w:color w:val="auto"/>
                <w:sz w:val="21"/>
                <w:szCs w:val="21"/>
                <w:highlight w:val="none"/>
              </w:rPr>
            </w:pPr>
            <w:r>
              <w:rPr>
                <w:rFonts w:hint="eastAsia"/>
                <w:b/>
                <w:bCs/>
                <w:color w:val="auto"/>
                <w:sz w:val="21"/>
                <w:szCs w:val="21"/>
                <w:highlight w:val="none"/>
              </w:rPr>
              <w:t>报价方式：总价包干；投标人投标报价不得超过采购人的采购预算价，否则视为无效标。</w:t>
            </w:r>
          </w:p>
        </w:tc>
      </w:tr>
      <w:tr w14:paraId="1D4E3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3" w:hRule="atLeast"/>
          <w:jc w:val="center"/>
        </w:trPr>
        <w:tc>
          <w:tcPr>
            <w:tcW w:w="894" w:type="dxa"/>
            <w:vAlign w:val="center"/>
          </w:tcPr>
          <w:p w14:paraId="1E899CBC">
            <w:pPr>
              <w:pStyle w:val="22"/>
              <w:rPr>
                <w:rFonts w:hint="eastAsia"/>
                <w:color w:val="auto"/>
                <w:highlight w:val="none"/>
              </w:rPr>
            </w:pPr>
            <w:r>
              <w:rPr>
                <w:rFonts w:hint="eastAsia"/>
                <w:color w:val="auto"/>
                <w:highlight w:val="none"/>
              </w:rPr>
              <w:t>10</w:t>
            </w:r>
          </w:p>
        </w:tc>
        <w:tc>
          <w:tcPr>
            <w:tcW w:w="1540" w:type="dxa"/>
            <w:vAlign w:val="center"/>
          </w:tcPr>
          <w:p w14:paraId="204E8C4D">
            <w:pPr>
              <w:pStyle w:val="22"/>
              <w:rPr>
                <w:rFonts w:hint="eastAsia"/>
                <w:color w:val="auto"/>
                <w:highlight w:val="none"/>
              </w:rPr>
            </w:pPr>
            <w:r>
              <w:rPr>
                <w:rFonts w:hint="eastAsia"/>
                <w:color w:val="auto"/>
                <w:highlight w:val="none"/>
              </w:rPr>
              <w:t>申请人的资格要求</w:t>
            </w:r>
          </w:p>
        </w:tc>
        <w:tc>
          <w:tcPr>
            <w:tcW w:w="7186" w:type="dxa"/>
            <w:vAlign w:val="center"/>
          </w:tcPr>
          <w:p w14:paraId="00691BB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1.满足《中华人民共和国政府采购法》第二十二条规定</w:t>
            </w:r>
          </w:p>
          <w:p w14:paraId="5B585E9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6830D7E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1.2投标人自行承诺符合《中华人民共和国政府采购法》第二十二条规定及《中华人民共和国政府采购法实施条例》第十七条的相关要求；</w:t>
            </w:r>
          </w:p>
          <w:p w14:paraId="34D7075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38407ED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2.本项目的特定资格要求：无。</w:t>
            </w:r>
          </w:p>
        </w:tc>
      </w:tr>
      <w:tr w14:paraId="150F1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D2DA00A">
            <w:pPr>
              <w:pStyle w:val="22"/>
              <w:rPr>
                <w:rFonts w:hint="eastAsia"/>
                <w:color w:val="auto"/>
                <w:highlight w:val="none"/>
              </w:rPr>
            </w:pPr>
            <w:r>
              <w:rPr>
                <w:rFonts w:hint="eastAsia"/>
                <w:color w:val="auto"/>
                <w:highlight w:val="none"/>
              </w:rPr>
              <w:t>11</w:t>
            </w:r>
          </w:p>
        </w:tc>
        <w:tc>
          <w:tcPr>
            <w:tcW w:w="1540" w:type="dxa"/>
            <w:vAlign w:val="center"/>
          </w:tcPr>
          <w:p w14:paraId="3A618B61">
            <w:pPr>
              <w:pStyle w:val="22"/>
              <w:rPr>
                <w:rFonts w:hint="eastAsia"/>
                <w:color w:val="auto"/>
                <w:highlight w:val="none"/>
              </w:rPr>
            </w:pPr>
            <w:r>
              <w:rPr>
                <w:color w:val="auto"/>
                <w:highlight w:val="none"/>
              </w:rPr>
              <w:t>资格审查方式</w:t>
            </w:r>
          </w:p>
        </w:tc>
        <w:tc>
          <w:tcPr>
            <w:tcW w:w="7186" w:type="dxa"/>
            <w:vAlign w:val="center"/>
          </w:tcPr>
          <w:p w14:paraId="4B2CE9B8">
            <w:pPr>
              <w:pStyle w:val="22"/>
              <w:jc w:val="left"/>
              <w:rPr>
                <w:rFonts w:hint="eastAsia"/>
                <w:color w:val="auto"/>
                <w:highlight w:val="none"/>
              </w:rPr>
            </w:pPr>
            <w:r>
              <w:rPr>
                <w:color w:val="auto"/>
                <w:highlight w:val="none"/>
              </w:rPr>
              <w:t>资格后审</w:t>
            </w:r>
          </w:p>
        </w:tc>
      </w:tr>
      <w:tr w14:paraId="7980D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894" w:type="dxa"/>
            <w:vAlign w:val="center"/>
          </w:tcPr>
          <w:p w14:paraId="7FF5036C">
            <w:pPr>
              <w:pStyle w:val="22"/>
              <w:rPr>
                <w:rFonts w:hint="eastAsia"/>
                <w:color w:val="auto"/>
                <w:highlight w:val="none"/>
              </w:rPr>
            </w:pPr>
            <w:r>
              <w:rPr>
                <w:rFonts w:hint="eastAsia"/>
                <w:color w:val="auto"/>
                <w:highlight w:val="none"/>
              </w:rPr>
              <w:t>12</w:t>
            </w:r>
          </w:p>
        </w:tc>
        <w:tc>
          <w:tcPr>
            <w:tcW w:w="1540" w:type="dxa"/>
            <w:vAlign w:val="center"/>
          </w:tcPr>
          <w:p w14:paraId="75913AAC">
            <w:pPr>
              <w:pStyle w:val="22"/>
              <w:rPr>
                <w:rFonts w:hint="eastAsia"/>
                <w:color w:val="auto"/>
                <w:highlight w:val="none"/>
              </w:rPr>
            </w:pPr>
            <w:r>
              <w:rPr>
                <w:color w:val="auto"/>
                <w:highlight w:val="none"/>
              </w:rPr>
              <w:t>对招标文件提出疑问或异议的截止时间及方式</w:t>
            </w:r>
          </w:p>
        </w:tc>
        <w:tc>
          <w:tcPr>
            <w:tcW w:w="7186" w:type="dxa"/>
            <w:vAlign w:val="center"/>
          </w:tcPr>
          <w:p w14:paraId="5F84BCD0">
            <w:pPr>
              <w:pStyle w:val="22"/>
              <w:jc w:val="left"/>
              <w:rPr>
                <w:rFonts w:hint="eastAsia"/>
                <w:color w:val="auto"/>
                <w:highlight w:val="none"/>
              </w:rPr>
            </w:pPr>
            <w:r>
              <w:rPr>
                <w:rFonts w:hint="eastAsia"/>
                <w:color w:val="auto"/>
                <w:highlight w:val="none"/>
              </w:rPr>
              <w:t>对招标文件提出疑问或异议的截止时间：</w:t>
            </w:r>
          </w:p>
          <w:p w14:paraId="024C59CC">
            <w:pPr>
              <w:pStyle w:val="22"/>
              <w:jc w:val="left"/>
              <w:rPr>
                <w:rFonts w:hint="eastAsia"/>
                <w:color w:val="auto"/>
                <w:highlight w:val="none"/>
              </w:rPr>
            </w:pPr>
            <w:r>
              <w:rPr>
                <w:rFonts w:hint="eastAsia"/>
                <w:color w:val="auto"/>
                <w:highlight w:val="none"/>
              </w:rPr>
              <w:t>对招标文件有疑问或异议的，应当在获取采购文件或者采购文件公告期限届满之日起7个工作日内对采购文件提出</w:t>
            </w:r>
            <w:r>
              <w:rPr>
                <w:color w:val="auto"/>
                <w:highlight w:val="none"/>
              </w:rPr>
              <w:t>。</w:t>
            </w:r>
          </w:p>
          <w:p w14:paraId="461D9F9B">
            <w:pPr>
              <w:pStyle w:val="22"/>
              <w:jc w:val="left"/>
              <w:rPr>
                <w:rFonts w:hint="eastAsia"/>
                <w:color w:val="auto"/>
                <w:highlight w:val="none"/>
              </w:rPr>
            </w:pPr>
            <w:r>
              <w:rPr>
                <w:rFonts w:hint="eastAsia"/>
                <w:color w:val="auto"/>
                <w:highlight w:val="none"/>
              </w:rPr>
              <w:t>方式：投标人对招标文件提出疑问或异议须通过书面方式提出。</w:t>
            </w:r>
          </w:p>
        </w:tc>
      </w:tr>
      <w:tr w14:paraId="01CC5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5E8B7853">
            <w:pPr>
              <w:pStyle w:val="26"/>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13</w:t>
            </w:r>
          </w:p>
        </w:tc>
        <w:tc>
          <w:tcPr>
            <w:tcW w:w="1540" w:type="dxa"/>
            <w:vAlign w:val="center"/>
          </w:tcPr>
          <w:p w14:paraId="2793E67D">
            <w:pPr>
              <w:pStyle w:val="120"/>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投标文件的提交</w:t>
            </w:r>
          </w:p>
        </w:tc>
        <w:tc>
          <w:tcPr>
            <w:tcW w:w="7186" w:type="dxa"/>
            <w:vAlign w:val="center"/>
          </w:tcPr>
          <w:p w14:paraId="6FFE172F">
            <w:pPr>
              <w:adjustRightInd w:val="0"/>
              <w:snapToGrid w:val="0"/>
              <w:spacing w:line="360" w:lineRule="auto"/>
              <w:rPr>
                <w:rFonts w:hint="eastAsia"/>
                <w:color w:val="auto"/>
                <w:sz w:val="21"/>
                <w:szCs w:val="21"/>
                <w:highlight w:val="none"/>
              </w:rPr>
            </w:pPr>
            <w:r>
              <w:rPr>
                <w:rFonts w:hint="eastAsia"/>
                <w:color w:val="auto"/>
                <w:sz w:val="21"/>
                <w:szCs w:val="21"/>
                <w:highlight w:val="none"/>
              </w:rPr>
              <w:t>投标文件递交网址为：</w:t>
            </w:r>
            <w:r>
              <w:rPr>
                <w:color w:val="auto"/>
                <w:sz w:val="21"/>
                <w:szCs w:val="21"/>
                <w:highlight w:val="none"/>
              </w:rPr>
              <w:t>http：//www.zcygov.cn</w:t>
            </w:r>
            <w:r>
              <w:rPr>
                <w:rFonts w:hint="eastAsia"/>
                <w:color w:val="auto"/>
                <w:sz w:val="21"/>
                <w:szCs w:val="21"/>
                <w:highlight w:val="none"/>
              </w:rPr>
              <w:t>（政采云平台）</w:t>
            </w:r>
            <w:r>
              <w:rPr>
                <w:color w:val="auto"/>
                <w:sz w:val="21"/>
                <w:szCs w:val="21"/>
                <w:highlight w:val="none"/>
              </w:rPr>
              <w:t>，投标人须在投标截止时间前完成所有电子投标文件的上传，</w:t>
            </w:r>
            <w:r>
              <w:rPr>
                <w:rFonts w:hint="eastAsia"/>
                <w:color w:val="auto"/>
                <w:sz w:val="21"/>
                <w:szCs w:val="21"/>
                <w:highlight w:val="none"/>
              </w:rPr>
              <w:t>使用政采云投标客户端制作并进行电子签章或电子签名及加密。</w:t>
            </w:r>
            <w:r>
              <w:rPr>
                <w:color w:val="auto"/>
                <w:sz w:val="21"/>
                <w:szCs w:val="21"/>
                <w:highlight w:val="none"/>
              </w:rPr>
              <w:t>投标截止时间前未完成投标文件传输的，视为撤回投标文件。在递交投标文件截止前，投标人可以修改或撤回已在网上递交的投标文件，无须书面形式通知</w:t>
            </w:r>
            <w:r>
              <w:rPr>
                <w:rFonts w:hint="eastAsia"/>
                <w:color w:val="auto"/>
                <w:sz w:val="21"/>
                <w:szCs w:val="21"/>
                <w:highlight w:val="none"/>
              </w:rPr>
              <w:t>采购</w:t>
            </w:r>
            <w:r>
              <w:rPr>
                <w:color w:val="auto"/>
                <w:sz w:val="21"/>
                <w:szCs w:val="21"/>
                <w:highlight w:val="none"/>
              </w:rPr>
              <w:t>人。</w:t>
            </w:r>
          </w:p>
        </w:tc>
      </w:tr>
      <w:tr w14:paraId="0659D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jc w:val="center"/>
        </w:trPr>
        <w:tc>
          <w:tcPr>
            <w:tcW w:w="894" w:type="dxa"/>
            <w:vAlign w:val="center"/>
          </w:tcPr>
          <w:p w14:paraId="16DBE1CE">
            <w:pPr>
              <w:pStyle w:val="26"/>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14</w:t>
            </w:r>
          </w:p>
        </w:tc>
        <w:tc>
          <w:tcPr>
            <w:tcW w:w="1540" w:type="dxa"/>
            <w:vAlign w:val="center"/>
          </w:tcPr>
          <w:p w14:paraId="0C725B15">
            <w:pPr>
              <w:pStyle w:val="120"/>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网上远程解密</w:t>
            </w:r>
          </w:p>
        </w:tc>
        <w:tc>
          <w:tcPr>
            <w:tcW w:w="7186" w:type="dxa"/>
            <w:vAlign w:val="center"/>
          </w:tcPr>
          <w:p w14:paraId="1A1CE470">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投标人登录政采云平台（</w:t>
            </w:r>
            <w:r>
              <w:rPr>
                <w:color w:val="auto"/>
                <w:sz w:val="21"/>
                <w:szCs w:val="21"/>
                <w:highlight w:val="none"/>
              </w:rPr>
              <w:t>https://www.zcygov.cn/）</w:t>
            </w:r>
            <w:r>
              <w:rPr>
                <w:rFonts w:hint="eastAsia"/>
                <w:color w:val="auto"/>
                <w:sz w:val="21"/>
                <w:szCs w:val="21"/>
                <w:highlight w:val="none"/>
              </w:rPr>
              <w:t>，按照《供应商操作指南》（</w:t>
            </w:r>
            <w:r>
              <w:rPr>
                <w:color w:val="auto"/>
                <w:sz w:val="21"/>
                <w:szCs w:val="21"/>
                <w:highlight w:val="none"/>
              </w:rPr>
              <w:t>https://edu.zcygov.cn/luban/yunnan-dzjy-gys?utm=a0017.b3687.48.18.4b09ec80cbc911edb8a97356c5970511）完成远程投标文件解密等相关操作</w:t>
            </w:r>
            <w:r>
              <w:rPr>
                <w:rFonts w:hint="eastAsia"/>
                <w:color w:val="auto"/>
                <w:sz w:val="21"/>
                <w:szCs w:val="21"/>
                <w:highlight w:val="none"/>
              </w:rPr>
              <w:t>。本项目解密时间为3</w:t>
            </w:r>
            <w:r>
              <w:rPr>
                <w:color w:val="auto"/>
                <w:sz w:val="21"/>
                <w:szCs w:val="21"/>
                <w:highlight w:val="none"/>
              </w:rPr>
              <w:t>0分钟，若投标人未在规定时间完成以上解密，则视为撤销其投标文件，不再进入评标（审）阶段。开标过程中如有问题，可以在线提出异议，由采购代理机构给予对应的回复。在规定的统一提出异议时间内不提出异议的、签名确认时间内不进行签字确认的，则视为对开标结果无异议。在规定解密截止时</w:t>
            </w:r>
            <w:r>
              <w:rPr>
                <w:rFonts w:hint="eastAsia"/>
                <w:color w:val="auto"/>
                <w:sz w:val="21"/>
                <w:szCs w:val="21"/>
                <w:highlight w:val="none"/>
              </w:rPr>
              <w:t>间后已解密的投标人不足三家的，按规定重新组织采购。</w:t>
            </w:r>
          </w:p>
          <w:p w14:paraId="61744BD1">
            <w:pPr>
              <w:adjustRightInd w:val="0"/>
              <w:snapToGrid w:val="0"/>
              <w:spacing w:line="360" w:lineRule="auto"/>
              <w:rPr>
                <w:rFonts w:hint="eastAsia"/>
                <w:color w:val="auto"/>
                <w:sz w:val="21"/>
                <w:szCs w:val="21"/>
                <w:highlight w:val="none"/>
              </w:rPr>
            </w:pPr>
            <w:r>
              <w:rPr>
                <w:color w:val="auto"/>
                <w:sz w:val="21"/>
                <w:szCs w:val="21"/>
                <w:highlight w:val="none"/>
              </w:rPr>
              <w:t>2.电子招投标技术支持</w:t>
            </w:r>
          </w:p>
          <w:p w14:paraId="458D746E">
            <w:pPr>
              <w:adjustRightInd w:val="0"/>
              <w:snapToGrid w:val="0"/>
              <w:spacing w:line="360" w:lineRule="auto"/>
              <w:rPr>
                <w:rFonts w:hint="eastAsia"/>
                <w:color w:val="auto"/>
                <w:sz w:val="21"/>
                <w:szCs w:val="21"/>
                <w:highlight w:val="none"/>
              </w:rPr>
            </w:pPr>
            <w:r>
              <w:rPr>
                <w:rFonts w:hint="eastAsia"/>
                <w:color w:val="auto"/>
                <w:sz w:val="21"/>
                <w:szCs w:val="21"/>
                <w:highlight w:val="none"/>
              </w:rPr>
              <w:t>（1）系统操作问题：请致电政采云，</w:t>
            </w:r>
            <w:r>
              <w:rPr>
                <w:color w:val="auto"/>
                <w:sz w:val="21"/>
                <w:szCs w:val="21"/>
                <w:highlight w:val="none"/>
              </w:rPr>
              <w:t>4008817190（客服热线）；</w:t>
            </w:r>
          </w:p>
          <w:p w14:paraId="5EB88231">
            <w:pPr>
              <w:adjustRightInd w:val="0"/>
              <w:snapToGrid w:val="0"/>
              <w:spacing w:line="360" w:lineRule="auto"/>
              <w:rPr>
                <w:rFonts w:hint="eastAsia"/>
                <w:color w:val="auto"/>
                <w:sz w:val="21"/>
                <w:szCs w:val="21"/>
                <w:highlight w:val="none"/>
              </w:rPr>
            </w:pPr>
            <w:r>
              <w:rPr>
                <w:rFonts w:hint="eastAsia"/>
                <w:color w:val="auto"/>
                <w:sz w:val="21"/>
                <w:szCs w:val="21"/>
                <w:highlight w:val="none"/>
              </w:rPr>
              <w:t>（2）</w:t>
            </w:r>
            <w:r>
              <w:rPr>
                <w:color w:val="auto"/>
                <w:sz w:val="21"/>
                <w:szCs w:val="21"/>
                <w:highlight w:val="none"/>
              </w:rPr>
              <w:t>云南 CA 操作问题：请致电云南 CA，4006727666；</w:t>
            </w:r>
          </w:p>
          <w:p w14:paraId="676770A8">
            <w:pPr>
              <w:adjustRightInd w:val="0"/>
              <w:snapToGrid w:val="0"/>
              <w:spacing w:line="360" w:lineRule="auto"/>
              <w:rPr>
                <w:rFonts w:hint="eastAsia"/>
                <w:color w:val="auto"/>
                <w:sz w:val="21"/>
                <w:szCs w:val="21"/>
                <w:highlight w:val="none"/>
              </w:rPr>
            </w:pPr>
            <w:r>
              <w:rPr>
                <w:rFonts w:hint="eastAsia"/>
                <w:color w:val="auto"/>
                <w:sz w:val="21"/>
                <w:szCs w:val="21"/>
                <w:highlight w:val="none"/>
              </w:rPr>
              <w:t>（3）</w:t>
            </w:r>
            <w:r>
              <w:rPr>
                <w:color w:val="auto"/>
                <w:sz w:val="21"/>
                <w:szCs w:val="21"/>
                <w:highlight w:val="none"/>
              </w:rPr>
              <w:t>云南 CA 紧急联系方式：15288315056。</w:t>
            </w:r>
          </w:p>
        </w:tc>
      </w:tr>
      <w:tr w14:paraId="71E60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restart"/>
            <w:vAlign w:val="center"/>
          </w:tcPr>
          <w:p w14:paraId="4049DB50">
            <w:pPr>
              <w:pStyle w:val="22"/>
              <w:rPr>
                <w:rFonts w:hint="eastAsia"/>
                <w:color w:val="auto"/>
                <w:highlight w:val="none"/>
              </w:rPr>
            </w:pPr>
            <w:r>
              <w:rPr>
                <w:rFonts w:hint="eastAsia"/>
                <w:color w:val="auto"/>
                <w:highlight w:val="none"/>
              </w:rPr>
              <w:t>15</w:t>
            </w:r>
          </w:p>
        </w:tc>
        <w:tc>
          <w:tcPr>
            <w:tcW w:w="1540" w:type="dxa"/>
            <w:vMerge w:val="restart"/>
            <w:vAlign w:val="center"/>
          </w:tcPr>
          <w:p w14:paraId="6C6F7363">
            <w:pPr>
              <w:adjustRightInd w:val="0"/>
              <w:snapToGrid w:val="0"/>
              <w:spacing w:line="360" w:lineRule="auto"/>
              <w:jc w:val="center"/>
              <w:rPr>
                <w:rFonts w:hint="eastAsia"/>
                <w:color w:val="auto"/>
                <w:sz w:val="21"/>
                <w:szCs w:val="21"/>
                <w:highlight w:val="none"/>
              </w:rPr>
            </w:pPr>
            <w:r>
              <w:rPr>
                <w:color w:val="auto"/>
                <w:sz w:val="21"/>
                <w:szCs w:val="21"/>
                <w:highlight w:val="none"/>
              </w:rPr>
              <w:t>投标保证金</w:t>
            </w:r>
            <w:r>
              <w:rPr>
                <w:rFonts w:hint="eastAsia"/>
                <w:color w:val="auto"/>
                <w:sz w:val="21"/>
                <w:szCs w:val="21"/>
                <w:highlight w:val="none"/>
              </w:rPr>
              <w:t>及履约保证金</w:t>
            </w:r>
          </w:p>
        </w:tc>
        <w:tc>
          <w:tcPr>
            <w:tcW w:w="7186" w:type="dxa"/>
            <w:vAlign w:val="center"/>
          </w:tcPr>
          <w:p w14:paraId="0AAA8951">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本项目需交纳保证金金额为人民币</w:t>
            </w:r>
            <w:r>
              <w:rPr>
                <w:rFonts w:hint="eastAsia"/>
                <w:b/>
                <w:bCs/>
                <w:color w:val="auto"/>
                <w:sz w:val="21"/>
                <w:szCs w:val="21"/>
                <w:highlight w:val="none"/>
                <w:lang w:val="en-US" w:eastAsia="zh-CN"/>
              </w:rPr>
              <w:t>叁仟元整</w:t>
            </w:r>
            <w:r>
              <w:rPr>
                <w:rFonts w:hint="eastAsia"/>
                <w:b/>
                <w:bCs/>
                <w:color w:val="auto"/>
                <w:sz w:val="21"/>
                <w:szCs w:val="21"/>
                <w:highlight w:val="none"/>
              </w:rPr>
              <w:t>（小写：¥</w:t>
            </w:r>
            <w:r>
              <w:rPr>
                <w:rFonts w:hint="eastAsia"/>
                <w:b/>
                <w:bCs/>
                <w:color w:val="auto"/>
                <w:sz w:val="21"/>
                <w:szCs w:val="21"/>
                <w:highlight w:val="none"/>
                <w:lang w:val="en-US" w:eastAsia="zh-CN"/>
              </w:rPr>
              <w:t>3</w:t>
            </w:r>
            <w:r>
              <w:rPr>
                <w:rFonts w:hint="eastAsia"/>
                <w:b/>
                <w:bCs/>
                <w:color w:val="auto"/>
                <w:sz w:val="21"/>
                <w:szCs w:val="21"/>
                <w:highlight w:val="none"/>
              </w:rPr>
              <w:t>000.00 元）</w:t>
            </w:r>
            <w:r>
              <w:rPr>
                <w:rFonts w:hint="eastAsia"/>
                <w:color w:val="auto"/>
                <w:sz w:val="21"/>
                <w:szCs w:val="21"/>
                <w:highlight w:val="none"/>
              </w:rPr>
              <w:t>。投标保证金到账（保函、保单提交）截止时间同投标截止时间。参加本项目投标的投标人，可以任意选择招标文件中载明的方式交纳保证金。</w:t>
            </w:r>
          </w:p>
          <w:p w14:paraId="4B628EB7">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投标保证金方式</w:t>
            </w:r>
            <w:r>
              <w:rPr>
                <w:rFonts w:hint="eastAsia"/>
                <w:color w:val="auto"/>
                <w:sz w:val="21"/>
                <w:szCs w:val="21"/>
                <w:highlight w:val="none"/>
              </w:rPr>
              <w:t>：支票、汇票、本票、或者金融机构、担保机构出具的保函、银行转账等非现金形式提交。投标人可任意选择以下方法提交保证金：</w:t>
            </w:r>
          </w:p>
          <w:p w14:paraId="1F09D55A">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（1）银行转账：</w:t>
            </w:r>
            <w:r>
              <w:rPr>
                <w:rFonts w:hint="eastAsia"/>
                <w:color w:val="auto"/>
                <w:sz w:val="21"/>
                <w:szCs w:val="21"/>
                <w:highlight w:val="none"/>
              </w:rPr>
              <w:t>投标（交易）保证金应以投标人自身的名义提交，并且必须从其基本账户转出，不得以分支机构等其他名义提交（按照规定，投标人可以为自然人和允许分支机构参加的项目除外）。银行电子回执（单）等相关凭证须扫描至投标文件中</w:t>
            </w:r>
            <w:r>
              <w:rPr>
                <w:rFonts w:hint="eastAsia"/>
                <w:b/>
                <w:bCs/>
                <w:color w:val="auto"/>
                <w:sz w:val="21"/>
                <w:szCs w:val="21"/>
                <w:highlight w:val="none"/>
              </w:rPr>
              <w:t>（并注明采购项目编号和项目名称，内容须填写完整）</w:t>
            </w:r>
            <w:r>
              <w:rPr>
                <w:rFonts w:hint="eastAsia"/>
                <w:color w:val="auto"/>
                <w:sz w:val="21"/>
                <w:szCs w:val="21"/>
                <w:highlight w:val="none"/>
              </w:rPr>
              <w:t>。</w:t>
            </w:r>
          </w:p>
          <w:p w14:paraId="574AB37D">
            <w:pPr>
              <w:adjustRightInd w:val="0"/>
              <w:snapToGrid w:val="0"/>
              <w:spacing w:line="360" w:lineRule="auto"/>
              <w:rPr>
                <w:rFonts w:hint="eastAsia"/>
                <w:color w:val="auto"/>
                <w:sz w:val="21"/>
                <w:szCs w:val="21"/>
                <w:highlight w:val="none"/>
              </w:rPr>
            </w:pPr>
            <w:r>
              <w:rPr>
                <w:rFonts w:hint="eastAsia"/>
                <w:color w:val="auto"/>
                <w:sz w:val="21"/>
                <w:szCs w:val="21"/>
                <w:highlight w:val="none"/>
              </w:rPr>
              <w:t>保证金专用账户信息如下：</w:t>
            </w:r>
          </w:p>
          <w:p w14:paraId="67D49B6C">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账户名称：云南中诏项目管理有限公司</w:t>
            </w:r>
          </w:p>
          <w:p w14:paraId="625B7658">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开户银行：云南红塔银行股份有限公司兰溪支行</w:t>
            </w:r>
          </w:p>
          <w:p w14:paraId="69D7EE53">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账号：3201620000000098</w:t>
            </w:r>
          </w:p>
          <w:p w14:paraId="1BDED69F">
            <w:pPr>
              <w:adjustRightInd w:val="0"/>
              <w:snapToGrid w:val="0"/>
              <w:spacing w:line="360" w:lineRule="auto"/>
              <w:rPr>
                <w:rFonts w:hint="eastAsia"/>
                <w:color w:val="auto"/>
                <w:sz w:val="21"/>
                <w:szCs w:val="21"/>
                <w:highlight w:val="none"/>
              </w:rPr>
            </w:pPr>
            <w:r>
              <w:rPr>
                <w:rFonts w:hint="eastAsia"/>
                <w:color w:val="auto"/>
                <w:sz w:val="21"/>
                <w:szCs w:val="21"/>
                <w:highlight w:val="none"/>
              </w:rPr>
              <w:t>联系人及电话：解瑾屹，13187714881</w:t>
            </w:r>
          </w:p>
          <w:p w14:paraId="4EDC5DE3">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注：到账时间以实际到达专用账户时间为准，未在投标截止时间前到账的保证金视为无效。</w:t>
            </w:r>
            <w:r>
              <w:rPr>
                <w:rFonts w:hint="eastAsia"/>
                <w:color w:val="auto"/>
                <w:sz w:val="21"/>
                <w:szCs w:val="21"/>
                <w:highlight w:val="none"/>
              </w:rPr>
              <w:t>未按时交纳投标（交易）保证金或未到达指定账户的，其符合性审查不通过。为避免由于晚到账的原因造成投标失败，请各投标人预留充足时间。在跨行转账时请考虑以下因素：①按照人民银行相关规定，跨行转账在工作日下午4点30分前办理手续，可以保证实时跨行到账；②对未足额提交投标（交易）保证金的投标人提交的投标文件，采购代理机构将视其为不响应投标条件而予以拒绝。</w:t>
            </w:r>
          </w:p>
          <w:p w14:paraId="770ABC48">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（2）保函、保证保险：</w:t>
            </w:r>
            <w:r>
              <w:rPr>
                <w:rFonts w:hint="eastAsia"/>
                <w:color w:val="auto"/>
                <w:sz w:val="21"/>
                <w:szCs w:val="21"/>
                <w:highlight w:val="none"/>
              </w:rPr>
              <w:t>采用保函或保证保险提供投标（交易）保证金的按照国家现行规定实施进行线下购买，保函、保证保险申请人必须是投标人，受益人必须是采购人，保函（保单）必须正确填写受益人和投保人（申请人）的全称，并与招标文件规定的名称一致，以免造成投标无效。</w:t>
            </w:r>
            <w:r>
              <w:rPr>
                <w:rFonts w:hint="eastAsia"/>
                <w:b/>
                <w:bCs/>
                <w:color w:val="auto"/>
                <w:sz w:val="21"/>
                <w:szCs w:val="21"/>
                <w:highlight w:val="none"/>
              </w:rPr>
              <w:t>保函（保单）扫描件应随投标文件一起递交。</w:t>
            </w:r>
          </w:p>
        </w:tc>
      </w:tr>
      <w:tr w14:paraId="4113C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continue"/>
            <w:vAlign w:val="center"/>
          </w:tcPr>
          <w:p w14:paraId="20EC50A7">
            <w:pPr>
              <w:pStyle w:val="22"/>
              <w:rPr>
                <w:rFonts w:hint="eastAsia"/>
                <w:color w:val="auto"/>
                <w:highlight w:val="none"/>
              </w:rPr>
            </w:pPr>
          </w:p>
        </w:tc>
        <w:tc>
          <w:tcPr>
            <w:tcW w:w="1540" w:type="dxa"/>
            <w:vMerge w:val="continue"/>
            <w:vAlign w:val="center"/>
          </w:tcPr>
          <w:p w14:paraId="24DEE8B7">
            <w:pPr>
              <w:adjustRightInd w:val="0"/>
              <w:snapToGrid w:val="0"/>
              <w:spacing w:line="360" w:lineRule="auto"/>
              <w:jc w:val="center"/>
              <w:rPr>
                <w:rFonts w:hint="eastAsia"/>
                <w:color w:val="auto"/>
                <w:sz w:val="21"/>
                <w:szCs w:val="21"/>
                <w:highlight w:val="none"/>
              </w:rPr>
            </w:pPr>
          </w:p>
        </w:tc>
        <w:tc>
          <w:tcPr>
            <w:tcW w:w="7186" w:type="dxa"/>
            <w:vAlign w:val="center"/>
          </w:tcPr>
          <w:p w14:paraId="16928A5A">
            <w:pPr>
              <w:adjustRightInd w:val="0"/>
              <w:snapToGrid w:val="0"/>
              <w:spacing w:line="360" w:lineRule="auto"/>
              <w:rPr>
                <w:rFonts w:hint="eastAsia"/>
                <w:color w:val="auto"/>
                <w:sz w:val="21"/>
                <w:szCs w:val="21"/>
                <w:highlight w:val="none"/>
              </w:rPr>
            </w:pPr>
            <w:r>
              <w:rPr>
                <w:rFonts w:hint="eastAsia"/>
                <w:color w:val="auto"/>
                <w:sz w:val="21"/>
                <w:szCs w:val="21"/>
                <w:highlight w:val="none"/>
              </w:rPr>
              <w:t>合同签订前5个工作日内由采购人向中标人收取合同价款5%的履约保证金，履约保证金以支票、汇票、本票或者金融机构、担保机构出具的保函等非现金形式提交。</w:t>
            </w:r>
          </w:p>
          <w:p w14:paraId="0ED25852">
            <w:pPr>
              <w:adjustRightInd w:val="0"/>
              <w:snapToGrid w:val="0"/>
              <w:spacing w:line="360" w:lineRule="auto"/>
              <w:rPr>
                <w:rFonts w:hint="eastAsia"/>
                <w:color w:val="auto"/>
                <w:sz w:val="21"/>
                <w:szCs w:val="21"/>
                <w:highlight w:val="none"/>
              </w:rPr>
            </w:pPr>
            <w:r>
              <w:rPr>
                <w:rFonts w:hint="eastAsia"/>
                <w:color w:val="auto"/>
                <w:sz w:val="21"/>
                <w:szCs w:val="21"/>
                <w:highlight w:val="none"/>
              </w:rPr>
              <w:t>履约保证金账户信息：</w:t>
            </w:r>
          </w:p>
          <w:p w14:paraId="3692E90D">
            <w:pPr>
              <w:adjustRightInd w:val="0"/>
              <w:snapToGrid w:val="0"/>
              <w:spacing w:line="360" w:lineRule="auto"/>
              <w:rPr>
                <w:rFonts w:hint="eastAsia" w:eastAsia="宋体"/>
                <w:color w:val="auto"/>
                <w:sz w:val="21"/>
                <w:szCs w:val="21"/>
                <w:highlight w:val="none"/>
                <w:lang w:eastAsia="zh-CN"/>
              </w:rPr>
            </w:pPr>
            <w:r>
              <w:rPr>
                <w:rFonts w:hint="eastAsia"/>
                <w:color w:val="auto"/>
                <w:sz w:val="21"/>
                <w:szCs w:val="21"/>
                <w:highlight w:val="none"/>
              </w:rPr>
              <w:t>账户名称：</w:t>
            </w:r>
            <w:r>
              <w:rPr>
                <w:rFonts w:hint="eastAsia"/>
                <w:color w:val="auto"/>
                <w:sz w:val="21"/>
                <w:szCs w:val="21"/>
                <w:highlight w:val="none"/>
                <w:lang w:eastAsia="zh-CN"/>
              </w:rPr>
              <w:t>玉溪职业技术学院</w:t>
            </w:r>
          </w:p>
          <w:p w14:paraId="6526DCF4">
            <w:pPr>
              <w:adjustRightInd w:val="0"/>
              <w:snapToGrid w:val="0"/>
              <w:spacing w:line="360" w:lineRule="auto"/>
              <w:rPr>
                <w:rFonts w:hint="eastAsia"/>
                <w:color w:val="auto"/>
                <w:sz w:val="21"/>
                <w:szCs w:val="21"/>
                <w:highlight w:val="none"/>
              </w:rPr>
            </w:pPr>
            <w:r>
              <w:rPr>
                <w:rFonts w:hint="eastAsia"/>
                <w:color w:val="auto"/>
                <w:sz w:val="21"/>
                <w:szCs w:val="21"/>
                <w:highlight w:val="none"/>
              </w:rPr>
              <w:t>账号：53050165614100000559</w:t>
            </w:r>
          </w:p>
          <w:p w14:paraId="4930E716">
            <w:pPr>
              <w:adjustRightInd w:val="0"/>
              <w:snapToGrid w:val="0"/>
              <w:spacing w:line="360" w:lineRule="auto"/>
              <w:rPr>
                <w:rFonts w:hint="eastAsia"/>
                <w:color w:val="auto"/>
                <w:sz w:val="21"/>
                <w:szCs w:val="21"/>
                <w:highlight w:val="none"/>
              </w:rPr>
            </w:pPr>
            <w:r>
              <w:rPr>
                <w:rFonts w:hint="eastAsia"/>
                <w:color w:val="auto"/>
                <w:sz w:val="21"/>
                <w:szCs w:val="21"/>
                <w:highlight w:val="none"/>
              </w:rPr>
              <w:t>开户行：建行玉溪建设支行</w:t>
            </w:r>
          </w:p>
          <w:p w14:paraId="741E14E0">
            <w:pPr>
              <w:adjustRightInd w:val="0"/>
              <w:snapToGrid w:val="0"/>
              <w:spacing w:line="360" w:lineRule="auto"/>
              <w:rPr>
                <w:rFonts w:hint="eastAsia"/>
                <w:b/>
                <w:bCs/>
                <w:color w:val="auto"/>
                <w:sz w:val="21"/>
                <w:szCs w:val="21"/>
                <w:highlight w:val="none"/>
              </w:rPr>
            </w:pPr>
            <w:r>
              <w:rPr>
                <w:rFonts w:hint="eastAsia"/>
                <w:color w:val="auto"/>
                <w:sz w:val="21"/>
                <w:szCs w:val="21"/>
                <w:highlight w:val="none"/>
              </w:rPr>
              <w:t>履约保证金的退还：合同履约期（完成全部设备的供货、安装、调试、验收合格）满由采购人无息全额退还。</w:t>
            </w:r>
          </w:p>
        </w:tc>
      </w:tr>
      <w:tr w14:paraId="3CE613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2EA25B36">
            <w:pPr>
              <w:pStyle w:val="22"/>
              <w:rPr>
                <w:rFonts w:hint="eastAsia"/>
                <w:color w:val="auto"/>
                <w:highlight w:val="none"/>
              </w:rPr>
            </w:pPr>
            <w:r>
              <w:rPr>
                <w:rFonts w:hint="eastAsia"/>
                <w:color w:val="auto"/>
                <w:highlight w:val="none"/>
              </w:rPr>
              <w:t>16</w:t>
            </w:r>
          </w:p>
        </w:tc>
        <w:tc>
          <w:tcPr>
            <w:tcW w:w="1540" w:type="dxa"/>
            <w:vAlign w:val="center"/>
          </w:tcPr>
          <w:p w14:paraId="2591E2B6">
            <w:pPr>
              <w:pStyle w:val="22"/>
              <w:rPr>
                <w:rFonts w:hint="eastAsia"/>
                <w:color w:val="auto"/>
                <w:highlight w:val="none"/>
              </w:rPr>
            </w:pPr>
            <w:r>
              <w:rPr>
                <w:color w:val="auto"/>
                <w:highlight w:val="none"/>
              </w:rPr>
              <w:t>投标有效期</w:t>
            </w:r>
          </w:p>
        </w:tc>
        <w:tc>
          <w:tcPr>
            <w:tcW w:w="7186" w:type="dxa"/>
            <w:vAlign w:val="center"/>
          </w:tcPr>
          <w:p w14:paraId="68B32D84">
            <w:pPr>
              <w:pStyle w:val="22"/>
              <w:jc w:val="left"/>
              <w:rPr>
                <w:rFonts w:hint="eastAsia"/>
                <w:color w:val="auto"/>
                <w:highlight w:val="none"/>
              </w:rPr>
            </w:pPr>
            <w:r>
              <w:rPr>
                <w:rFonts w:hint="eastAsia"/>
                <w:color w:val="auto"/>
                <w:highlight w:val="none"/>
                <w:u w:val="single"/>
              </w:rPr>
              <w:t>90</w:t>
            </w:r>
            <w:r>
              <w:rPr>
                <w:color w:val="auto"/>
                <w:highlight w:val="none"/>
              </w:rPr>
              <w:t>日历天，从投标截止之日算起。</w:t>
            </w:r>
          </w:p>
        </w:tc>
      </w:tr>
      <w:tr w14:paraId="0D3F2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61794563">
            <w:pPr>
              <w:pStyle w:val="22"/>
              <w:rPr>
                <w:rFonts w:hint="eastAsia"/>
                <w:color w:val="auto"/>
                <w:highlight w:val="none"/>
              </w:rPr>
            </w:pPr>
            <w:r>
              <w:rPr>
                <w:rFonts w:hint="eastAsia"/>
                <w:color w:val="auto"/>
                <w:highlight w:val="none"/>
              </w:rPr>
              <w:t>17</w:t>
            </w:r>
          </w:p>
        </w:tc>
        <w:tc>
          <w:tcPr>
            <w:tcW w:w="1540" w:type="dxa"/>
            <w:vAlign w:val="center"/>
          </w:tcPr>
          <w:p w14:paraId="0467C3BB">
            <w:pPr>
              <w:pStyle w:val="22"/>
              <w:rPr>
                <w:rFonts w:hint="eastAsia"/>
                <w:color w:val="auto"/>
                <w:highlight w:val="none"/>
              </w:rPr>
            </w:pPr>
            <w:r>
              <w:rPr>
                <w:rFonts w:hint="eastAsia"/>
                <w:color w:val="auto"/>
                <w:highlight w:val="none"/>
              </w:rPr>
              <w:t>投标</w:t>
            </w:r>
            <w:r>
              <w:rPr>
                <w:color w:val="auto"/>
                <w:highlight w:val="none"/>
              </w:rPr>
              <w:t>文件的签署</w:t>
            </w:r>
          </w:p>
        </w:tc>
        <w:tc>
          <w:tcPr>
            <w:tcW w:w="7186" w:type="dxa"/>
            <w:vAlign w:val="center"/>
          </w:tcPr>
          <w:p w14:paraId="1BCC8B77">
            <w:pPr>
              <w:pStyle w:val="22"/>
              <w:jc w:val="left"/>
              <w:rPr>
                <w:rFonts w:hint="eastAsia"/>
                <w:color w:val="auto"/>
                <w:highlight w:val="none"/>
              </w:rPr>
            </w:pPr>
            <w:r>
              <w:rPr>
                <w:rFonts w:hint="eastAsia"/>
                <w:color w:val="auto"/>
                <w:highlight w:val="none"/>
              </w:rPr>
              <w:t>按照投标文件格式，使用企业和法定代表人数字证书电子签章及电子签名。</w:t>
            </w:r>
            <w:r>
              <w:rPr>
                <w:color w:val="auto"/>
                <w:highlight w:val="none"/>
              </w:rPr>
              <w:t xml:space="preserve"> </w:t>
            </w:r>
          </w:p>
          <w:p w14:paraId="110F265B">
            <w:pPr>
              <w:pStyle w:val="22"/>
              <w:jc w:val="left"/>
              <w:rPr>
                <w:rFonts w:hint="eastAsia"/>
                <w:b/>
                <w:color w:val="auto"/>
                <w:highlight w:val="none"/>
              </w:rPr>
            </w:pPr>
            <w:r>
              <w:rPr>
                <w:rFonts w:hint="eastAsia"/>
                <w:color w:val="auto"/>
                <w:highlight w:val="none"/>
              </w:rPr>
              <w:t>注：在需要电子签章的地方进行电子签章，无需逐页电子签章。</w:t>
            </w:r>
          </w:p>
        </w:tc>
      </w:tr>
      <w:tr w14:paraId="0F55E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4" w:hRule="atLeast"/>
          <w:jc w:val="center"/>
        </w:trPr>
        <w:tc>
          <w:tcPr>
            <w:tcW w:w="894" w:type="dxa"/>
            <w:vAlign w:val="center"/>
          </w:tcPr>
          <w:p w14:paraId="4ADC6845">
            <w:pPr>
              <w:pStyle w:val="26"/>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18</w:t>
            </w:r>
          </w:p>
        </w:tc>
        <w:tc>
          <w:tcPr>
            <w:tcW w:w="1540" w:type="dxa"/>
            <w:vAlign w:val="center"/>
          </w:tcPr>
          <w:p w14:paraId="0498ED12">
            <w:pPr>
              <w:pStyle w:val="22"/>
              <w:rPr>
                <w:rFonts w:hint="eastAsia"/>
                <w:color w:val="auto"/>
                <w:highlight w:val="none"/>
              </w:rPr>
            </w:pPr>
            <w:r>
              <w:rPr>
                <w:rFonts w:hint="eastAsia"/>
                <w:color w:val="auto"/>
                <w:highlight w:val="none"/>
              </w:rPr>
              <w:t>现场开标现场解密方式</w:t>
            </w:r>
          </w:p>
        </w:tc>
        <w:tc>
          <w:tcPr>
            <w:tcW w:w="7186" w:type="dxa"/>
            <w:vAlign w:val="center"/>
          </w:tcPr>
          <w:p w14:paraId="79CB8262">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投标人无须到现场开标现场解密。到规定解密截止时间后已解密的投标人不足三家的，按规定重新招标。</w:t>
            </w:r>
          </w:p>
        </w:tc>
      </w:tr>
      <w:tr w14:paraId="1ACD21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894" w:type="dxa"/>
            <w:vAlign w:val="center"/>
          </w:tcPr>
          <w:p w14:paraId="6DBDD82B">
            <w:pPr>
              <w:pStyle w:val="26"/>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20</w:t>
            </w:r>
          </w:p>
        </w:tc>
        <w:tc>
          <w:tcPr>
            <w:tcW w:w="1540" w:type="dxa"/>
            <w:vAlign w:val="center"/>
          </w:tcPr>
          <w:p w14:paraId="271ACFAD">
            <w:pPr>
              <w:pStyle w:val="22"/>
              <w:rPr>
                <w:rFonts w:hint="eastAsia"/>
                <w:color w:val="auto"/>
                <w:highlight w:val="none"/>
              </w:rPr>
            </w:pPr>
            <w:r>
              <w:rPr>
                <w:rFonts w:hint="eastAsia"/>
                <w:color w:val="auto"/>
                <w:highlight w:val="none"/>
              </w:rPr>
              <w:t>网上递交电子投标文件</w:t>
            </w:r>
          </w:p>
        </w:tc>
        <w:tc>
          <w:tcPr>
            <w:tcW w:w="7186" w:type="dxa"/>
            <w:vAlign w:val="center"/>
          </w:tcPr>
          <w:p w14:paraId="4A9DE29C">
            <w:pPr>
              <w:pBdr>
                <w:bottom w:val="single" w:color="auto" w:sz="6" w:space="1"/>
              </w:pBdr>
              <w:adjustRightInd w:val="0"/>
              <w:snapToGrid w:val="0"/>
              <w:spacing w:line="360" w:lineRule="auto"/>
              <w:rPr>
                <w:rFonts w:hint="eastAsia"/>
                <w:color w:val="auto"/>
                <w:sz w:val="21"/>
                <w:szCs w:val="21"/>
                <w:highlight w:val="none"/>
              </w:rPr>
            </w:pPr>
            <w:r>
              <w:rPr>
                <w:rFonts w:hint="eastAsia"/>
                <w:color w:val="auto"/>
                <w:sz w:val="21"/>
                <w:szCs w:val="21"/>
                <w:highlight w:val="none"/>
              </w:rPr>
              <w:t>19</w:t>
            </w:r>
            <w:r>
              <w:rPr>
                <w:color w:val="auto"/>
                <w:sz w:val="21"/>
                <w:szCs w:val="21"/>
                <w:highlight w:val="none"/>
              </w:rPr>
              <w:t>.1网上递交投标文件截止时间：</w:t>
            </w:r>
            <w:r>
              <w:rPr>
                <w:rFonts w:hint="eastAsia"/>
                <w:b/>
                <w:bCs/>
                <w:color w:val="auto"/>
                <w:sz w:val="21"/>
                <w:szCs w:val="21"/>
                <w:highlight w:val="none"/>
              </w:rPr>
              <w:t>2026年5月</w:t>
            </w:r>
            <w:r>
              <w:rPr>
                <w:rFonts w:hint="eastAsia"/>
                <w:b/>
                <w:bCs/>
                <w:color w:val="auto"/>
                <w:sz w:val="21"/>
                <w:szCs w:val="21"/>
                <w:highlight w:val="none"/>
                <w:lang w:val="en-US" w:eastAsia="zh-CN"/>
              </w:rPr>
              <w:t>29</w:t>
            </w:r>
            <w:r>
              <w:rPr>
                <w:rFonts w:hint="eastAsia"/>
                <w:b/>
                <w:bCs/>
                <w:color w:val="auto"/>
                <w:sz w:val="21"/>
                <w:szCs w:val="21"/>
                <w:highlight w:val="none"/>
              </w:rPr>
              <w:t>日9时00分前（北京时间，下同）；</w:t>
            </w:r>
          </w:p>
          <w:p w14:paraId="260B4E72">
            <w:pPr>
              <w:pStyle w:val="22"/>
              <w:jc w:val="left"/>
              <w:rPr>
                <w:rFonts w:hint="eastAsia"/>
                <w:color w:val="auto"/>
                <w:highlight w:val="none"/>
                <w:u w:val="single"/>
              </w:rPr>
            </w:pPr>
            <w:r>
              <w:rPr>
                <w:rFonts w:hint="eastAsia"/>
                <w:color w:val="auto"/>
                <w:highlight w:val="none"/>
              </w:rPr>
              <w:t>19</w:t>
            </w:r>
            <w:r>
              <w:rPr>
                <w:color w:val="auto"/>
                <w:highlight w:val="none"/>
              </w:rPr>
              <w:t>.2投标文件递交网址为：</w:t>
            </w:r>
            <w:r>
              <w:rPr>
                <w:rFonts w:hint="eastAsia"/>
                <w:color w:val="auto"/>
                <w:highlight w:val="none"/>
              </w:rPr>
              <w:t>政采云平台（</w:t>
            </w:r>
            <w:r>
              <w:rPr>
                <w:color w:val="auto"/>
                <w:highlight w:val="none"/>
              </w:rPr>
              <w:t>http：//www.zcygov.cn），投标人须在投标截止时间前完成所有电子投标文件的上传，网上确认电子签章或电子签名。投标截止时间前未完成投标文件传输的，视为撤回投标文件。在递交投标文件截止前，投标人可以修改或撤回已在网上递交的投标文件，无须书面形式通知</w:t>
            </w:r>
            <w:r>
              <w:rPr>
                <w:rFonts w:hint="eastAsia"/>
                <w:color w:val="auto"/>
                <w:highlight w:val="none"/>
              </w:rPr>
              <w:t>采购</w:t>
            </w:r>
            <w:r>
              <w:rPr>
                <w:color w:val="auto"/>
                <w:highlight w:val="none"/>
              </w:rPr>
              <w:t>人。</w:t>
            </w:r>
          </w:p>
        </w:tc>
      </w:tr>
      <w:tr w14:paraId="7216E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4" w:hRule="atLeast"/>
          <w:jc w:val="center"/>
        </w:trPr>
        <w:tc>
          <w:tcPr>
            <w:tcW w:w="894" w:type="dxa"/>
            <w:vAlign w:val="center"/>
          </w:tcPr>
          <w:p w14:paraId="4A941D96">
            <w:pPr>
              <w:pStyle w:val="22"/>
              <w:rPr>
                <w:rFonts w:hint="eastAsia"/>
                <w:color w:val="auto"/>
                <w:highlight w:val="none"/>
              </w:rPr>
            </w:pPr>
            <w:r>
              <w:rPr>
                <w:rFonts w:hint="eastAsia"/>
                <w:color w:val="auto"/>
                <w:highlight w:val="none"/>
              </w:rPr>
              <w:t>21</w:t>
            </w:r>
          </w:p>
        </w:tc>
        <w:tc>
          <w:tcPr>
            <w:tcW w:w="1540" w:type="dxa"/>
            <w:vAlign w:val="center"/>
          </w:tcPr>
          <w:p w14:paraId="2F3FD9BC">
            <w:pPr>
              <w:pStyle w:val="22"/>
              <w:rPr>
                <w:rFonts w:hint="eastAsia"/>
                <w:color w:val="auto"/>
                <w:highlight w:val="none"/>
              </w:rPr>
            </w:pPr>
            <w:r>
              <w:rPr>
                <w:color w:val="auto"/>
                <w:highlight w:val="none"/>
              </w:rPr>
              <w:t>开标时间和地点</w:t>
            </w:r>
          </w:p>
        </w:tc>
        <w:tc>
          <w:tcPr>
            <w:tcW w:w="7186" w:type="dxa"/>
            <w:vAlign w:val="center"/>
          </w:tcPr>
          <w:p w14:paraId="3F90DDC2">
            <w:pPr>
              <w:pStyle w:val="22"/>
              <w:jc w:val="left"/>
              <w:rPr>
                <w:rFonts w:hint="eastAsia"/>
                <w:color w:val="auto"/>
                <w:highlight w:val="none"/>
              </w:rPr>
            </w:pPr>
            <w:r>
              <w:rPr>
                <w:rFonts w:hint="eastAsia"/>
                <w:color w:val="auto"/>
                <w:highlight w:val="none"/>
              </w:rPr>
              <w:t>开标时间：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日9时00分前（北京时间，下同）；</w:t>
            </w:r>
          </w:p>
          <w:p w14:paraId="33983ADD">
            <w:pPr>
              <w:pStyle w:val="22"/>
              <w:jc w:val="left"/>
              <w:rPr>
                <w:rFonts w:hint="eastAsia"/>
                <w:color w:val="auto"/>
                <w:spacing w:val="-8"/>
                <w:highlight w:val="none"/>
                <w:u w:val="single"/>
              </w:rPr>
            </w:pPr>
            <w:r>
              <w:rPr>
                <w:color w:val="auto"/>
                <w:highlight w:val="none"/>
              </w:rPr>
              <w:t>地点：</w:t>
            </w:r>
            <w:r>
              <w:rPr>
                <w:rFonts w:hint="eastAsia"/>
                <w:color w:val="auto"/>
                <w:highlight w:val="none"/>
              </w:rPr>
              <w:t>政采云平台（</w:t>
            </w:r>
            <w:r>
              <w:rPr>
                <w:color w:val="auto"/>
                <w:highlight w:val="none"/>
              </w:rPr>
              <w:t>http：//www.zcygov.cn）</w:t>
            </w:r>
          </w:p>
        </w:tc>
      </w:tr>
      <w:tr w14:paraId="25AC3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1" w:hRule="atLeast"/>
          <w:jc w:val="center"/>
        </w:trPr>
        <w:tc>
          <w:tcPr>
            <w:tcW w:w="894" w:type="dxa"/>
            <w:vAlign w:val="center"/>
          </w:tcPr>
          <w:p w14:paraId="747CD261">
            <w:pPr>
              <w:pStyle w:val="22"/>
              <w:rPr>
                <w:rFonts w:hint="eastAsia"/>
                <w:color w:val="auto"/>
                <w:highlight w:val="none"/>
              </w:rPr>
            </w:pPr>
            <w:r>
              <w:rPr>
                <w:rFonts w:hint="eastAsia"/>
                <w:color w:val="auto"/>
                <w:highlight w:val="none"/>
              </w:rPr>
              <w:t>22</w:t>
            </w:r>
          </w:p>
        </w:tc>
        <w:tc>
          <w:tcPr>
            <w:tcW w:w="1540" w:type="dxa"/>
            <w:vAlign w:val="center"/>
          </w:tcPr>
          <w:p w14:paraId="739FBD42">
            <w:pPr>
              <w:pStyle w:val="22"/>
              <w:rPr>
                <w:rFonts w:hint="eastAsia"/>
                <w:color w:val="auto"/>
                <w:highlight w:val="none"/>
              </w:rPr>
            </w:pPr>
            <w:r>
              <w:rPr>
                <w:color w:val="auto"/>
                <w:highlight w:val="none"/>
              </w:rPr>
              <w:t>评标委员会的</w:t>
            </w:r>
          </w:p>
          <w:p w14:paraId="522C8E14">
            <w:pPr>
              <w:pStyle w:val="22"/>
              <w:rPr>
                <w:rFonts w:hint="eastAsia"/>
                <w:color w:val="auto"/>
                <w:highlight w:val="none"/>
              </w:rPr>
            </w:pPr>
            <w:r>
              <w:rPr>
                <w:color w:val="auto"/>
                <w:highlight w:val="none"/>
              </w:rPr>
              <w:t>组建</w:t>
            </w:r>
          </w:p>
        </w:tc>
        <w:tc>
          <w:tcPr>
            <w:tcW w:w="7186" w:type="dxa"/>
            <w:vAlign w:val="center"/>
          </w:tcPr>
          <w:p w14:paraId="12536DE9">
            <w:pPr>
              <w:adjustRightInd w:val="0"/>
              <w:snapToGrid w:val="0"/>
              <w:spacing w:line="360" w:lineRule="auto"/>
              <w:rPr>
                <w:rFonts w:hint="eastAsia"/>
                <w:color w:val="auto"/>
                <w:sz w:val="21"/>
                <w:szCs w:val="21"/>
                <w:highlight w:val="none"/>
              </w:rPr>
            </w:pPr>
            <w:r>
              <w:rPr>
                <w:color w:val="auto"/>
                <w:sz w:val="21"/>
                <w:szCs w:val="21"/>
                <w:highlight w:val="none"/>
              </w:rPr>
              <w:t>评标由</w:t>
            </w:r>
            <w:r>
              <w:rPr>
                <w:rFonts w:hint="eastAsia"/>
                <w:color w:val="auto"/>
                <w:sz w:val="21"/>
                <w:szCs w:val="21"/>
                <w:highlight w:val="none"/>
              </w:rPr>
              <w:t>采购</w:t>
            </w:r>
            <w:r>
              <w:rPr>
                <w:color w:val="auto"/>
                <w:sz w:val="21"/>
                <w:szCs w:val="21"/>
                <w:highlight w:val="none"/>
              </w:rPr>
              <w:t>人依法组建的评标委员会负责</w:t>
            </w:r>
            <w:r>
              <w:rPr>
                <w:rFonts w:hint="eastAsia"/>
                <w:color w:val="auto"/>
                <w:sz w:val="21"/>
                <w:szCs w:val="21"/>
                <w:highlight w:val="none"/>
              </w:rPr>
              <w:t>。</w:t>
            </w:r>
            <w:r>
              <w:rPr>
                <w:color w:val="auto"/>
                <w:sz w:val="21"/>
                <w:szCs w:val="21"/>
                <w:highlight w:val="none"/>
              </w:rPr>
              <w:t>评标委员会由</w:t>
            </w:r>
            <w:r>
              <w:rPr>
                <w:rFonts w:hint="eastAsia"/>
                <w:color w:val="auto"/>
                <w:sz w:val="21"/>
                <w:szCs w:val="21"/>
                <w:highlight w:val="none"/>
              </w:rPr>
              <w:t>招标人和评审专家</w:t>
            </w:r>
            <w:r>
              <w:rPr>
                <w:color w:val="auto"/>
                <w:sz w:val="21"/>
                <w:szCs w:val="21"/>
                <w:highlight w:val="none"/>
              </w:rPr>
              <w:t>专家组成，人员数为5人及以上的单数。其中，</w:t>
            </w:r>
            <w:r>
              <w:rPr>
                <w:rFonts w:hint="eastAsia"/>
                <w:color w:val="auto"/>
                <w:sz w:val="21"/>
                <w:szCs w:val="21"/>
                <w:highlight w:val="none"/>
              </w:rPr>
              <w:t>评审专家</w:t>
            </w:r>
            <w:r>
              <w:rPr>
                <w:color w:val="auto"/>
                <w:sz w:val="21"/>
                <w:szCs w:val="21"/>
                <w:highlight w:val="none"/>
              </w:rPr>
              <w:t>等方面的专家不少于成员总数的三分之二。</w:t>
            </w:r>
          </w:p>
        </w:tc>
      </w:tr>
      <w:tr w14:paraId="73277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894" w:type="dxa"/>
            <w:vAlign w:val="center"/>
          </w:tcPr>
          <w:p w14:paraId="5A1C19D2">
            <w:pPr>
              <w:pStyle w:val="22"/>
              <w:rPr>
                <w:rFonts w:hint="eastAsia"/>
                <w:color w:val="auto"/>
                <w:highlight w:val="none"/>
              </w:rPr>
            </w:pPr>
            <w:r>
              <w:rPr>
                <w:rFonts w:hint="eastAsia"/>
                <w:color w:val="auto"/>
                <w:highlight w:val="none"/>
              </w:rPr>
              <w:t>23</w:t>
            </w:r>
          </w:p>
        </w:tc>
        <w:tc>
          <w:tcPr>
            <w:tcW w:w="1540" w:type="dxa"/>
            <w:vAlign w:val="center"/>
          </w:tcPr>
          <w:p w14:paraId="03177BE3">
            <w:pPr>
              <w:pStyle w:val="22"/>
              <w:rPr>
                <w:rFonts w:hint="eastAsia"/>
                <w:color w:val="auto"/>
                <w:highlight w:val="none"/>
              </w:rPr>
            </w:pPr>
            <w:r>
              <w:rPr>
                <w:color w:val="auto"/>
                <w:highlight w:val="none"/>
              </w:rPr>
              <w:t>评标方法</w:t>
            </w:r>
            <w:r>
              <w:rPr>
                <w:rFonts w:hint="eastAsia"/>
                <w:color w:val="auto"/>
                <w:highlight w:val="none"/>
              </w:rPr>
              <w:t>及标准</w:t>
            </w:r>
          </w:p>
        </w:tc>
        <w:tc>
          <w:tcPr>
            <w:tcW w:w="7186" w:type="dxa"/>
            <w:vAlign w:val="center"/>
          </w:tcPr>
          <w:p w14:paraId="36F86AD6">
            <w:pPr>
              <w:pStyle w:val="22"/>
              <w:jc w:val="left"/>
              <w:rPr>
                <w:rFonts w:hint="eastAsia"/>
                <w:color w:val="auto"/>
                <w:highlight w:val="none"/>
              </w:rPr>
            </w:pPr>
            <w:r>
              <w:rPr>
                <w:rFonts w:hint="eastAsia"/>
                <w:color w:val="auto"/>
                <w:highlight w:val="none"/>
              </w:rPr>
              <w:t>详见招标文件第三章</w:t>
            </w:r>
          </w:p>
        </w:tc>
      </w:tr>
      <w:tr w14:paraId="58073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894" w:type="dxa"/>
            <w:vAlign w:val="center"/>
          </w:tcPr>
          <w:p w14:paraId="4BF9E66A">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24</w:t>
            </w:r>
          </w:p>
        </w:tc>
        <w:tc>
          <w:tcPr>
            <w:tcW w:w="1540" w:type="dxa"/>
            <w:vAlign w:val="center"/>
          </w:tcPr>
          <w:p w14:paraId="4D094926">
            <w:pPr>
              <w:adjustRightInd w:val="0"/>
              <w:snapToGrid w:val="0"/>
              <w:spacing w:line="360" w:lineRule="auto"/>
              <w:jc w:val="center"/>
              <w:rPr>
                <w:rFonts w:hint="eastAsia"/>
                <w:color w:val="auto"/>
                <w:sz w:val="21"/>
                <w:szCs w:val="21"/>
                <w:highlight w:val="none"/>
              </w:rPr>
            </w:pPr>
            <w:r>
              <w:rPr>
                <w:color w:val="auto"/>
                <w:sz w:val="21"/>
                <w:szCs w:val="21"/>
                <w:highlight w:val="none"/>
              </w:rPr>
              <w:t>是否授权评标委员会确定中标人</w:t>
            </w:r>
          </w:p>
        </w:tc>
        <w:tc>
          <w:tcPr>
            <w:tcW w:w="7186" w:type="dxa"/>
            <w:vAlign w:val="center"/>
          </w:tcPr>
          <w:p w14:paraId="78480C12">
            <w:pPr>
              <w:adjustRightInd w:val="0"/>
              <w:snapToGrid w:val="0"/>
              <w:spacing w:line="360" w:lineRule="auto"/>
              <w:rPr>
                <w:rFonts w:hint="eastAsia"/>
                <w:color w:val="auto"/>
                <w:sz w:val="21"/>
                <w:szCs w:val="21"/>
                <w:highlight w:val="none"/>
              </w:rPr>
            </w:pPr>
            <w:r>
              <w:rPr>
                <w:color w:val="auto"/>
                <w:sz w:val="21"/>
                <w:szCs w:val="21"/>
                <w:highlight w:val="none"/>
              </w:rPr>
              <w:t>□ 是</w:t>
            </w:r>
          </w:p>
          <w:p w14:paraId="7F040380">
            <w:pPr>
              <w:adjustRightInd w:val="0"/>
              <w:snapToGrid w:val="0"/>
              <w:spacing w:line="360" w:lineRule="auto"/>
              <w:rPr>
                <w:rFonts w:hint="eastAsia"/>
                <w:color w:val="auto"/>
                <w:sz w:val="21"/>
                <w:szCs w:val="21"/>
                <w:highlight w:val="none"/>
              </w:rPr>
            </w:pPr>
            <w:r>
              <w:rPr>
                <w:color w:val="auto"/>
                <w:sz w:val="21"/>
                <w:szCs w:val="21"/>
                <w:highlight w:val="none"/>
              </w:rPr>
              <w:t>■ 否，推荐中标候选人</w:t>
            </w:r>
            <w:r>
              <w:rPr>
                <w:rFonts w:hint="eastAsia"/>
                <w:color w:val="auto"/>
                <w:sz w:val="21"/>
                <w:szCs w:val="21"/>
                <w:highlight w:val="none"/>
              </w:rPr>
              <w:t>，推荐人数：</w:t>
            </w:r>
            <w:r>
              <w:rPr>
                <w:rFonts w:hint="eastAsia"/>
                <w:color w:val="auto"/>
                <w:sz w:val="21"/>
                <w:szCs w:val="21"/>
                <w:highlight w:val="none"/>
                <w:u w:val="single"/>
              </w:rPr>
              <w:t>3</w:t>
            </w:r>
            <w:r>
              <w:rPr>
                <w:rFonts w:hint="eastAsia"/>
                <w:color w:val="auto"/>
                <w:sz w:val="21"/>
                <w:szCs w:val="21"/>
                <w:highlight w:val="none"/>
              </w:rPr>
              <w:t>人</w:t>
            </w:r>
            <w:r>
              <w:rPr>
                <w:color w:val="auto"/>
                <w:sz w:val="21"/>
                <w:szCs w:val="21"/>
                <w:highlight w:val="none"/>
              </w:rPr>
              <w:t>。</w:t>
            </w:r>
          </w:p>
        </w:tc>
      </w:tr>
      <w:tr w14:paraId="20C75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8" w:hRule="atLeast"/>
          <w:jc w:val="center"/>
        </w:trPr>
        <w:tc>
          <w:tcPr>
            <w:tcW w:w="894" w:type="dxa"/>
            <w:vAlign w:val="center"/>
          </w:tcPr>
          <w:p w14:paraId="27693A67">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25</w:t>
            </w:r>
          </w:p>
        </w:tc>
        <w:tc>
          <w:tcPr>
            <w:tcW w:w="1540" w:type="dxa"/>
            <w:vAlign w:val="center"/>
          </w:tcPr>
          <w:p w14:paraId="0AF240A9">
            <w:pPr>
              <w:autoSpaceDE w:val="0"/>
              <w:autoSpaceDN w:val="0"/>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招标代理服务费及其他费用</w:t>
            </w:r>
          </w:p>
        </w:tc>
        <w:tc>
          <w:tcPr>
            <w:tcW w:w="7186" w:type="dxa"/>
            <w:vAlign w:val="center"/>
          </w:tcPr>
          <w:p w14:paraId="0AA75290">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25.1本项目中标服务费：详见须知正文部分。</w:t>
            </w:r>
          </w:p>
          <w:p w14:paraId="50171682">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25.2不论投标结果如何，投标人均应自行承担所有与编写和提交投标文件有关的全部费用。</w:t>
            </w:r>
          </w:p>
        </w:tc>
      </w:tr>
      <w:tr w14:paraId="263E3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1B1DB597">
            <w:pPr>
              <w:pStyle w:val="22"/>
              <w:rPr>
                <w:rFonts w:hint="eastAsia"/>
                <w:color w:val="auto"/>
                <w:highlight w:val="none"/>
              </w:rPr>
            </w:pPr>
            <w:r>
              <w:rPr>
                <w:rFonts w:hint="eastAsia"/>
                <w:color w:val="auto"/>
                <w:highlight w:val="none"/>
              </w:rPr>
              <w:t>26</w:t>
            </w:r>
          </w:p>
        </w:tc>
        <w:tc>
          <w:tcPr>
            <w:tcW w:w="1540" w:type="dxa"/>
            <w:vAlign w:val="center"/>
          </w:tcPr>
          <w:p w14:paraId="5DCC2151">
            <w:pPr>
              <w:pStyle w:val="22"/>
              <w:rPr>
                <w:rFonts w:hint="eastAsia"/>
                <w:color w:val="auto"/>
                <w:highlight w:val="none"/>
              </w:rPr>
            </w:pPr>
            <w:r>
              <w:rPr>
                <w:color w:val="auto"/>
                <w:highlight w:val="none"/>
              </w:rPr>
              <w:t>备选方案</w:t>
            </w:r>
          </w:p>
        </w:tc>
        <w:tc>
          <w:tcPr>
            <w:tcW w:w="7186" w:type="dxa"/>
            <w:vAlign w:val="center"/>
          </w:tcPr>
          <w:p w14:paraId="7B271ADB">
            <w:pPr>
              <w:pStyle w:val="22"/>
              <w:rPr>
                <w:rFonts w:hint="eastAsia"/>
                <w:color w:val="auto"/>
                <w:highlight w:val="none"/>
              </w:rPr>
            </w:pPr>
            <w:r>
              <w:rPr>
                <w:color w:val="auto"/>
                <w:highlight w:val="none"/>
              </w:rPr>
              <w:t>不接受</w:t>
            </w:r>
          </w:p>
        </w:tc>
      </w:tr>
      <w:tr w14:paraId="67839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894" w:type="dxa"/>
            <w:vAlign w:val="center"/>
          </w:tcPr>
          <w:p w14:paraId="3C952EC7">
            <w:pPr>
              <w:pStyle w:val="22"/>
              <w:rPr>
                <w:rFonts w:hint="eastAsia"/>
                <w:color w:val="auto"/>
                <w:highlight w:val="none"/>
              </w:rPr>
            </w:pPr>
            <w:r>
              <w:rPr>
                <w:rFonts w:hint="eastAsia"/>
                <w:color w:val="auto"/>
                <w:highlight w:val="none"/>
              </w:rPr>
              <w:t>27</w:t>
            </w:r>
          </w:p>
        </w:tc>
        <w:tc>
          <w:tcPr>
            <w:tcW w:w="8726" w:type="dxa"/>
            <w:gridSpan w:val="2"/>
          </w:tcPr>
          <w:p w14:paraId="42306701">
            <w:pPr>
              <w:adjustRightInd w:val="0"/>
              <w:snapToGrid w:val="0"/>
              <w:spacing w:line="360" w:lineRule="auto"/>
              <w:rPr>
                <w:rFonts w:hint="eastAsia"/>
                <w:color w:val="auto"/>
                <w:sz w:val="21"/>
                <w:szCs w:val="21"/>
                <w:highlight w:val="none"/>
              </w:rPr>
            </w:pPr>
            <w:r>
              <w:rPr>
                <w:rFonts w:hint="eastAsia"/>
                <w:color w:val="auto"/>
                <w:sz w:val="21"/>
                <w:szCs w:val="21"/>
                <w:highlight w:val="none"/>
              </w:rPr>
              <w:t>27.1各投标单位在上传电子投标文件时，需确保所上传的投标文件与招标文件第六章投标文件格式部分内容一致，不得有缺项、漏项。</w:t>
            </w:r>
          </w:p>
          <w:p w14:paraId="55EC5B9E">
            <w:pPr>
              <w:adjustRightInd w:val="0"/>
              <w:snapToGrid w:val="0"/>
              <w:spacing w:line="360" w:lineRule="auto"/>
              <w:rPr>
                <w:rFonts w:hint="eastAsia"/>
                <w:b/>
                <w:color w:val="auto"/>
                <w:sz w:val="21"/>
                <w:szCs w:val="21"/>
                <w:highlight w:val="none"/>
              </w:rPr>
            </w:pPr>
            <w:r>
              <w:rPr>
                <w:rFonts w:hint="eastAsia"/>
                <w:color w:val="auto"/>
                <w:sz w:val="21"/>
                <w:szCs w:val="21"/>
                <w:highlight w:val="none"/>
              </w:rPr>
              <w:t>27.2</w:t>
            </w:r>
            <w:r>
              <w:rPr>
                <w:color w:val="auto"/>
                <w:sz w:val="21"/>
                <w:szCs w:val="21"/>
                <w:highlight w:val="none"/>
              </w:rPr>
              <w:t>投标人必须保证在投标文件中所提供的商务文件及资格证明文件的有关材料及自身所做出的相关承诺的真实性，不得弄虚作假，若所供材料有弄虚作假，故意欺骗的情况，一经发现，则取消该投标人的投标资格。</w:t>
            </w:r>
          </w:p>
        </w:tc>
      </w:tr>
      <w:tr w14:paraId="634AC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894" w:type="dxa"/>
            <w:vAlign w:val="center"/>
          </w:tcPr>
          <w:p w14:paraId="3E301372">
            <w:pPr>
              <w:pStyle w:val="22"/>
              <w:rPr>
                <w:rFonts w:hint="eastAsia"/>
                <w:color w:val="auto"/>
                <w:highlight w:val="none"/>
              </w:rPr>
            </w:pPr>
            <w:r>
              <w:rPr>
                <w:rFonts w:hint="eastAsia"/>
                <w:color w:val="auto"/>
                <w:highlight w:val="none"/>
              </w:rPr>
              <w:t>28</w:t>
            </w:r>
          </w:p>
        </w:tc>
        <w:tc>
          <w:tcPr>
            <w:tcW w:w="8726" w:type="dxa"/>
            <w:gridSpan w:val="2"/>
          </w:tcPr>
          <w:p w14:paraId="5566C970">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因政策调整或其他不可抗力等特殊情况，导致合同无法继续履行的，采购人将不承担任何责任，供应商须自行承担风险。</w:t>
            </w:r>
          </w:p>
        </w:tc>
      </w:tr>
      <w:tr w14:paraId="2A8B4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jc w:val="center"/>
        </w:trPr>
        <w:tc>
          <w:tcPr>
            <w:tcW w:w="894" w:type="dxa"/>
            <w:vAlign w:val="center"/>
          </w:tcPr>
          <w:p w14:paraId="4637079B">
            <w:pPr>
              <w:pStyle w:val="22"/>
              <w:rPr>
                <w:rFonts w:hint="eastAsia"/>
                <w:color w:val="auto"/>
                <w:highlight w:val="none"/>
              </w:rPr>
            </w:pPr>
            <w:r>
              <w:rPr>
                <w:rFonts w:hint="eastAsia"/>
                <w:color w:val="auto"/>
                <w:highlight w:val="none"/>
              </w:rPr>
              <w:t>29</w:t>
            </w:r>
          </w:p>
        </w:tc>
        <w:tc>
          <w:tcPr>
            <w:tcW w:w="8726" w:type="dxa"/>
            <w:gridSpan w:val="2"/>
            <w:vAlign w:val="center"/>
          </w:tcPr>
          <w:p w14:paraId="5701180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面向中小企业预留项目：☑是 □否</w:t>
            </w:r>
          </w:p>
          <w:p w14:paraId="393DE49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为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40BAFB4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b/>
                <w:color w:val="auto"/>
                <w:sz w:val="21"/>
                <w:szCs w:val="21"/>
                <w:highlight w:val="none"/>
              </w:rPr>
            </w:pPr>
            <w:r>
              <w:rPr>
                <w:rFonts w:hint="eastAsia" w:ascii="宋体" w:hAnsi="宋体" w:eastAsia="宋体" w:cs="宋体"/>
                <w:color w:val="auto"/>
                <w:sz w:val="21"/>
                <w:szCs w:val="21"/>
                <w:highlight w:val="none"/>
              </w:rPr>
              <w:t>根据《工业和信息化部 国家统计局 国家发展和改革委员会 财政部关于印发中小企业划型标准规定的通知》（工信部联企业[2011]300号）规定的标准划分，</w:t>
            </w:r>
            <w:r>
              <w:rPr>
                <w:rFonts w:hint="eastAsia" w:ascii="宋体" w:hAnsi="宋体" w:eastAsia="宋体" w:cs="宋体"/>
                <w:b/>
                <w:bCs/>
                <w:color w:val="auto"/>
                <w:sz w:val="21"/>
                <w:szCs w:val="21"/>
                <w:highlight w:val="none"/>
              </w:rPr>
              <w:t>本项目所属行业：信息传输业。</w:t>
            </w:r>
          </w:p>
        </w:tc>
      </w:tr>
    </w:tbl>
    <w:p w14:paraId="3C5034C3">
      <w:pPr>
        <w:pStyle w:val="3"/>
        <w:snapToGrid w:val="0"/>
        <w:rPr>
          <w:rFonts w:hint="eastAsia"/>
          <w:color w:val="auto"/>
          <w:highlight w:val="none"/>
        </w:rPr>
      </w:pPr>
      <w:bookmarkStart w:id="29" w:name="_Toc451172697"/>
      <w:bookmarkStart w:id="30" w:name="_Toc24627"/>
      <w:r>
        <w:rPr>
          <w:rFonts w:hint="eastAsia"/>
          <w:color w:val="auto"/>
          <w:highlight w:val="none"/>
        </w:rPr>
        <w:t>一、总  则</w:t>
      </w:r>
      <w:bookmarkEnd w:id="26"/>
      <w:bookmarkEnd w:id="27"/>
      <w:bookmarkEnd w:id="29"/>
      <w:bookmarkEnd w:id="30"/>
    </w:p>
    <w:p w14:paraId="6C04EA03">
      <w:pPr>
        <w:adjustRightInd w:val="0"/>
        <w:snapToGrid w:val="0"/>
        <w:spacing w:line="360" w:lineRule="auto"/>
        <w:ind w:firstLine="480" w:firstLineChars="200"/>
        <w:rPr>
          <w:rFonts w:hint="eastAsia"/>
          <w:color w:val="auto"/>
          <w:spacing w:val="16"/>
          <w:highlight w:val="none"/>
        </w:rPr>
      </w:pPr>
      <w:r>
        <w:rPr>
          <w:rFonts w:hint="eastAsia"/>
          <w:color w:val="auto"/>
          <w:highlight w:val="none"/>
        </w:rPr>
        <w:t>1.采购人、</w:t>
      </w:r>
      <w:r>
        <w:rPr>
          <w:rFonts w:hint="eastAsia"/>
          <w:color w:val="auto"/>
          <w:spacing w:val="16"/>
          <w:highlight w:val="none"/>
        </w:rPr>
        <w:t>项目名称及项目编号，</w:t>
      </w:r>
      <w:r>
        <w:rPr>
          <w:rFonts w:hint="eastAsia"/>
          <w:color w:val="auto"/>
          <w:highlight w:val="none"/>
        </w:rPr>
        <w:t>详见招标文件“投标人须知前附表”。</w:t>
      </w:r>
    </w:p>
    <w:p w14:paraId="139278BE">
      <w:pPr>
        <w:adjustRightInd w:val="0"/>
        <w:snapToGrid w:val="0"/>
        <w:spacing w:line="360" w:lineRule="auto"/>
        <w:ind w:firstLine="480" w:firstLineChars="200"/>
        <w:rPr>
          <w:rFonts w:hint="eastAsia"/>
          <w:bCs/>
          <w:color w:val="auto"/>
          <w:highlight w:val="none"/>
        </w:rPr>
      </w:pPr>
      <w:r>
        <w:rPr>
          <w:rFonts w:hint="eastAsia"/>
          <w:bCs/>
          <w:color w:val="auto"/>
          <w:highlight w:val="none"/>
        </w:rPr>
        <w:t>2.资金来源：已落实。</w:t>
      </w:r>
    </w:p>
    <w:p w14:paraId="752ECA0A">
      <w:pPr>
        <w:adjustRightInd w:val="0"/>
        <w:snapToGrid w:val="0"/>
        <w:spacing w:line="360" w:lineRule="auto"/>
        <w:ind w:firstLine="480" w:firstLineChars="200"/>
        <w:rPr>
          <w:rFonts w:hint="eastAsia"/>
          <w:bCs/>
          <w:color w:val="auto"/>
          <w:highlight w:val="none"/>
        </w:rPr>
      </w:pPr>
      <w:r>
        <w:rPr>
          <w:rFonts w:hint="eastAsia"/>
          <w:bCs/>
          <w:color w:val="auto"/>
          <w:highlight w:val="none"/>
        </w:rPr>
        <w:t>3.采购需求</w:t>
      </w:r>
    </w:p>
    <w:p w14:paraId="1F09EA9B">
      <w:pPr>
        <w:adjustRightInd w:val="0"/>
        <w:snapToGrid w:val="0"/>
        <w:spacing w:line="360" w:lineRule="auto"/>
        <w:ind w:firstLine="480" w:firstLineChars="200"/>
        <w:rPr>
          <w:rFonts w:hint="eastAsia"/>
          <w:bCs/>
          <w:color w:val="auto"/>
          <w:highlight w:val="none"/>
        </w:rPr>
      </w:pPr>
      <w:r>
        <w:rPr>
          <w:rFonts w:hint="eastAsia"/>
          <w:bCs/>
          <w:color w:val="auto"/>
          <w:highlight w:val="none"/>
        </w:rPr>
        <w:t>3.1本项目采购需求：见“第四章 采购需求”。</w:t>
      </w:r>
    </w:p>
    <w:p w14:paraId="5A79F148">
      <w:pPr>
        <w:adjustRightInd w:val="0"/>
        <w:snapToGrid w:val="0"/>
        <w:spacing w:line="360" w:lineRule="auto"/>
        <w:ind w:firstLine="480" w:firstLineChars="200"/>
        <w:rPr>
          <w:rFonts w:hint="eastAsia"/>
          <w:bCs/>
          <w:color w:val="auto"/>
          <w:highlight w:val="none"/>
        </w:rPr>
      </w:pPr>
      <w:r>
        <w:rPr>
          <w:rFonts w:hint="eastAsia"/>
          <w:bCs/>
          <w:color w:val="auto"/>
          <w:highlight w:val="none"/>
        </w:rPr>
        <w:t>3.2本项目合同履行期限和及项目实施地点：见“投标人须知前附表”。</w:t>
      </w:r>
    </w:p>
    <w:p w14:paraId="132A411C">
      <w:pPr>
        <w:adjustRightInd w:val="0"/>
        <w:snapToGrid w:val="0"/>
        <w:spacing w:line="360" w:lineRule="auto"/>
        <w:ind w:firstLine="480" w:firstLineChars="200"/>
        <w:rPr>
          <w:rFonts w:hint="eastAsia"/>
          <w:bCs/>
          <w:color w:val="auto"/>
          <w:highlight w:val="none"/>
        </w:rPr>
      </w:pPr>
      <w:r>
        <w:rPr>
          <w:rFonts w:hint="eastAsia"/>
          <w:bCs/>
          <w:color w:val="auto"/>
          <w:highlight w:val="none"/>
        </w:rPr>
        <w:t>4.合格的投标人</w:t>
      </w:r>
    </w:p>
    <w:p w14:paraId="57107C81">
      <w:pPr>
        <w:adjustRightInd w:val="0"/>
        <w:snapToGrid w:val="0"/>
        <w:spacing w:line="360" w:lineRule="auto"/>
        <w:ind w:firstLine="480" w:firstLineChars="200"/>
        <w:rPr>
          <w:rFonts w:hint="eastAsia"/>
          <w:bCs/>
          <w:color w:val="auto"/>
          <w:highlight w:val="none"/>
        </w:rPr>
      </w:pPr>
      <w:r>
        <w:rPr>
          <w:rFonts w:hint="eastAsia"/>
          <w:bCs/>
          <w:color w:val="auto"/>
          <w:highlight w:val="none"/>
        </w:rPr>
        <w:t>4.1投标人应符合招标文件“投标人须知前附表”中规定的条件。</w:t>
      </w:r>
    </w:p>
    <w:p w14:paraId="2E853695">
      <w:pPr>
        <w:adjustRightInd w:val="0"/>
        <w:snapToGrid w:val="0"/>
        <w:spacing w:line="360" w:lineRule="auto"/>
        <w:ind w:firstLine="480" w:firstLineChars="200"/>
        <w:rPr>
          <w:rFonts w:hint="eastAsia"/>
          <w:bCs/>
          <w:color w:val="auto"/>
          <w:highlight w:val="none"/>
        </w:rPr>
      </w:pPr>
      <w:r>
        <w:rPr>
          <w:rFonts w:hint="eastAsia"/>
          <w:bCs/>
          <w:color w:val="auto"/>
          <w:highlight w:val="none"/>
        </w:rPr>
        <w:t>4.2单位负责人为同一人或者存在直接控股、管理关系的不同投标人，不得参加同一合同项下的政府采购活动。</w:t>
      </w:r>
    </w:p>
    <w:p w14:paraId="478BC42D">
      <w:pPr>
        <w:adjustRightInd w:val="0"/>
        <w:snapToGrid w:val="0"/>
        <w:spacing w:line="360" w:lineRule="auto"/>
        <w:ind w:firstLine="480" w:firstLineChars="200"/>
        <w:rPr>
          <w:rFonts w:hint="eastAsia"/>
          <w:bCs/>
          <w:color w:val="auto"/>
          <w:highlight w:val="none"/>
        </w:rPr>
      </w:pPr>
      <w:r>
        <w:rPr>
          <w:rFonts w:hint="eastAsia"/>
          <w:bCs/>
          <w:color w:val="auto"/>
          <w:highlight w:val="none"/>
        </w:rPr>
        <w:t>5.投标费用</w:t>
      </w:r>
    </w:p>
    <w:p w14:paraId="57F1C837">
      <w:pPr>
        <w:adjustRightInd w:val="0"/>
        <w:snapToGrid w:val="0"/>
        <w:spacing w:line="360" w:lineRule="auto"/>
        <w:ind w:firstLine="480" w:firstLineChars="200"/>
        <w:rPr>
          <w:rFonts w:hint="eastAsia"/>
          <w:color w:val="auto"/>
          <w:highlight w:val="none"/>
        </w:rPr>
      </w:pPr>
      <w:r>
        <w:rPr>
          <w:rFonts w:hint="eastAsia"/>
          <w:color w:val="auto"/>
          <w:highlight w:val="none"/>
        </w:rPr>
        <w:t>5.</w:t>
      </w:r>
      <w:r>
        <w:rPr>
          <w:color w:val="auto"/>
          <w:highlight w:val="none"/>
        </w:rPr>
        <w:t>1</w:t>
      </w:r>
      <w:r>
        <w:rPr>
          <w:rFonts w:hint="eastAsia"/>
          <w:color w:val="auto"/>
          <w:highlight w:val="none"/>
        </w:rPr>
        <w:t>不论投标结果如何，投标人均应自行承担所有与编写和提交投标文件有关的全部费用。</w:t>
      </w:r>
    </w:p>
    <w:p w14:paraId="719AC5F6">
      <w:pPr>
        <w:adjustRightInd w:val="0"/>
        <w:snapToGrid w:val="0"/>
        <w:spacing w:line="360" w:lineRule="auto"/>
        <w:ind w:firstLine="482" w:firstLineChars="200"/>
        <w:rPr>
          <w:rFonts w:hint="eastAsia"/>
          <w:b/>
          <w:bCs/>
          <w:color w:val="auto"/>
          <w:highlight w:val="none"/>
        </w:rPr>
      </w:pPr>
      <w:r>
        <w:rPr>
          <w:rFonts w:hint="eastAsia"/>
          <w:b/>
          <w:bCs/>
          <w:color w:val="auto"/>
          <w:highlight w:val="none"/>
        </w:rPr>
        <w:t>5.2</w:t>
      </w:r>
      <w:bookmarkStart w:id="31" w:name="_Toc12844"/>
      <w:bookmarkStart w:id="32" w:name="_Toc451172698"/>
      <w:bookmarkStart w:id="33" w:name="_Toc18623"/>
      <w:r>
        <w:rPr>
          <w:rFonts w:hint="eastAsia"/>
          <w:b/>
          <w:bCs/>
          <w:color w:val="auto"/>
          <w:highlight w:val="none"/>
        </w:rPr>
        <w:t>本项目中标服务费：中标供应商须向采购代理机构支付中标服务费（采购代理服务费，下同），按计价格[2002]1980号文件及发改价格[2015]299号文件服务收费标准基准收费率下浮30%收取[注:委托代理服务项目，当采购预算金额&lt;10万元时，招标代理费用按1200.00元包干计取；当采购预算金额≥10万元时，则以成交人实际完成的招标代理工作的中标(成交)金额为基数，按照《招标代理服务收费管理暂行办法》(计价格[2002)〕1980号)规定的计费方法、招标采购类别、合同执行优惠费率计算，计算后不足3000.00元的，按3000.00元结算】。</w:t>
      </w:r>
    </w:p>
    <w:p w14:paraId="1AB5B5D7">
      <w:pPr>
        <w:adjustRightInd w:val="0"/>
        <w:snapToGrid w:val="0"/>
        <w:spacing w:line="360" w:lineRule="auto"/>
        <w:ind w:firstLine="482" w:firstLineChars="200"/>
        <w:rPr>
          <w:rFonts w:hint="eastAsia"/>
          <w:b/>
          <w:bCs/>
          <w:color w:val="auto"/>
          <w:highlight w:val="none"/>
        </w:rPr>
      </w:pPr>
      <w:r>
        <w:rPr>
          <w:rFonts w:hint="eastAsia"/>
          <w:b/>
          <w:bCs/>
          <w:color w:val="auto"/>
          <w:highlight w:val="none"/>
        </w:rPr>
        <w:t>5.3中标服务费的缴纳形式：向采购代理机构直接缴纳中标服务费，可用现金、银行转账或电汇的付款方式，中标服务费缴纳账户信息：</w:t>
      </w:r>
    </w:p>
    <w:p w14:paraId="480DAD08">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账户名称：云南中诏项目管理有限公司</w:t>
      </w:r>
    </w:p>
    <w:p w14:paraId="4FB3E106">
      <w:pPr>
        <w:adjustRightInd w:val="0"/>
        <w:snapToGrid w:val="0"/>
        <w:spacing w:line="360" w:lineRule="auto"/>
        <w:ind w:firstLine="482" w:firstLineChars="200"/>
        <w:rPr>
          <w:rFonts w:hint="eastAsia"/>
          <w:b/>
          <w:bCs/>
          <w:color w:val="auto"/>
          <w:highlight w:val="none"/>
        </w:rPr>
      </w:pPr>
      <w:r>
        <w:rPr>
          <w:rFonts w:hint="eastAsia"/>
          <w:b/>
          <w:bCs/>
          <w:color w:val="auto"/>
          <w:highlight w:val="none"/>
        </w:rPr>
        <w:t>开户银行：云南红塔银行股份有限公司万商汇支行</w:t>
      </w:r>
    </w:p>
    <w:p w14:paraId="42CC8A35">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账号：3201520000000038</w:t>
      </w:r>
    </w:p>
    <w:p w14:paraId="3BDEE3BA">
      <w:pPr>
        <w:adjustRightInd w:val="0"/>
        <w:snapToGrid w:val="0"/>
        <w:spacing w:line="360" w:lineRule="auto"/>
        <w:ind w:firstLine="482" w:firstLineChars="200"/>
        <w:rPr>
          <w:rFonts w:hint="eastAsia"/>
          <w:b/>
          <w:bCs/>
          <w:color w:val="auto"/>
          <w:highlight w:val="none"/>
        </w:rPr>
      </w:pPr>
      <w:r>
        <w:rPr>
          <w:rFonts w:hint="eastAsia"/>
          <w:b/>
          <w:bCs/>
          <w:color w:val="auto"/>
          <w:highlight w:val="none"/>
        </w:rPr>
        <w:t>联系电话：13187714881</w:t>
      </w:r>
    </w:p>
    <w:p w14:paraId="70D3338E">
      <w:pPr>
        <w:pStyle w:val="3"/>
        <w:snapToGrid w:val="0"/>
        <w:rPr>
          <w:rFonts w:hint="eastAsia"/>
          <w:color w:val="auto"/>
          <w:highlight w:val="none"/>
        </w:rPr>
      </w:pPr>
      <w:bookmarkStart w:id="34" w:name="_Toc3240"/>
      <w:r>
        <w:rPr>
          <w:rFonts w:hint="eastAsia"/>
          <w:color w:val="auto"/>
          <w:highlight w:val="none"/>
        </w:rPr>
        <w:t>二、招标文件</w:t>
      </w:r>
      <w:bookmarkEnd w:id="31"/>
      <w:bookmarkEnd w:id="32"/>
      <w:bookmarkEnd w:id="33"/>
      <w:bookmarkEnd w:id="34"/>
    </w:p>
    <w:p w14:paraId="716DB862">
      <w:pPr>
        <w:adjustRightInd w:val="0"/>
        <w:snapToGrid w:val="0"/>
        <w:spacing w:line="360" w:lineRule="auto"/>
        <w:ind w:firstLine="480" w:firstLineChars="200"/>
        <w:rPr>
          <w:rFonts w:hint="eastAsia"/>
          <w:color w:val="auto"/>
          <w:highlight w:val="none"/>
        </w:rPr>
      </w:pPr>
      <w:r>
        <w:rPr>
          <w:rFonts w:hint="eastAsia"/>
          <w:color w:val="auto"/>
          <w:highlight w:val="none"/>
        </w:rPr>
        <w:t>6.招标文件构成</w:t>
      </w:r>
    </w:p>
    <w:p w14:paraId="194773BA">
      <w:pPr>
        <w:snapToGrid w:val="0"/>
        <w:spacing w:line="360" w:lineRule="auto"/>
        <w:ind w:firstLine="480" w:firstLineChars="200"/>
        <w:contextualSpacing/>
        <w:rPr>
          <w:rFonts w:hint="eastAsia"/>
          <w:color w:val="auto"/>
          <w:highlight w:val="none"/>
        </w:rPr>
      </w:pPr>
      <w:r>
        <w:rPr>
          <w:rFonts w:hint="eastAsia"/>
          <w:color w:val="auto"/>
          <w:highlight w:val="none"/>
        </w:rPr>
        <w:t>6.1要求提供的采购内容及要求、采购过程及合同条款在招标文件中均有说明，招标文件共六章，各章的内容如下：</w:t>
      </w:r>
    </w:p>
    <w:p w14:paraId="652F5E3D">
      <w:pPr>
        <w:snapToGrid w:val="0"/>
        <w:spacing w:line="360" w:lineRule="auto"/>
        <w:ind w:firstLine="480" w:firstLineChars="200"/>
        <w:contextualSpacing/>
        <w:rPr>
          <w:rFonts w:hint="eastAsia"/>
          <w:color w:val="auto"/>
          <w:highlight w:val="none"/>
        </w:rPr>
      </w:pPr>
      <w:r>
        <w:rPr>
          <w:rFonts w:hint="eastAsia"/>
          <w:color w:val="auto"/>
          <w:highlight w:val="none"/>
        </w:rPr>
        <w:t>第一章  招标公告</w:t>
      </w:r>
    </w:p>
    <w:p w14:paraId="653F48C9">
      <w:pPr>
        <w:snapToGrid w:val="0"/>
        <w:spacing w:line="360" w:lineRule="auto"/>
        <w:ind w:firstLine="480" w:firstLineChars="200"/>
        <w:contextualSpacing/>
        <w:rPr>
          <w:rFonts w:hint="eastAsia"/>
          <w:color w:val="auto"/>
          <w:highlight w:val="none"/>
        </w:rPr>
      </w:pPr>
      <w:r>
        <w:rPr>
          <w:rFonts w:hint="eastAsia"/>
          <w:color w:val="auto"/>
          <w:highlight w:val="none"/>
        </w:rPr>
        <w:t>第二章  投标人须知</w:t>
      </w:r>
    </w:p>
    <w:p w14:paraId="47D8462C">
      <w:pPr>
        <w:snapToGrid w:val="0"/>
        <w:spacing w:line="360" w:lineRule="auto"/>
        <w:ind w:firstLine="480" w:firstLineChars="200"/>
        <w:contextualSpacing/>
        <w:rPr>
          <w:rFonts w:hint="eastAsia"/>
          <w:color w:val="auto"/>
          <w:highlight w:val="none"/>
        </w:rPr>
      </w:pPr>
      <w:r>
        <w:rPr>
          <w:rFonts w:hint="eastAsia"/>
          <w:color w:val="auto"/>
          <w:highlight w:val="none"/>
        </w:rPr>
        <w:t>第三章  评标办法</w:t>
      </w:r>
    </w:p>
    <w:p w14:paraId="4F08E930">
      <w:pPr>
        <w:snapToGrid w:val="0"/>
        <w:spacing w:line="360" w:lineRule="auto"/>
        <w:ind w:firstLine="480" w:firstLineChars="200"/>
        <w:contextualSpacing/>
        <w:rPr>
          <w:rFonts w:hint="eastAsia"/>
          <w:color w:val="auto"/>
          <w:highlight w:val="none"/>
        </w:rPr>
      </w:pPr>
      <w:r>
        <w:rPr>
          <w:rFonts w:hint="eastAsia"/>
          <w:color w:val="auto"/>
          <w:highlight w:val="none"/>
        </w:rPr>
        <w:t>第四章  采购需求</w:t>
      </w:r>
    </w:p>
    <w:p w14:paraId="23E6C329">
      <w:pPr>
        <w:snapToGrid w:val="0"/>
        <w:spacing w:line="360" w:lineRule="auto"/>
        <w:ind w:firstLine="480" w:firstLineChars="200"/>
        <w:contextualSpacing/>
        <w:rPr>
          <w:rFonts w:hint="eastAsia"/>
          <w:color w:val="auto"/>
          <w:highlight w:val="none"/>
        </w:rPr>
      </w:pPr>
      <w:r>
        <w:rPr>
          <w:rFonts w:hint="eastAsia"/>
          <w:color w:val="auto"/>
          <w:highlight w:val="none"/>
        </w:rPr>
        <w:t>第五章  合同书样式及主要条款</w:t>
      </w:r>
    </w:p>
    <w:p w14:paraId="66D9C4DF">
      <w:pPr>
        <w:snapToGrid w:val="0"/>
        <w:spacing w:line="360" w:lineRule="auto"/>
        <w:ind w:firstLine="480" w:firstLineChars="200"/>
        <w:contextualSpacing/>
        <w:rPr>
          <w:rFonts w:hint="eastAsia"/>
          <w:color w:val="auto"/>
          <w:highlight w:val="none"/>
        </w:rPr>
      </w:pPr>
      <w:r>
        <w:rPr>
          <w:rFonts w:hint="eastAsia"/>
          <w:color w:val="auto"/>
          <w:highlight w:val="none"/>
        </w:rPr>
        <w:t>第六章  投标文件格式</w:t>
      </w:r>
    </w:p>
    <w:p w14:paraId="4B629C11">
      <w:pPr>
        <w:snapToGrid w:val="0"/>
        <w:spacing w:line="360" w:lineRule="auto"/>
        <w:ind w:firstLine="480" w:firstLineChars="200"/>
        <w:contextualSpacing/>
        <w:rPr>
          <w:rFonts w:hint="eastAsia"/>
          <w:color w:val="auto"/>
          <w:highlight w:val="none"/>
        </w:rPr>
      </w:pPr>
      <w:r>
        <w:rPr>
          <w:rFonts w:hint="eastAsia"/>
          <w:color w:val="auto"/>
          <w:highlight w:val="none"/>
        </w:rPr>
        <w:t>7.招标文件的澄清</w:t>
      </w:r>
    </w:p>
    <w:p w14:paraId="210A1816">
      <w:pPr>
        <w:snapToGrid w:val="0"/>
        <w:spacing w:line="360" w:lineRule="auto"/>
        <w:ind w:firstLine="480" w:firstLineChars="200"/>
        <w:contextualSpacing/>
        <w:rPr>
          <w:rFonts w:hint="eastAsia"/>
          <w:color w:val="auto"/>
          <w:highlight w:val="none"/>
        </w:rPr>
      </w:pPr>
      <w:r>
        <w:rPr>
          <w:rFonts w:hint="eastAsia"/>
          <w:color w:val="auto"/>
          <w:highlight w:val="none"/>
        </w:rPr>
        <w:t>7.1投标人应认真审核招标文件中的采购内容及要求，如发现文件中采购内容及要求不合理的及对招标文件存在异议等，投标人必须在收到招标文件后到“投标人须知前附表”规定截止时间前</w:t>
      </w:r>
      <w:r>
        <w:rPr>
          <w:color w:val="auto"/>
          <w:highlight w:val="none"/>
        </w:rPr>
        <w:t>登录</w:t>
      </w:r>
      <w:r>
        <w:rPr>
          <w:rFonts w:hint="eastAsia"/>
          <w:color w:val="auto"/>
          <w:highlight w:val="none"/>
        </w:rPr>
        <w:t>政采云平台（</w:t>
      </w:r>
      <w:r>
        <w:rPr>
          <w:color w:val="auto"/>
          <w:highlight w:val="none"/>
        </w:rPr>
        <w:t>http：//www.zcygov.cn），通过网络在线方式向</w:t>
      </w:r>
      <w:r>
        <w:rPr>
          <w:rFonts w:hint="eastAsia"/>
          <w:color w:val="auto"/>
          <w:highlight w:val="none"/>
        </w:rPr>
        <w:t>采购</w:t>
      </w:r>
      <w:r>
        <w:rPr>
          <w:color w:val="auto"/>
          <w:highlight w:val="none"/>
        </w:rPr>
        <w:t>人或</w:t>
      </w:r>
      <w:r>
        <w:rPr>
          <w:rFonts w:hint="eastAsia"/>
          <w:color w:val="auto"/>
          <w:highlight w:val="none"/>
        </w:rPr>
        <w:t>采购</w:t>
      </w:r>
      <w:r>
        <w:rPr>
          <w:color w:val="auto"/>
          <w:highlight w:val="none"/>
        </w:rPr>
        <w:t>代理进行提问，</w:t>
      </w:r>
      <w:r>
        <w:rPr>
          <w:rFonts w:hint="eastAsia"/>
          <w:color w:val="auto"/>
          <w:highlight w:val="none"/>
        </w:rPr>
        <w:t>采购</w:t>
      </w:r>
      <w:r>
        <w:rPr>
          <w:color w:val="auto"/>
          <w:highlight w:val="none"/>
        </w:rPr>
        <w:t>人统一解答后回复所有接收了招标文件的投标人</w:t>
      </w:r>
      <w:r>
        <w:rPr>
          <w:rFonts w:hint="eastAsia"/>
          <w:color w:val="auto"/>
          <w:highlight w:val="none"/>
        </w:rPr>
        <w:t>，否则，由此产生的后果由投标人负责。</w:t>
      </w:r>
    </w:p>
    <w:p w14:paraId="1B4ACAA7">
      <w:pPr>
        <w:snapToGrid w:val="0"/>
        <w:spacing w:line="360" w:lineRule="auto"/>
        <w:ind w:firstLine="480" w:firstLineChars="200"/>
        <w:contextualSpacing/>
        <w:rPr>
          <w:rFonts w:hint="eastAsia"/>
          <w:color w:val="auto"/>
          <w:highlight w:val="none"/>
        </w:rPr>
      </w:pPr>
      <w:r>
        <w:rPr>
          <w:rFonts w:hint="eastAsia"/>
          <w:color w:val="auto"/>
          <w:highlight w:val="none"/>
        </w:rPr>
        <w:t>7.2招标代理机构将以书面形式答复所有购买招标文件的投标人（答复中不包含问题的来源）要求澄清的问题，其他澄清方式为无效。</w:t>
      </w:r>
    </w:p>
    <w:p w14:paraId="1F4D2729">
      <w:pPr>
        <w:snapToGrid w:val="0"/>
        <w:spacing w:line="360" w:lineRule="auto"/>
        <w:ind w:firstLine="480" w:firstLineChars="200"/>
        <w:contextualSpacing/>
        <w:rPr>
          <w:rFonts w:hint="eastAsia"/>
          <w:color w:val="auto"/>
          <w:highlight w:val="none"/>
        </w:rPr>
      </w:pPr>
      <w:r>
        <w:rPr>
          <w:rFonts w:hint="eastAsia"/>
          <w:color w:val="auto"/>
          <w:highlight w:val="none"/>
        </w:rPr>
        <w:t>8.招标文件的修改</w:t>
      </w:r>
    </w:p>
    <w:p w14:paraId="6DE4161A">
      <w:pPr>
        <w:snapToGrid w:val="0"/>
        <w:spacing w:line="360" w:lineRule="auto"/>
        <w:ind w:firstLine="480" w:firstLineChars="200"/>
        <w:contextualSpacing/>
        <w:rPr>
          <w:rFonts w:hint="eastAsia"/>
          <w:color w:val="auto"/>
          <w:highlight w:val="none"/>
        </w:rPr>
      </w:pPr>
      <w:r>
        <w:rPr>
          <w:rFonts w:hint="eastAsia"/>
          <w:color w:val="auto"/>
          <w:highlight w:val="none"/>
        </w:rPr>
        <w:t>8.1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6230C4DA">
      <w:pPr>
        <w:snapToGrid w:val="0"/>
        <w:spacing w:line="360" w:lineRule="auto"/>
        <w:ind w:firstLine="480" w:firstLineChars="200"/>
        <w:contextualSpacing/>
        <w:rPr>
          <w:rFonts w:hint="eastAsia"/>
          <w:color w:val="auto"/>
          <w:highlight w:val="none"/>
        </w:rPr>
      </w:pPr>
      <w:r>
        <w:rPr>
          <w:rFonts w:hint="eastAsia"/>
          <w:color w:val="auto"/>
          <w:highlight w:val="none"/>
        </w:rPr>
        <w:t>8.2采购代理机构和采购单位可以视采购具体情况，延长投标截止时间和开标时间，采购人或代理机构将变更时间以书面通知所有招标文件收受人，并在财政部门指定的政府采购信息发布媒体上发布变更公告。</w:t>
      </w:r>
    </w:p>
    <w:p w14:paraId="03FCBE22">
      <w:pPr>
        <w:pStyle w:val="3"/>
        <w:snapToGrid w:val="0"/>
        <w:rPr>
          <w:rFonts w:hint="eastAsia"/>
          <w:color w:val="auto"/>
          <w:highlight w:val="none"/>
        </w:rPr>
      </w:pPr>
      <w:bookmarkStart w:id="35" w:name="_Toc25751"/>
      <w:bookmarkStart w:id="36" w:name="_Toc26938"/>
      <w:bookmarkStart w:id="37" w:name="_Toc9491"/>
      <w:bookmarkStart w:id="38" w:name="_Toc451172699"/>
      <w:r>
        <w:rPr>
          <w:rFonts w:hint="eastAsia"/>
          <w:color w:val="auto"/>
          <w:highlight w:val="none"/>
        </w:rPr>
        <w:t>三、投标文件的编制</w:t>
      </w:r>
      <w:bookmarkEnd w:id="35"/>
      <w:bookmarkEnd w:id="36"/>
      <w:bookmarkEnd w:id="37"/>
      <w:bookmarkEnd w:id="38"/>
    </w:p>
    <w:p w14:paraId="1216D726">
      <w:pPr>
        <w:snapToGrid w:val="0"/>
        <w:spacing w:line="360" w:lineRule="auto"/>
        <w:ind w:firstLine="480" w:firstLineChars="200"/>
        <w:contextualSpacing/>
        <w:rPr>
          <w:rFonts w:hint="eastAsia"/>
          <w:bCs/>
          <w:color w:val="auto"/>
          <w:highlight w:val="none"/>
        </w:rPr>
      </w:pPr>
      <w:r>
        <w:rPr>
          <w:rFonts w:hint="eastAsia"/>
          <w:bCs/>
          <w:color w:val="auto"/>
          <w:highlight w:val="none"/>
        </w:rPr>
        <w:t>9.投标文件编写注意事项</w:t>
      </w:r>
    </w:p>
    <w:p w14:paraId="11489A82">
      <w:pPr>
        <w:snapToGrid w:val="0"/>
        <w:spacing w:line="360" w:lineRule="auto"/>
        <w:ind w:firstLine="480" w:firstLineChars="200"/>
        <w:contextualSpacing/>
        <w:rPr>
          <w:rFonts w:hint="eastAsia"/>
          <w:bCs/>
          <w:color w:val="auto"/>
          <w:highlight w:val="none"/>
        </w:rPr>
      </w:pPr>
      <w:r>
        <w:rPr>
          <w:rFonts w:hint="eastAsia"/>
          <w:bCs/>
          <w:color w:val="auto"/>
          <w:highlight w:val="none"/>
        </w:rPr>
        <w:t>9.1投标人应仔细阅读招标文件，在完全了解采购的内容、技术要求(详见“采购内容及要求”)和商务条件后，编写投标文件。如果没有按照招标文件要求提交全部投标文件或者资料，没有对招标文件的实质性要求和条件作出响应是投标人的风险，并可能导致该投标被拒绝。</w:t>
      </w:r>
    </w:p>
    <w:p w14:paraId="295C2E91">
      <w:pPr>
        <w:snapToGrid w:val="0"/>
        <w:spacing w:line="360" w:lineRule="auto"/>
        <w:ind w:firstLine="480" w:firstLineChars="200"/>
        <w:contextualSpacing/>
        <w:rPr>
          <w:rFonts w:hint="eastAsia"/>
          <w:bCs/>
          <w:color w:val="auto"/>
          <w:highlight w:val="none"/>
        </w:rPr>
      </w:pPr>
      <w:r>
        <w:rPr>
          <w:rFonts w:hint="eastAsia"/>
          <w:bCs/>
          <w:color w:val="auto"/>
          <w:highlight w:val="none"/>
        </w:rPr>
        <w:t>9.2对招标文件提出的实质性要求和条件作出响应是指投标人必须对招标文件中标明实质性要求和条件的采购需求、合同主要条款及其它要求等内容作出满足或者优于原要求和条件的承诺。</w:t>
      </w:r>
    </w:p>
    <w:p w14:paraId="50733323">
      <w:pPr>
        <w:snapToGrid w:val="0"/>
        <w:spacing w:line="360" w:lineRule="auto"/>
        <w:ind w:firstLine="480" w:firstLineChars="200"/>
        <w:contextualSpacing/>
        <w:rPr>
          <w:rFonts w:hint="eastAsia"/>
          <w:bCs/>
          <w:color w:val="auto"/>
          <w:highlight w:val="none"/>
        </w:rPr>
      </w:pPr>
      <w:r>
        <w:rPr>
          <w:rFonts w:hint="eastAsia"/>
          <w:bCs/>
          <w:color w:val="auto"/>
          <w:highlight w:val="none"/>
        </w:rPr>
        <w:t>9.3投标人应保证所提供资料的真实有效，如因资料弄虚作假所引起的一切后果由投标人自行承担。</w:t>
      </w:r>
    </w:p>
    <w:p w14:paraId="6E7DA3F9">
      <w:pPr>
        <w:adjustRightInd w:val="0"/>
        <w:snapToGrid w:val="0"/>
        <w:spacing w:line="360" w:lineRule="auto"/>
        <w:ind w:firstLine="480" w:firstLineChars="200"/>
        <w:rPr>
          <w:rFonts w:hint="eastAsia"/>
          <w:bCs/>
          <w:color w:val="auto"/>
          <w:highlight w:val="none"/>
        </w:rPr>
      </w:pPr>
      <w:r>
        <w:rPr>
          <w:rFonts w:hint="eastAsia"/>
          <w:bCs/>
          <w:color w:val="auto"/>
          <w:highlight w:val="none"/>
        </w:rPr>
        <w:t>10.投标的语言及计量单位</w:t>
      </w:r>
    </w:p>
    <w:p w14:paraId="650874A0">
      <w:pPr>
        <w:adjustRightInd w:val="0"/>
        <w:snapToGrid w:val="0"/>
        <w:spacing w:line="360" w:lineRule="auto"/>
        <w:ind w:firstLine="480" w:firstLineChars="200"/>
        <w:rPr>
          <w:rFonts w:hint="eastAsia"/>
          <w:bCs/>
          <w:color w:val="auto"/>
          <w:highlight w:val="none"/>
        </w:rPr>
      </w:pPr>
      <w:r>
        <w:rPr>
          <w:rFonts w:hint="eastAsia"/>
          <w:bCs/>
          <w:color w:val="auto"/>
          <w:highlight w:val="none"/>
        </w:rPr>
        <w:t>10.1投标人的投标文件以及投标人与代理机构就有关投标的所有来往函电统一使用中文（特别规定除外）。</w:t>
      </w:r>
    </w:p>
    <w:p w14:paraId="106F10FE">
      <w:pPr>
        <w:adjustRightInd w:val="0"/>
        <w:snapToGrid w:val="0"/>
        <w:spacing w:line="360" w:lineRule="auto"/>
        <w:ind w:firstLine="480" w:firstLineChars="200"/>
        <w:rPr>
          <w:rFonts w:hint="eastAsia"/>
          <w:bCs/>
          <w:color w:val="auto"/>
          <w:highlight w:val="none"/>
        </w:rPr>
      </w:pPr>
      <w:r>
        <w:rPr>
          <w:rFonts w:hint="eastAsia"/>
          <w:bCs/>
          <w:color w:val="auto"/>
          <w:highlight w:val="none"/>
        </w:rPr>
        <w:t>10.2投标文件中使用的计量单位除招标文件中有特殊规定外，一律使用中国法定计量单位。</w:t>
      </w:r>
    </w:p>
    <w:p w14:paraId="0FEBA536">
      <w:pPr>
        <w:adjustRightInd w:val="0"/>
        <w:snapToGrid w:val="0"/>
        <w:spacing w:line="360" w:lineRule="auto"/>
        <w:ind w:firstLine="480" w:firstLineChars="200"/>
        <w:rPr>
          <w:rFonts w:hint="eastAsia"/>
          <w:bCs/>
          <w:color w:val="auto"/>
          <w:highlight w:val="none"/>
        </w:rPr>
      </w:pPr>
      <w:r>
        <w:rPr>
          <w:rFonts w:hint="eastAsia"/>
          <w:bCs/>
          <w:color w:val="auto"/>
          <w:highlight w:val="none"/>
        </w:rPr>
        <w:t>11.投标文件构成</w:t>
      </w:r>
    </w:p>
    <w:p w14:paraId="5E2DC04A">
      <w:pPr>
        <w:adjustRightInd w:val="0"/>
        <w:snapToGrid w:val="0"/>
        <w:spacing w:line="360" w:lineRule="auto"/>
        <w:ind w:firstLine="480" w:firstLineChars="200"/>
        <w:rPr>
          <w:rFonts w:hint="eastAsia"/>
          <w:bCs/>
          <w:color w:val="auto"/>
          <w:highlight w:val="none"/>
        </w:rPr>
      </w:pPr>
      <w:r>
        <w:rPr>
          <w:rFonts w:hint="eastAsia"/>
          <w:bCs/>
          <w:color w:val="auto"/>
          <w:highlight w:val="none"/>
        </w:rPr>
        <w:t>11.1投标人编写的投标文件应由投标文件格式部分构成。有关文件的提交如未特别注明需提供原件的，可提供复印件。</w:t>
      </w:r>
    </w:p>
    <w:p w14:paraId="1C36AF27">
      <w:pPr>
        <w:adjustRightInd w:val="0"/>
        <w:snapToGrid w:val="0"/>
        <w:spacing w:line="360" w:lineRule="auto"/>
        <w:ind w:firstLine="480" w:firstLineChars="200"/>
        <w:rPr>
          <w:rFonts w:hint="eastAsia"/>
          <w:bCs/>
          <w:color w:val="auto"/>
          <w:highlight w:val="none"/>
        </w:rPr>
      </w:pPr>
      <w:r>
        <w:rPr>
          <w:rFonts w:hint="eastAsia"/>
          <w:bCs/>
          <w:color w:val="auto"/>
          <w:highlight w:val="none"/>
        </w:rPr>
        <w:t>12.投标文件的格式要求</w:t>
      </w:r>
    </w:p>
    <w:p w14:paraId="78EA1D9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2</w:t>
      </w:r>
      <w:r>
        <w:rPr>
          <w:rFonts w:hint="eastAsia"/>
          <w:color w:val="auto"/>
          <w:highlight w:val="none"/>
        </w:rPr>
        <w:t>.1投标人应按第六章“投标文件格式”提供的格式完整地填写。</w:t>
      </w:r>
    </w:p>
    <w:p w14:paraId="487E336C">
      <w:pPr>
        <w:adjustRightInd w:val="0"/>
        <w:snapToGrid w:val="0"/>
        <w:spacing w:line="360" w:lineRule="auto"/>
        <w:ind w:firstLine="480" w:firstLineChars="200"/>
        <w:rPr>
          <w:rFonts w:hint="eastAsia"/>
          <w:bCs/>
          <w:color w:val="auto"/>
          <w:highlight w:val="none"/>
        </w:rPr>
      </w:pPr>
      <w:r>
        <w:rPr>
          <w:rFonts w:hint="eastAsia"/>
          <w:bCs/>
          <w:color w:val="auto"/>
          <w:highlight w:val="none"/>
        </w:rPr>
        <w:t>13.投标报价</w:t>
      </w:r>
    </w:p>
    <w:p w14:paraId="2C87A2F5">
      <w:pPr>
        <w:snapToGrid w:val="0"/>
        <w:spacing w:line="360" w:lineRule="auto"/>
        <w:ind w:firstLine="480" w:firstLineChars="200"/>
        <w:contextualSpacing/>
        <w:rPr>
          <w:rFonts w:hint="eastAsia"/>
          <w:color w:val="auto"/>
          <w:highlight w:val="none"/>
        </w:rPr>
      </w:pPr>
      <w:r>
        <w:rPr>
          <w:color w:val="auto"/>
          <w:highlight w:val="none"/>
        </w:rPr>
        <w:t>13.1投标人应按招标文件规定的报价格式进行投标报价。投标文件只允许有一个报价，任何有选择性的报价将不予接受。投标人的投标报价超出</w:t>
      </w:r>
      <w:r>
        <w:rPr>
          <w:rFonts w:hint="eastAsia"/>
          <w:color w:val="auto"/>
          <w:highlight w:val="none"/>
        </w:rPr>
        <w:t>最高限</w:t>
      </w:r>
      <w:r>
        <w:rPr>
          <w:color w:val="auto"/>
          <w:highlight w:val="none"/>
        </w:rPr>
        <w:t>价按无效标处理。</w:t>
      </w:r>
    </w:p>
    <w:p w14:paraId="6A8359FB">
      <w:pPr>
        <w:snapToGrid w:val="0"/>
        <w:spacing w:line="360" w:lineRule="auto"/>
        <w:ind w:firstLine="482" w:firstLineChars="200"/>
        <w:contextualSpacing/>
        <w:rPr>
          <w:rFonts w:hint="eastAsia"/>
          <w:b/>
          <w:bCs/>
          <w:color w:val="auto"/>
          <w:highlight w:val="none"/>
        </w:rPr>
      </w:pPr>
      <w:r>
        <w:rPr>
          <w:b/>
          <w:bCs/>
          <w:color w:val="auto"/>
          <w:highlight w:val="none"/>
        </w:rPr>
        <w:t>13.2</w:t>
      </w:r>
      <w:r>
        <w:rPr>
          <w:rFonts w:hint="eastAsia"/>
          <w:b/>
          <w:bCs/>
          <w:color w:val="auto"/>
          <w:highlight w:val="none"/>
        </w:rPr>
        <w:t>报价方式：总价包干，供应商结合采购需求及企业履约能力综合填写报价；投标人投标报价不得超过采购人的采购预算价，否则视为无效标</w:t>
      </w:r>
      <w:r>
        <w:rPr>
          <w:b/>
          <w:bCs/>
          <w:color w:val="auto"/>
          <w:highlight w:val="none"/>
        </w:rPr>
        <w:t>。</w:t>
      </w:r>
    </w:p>
    <w:p w14:paraId="4C1FEF3D">
      <w:pPr>
        <w:snapToGrid w:val="0"/>
        <w:spacing w:line="360" w:lineRule="auto"/>
        <w:ind w:firstLine="480" w:firstLineChars="200"/>
        <w:contextualSpacing/>
        <w:rPr>
          <w:rFonts w:hint="eastAsia"/>
          <w:color w:val="auto"/>
          <w:highlight w:val="none"/>
        </w:rPr>
      </w:pPr>
      <w:r>
        <w:rPr>
          <w:color w:val="auto"/>
          <w:highlight w:val="none"/>
        </w:rPr>
        <w:t>13.3招标采购单位不接受备选方案。</w:t>
      </w:r>
    </w:p>
    <w:p w14:paraId="0029D713">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4</w:t>
      </w:r>
      <w:r>
        <w:rPr>
          <w:rFonts w:cs="Times New Roman"/>
          <w:bCs/>
          <w:color w:val="auto"/>
          <w:kern w:val="2"/>
          <w:highlight w:val="none"/>
        </w:rPr>
        <w:t>投标文件中的单价、合价、总价全部采用人民币表示。</w:t>
      </w:r>
    </w:p>
    <w:p w14:paraId="602C9432">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5</w:t>
      </w:r>
      <w:r>
        <w:rPr>
          <w:rFonts w:cs="Times New Roman"/>
          <w:bCs/>
          <w:color w:val="auto"/>
          <w:kern w:val="2"/>
          <w:highlight w:val="none"/>
        </w:rPr>
        <w:t>漏报的单价或每项单价报价中漏报、少报的费用，视为此项费用已隐含在投标报价中，中标后不得再向招标人收取任何费用。</w:t>
      </w:r>
    </w:p>
    <w:p w14:paraId="293E2705">
      <w:pPr>
        <w:adjustRightInd w:val="0"/>
        <w:snapToGrid w:val="0"/>
        <w:spacing w:line="360" w:lineRule="auto"/>
        <w:ind w:firstLine="480" w:firstLineChars="200"/>
        <w:rPr>
          <w:rFonts w:hint="eastAsia"/>
          <w:bCs/>
          <w:color w:val="auto"/>
          <w:highlight w:val="none"/>
        </w:rPr>
      </w:pPr>
      <w:r>
        <w:rPr>
          <w:rFonts w:hint="eastAsia"/>
          <w:bCs/>
          <w:color w:val="auto"/>
          <w:highlight w:val="none"/>
        </w:rPr>
        <w:t>14.投标货币</w:t>
      </w:r>
    </w:p>
    <w:p w14:paraId="506BBF69">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4</w:t>
      </w:r>
      <w:r>
        <w:rPr>
          <w:rFonts w:hint="eastAsia"/>
          <w:color w:val="auto"/>
          <w:highlight w:val="none"/>
        </w:rPr>
        <w:t>.1投标应以人民币报价。</w:t>
      </w:r>
    </w:p>
    <w:p w14:paraId="509AFBC1">
      <w:pPr>
        <w:adjustRightInd w:val="0"/>
        <w:snapToGrid w:val="0"/>
        <w:spacing w:line="360" w:lineRule="auto"/>
        <w:ind w:firstLine="480" w:firstLineChars="200"/>
        <w:rPr>
          <w:rFonts w:hint="eastAsia"/>
          <w:bCs/>
          <w:color w:val="auto"/>
          <w:highlight w:val="none"/>
        </w:rPr>
      </w:pPr>
      <w:r>
        <w:rPr>
          <w:rFonts w:hint="eastAsia"/>
          <w:bCs/>
          <w:color w:val="auto"/>
          <w:highlight w:val="none"/>
        </w:rPr>
        <w:t>15.投标文件有效期</w:t>
      </w:r>
    </w:p>
    <w:p w14:paraId="64B9086F">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.1投标文件有效期必须按“投标人须知前附表”规定的时间保持有效。</w:t>
      </w:r>
    </w:p>
    <w:p w14:paraId="298564B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.2在特殊情况下，采购人可与投标人协商延长投标文件的有效期，这种要求与答复均应以书面形式提交。</w:t>
      </w:r>
    </w:p>
    <w:p w14:paraId="7D749005">
      <w:pPr>
        <w:snapToGrid w:val="0"/>
        <w:spacing w:line="360" w:lineRule="auto"/>
        <w:ind w:firstLine="480" w:firstLineChars="200"/>
        <w:contextualSpacing/>
        <w:rPr>
          <w:rFonts w:hint="eastAsia"/>
          <w:color w:val="auto"/>
          <w:highlight w:val="none"/>
        </w:rPr>
      </w:pPr>
      <w:r>
        <w:rPr>
          <w:rFonts w:hint="eastAsia"/>
          <w:color w:val="auto"/>
          <w:highlight w:val="none"/>
        </w:rPr>
        <w:t>16.投标文件的书写要求</w:t>
      </w:r>
    </w:p>
    <w:p w14:paraId="7BC61915">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.1投标文件须用不褪色的墨水书写或打印。</w:t>
      </w:r>
    </w:p>
    <w:p w14:paraId="79BD31D6">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.2投标文件的书写应清楚工整,修改处应由投标人的法定代表人或其委托代理人签字</w:t>
      </w:r>
      <w:r>
        <w:rPr>
          <w:color w:val="auto"/>
          <w:highlight w:val="none"/>
        </w:rPr>
        <w:t>或</w:t>
      </w:r>
      <w:r>
        <w:rPr>
          <w:rFonts w:hint="eastAsia"/>
          <w:color w:val="auto"/>
          <w:highlight w:val="none"/>
        </w:rPr>
        <w:t>盖章。</w:t>
      </w:r>
    </w:p>
    <w:p w14:paraId="6A2DDEA4">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.3字迹潦草、表达不清、未按要求填写而导致非唯一理解，造成非实质性响应招标文件的投标文件将会被认定为无效的投标。</w:t>
      </w:r>
    </w:p>
    <w:p w14:paraId="7CC33C2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.4投标文件应由法定代表人或其委托代理人在凡规定签</w:t>
      </w:r>
      <w:r>
        <w:rPr>
          <w:color w:val="auto"/>
          <w:highlight w:val="none"/>
        </w:rPr>
        <w:t>名</w:t>
      </w:r>
      <w:r>
        <w:rPr>
          <w:rFonts w:hint="eastAsia"/>
          <w:color w:val="auto"/>
          <w:highlight w:val="none"/>
        </w:rPr>
        <w:t>处逐一签名</w:t>
      </w:r>
      <w:r>
        <w:rPr>
          <w:color w:val="auto"/>
          <w:highlight w:val="none"/>
        </w:rPr>
        <w:t>；要求</w:t>
      </w:r>
      <w:r>
        <w:rPr>
          <w:rFonts w:hint="eastAsia"/>
          <w:color w:val="auto"/>
          <w:highlight w:val="none"/>
        </w:rPr>
        <w:t>盖</w:t>
      </w:r>
      <w:r>
        <w:rPr>
          <w:color w:val="auto"/>
          <w:highlight w:val="none"/>
        </w:rPr>
        <w:t>公章处应盖</w:t>
      </w:r>
      <w:r>
        <w:rPr>
          <w:rFonts w:hint="eastAsia"/>
          <w:color w:val="auto"/>
          <w:highlight w:val="none"/>
        </w:rPr>
        <w:t>单位的公章。</w:t>
      </w:r>
    </w:p>
    <w:p w14:paraId="68E87B30">
      <w:pPr>
        <w:snapToGrid w:val="0"/>
        <w:spacing w:line="360" w:lineRule="auto"/>
        <w:ind w:firstLine="480" w:firstLineChars="200"/>
        <w:contextualSpacing/>
        <w:rPr>
          <w:rFonts w:hint="eastAsia"/>
          <w:color w:val="auto"/>
          <w:highlight w:val="none"/>
        </w:rPr>
      </w:pPr>
      <w:r>
        <w:rPr>
          <w:rFonts w:hint="eastAsia"/>
          <w:color w:val="auto"/>
          <w:highlight w:val="none"/>
        </w:rPr>
        <w:t>17.投标保证金</w:t>
      </w:r>
    </w:p>
    <w:p w14:paraId="39CACF8F">
      <w:pPr>
        <w:snapToGrid w:val="0"/>
        <w:spacing w:line="360" w:lineRule="auto"/>
        <w:ind w:firstLine="480" w:firstLineChars="200"/>
        <w:contextualSpacing/>
        <w:rPr>
          <w:rFonts w:hint="eastAsia"/>
          <w:color w:val="auto"/>
          <w:highlight w:val="none"/>
        </w:rPr>
      </w:pPr>
      <w:r>
        <w:rPr>
          <w:rFonts w:hint="eastAsia"/>
          <w:color w:val="auto"/>
          <w:highlight w:val="none"/>
        </w:rPr>
        <w:t>17.1详见投标须知</w:t>
      </w:r>
    </w:p>
    <w:p w14:paraId="348962B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7</w:t>
      </w:r>
      <w:r>
        <w:rPr>
          <w:rFonts w:hint="eastAsia"/>
          <w:color w:val="auto"/>
          <w:highlight w:val="none"/>
        </w:rPr>
        <w:t>.2下列情况发生时，投标保证金将不予退还：</w:t>
      </w:r>
    </w:p>
    <w:p w14:paraId="159DB292">
      <w:pPr>
        <w:snapToGrid w:val="0"/>
        <w:spacing w:line="360" w:lineRule="auto"/>
        <w:ind w:firstLine="480" w:firstLineChars="200"/>
        <w:contextualSpacing/>
        <w:rPr>
          <w:rFonts w:hint="eastAsia"/>
          <w:color w:val="auto"/>
          <w:highlight w:val="none"/>
        </w:rPr>
      </w:pPr>
      <w:bookmarkStart w:id="39" w:name="_Toc451172700"/>
      <w:bookmarkStart w:id="40" w:name="_Toc3820"/>
      <w:bookmarkStart w:id="41" w:name="_Toc23723"/>
      <w:r>
        <w:rPr>
          <w:rFonts w:hint="eastAsia"/>
          <w:color w:val="auto"/>
          <w:highlight w:val="none"/>
        </w:rPr>
        <w:t>（</w:t>
      </w:r>
      <w:r>
        <w:rPr>
          <w:color w:val="auto"/>
          <w:highlight w:val="none"/>
        </w:rPr>
        <w:t>1）投标人在投标有效期内撤回投标文件的；</w:t>
      </w:r>
    </w:p>
    <w:p w14:paraId="5DD85092">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2）投标人在投标过程中弄虚作假，提供虚假材料的；</w:t>
      </w:r>
    </w:p>
    <w:p w14:paraId="4E97E075">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3）中标人无正当理由不与采购人签订合同的；</w:t>
      </w:r>
    </w:p>
    <w:p w14:paraId="338AC62A">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4）将中标项目转让给他人或者在投标文件中未说明且未经招标采购单位同意，将中标项目分包给他人的；</w:t>
      </w:r>
    </w:p>
    <w:p w14:paraId="6DE1150B">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5）拒绝履行合同义务的；</w:t>
      </w:r>
    </w:p>
    <w:p w14:paraId="6EF13464">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6）其他严重扰乱招投标程序的。</w:t>
      </w:r>
    </w:p>
    <w:p w14:paraId="3673C1A9">
      <w:pPr>
        <w:pStyle w:val="3"/>
        <w:snapToGrid w:val="0"/>
        <w:rPr>
          <w:rFonts w:hint="eastAsia"/>
          <w:color w:val="auto"/>
          <w:highlight w:val="none"/>
        </w:rPr>
      </w:pPr>
      <w:bookmarkStart w:id="42" w:name="_Toc30756"/>
      <w:r>
        <w:rPr>
          <w:rFonts w:hint="eastAsia"/>
          <w:color w:val="auto"/>
          <w:highlight w:val="none"/>
        </w:rPr>
        <w:t>四、投标文件的提交</w:t>
      </w:r>
      <w:bookmarkEnd w:id="39"/>
      <w:bookmarkEnd w:id="40"/>
      <w:bookmarkEnd w:id="41"/>
      <w:bookmarkEnd w:id="42"/>
    </w:p>
    <w:p w14:paraId="11D94870">
      <w:pPr>
        <w:snapToGrid w:val="0"/>
        <w:spacing w:line="360" w:lineRule="auto"/>
        <w:ind w:firstLine="480" w:firstLineChars="200"/>
        <w:contextualSpacing/>
        <w:rPr>
          <w:rFonts w:hint="eastAsia"/>
          <w:bCs/>
          <w:color w:val="auto"/>
          <w:highlight w:val="none"/>
        </w:rPr>
      </w:pPr>
      <w:r>
        <w:rPr>
          <w:rFonts w:hint="eastAsia"/>
          <w:color w:val="auto"/>
          <w:highlight w:val="none"/>
        </w:rPr>
        <w:t>18.</w:t>
      </w:r>
      <w:r>
        <w:rPr>
          <w:rFonts w:hint="eastAsia"/>
          <w:bCs/>
          <w:color w:val="auto"/>
          <w:highlight w:val="none"/>
        </w:rPr>
        <w:t>投标文件的密封与标记</w:t>
      </w:r>
    </w:p>
    <w:p w14:paraId="57BCB492">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.1投标人应按“投标人须知前附表”中的规定提交投标文件。</w:t>
      </w:r>
    </w:p>
    <w:p w14:paraId="7D68349B">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.2投标人在提交投标文件时，未按本须知要求提供的，采购代理机构不予接收。</w:t>
      </w:r>
    </w:p>
    <w:p w14:paraId="21B709E8">
      <w:pPr>
        <w:snapToGrid w:val="0"/>
        <w:spacing w:line="360" w:lineRule="auto"/>
        <w:ind w:firstLine="480" w:firstLineChars="200"/>
        <w:contextualSpacing/>
        <w:rPr>
          <w:rFonts w:hint="eastAsia"/>
          <w:bCs/>
          <w:color w:val="auto"/>
          <w:highlight w:val="none"/>
        </w:rPr>
      </w:pPr>
      <w:r>
        <w:rPr>
          <w:rFonts w:hint="eastAsia"/>
          <w:bCs/>
          <w:color w:val="auto"/>
          <w:highlight w:val="none"/>
        </w:rPr>
        <w:t>19.提交投标文件截止时间和地点</w:t>
      </w:r>
    </w:p>
    <w:p w14:paraId="0603DCD5">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.1投标文件的提交不得迟于“投标人须知前附表”规定的提交投标文件截止时间。</w:t>
      </w:r>
    </w:p>
    <w:p w14:paraId="5D3B78CC">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.2投标人必须在规定时间内将投标文件提交到“投标人须知前附表”规定的地点。</w:t>
      </w:r>
    </w:p>
    <w:p w14:paraId="4D960466">
      <w:pPr>
        <w:pStyle w:val="3"/>
        <w:snapToGrid w:val="0"/>
        <w:rPr>
          <w:rFonts w:hint="eastAsia"/>
          <w:color w:val="auto"/>
          <w:highlight w:val="none"/>
        </w:rPr>
      </w:pPr>
      <w:bookmarkStart w:id="43" w:name="_Toc20250"/>
      <w:bookmarkStart w:id="44" w:name="_Toc15924"/>
      <w:bookmarkStart w:id="45" w:name="_Toc451172701"/>
      <w:bookmarkStart w:id="46" w:name="_Toc31068"/>
      <w:r>
        <w:rPr>
          <w:rFonts w:hint="eastAsia"/>
          <w:color w:val="auto"/>
          <w:highlight w:val="none"/>
        </w:rPr>
        <w:t>五、开标与评标</w:t>
      </w:r>
      <w:bookmarkEnd w:id="43"/>
      <w:bookmarkEnd w:id="44"/>
      <w:bookmarkEnd w:id="45"/>
      <w:bookmarkEnd w:id="46"/>
    </w:p>
    <w:p w14:paraId="0F33922D">
      <w:pPr>
        <w:snapToGrid w:val="0"/>
        <w:spacing w:line="360" w:lineRule="auto"/>
        <w:ind w:firstLine="480" w:firstLineChars="200"/>
        <w:contextualSpacing/>
        <w:rPr>
          <w:rFonts w:hint="eastAsia"/>
          <w:color w:val="auto"/>
          <w:highlight w:val="none"/>
        </w:rPr>
      </w:pPr>
      <w:r>
        <w:rPr>
          <w:rFonts w:hint="eastAsia"/>
          <w:color w:val="auto"/>
          <w:highlight w:val="none"/>
        </w:rPr>
        <w:t>20.开标</w:t>
      </w:r>
    </w:p>
    <w:p w14:paraId="487B8903">
      <w:pPr>
        <w:snapToGrid w:val="0"/>
        <w:spacing w:line="360" w:lineRule="auto"/>
        <w:ind w:firstLine="480" w:firstLineChars="200"/>
        <w:contextualSpacing/>
        <w:rPr>
          <w:rFonts w:hint="eastAsia"/>
          <w:color w:val="auto"/>
          <w:highlight w:val="none"/>
        </w:rPr>
      </w:pPr>
      <w:r>
        <w:rPr>
          <w:color w:val="auto"/>
          <w:highlight w:val="none"/>
        </w:rPr>
        <w:t>20.1</w:t>
      </w:r>
      <w:r>
        <w:rPr>
          <w:rFonts w:hint="eastAsia"/>
          <w:color w:val="auto"/>
          <w:highlight w:val="none"/>
        </w:rPr>
        <w:t>采购</w:t>
      </w:r>
      <w:r>
        <w:rPr>
          <w:color w:val="auto"/>
          <w:highlight w:val="none"/>
        </w:rPr>
        <w:t>人按本须知前附表中所规定的时间和地点公开开标。</w:t>
      </w:r>
    </w:p>
    <w:p w14:paraId="46440890">
      <w:pPr>
        <w:snapToGrid w:val="0"/>
        <w:spacing w:line="360" w:lineRule="auto"/>
        <w:ind w:firstLine="480" w:firstLineChars="200"/>
        <w:contextualSpacing/>
        <w:rPr>
          <w:rFonts w:hint="eastAsia"/>
          <w:color w:val="auto"/>
          <w:highlight w:val="none"/>
        </w:rPr>
      </w:pPr>
      <w:r>
        <w:rPr>
          <w:color w:val="auto"/>
          <w:highlight w:val="none"/>
        </w:rPr>
        <w:t>20.2采购代理机构可以邀请有关监督管理部门对开标、评标过程进行现场监督。</w:t>
      </w:r>
    </w:p>
    <w:p w14:paraId="3B09594D">
      <w:pPr>
        <w:snapToGrid w:val="0"/>
        <w:spacing w:line="360" w:lineRule="auto"/>
        <w:ind w:firstLine="480" w:firstLineChars="200"/>
        <w:contextualSpacing/>
        <w:rPr>
          <w:rFonts w:hint="eastAsia"/>
          <w:color w:val="auto"/>
          <w:highlight w:val="none"/>
        </w:rPr>
      </w:pPr>
      <w:r>
        <w:rPr>
          <w:color w:val="auto"/>
          <w:highlight w:val="none"/>
        </w:rPr>
        <w:t>20.3开标程序：</w:t>
      </w:r>
    </w:p>
    <w:p w14:paraId="70B3A268">
      <w:pPr>
        <w:snapToGrid w:val="0"/>
        <w:spacing w:line="360" w:lineRule="auto"/>
        <w:ind w:firstLine="480" w:firstLineChars="200"/>
        <w:contextualSpacing/>
        <w:rPr>
          <w:rFonts w:hint="eastAsia"/>
          <w:color w:val="auto"/>
          <w:highlight w:val="none"/>
        </w:rPr>
      </w:pPr>
      <w:r>
        <w:rPr>
          <w:color w:val="auto"/>
          <w:highlight w:val="none"/>
        </w:rPr>
        <w:t>20.3.1开标会由采购代理机构主持，主持人宣布开标会议开始；</w:t>
      </w:r>
    </w:p>
    <w:p w14:paraId="366A5BE7">
      <w:pPr>
        <w:snapToGrid w:val="0"/>
        <w:spacing w:line="360" w:lineRule="auto"/>
        <w:ind w:firstLine="480" w:firstLineChars="200"/>
        <w:contextualSpacing/>
        <w:rPr>
          <w:rFonts w:hint="eastAsia"/>
          <w:color w:val="auto"/>
          <w:highlight w:val="none"/>
        </w:rPr>
      </w:pPr>
      <w:r>
        <w:rPr>
          <w:color w:val="auto"/>
          <w:highlight w:val="none"/>
        </w:rPr>
        <w:t>20.3.2介绍参加开标会的人员名单；</w:t>
      </w:r>
    </w:p>
    <w:p w14:paraId="29548AF4">
      <w:pPr>
        <w:snapToGrid w:val="0"/>
        <w:spacing w:line="360" w:lineRule="auto"/>
        <w:ind w:firstLine="480" w:firstLineChars="200"/>
        <w:contextualSpacing/>
        <w:rPr>
          <w:rFonts w:hint="eastAsia"/>
          <w:color w:val="auto"/>
          <w:highlight w:val="none"/>
        </w:rPr>
      </w:pPr>
      <w:r>
        <w:rPr>
          <w:color w:val="auto"/>
          <w:highlight w:val="none"/>
        </w:rPr>
        <w:t>20.3.3打开智能开标系统，投标人在规定时间内完成投标文件解密；</w:t>
      </w:r>
    </w:p>
    <w:p w14:paraId="2B638AE8">
      <w:pPr>
        <w:snapToGrid w:val="0"/>
        <w:spacing w:line="360" w:lineRule="auto"/>
        <w:ind w:firstLine="480" w:firstLineChars="200"/>
        <w:contextualSpacing/>
        <w:rPr>
          <w:rFonts w:hint="eastAsia"/>
          <w:color w:val="auto"/>
          <w:highlight w:val="none"/>
        </w:rPr>
      </w:pPr>
      <w:r>
        <w:rPr>
          <w:color w:val="auto"/>
          <w:highlight w:val="none"/>
        </w:rPr>
        <w:t>20.3.4各投标人核对开标记录表中各项数据；如有问题，可以在线提出异议，由采购代理机构给予对应的回复。开标端发起对本次开标过程是否有异议询问后，不确认或不及时提出异议，视为对本次开标过程无异议。</w:t>
      </w:r>
    </w:p>
    <w:p w14:paraId="24D4BF13">
      <w:pPr>
        <w:snapToGrid w:val="0"/>
        <w:spacing w:line="360" w:lineRule="auto"/>
        <w:ind w:firstLine="480" w:firstLineChars="200"/>
        <w:contextualSpacing/>
        <w:rPr>
          <w:rFonts w:hint="eastAsia"/>
          <w:color w:val="auto"/>
          <w:highlight w:val="none"/>
        </w:rPr>
      </w:pPr>
      <w:r>
        <w:rPr>
          <w:color w:val="auto"/>
          <w:highlight w:val="none"/>
        </w:rPr>
        <w:t>20.3.5代理机构确认开标会议结束</w:t>
      </w:r>
      <w:r>
        <w:rPr>
          <w:rFonts w:hint="eastAsia"/>
          <w:color w:val="auto"/>
          <w:highlight w:val="none"/>
        </w:rPr>
        <w:t>。</w:t>
      </w:r>
    </w:p>
    <w:p w14:paraId="10B2F8BF">
      <w:pPr>
        <w:snapToGrid w:val="0"/>
        <w:spacing w:line="360" w:lineRule="auto"/>
        <w:ind w:firstLine="480" w:firstLineChars="200"/>
        <w:contextualSpacing/>
        <w:rPr>
          <w:rFonts w:hint="eastAsia"/>
          <w:color w:val="auto"/>
          <w:highlight w:val="none"/>
        </w:rPr>
      </w:pPr>
      <w:r>
        <w:rPr>
          <w:rFonts w:hint="eastAsia"/>
          <w:color w:val="auto"/>
          <w:highlight w:val="none"/>
        </w:rPr>
        <w:t>21.评标</w:t>
      </w:r>
    </w:p>
    <w:p w14:paraId="3CFD7DBF">
      <w:pPr>
        <w:snapToGrid w:val="0"/>
        <w:spacing w:line="360" w:lineRule="auto"/>
        <w:ind w:firstLine="480" w:firstLineChars="200"/>
        <w:contextualSpacing/>
        <w:rPr>
          <w:rFonts w:hint="eastAsia"/>
          <w:color w:val="auto"/>
          <w:highlight w:val="none"/>
        </w:rPr>
      </w:pPr>
      <w:r>
        <w:rPr>
          <w:rFonts w:hint="eastAsia"/>
          <w:color w:val="auto"/>
          <w:highlight w:val="none"/>
        </w:rPr>
        <w:t>21.1评标由采购人依法组建的评标委员会负责。评标委员会由采购人代表和评审专家组成，成员人数为5</w:t>
      </w:r>
      <w:r>
        <w:rPr>
          <w:color w:val="auto"/>
          <w:highlight w:val="none"/>
        </w:rPr>
        <w:t>人及以上单数，其中评审专家不少于成员总数的三分之二。</w:t>
      </w:r>
    </w:p>
    <w:p w14:paraId="63CDD15D">
      <w:pPr>
        <w:snapToGrid w:val="0"/>
        <w:spacing w:line="360" w:lineRule="auto"/>
        <w:ind w:firstLine="480" w:firstLineChars="200"/>
        <w:contextualSpacing/>
        <w:rPr>
          <w:rFonts w:hint="eastAsia"/>
          <w:color w:val="auto"/>
          <w:highlight w:val="none"/>
        </w:rPr>
      </w:pPr>
      <w:r>
        <w:rPr>
          <w:rFonts w:hint="eastAsia"/>
          <w:color w:val="auto"/>
          <w:highlight w:val="none"/>
        </w:rPr>
        <w:t>21.2评审专家对本单位的采购项目只能作为采购人代表参与评标，对技术复杂、专业性强的采购项目，通过随机方式难以确定合适评审专家的，经主管预算单位同意，采购人可以自行选定相应专业领域的评审专家。招标代理机构工作人员不得参加由本机构代理的政府采购项目的评标。</w:t>
      </w:r>
    </w:p>
    <w:p w14:paraId="69E5D9D7">
      <w:pPr>
        <w:snapToGrid w:val="0"/>
        <w:spacing w:line="360" w:lineRule="auto"/>
        <w:ind w:firstLine="480" w:firstLineChars="200"/>
        <w:contextualSpacing/>
        <w:rPr>
          <w:rFonts w:hint="eastAsia"/>
          <w:color w:val="auto"/>
          <w:highlight w:val="none"/>
        </w:rPr>
      </w:pPr>
      <w:bookmarkStart w:id="47" w:name="_Toc191374422"/>
      <w:r>
        <w:rPr>
          <w:rFonts w:hint="eastAsia"/>
          <w:color w:val="auto"/>
          <w:highlight w:val="none"/>
        </w:rPr>
        <w:t>2</w:t>
      </w:r>
      <w:r>
        <w:rPr>
          <w:color w:val="auto"/>
          <w:highlight w:val="none"/>
        </w:rPr>
        <w:t>1</w:t>
      </w:r>
      <w:r>
        <w:rPr>
          <w:rFonts w:hint="eastAsia"/>
          <w:color w:val="auto"/>
          <w:highlight w:val="none"/>
        </w:rPr>
        <w:t>.2评标原则</w:t>
      </w:r>
      <w:bookmarkEnd w:id="47"/>
    </w:p>
    <w:p w14:paraId="31E2ED04">
      <w:pPr>
        <w:snapToGrid w:val="0"/>
        <w:spacing w:line="360" w:lineRule="auto"/>
        <w:ind w:firstLine="480" w:firstLineChars="200"/>
        <w:contextualSpacing/>
        <w:rPr>
          <w:rFonts w:hint="eastAsia"/>
          <w:color w:val="auto"/>
          <w:highlight w:val="none"/>
        </w:rPr>
      </w:pPr>
      <w:r>
        <w:rPr>
          <w:rFonts w:hint="eastAsia"/>
          <w:color w:val="auto"/>
          <w:highlight w:val="none"/>
        </w:rPr>
        <w:t>评标活动遵循公平、公正、科学和择优的原则。</w:t>
      </w:r>
    </w:p>
    <w:p w14:paraId="69AB791C">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.3评标工作程序</w:t>
      </w:r>
    </w:p>
    <w:p w14:paraId="72520C06">
      <w:pPr>
        <w:snapToGrid w:val="0"/>
        <w:spacing w:line="360" w:lineRule="auto"/>
        <w:ind w:firstLine="480" w:firstLineChars="200"/>
        <w:contextualSpacing/>
        <w:rPr>
          <w:rFonts w:hint="eastAsia"/>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14:paraId="50A42EC0">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4评标过程的保密。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45A25D3B">
      <w:pPr>
        <w:snapToGrid w:val="0"/>
        <w:spacing w:line="360" w:lineRule="auto"/>
        <w:ind w:firstLine="480" w:firstLineChars="200"/>
        <w:contextualSpacing/>
        <w:rPr>
          <w:rFonts w:hint="eastAsia"/>
          <w:color w:val="auto"/>
          <w:highlight w:val="none"/>
        </w:rPr>
      </w:pPr>
      <w:r>
        <w:rPr>
          <w:rFonts w:hint="eastAsia"/>
          <w:color w:val="auto"/>
          <w:highlight w:val="none"/>
        </w:rPr>
        <w:t>22.投标文件如果出现计算或表达上的错误，修正错误的原则如下：</w:t>
      </w:r>
    </w:p>
    <w:p w14:paraId="00DF865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开标时，投标文件中投标报价（唱标）一览表与投标文件中相应内容不一致的，以投标报价（唱标）一览表为准。</w:t>
      </w:r>
    </w:p>
    <w:p w14:paraId="1A316C48">
      <w:pPr>
        <w:snapToGrid w:val="0"/>
        <w:spacing w:line="360" w:lineRule="auto"/>
        <w:ind w:firstLine="480" w:firstLineChars="200"/>
        <w:contextualSpacing/>
        <w:rPr>
          <w:rFonts w:hint="eastAsia"/>
          <w:color w:val="auto"/>
          <w:highlight w:val="none"/>
        </w:rPr>
      </w:pPr>
      <w:r>
        <w:rPr>
          <w:rFonts w:hint="eastAsia"/>
          <w:color w:val="auto"/>
          <w:highlight w:val="none"/>
        </w:rPr>
        <w:t>（2）投标文件的大写金额和小写金额不一致的，以大写金额为准；</w:t>
      </w:r>
    </w:p>
    <w:p w14:paraId="7513D43B">
      <w:pPr>
        <w:snapToGrid w:val="0"/>
        <w:spacing w:line="360" w:lineRule="auto"/>
        <w:ind w:firstLine="480" w:firstLineChars="200"/>
        <w:contextualSpacing/>
        <w:rPr>
          <w:rFonts w:hint="eastAsia"/>
          <w:color w:val="auto"/>
          <w:highlight w:val="none"/>
        </w:rPr>
      </w:pPr>
      <w:r>
        <w:rPr>
          <w:rFonts w:hint="eastAsia"/>
          <w:color w:val="auto"/>
          <w:highlight w:val="none"/>
        </w:rPr>
        <w:t>（3）总价金额与按单价汇总金额不一致的，以单价金额计算结果为准；</w:t>
      </w:r>
    </w:p>
    <w:p w14:paraId="14C1CB1E">
      <w:pPr>
        <w:snapToGrid w:val="0"/>
        <w:spacing w:line="360" w:lineRule="auto"/>
        <w:ind w:firstLine="480" w:firstLineChars="200"/>
        <w:contextualSpacing/>
        <w:rPr>
          <w:rFonts w:hint="eastAsia"/>
          <w:color w:val="auto"/>
          <w:highlight w:val="none"/>
        </w:rPr>
      </w:pPr>
      <w:r>
        <w:rPr>
          <w:rFonts w:hint="eastAsia"/>
          <w:color w:val="auto"/>
          <w:highlight w:val="none"/>
        </w:rPr>
        <w:t>（4）单价金额小数点有明显错位的，应以总价为准，并修改单价；</w:t>
      </w:r>
    </w:p>
    <w:p w14:paraId="6999FA83">
      <w:pPr>
        <w:snapToGrid w:val="0"/>
        <w:spacing w:line="360" w:lineRule="auto"/>
        <w:ind w:firstLine="480" w:firstLineChars="200"/>
        <w:contextualSpacing/>
        <w:rPr>
          <w:rFonts w:hint="eastAsia"/>
          <w:color w:val="auto"/>
          <w:highlight w:val="none"/>
        </w:rPr>
      </w:pPr>
      <w:r>
        <w:rPr>
          <w:rFonts w:hint="eastAsia"/>
          <w:color w:val="auto"/>
          <w:highlight w:val="none"/>
        </w:rPr>
        <w:t>（5）对不同文字文本投标文件的解释发生异议的，以中文文本为准。</w:t>
      </w:r>
    </w:p>
    <w:p w14:paraId="532C71C5">
      <w:pPr>
        <w:snapToGrid w:val="0"/>
        <w:spacing w:line="360" w:lineRule="auto"/>
        <w:ind w:firstLine="480" w:firstLineChars="200"/>
        <w:contextualSpacing/>
        <w:rPr>
          <w:rFonts w:hint="eastAsia"/>
          <w:color w:val="auto"/>
          <w:highlight w:val="none"/>
        </w:rPr>
      </w:pPr>
      <w:r>
        <w:rPr>
          <w:rFonts w:hint="eastAsia"/>
          <w:color w:val="auto"/>
          <w:highlight w:val="none"/>
        </w:rPr>
        <w:t>（6）按上述修正错误的原则及方法调整或修正投标文件的投标报价，投标人同意后，调整后的投标报价对投标人起约束作用。如果投标人不接受修正后的报价，则其投标将被拒绝。</w:t>
      </w:r>
    </w:p>
    <w:p w14:paraId="6B1567E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.在招标采购中，出现下列情形之一的，应予废标，废标后，招标代理机构将通知所有投标人：</w:t>
      </w:r>
    </w:p>
    <w:p w14:paraId="2F402B37">
      <w:pPr>
        <w:snapToGrid w:val="0"/>
        <w:spacing w:line="360" w:lineRule="auto"/>
        <w:ind w:firstLine="480" w:firstLineChars="200"/>
        <w:contextualSpacing/>
        <w:rPr>
          <w:rFonts w:hint="eastAsia"/>
          <w:color w:val="auto"/>
          <w:highlight w:val="none"/>
        </w:rPr>
      </w:pPr>
      <w:r>
        <w:rPr>
          <w:rFonts w:hint="eastAsia"/>
          <w:color w:val="auto"/>
          <w:highlight w:val="none"/>
        </w:rPr>
        <w:t>(1)符合专业条件的投标人或者对招标文件作实质响应的投标人不足3家的；</w:t>
      </w:r>
    </w:p>
    <w:p w14:paraId="4BC6A13D">
      <w:pPr>
        <w:snapToGrid w:val="0"/>
        <w:spacing w:line="360" w:lineRule="auto"/>
        <w:ind w:firstLine="480" w:firstLineChars="200"/>
        <w:contextualSpacing/>
        <w:rPr>
          <w:rFonts w:hint="eastAsia"/>
          <w:color w:val="auto"/>
          <w:highlight w:val="none"/>
        </w:rPr>
      </w:pPr>
      <w:r>
        <w:rPr>
          <w:rFonts w:hint="eastAsia"/>
          <w:color w:val="auto"/>
          <w:highlight w:val="none"/>
        </w:rPr>
        <w:t>(2)出现影响采购公正的违法、违规行为的；</w:t>
      </w:r>
    </w:p>
    <w:p w14:paraId="1E248D36">
      <w:pPr>
        <w:snapToGrid w:val="0"/>
        <w:spacing w:line="360" w:lineRule="auto"/>
        <w:ind w:firstLine="480" w:firstLineChars="200"/>
        <w:contextualSpacing/>
        <w:rPr>
          <w:rFonts w:hint="eastAsia"/>
          <w:color w:val="auto"/>
          <w:highlight w:val="none"/>
        </w:rPr>
      </w:pPr>
      <w:r>
        <w:rPr>
          <w:rFonts w:hint="eastAsia"/>
          <w:color w:val="auto"/>
          <w:highlight w:val="none"/>
        </w:rPr>
        <w:t>(3)投标人的报价均超过了采购预算，采购人不能支付的；</w:t>
      </w:r>
    </w:p>
    <w:p w14:paraId="7B4A013E">
      <w:pPr>
        <w:snapToGrid w:val="0"/>
        <w:spacing w:line="360" w:lineRule="auto"/>
        <w:ind w:firstLine="480" w:firstLineChars="200"/>
        <w:contextualSpacing/>
        <w:rPr>
          <w:rFonts w:hint="eastAsia"/>
          <w:color w:val="auto"/>
          <w:highlight w:val="none"/>
        </w:rPr>
      </w:pPr>
      <w:r>
        <w:rPr>
          <w:rFonts w:hint="eastAsia"/>
          <w:color w:val="auto"/>
          <w:highlight w:val="none"/>
        </w:rPr>
        <w:t>(4)因重大变故，采购任务取消的。</w:t>
      </w:r>
    </w:p>
    <w:p w14:paraId="611EA34E">
      <w:pPr>
        <w:snapToGrid w:val="0"/>
        <w:spacing w:line="360" w:lineRule="auto"/>
        <w:ind w:firstLine="480" w:firstLineChars="200"/>
        <w:contextualSpacing/>
        <w:rPr>
          <w:rFonts w:hint="eastAsia"/>
          <w:color w:val="auto"/>
          <w:highlight w:val="none"/>
        </w:rPr>
      </w:pPr>
      <w:r>
        <w:rPr>
          <w:rFonts w:hint="eastAsia"/>
          <w:color w:val="auto"/>
          <w:highlight w:val="none"/>
        </w:rPr>
        <w:t>24.评标办法</w:t>
      </w:r>
    </w:p>
    <w:p w14:paraId="6F6BC3D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4</w:t>
      </w:r>
      <w:r>
        <w:rPr>
          <w:rFonts w:hint="eastAsia"/>
          <w:color w:val="auto"/>
          <w:highlight w:val="none"/>
        </w:rPr>
        <w:t>.1评标办法：本项目的具体评标办法详见第三章。</w:t>
      </w:r>
    </w:p>
    <w:p w14:paraId="1446285E">
      <w:pPr>
        <w:snapToGrid w:val="0"/>
        <w:spacing w:line="360" w:lineRule="auto"/>
        <w:ind w:firstLine="480" w:firstLineChars="200"/>
        <w:contextualSpacing/>
        <w:rPr>
          <w:rFonts w:hint="eastAsia"/>
          <w:color w:val="auto"/>
          <w:highlight w:val="none"/>
        </w:rPr>
      </w:pPr>
      <w:r>
        <w:rPr>
          <w:rFonts w:hint="eastAsia"/>
          <w:color w:val="auto"/>
          <w:highlight w:val="none"/>
        </w:rPr>
        <w:t>24.2异常低价审查规则：</w:t>
      </w:r>
    </w:p>
    <w:p w14:paraId="6287566B">
      <w:pPr>
        <w:snapToGrid w:val="0"/>
        <w:spacing w:line="360" w:lineRule="auto"/>
        <w:ind w:firstLine="480" w:firstLineChars="200"/>
        <w:contextualSpacing/>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7D0B3084">
      <w:pPr>
        <w:snapToGrid w:val="0"/>
        <w:spacing w:line="360" w:lineRule="auto"/>
        <w:ind w:firstLine="480" w:firstLineChars="200"/>
        <w:contextualSpacing/>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31513C81">
      <w:pPr>
        <w:snapToGrid w:val="0"/>
        <w:spacing w:line="360" w:lineRule="auto"/>
        <w:ind w:firstLine="480" w:firstLineChars="200"/>
        <w:contextualSpacing/>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148AE0C8">
      <w:pPr>
        <w:snapToGrid w:val="0"/>
        <w:spacing w:line="360" w:lineRule="auto"/>
        <w:ind w:firstLine="480" w:firstLineChars="200"/>
        <w:contextualSpacing/>
        <w:rPr>
          <w:rFonts w:hint="eastAsia"/>
          <w:color w:val="auto"/>
          <w:highlight w:val="none"/>
        </w:rPr>
      </w:pPr>
      <w:r>
        <w:rPr>
          <w:rFonts w:hint="eastAsia"/>
          <w:color w:val="auto"/>
          <w:highlight w:val="none"/>
        </w:rPr>
        <w:t>③投标报价低于采购项目最高限价45%的，即投标报价&lt;采购项目最高限价×45%；</w:t>
      </w:r>
    </w:p>
    <w:p w14:paraId="2EDE09D0">
      <w:pPr>
        <w:snapToGrid w:val="0"/>
        <w:spacing w:line="360" w:lineRule="auto"/>
        <w:ind w:firstLine="480" w:firstLineChars="200"/>
        <w:contextualSpacing/>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172B2A09">
      <w:pPr>
        <w:snapToGrid w:val="0"/>
        <w:spacing w:line="360" w:lineRule="auto"/>
        <w:ind w:firstLine="480" w:firstLineChars="200"/>
        <w:contextualSpacing/>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6DF85AF5">
      <w:pPr>
        <w:snapToGrid w:val="0"/>
        <w:spacing w:line="360" w:lineRule="auto"/>
        <w:ind w:firstLine="480" w:firstLineChars="200"/>
        <w:contextualSpacing/>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6BC651FA">
      <w:pPr>
        <w:snapToGrid w:val="0"/>
        <w:spacing w:line="360" w:lineRule="auto"/>
        <w:ind w:firstLine="480" w:firstLineChars="200"/>
        <w:contextualSpacing/>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3243D018">
      <w:pPr>
        <w:snapToGrid w:val="0"/>
        <w:spacing w:line="360" w:lineRule="auto"/>
        <w:ind w:firstLine="480" w:firstLineChars="200"/>
        <w:contextualSpacing/>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6E92EE53">
      <w:pPr>
        <w:pStyle w:val="3"/>
        <w:snapToGrid w:val="0"/>
        <w:rPr>
          <w:rFonts w:hint="eastAsia"/>
          <w:color w:val="auto"/>
          <w:highlight w:val="none"/>
        </w:rPr>
      </w:pPr>
      <w:bookmarkStart w:id="48" w:name="_Toc28503"/>
      <w:bookmarkStart w:id="49" w:name="_Toc13105"/>
      <w:bookmarkStart w:id="50" w:name="_Toc12682"/>
      <w:bookmarkStart w:id="51" w:name="_Toc451172702"/>
      <w:r>
        <w:rPr>
          <w:rFonts w:hint="eastAsia"/>
          <w:color w:val="auto"/>
          <w:highlight w:val="none"/>
        </w:rPr>
        <w:t>六、中标结果</w:t>
      </w:r>
      <w:bookmarkEnd w:id="48"/>
      <w:bookmarkEnd w:id="49"/>
      <w:bookmarkEnd w:id="50"/>
      <w:bookmarkEnd w:id="51"/>
    </w:p>
    <w:p w14:paraId="15CDDC8B">
      <w:pPr>
        <w:snapToGrid w:val="0"/>
        <w:spacing w:line="360" w:lineRule="auto"/>
        <w:ind w:firstLine="480" w:firstLineChars="200"/>
        <w:contextualSpacing/>
        <w:rPr>
          <w:rFonts w:hint="eastAsia"/>
          <w:color w:val="auto"/>
          <w:highlight w:val="none"/>
        </w:rPr>
      </w:pPr>
      <w:r>
        <w:rPr>
          <w:rFonts w:hint="eastAsia"/>
          <w:color w:val="auto"/>
          <w:highlight w:val="none"/>
        </w:rPr>
        <w:t>25.中标人的确定</w:t>
      </w:r>
    </w:p>
    <w:p w14:paraId="159273AD">
      <w:pPr>
        <w:snapToGrid w:val="0"/>
        <w:spacing w:line="360" w:lineRule="auto"/>
        <w:ind w:firstLine="480" w:firstLineChars="200"/>
        <w:contextualSpacing/>
        <w:rPr>
          <w:rFonts w:hint="eastAsia"/>
          <w:color w:val="auto"/>
          <w:highlight w:val="none"/>
        </w:rPr>
      </w:pPr>
      <w:r>
        <w:rPr>
          <w:rFonts w:hint="eastAsia"/>
          <w:color w:val="auto"/>
          <w:highlight w:val="none"/>
        </w:rPr>
        <w:t>25.1采购代理机构应当在评标结束后2个工作日内将评标报告送采购人确认。</w:t>
      </w:r>
    </w:p>
    <w:p w14:paraId="2E6C69A6">
      <w:pPr>
        <w:snapToGrid w:val="0"/>
        <w:spacing w:line="360" w:lineRule="auto"/>
        <w:ind w:firstLine="480" w:firstLineChars="200"/>
        <w:contextualSpacing/>
        <w:rPr>
          <w:rFonts w:hint="eastAsia"/>
          <w:color w:val="auto"/>
          <w:highlight w:val="none"/>
        </w:rPr>
      </w:pPr>
      <w:r>
        <w:rPr>
          <w:rFonts w:hint="eastAsia"/>
          <w:color w:val="auto"/>
          <w:highlight w:val="none"/>
        </w:rPr>
        <w:t>25.2采购人应当在收到评标报告后5个工作日内，按照评标报告中推荐的中标人顺序确定中标人。中标候选人并列的，由采购人或者采购人委托评标委员会按照招标文件规定的方式确定中标人；招标文件未规定的，采取随机抽取的方式确定。</w:t>
      </w:r>
    </w:p>
    <w:p w14:paraId="101DC8D1">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5.3</w:t>
      </w:r>
      <w:r>
        <w:rPr>
          <w:rFonts w:hint="eastAsia"/>
          <w:color w:val="auto"/>
          <w:highlight w:val="none"/>
        </w:rPr>
        <w:t>采购人在收到评标报告</w:t>
      </w:r>
      <w:r>
        <w:rPr>
          <w:color w:val="auto"/>
          <w:highlight w:val="none"/>
        </w:rPr>
        <w:t>5个工作日内未按评标报告推荐的中标候选人顺序确定中标人，又不能说明合法理由的，视同按评标报告推荐的顺序确定排名第一的中标候选人为中标人。</w:t>
      </w:r>
    </w:p>
    <w:p w14:paraId="61ADC6A7">
      <w:pPr>
        <w:snapToGrid w:val="0"/>
        <w:spacing w:line="360" w:lineRule="auto"/>
        <w:ind w:firstLine="480" w:firstLineChars="200"/>
        <w:contextualSpacing/>
        <w:rPr>
          <w:rFonts w:hint="eastAsia"/>
          <w:color w:val="auto"/>
          <w:highlight w:val="none"/>
        </w:rPr>
      </w:pPr>
      <w:r>
        <w:rPr>
          <w:rFonts w:hint="eastAsia"/>
          <w:color w:val="auto"/>
          <w:highlight w:val="none"/>
        </w:rPr>
        <w:t>26.在公告中标结果的同时，采购人或者采购代理机构应当向中标人发出中标通知书；对未通过资格审查的投标人，应当告知其未通过的原因；采用综合评分法评审的，还应当告知未中标人本人的评审得分与排序。</w:t>
      </w:r>
    </w:p>
    <w:p w14:paraId="62AACE81">
      <w:pPr>
        <w:snapToGrid w:val="0"/>
        <w:spacing w:line="360" w:lineRule="auto"/>
        <w:ind w:firstLine="480" w:firstLineChars="200"/>
        <w:contextualSpacing/>
        <w:rPr>
          <w:rFonts w:hint="eastAsia"/>
          <w:color w:val="auto"/>
          <w:highlight w:val="none"/>
        </w:rPr>
      </w:pPr>
      <w:r>
        <w:rPr>
          <w:rFonts w:hint="eastAsia"/>
          <w:color w:val="auto"/>
          <w:highlight w:val="none"/>
        </w:rPr>
        <w:t>27.中标通知书</w:t>
      </w:r>
    </w:p>
    <w:p w14:paraId="4DC122E6">
      <w:pPr>
        <w:snapToGrid w:val="0"/>
        <w:spacing w:line="360" w:lineRule="auto"/>
        <w:ind w:firstLine="480" w:firstLineChars="200"/>
        <w:contextualSpacing/>
        <w:rPr>
          <w:rFonts w:hint="eastAsia"/>
          <w:color w:val="auto"/>
          <w:highlight w:val="none"/>
        </w:rPr>
      </w:pPr>
      <w:r>
        <w:rPr>
          <w:rFonts w:hint="eastAsia"/>
          <w:color w:val="auto"/>
          <w:highlight w:val="none"/>
        </w:rPr>
        <w:t>27.1中标人确定后，中标结果由采购代理机构在云南省政府采购网上公告,同时向中标人发出中标通知书。</w:t>
      </w:r>
    </w:p>
    <w:p w14:paraId="0564AAF3">
      <w:pPr>
        <w:snapToGrid w:val="0"/>
        <w:spacing w:line="360" w:lineRule="auto"/>
        <w:ind w:firstLine="480" w:firstLineChars="200"/>
        <w:contextualSpacing/>
        <w:rPr>
          <w:rFonts w:hint="eastAsia"/>
          <w:color w:val="auto"/>
          <w:highlight w:val="none"/>
        </w:rPr>
      </w:pPr>
      <w:r>
        <w:rPr>
          <w:rFonts w:hint="eastAsia"/>
          <w:color w:val="auto"/>
          <w:highlight w:val="none"/>
        </w:rPr>
        <w:t>27.2中标通知书是合同的一个组成部分。</w:t>
      </w:r>
    </w:p>
    <w:p w14:paraId="01FED425">
      <w:pPr>
        <w:snapToGrid w:val="0"/>
        <w:spacing w:line="360" w:lineRule="auto"/>
        <w:ind w:firstLine="480" w:firstLineChars="200"/>
        <w:contextualSpacing/>
        <w:rPr>
          <w:rFonts w:hint="eastAsia"/>
          <w:color w:val="auto"/>
          <w:highlight w:val="none"/>
        </w:rPr>
      </w:pPr>
      <w:r>
        <w:rPr>
          <w:rFonts w:hint="eastAsia"/>
          <w:color w:val="auto"/>
          <w:highlight w:val="none"/>
        </w:rPr>
        <w:t>27.3采购代理机构无义务向未中标投标人解释未中标的原因和退回投标文件。</w:t>
      </w:r>
    </w:p>
    <w:p w14:paraId="281D34D5">
      <w:pPr>
        <w:snapToGrid w:val="0"/>
        <w:spacing w:line="360" w:lineRule="auto"/>
        <w:ind w:firstLine="480" w:firstLineChars="200"/>
        <w:contextualSpacing/>
        <w:rPr>
          <w:rFonts w:hint="eastAsia"/>
          <w:color w:val="auto"/>
          <w:highlight w:val="none"/>
        </w:rPr>
      </w:pPr>
      <w:r>
        <w:rPr>
          <w:rFonts w:hint="eastAsia"/>
          <w:color w:val="auto"/>
          <w:highlight w:val="none"/>
        </w:rPr>
        <w:t>28.签订合同</w:t>
      </w:r>
    </w:p>
    <w:p w14:paraId="03809B5D">
      <w:pPr>
        <w:snapToGrid w:val="0"/>
        <w:spacing w:line="360" w:lineRule="auto"/>
        <w:ind w:firstLine="480" w:firstLineChars="200"/>
        <w:contextualSpacing/>
        <w:rPr>
          <w:rFonts w:hint="eastAsia"/>
          <w:color w:val="auto"/>
          <w:highlight w:val="none"/>
        </w:rPr>
      </w:pPr>
      <w:r>
        <w:rPr>
          <w:rFonts w:hint="eastAsia"/>
          <w:color w:val="auto"/>
          <w:highlight w:val="none"/>
        </w:rPr>
        <w:t>28.1采购人应当自中标通知书发出之日起三十日内，按照招标文件和中标投标人投标文件的约定，与中标投标人签订书面合同。所签订的合同不得对招标文件和中标投标人投标文件作实质性修改。</w:t>
      </w:r>
    </w:p>
    <w:p w14:paraId="77D4E9F1">
      <w:pPr>
        <w:snapToGrid w:val="0"/>
        <w:spacing w:line="360" w:lineRule="auto"/>
        <w:ind w:firstLine="480" w:firstLineChars="200"/>
        <w:contextualSpacing/>
        <w:rPr>
          <w:rFonts w:hint="eastAsia"/>
          <w:color w:val="auto"/>
          <w:highlight w:val="none"/>
        </w:rPr>
      </w:pPr>
      <w:r>
        <w:rPr>
          <w:rFonts w:hint="eastAsia"/>
          <w:color w:val="auto"/>
          <w:highlight w:val="none"/>
        </w:rPr>
        <w:t>28.2中标人因不可抗力或者自身原因不能履行政府采购合同的，采购人可以与排位在中标人之后第一位的中标候选投标人签订政府采购合同，以此类推。也可选择重新组织招标。</w:t>
      </w:r>
    </w:p>
    <w:p w14:paraId="3E1FB45E">
      <w:pPr>
        <w:snapToGrid w:val="0"/>
        <w:spacing w:line="360" w:lineRule="auto"/>
        <w:ind w:firstLine="480" w:firstLineChars="200"/>
        <w:contextualSpacing/>
        <w:rPr>
          <w:rFonts w:hint="eastAsia"/>
          <w:color w:val="auto"/>
          <w:highlight w:val="none"/>
        </w:rPr>
      </w:pPr>
      <w:r>
        <w:rPr>
          <w:color w:val="auto"/>
          <w:highlight w:val="none"/>
        </w:rPr>
        <w:t>29.采购人不得向中标人提出任何不合理的要求作为签订合同的条件。</w:t>
      </w:r>
    </w:p>
    <w:p w14:paraId="615750B0">
      <w:pPr>
        <w:snapToGrid w:val="0"/>
        <w:spacing w:line="360" w:lineRule="auto"/>
        <w:ind w:firstLine="480" w:firstLineChars="200"/>
        <w:contextualSpacing/>
        <w:rPr>
          <w:rFonts w:hint="eastAsia"/>
          <w:color w:val="auto"/>
          <w:highlight w:val="none"/>
        </w:rPr>
      </w:pPr>
      <w:r>
        <w:rPr>
          <w:color w:val="auto"/>
          <w:highlight w:val="none"/>
        </w:rPr>
        <w:t>30.政府采购合同应当包括采购人与中标人的名称和住所、标的、价款或者报酬、履行期限及地点和方式、验收要求、违约责任、解决争议的方法等内容。</w:t>
      </w:r>
    </w:p>
    <w:p w14:paraId="6DBF6845">
      <w:pPr>
        <w:snapToGrid w:val="0"/>
        <w:spacing w:line="360" w:lineRule="auto"/>
        <w:ind w:firstLine="480" w:firstLineChars="200"/>
        <w:contextualSpacing/>
        <w:rPr>
          <w:rFonts w:hint="eastAsia"/>
          <w:color w:val="auto"/>
          <w:highlight w:val="none"/>
        </w:rPr>
      </w:pPr>
      <w:r>
        <w:rPr>
          <w:color w:val="auto"/>
          <w:highlight w:val="none"/>
        </w:rPr>
        <w:t>30.1采购人与中标人应当根据合同的约定依法履行合同义务。政府采购合同的履行、违约责任和解决争议的方法等适用《中华人民共和国民法典》。</w:t>
      </w:r>
    </w:p>
    <w:p w14:paraId="63101454">
      <w:pPr>
        <w:pStyle w:val="3"/>
        <w:snapToGrid w:val="0"/>
        <w:rPr>
          <w:rFonts w:hint="eastAsia"/>
          <w:color w:val="auto"/>
          <w:highlight w:val="none"/>
        </w:rPr>
      </w:pPr>
      <w:bookmarkStart w:id="52" w:name="_Toc7792"/>
      <w:bookmarkStart w:id="53" w:name="_Toc14838"/>
      <w:bookmarkStart w:id="54" w:name="_Toc27947"/>
      <w:bookmarkStart w:id="55" w:name="_Toc451172703"/>
      <w:r>
        <w:rPr>
          <w:rFonts w:hint="eastAsia"/>
          <w:color w:val="auto"/>
          <w:highlight w:val="none"/>
        </w:rPr>
        <w:t>七、其他事项</w:t>
      </w:r>
      <w:bookmarkEnd w:id="52"/>
      <w:bookmarkEnd w:id="53"/>
      <w:bookmarkEnd w:id="54"/>
      <w:bookmarkEnd w:id="55"/>
    </w:p>
    <w:p w14:paraId="7AE8BEB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1.招标代理服务费</w:t>
      </w:r>
    </w:p>
    <w:p w14:paraId="4DE886E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1.1招标代理服务费向中标人收取，收取标准详见“投标人须知前附表”。</w:t>
      </w:r>
    </w:p>
    <w:p w14:paraId="6C8B6C3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1.2中标人应在接受“中标通知书”前向招标代理机构一次付清代理服务费。</w:t>
      </w:r>
    </w:p>
    <w:p w14:paraId="3BC4155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.保证</w:t>
      </w:r>
    </w:p>
    <w:p w14:paraId="6C74430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.1投标人应保证所提交给采购代理机构和采购人的资料和数据是真实的。</w:t>
      </w:r>
    </w:p>
    <w:p w14:paraId="433D921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3</w:t>
      </w:r>
      <w:r>
        <w:rPr>
          <w:color w:val="auto"/>
          <w:highlight w:val="none"/>
        </w:rPr>
        <w:t>.法律责任</w:t>
      </w:r>
    </w:p>
    <w:p w14:paraId="2C19FE61">
      <w:pPr>
        <w:snapToGrid w:val="0"/>
        <w:spacing w:line="360" w:lineRule="auto"/>
        <w:ind w:firstLine="480" w:firstLineChars="200"/>
        <w:contextualSpacing/>
        <w:rPr>
          <w:rFonts w:hint="eastAsia"/>
          <w:color w:val="auto"/>
          <w:highlight w:val="none"/>
        </w:rPr>
      </w:pPr>
      <w:r>
        <w:rPr>
          <w:rFonts w:hint="eastAsia"/>
          <w:color w:val="auto"/>
          <w:highlight w:val="none"/>
        </w:rPr>
        <w:t>合同依法成立后，当事人必须全面履行合同规定的义务，保证合同顺利执行。中标人不得向他人转让中标项目，也不得将中标项目分解后向他人转让。履行合同过程中出现纠纷的，按《中华人民共和国民法典》的规定处理。</w:t>
      </w:r>
    </w:p>
    <w:p w14:paraId="7C40A56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.询问、质疑、投诉</w:t>
      </w:r>
    </w:p>
    <w:p w14:paraId="57165C4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.1询问</w:t>
      </w:r>
    </w:p>
    <w:p w14:paraId="0FDECD0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.1.1供应商对政府采购活动事项有疑问的，可以向采购人或者采购代理机构提出询问，询问可以口头方式提出，也可以书面形式提出。</w:t>
      </w:r>
    </w:p>
    <w:p w14:paraId="716BAE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1.2如采用书面形式提出询问，供应商为自然人的，询问函应当由本人签字；供应商为法人或者其他组织的，应当由法定代表人、主要负责人或授权代表签字或者盖章，并加盖供应商公章。询问供应商若委托代理人提出询问的，询问函应按要求列明“授权代表”的有关内容，并提交由供应商签署的授权委托书及代理人身份证复印件，并加盖供应商公章。授权委托书应载明代理人的姓名或者名称、代理事项、具体权限、期限和相关事项。</w:t>
      </w:r>
    </w:p>
    <w:p w14:paraId="4B2294D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.1.3采购人或者采购代理机构在三个工作日内对供应商依法提出的询问作出答复。</w:t>
      </w:r>
    </w:p>
    <w:p w14:paraId="08B4AE6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.2质疑</w:t>
      </w:r>
    </w:p>
    <w:p w14:paraId="1692BAD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.2.1提出质疑的供应商（以下简称质疑供应商）应当是参与所质疑项目采购活动的供应商。</w:t>
      </w:r>
    </w:p>
    <w:p w14:paraId="1617CB9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.2.2质疑期限：</w:t>
      </w:r>
    </w:p>
    <w:p w14:paraId="29EB0E4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2.2.1供应商认为招标文件的内容损害其权益的，应当在获取招标文件之日或者招标文件公告期届满之日起七个工作日内。（注：供应商获取招标文件之日早于招标文件公告期限届满之日的，则以供应商获取招标文件之日为质疑时效期间的起算日期；否则，以招标文件公告期限届满之日为质疑时效期间的起算日期）</w:t>
      </w:r>
    </w:p>
    <w:p w14:paraId="398F247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.2.2.2供应商认为采购过程损害其权益的，应在各采购程序环节结束之日起七个工作日内。</w:t>
      </w:r>
    </w:p>
    <w:p w14:paraId="4375BF7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.2.2.3供应商认为中标或者成交结果损害其权益的，应在中标或者成交结果公告期限届满之日起七个工作日内。</w:t>
      </w:r>
    </w:p>
    <w:p w14:paraId="173E3B54">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.2.3提交要求：</w:t>
      </w:r>
    </w:p>
    <w:p w14:paraId="4976C0D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.2.3.1以书面形式（指加盖供应商公章的原件）向采购人或者采购代理机构一次性提出针对同一采购程序环节的质疑。</w:t>
      </w:r>
    </w:p>
    <w:p w14:paraId="6BD18C5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.2.3.2质疑函应当包括下列内容：</w:t>
      </w:r>
    </w:p>
    <w:p w14:paraId="6102C0D2">
      <w:pPr>
        <w:snapToGrid w:val="0"/>
        <w:spacing w:line="360" w:lineRule="auto"/>
        <w:ind w:firstLine="480" w:firstLineChars="200"/>
        <w:contextualSpacing/>
        <w:rPr>
          <w:rFonts w:hint="eastAsia"/>
          <w:color w:val="auto"/>
          <w:highlight w:val="none"/>
        </w:rPr>
      </w:pPr>
      <w:r>
        <w:rPr>
          <w:color w:val="auto"/>
          <w:highlight w:val="none"/>
        </w:rPr>
        <w:t>1）供应商的姓名或者名称、地址、邮编、联系人及联系电话；</w:t>
      </w:r>
    </w:p>
    <w:p w14:paraId="41AC2E00">
      <w:pPr>
        <w:snapToGrid w:val="0"/>
        <w:spacing w:line="360" w:lineRule="auto"/>
        <w:ind w:firstLine="480" w:firstLineChars="200"/>
        <w:contextualSpacing/>
        <w:rPr>
          <w:rFonts w:hint="eastAsia"/>
          <w:color w:val="auto"/>
          <w:highlight w:val="none"/>
        </w:rPr>
      </w:pPr>
      <w:r>
        <w:rPr>
          <w:color w:val="auto"/>
          <w:highlight w:val="none"/>
        </w:rPr>
        <w:t>2）质疑项目的名称和招标编号，若对项目的某一分包进行质疑，应列明具体的包组号；</w:t>
      </w:r>
    </w:p>
    <w:p w14:paraId="056D9D8E">
      <w:pPr>
        <w:snapToGrid w:val="0"/>
        <w:spacing w:line="360" w:lineRule="auto"/>
        <w:ind w:firstLine="480" w:firstLineChars="200"/>
        <w:contextualSpacing/>
        <w:rPr>
          <w:rFonts w:hint="eastAsia"/>
          <w:color w:val="auto"/>
          <w:highlight w:val="none"/>
        </w:rPr>
      </w:pPr>
      <w:r>
        <w:rPr>
          <w:color w:val="auto"/>
          <w:highlight w:val="none"/>
        </w:rPr>
        <w:t>3）具体、明确的质疑事项和与质疑事项相关的请求；</w:t>
      </w:r>
    </w:p>
    <w:p w14:paraId="5942051C">
      <w:pPr>
        <w:snapToGrid w:val="0"/>
        <w:spacing w:line="360" w:lineRule="auto"/>
        <w:ind w:firstLine="480" w:firstLineChars="200"/>
        <w:contextualSpacing/>
        <w:rPr>
          <w:rFonts w:hint="eastAsia"/>
          <w:color w:val="auto"/>
          <w:highlight w:val="none"/>
        </w:rPr>
      </w:pPr>
      <w:r>
        <w:rPr>
          <w:color w:val="auto"/>
          <w:highlight w:val="none"/>
        </w:rPr>
        <w:t>4）事实依据；</w:t>
      </w:r>
    </w:p>
    <w:p w14:paraId="54CAE9AC">
      <w:pPr>
        <w:snapToGrid w:val="0"/>
        <w:spacing w:line="360" w:lineRule="auto"/>
        <w:ind w:firstLine="480" w:firstLineChars="200"/>
        <w:contextualSpacing/>
        <w:rPr>
          <w:rFonts w:hint="eastAsia"/>
          <w:color w:val="auto"/>
          <w:highlight w:val="none"/>
        </w:rPr>
      </w:pPr>
      <w:r>
        <w:rPr>
          <w:color w:val="auto"/>
          <w:highlight w:val="none"/>
        </w:rPr>
        <w:t>5）必要的法律依据；</w:t>
      </w:r>
    </w:p>
    <w:p w14:paraId="077357E9">
      <w:pPr>
        <w:snapToGrid w:val="0"/>
        <w:spacing w:line="360" w:lineRule="auto"/>
        <w:ind w:firstLine="480" w:firstLineChars="200"/>
        <w:contextualSpacing/>
        <w:rPr>
          <w:rFonts w:hint="eastAsia"/>
          <w:color w:val="auto"/>
          <w:highlight w:val="none"/>
        </w:rPr>
      </w:pPr>
      <w:r>
        <w:rPr>
          <w:color w:val="auto"/>
          <w:highlight w:val="none"/>
        </w:rPr>
        <w:t>6）提出质疑的日期。</w:t>
      </w:r>
    </w:p>
    <w:p w14:paraId="6F0032C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2.3.3供应商为法人或者其他组织的，应当由法定代表人、主要负责人或授权代表签字或者盖章，并加盖供应商公章。质疑供应商若委托代理人进行质疑的，质疑函应按要求列明“授权代表”的有关内容，并提交由供应商签署的授权委托书及代理人身份证复印件，并加盖供应商公章。授权委托书应载明代理人的姓名或者名称、代理事项、具体权限、期限和相关事项。</w:t>
      </w:r>
    </w:p>
    <w:p w14:paraId="75A7D6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.2.3.4以联合体形式参加政府采购活动的，其质疑应当由组成联合体的所有供应商共同提出。</w:t>
      </w:r>
    </w:p>
    <w:p w14:paraId="42ED209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.2.3.5供应商捏造事实、提供虚假材料或者以非法手段取得证明材料不能作为质疑的证明材料。</w:t>
      </w:r>
    </w:p>
    <w:p w14:paraId="1E07CFE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.2.3.6采购人或者采购代理机构在收到质疑函后7个工作日内作出答复，并以书面形式通知质疑供应商和其他有关供应商，但答复内容不涉及商业秘密。</w:t>
      </w:r>
    </w:p>
    <w:p w14:paraId="2CC03168">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.2.4询问、质疑的期间开始之日，不计算在期间内。期间届满的最后一日是节假日的，以节假日后的第一日为期间届满的日期。</w:t>
      </w:r>
    </w:p>
    <w:p w14:paraId="64341DB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.2.5对于捏造事实、滥用维权扰乱采购秩序的恶意质疑者或举证不全查无实据被驳回次数在一年内达三次以上，将纳入不良行为记录名单并承担相应的法律责任。</w:t>
      </w:r>
    </w:p>
    <w:p w14:paraId="3E6626B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.2.6采购代理机构接收质疑函的联系部门、联系电话和通讯地址等信息详见第一章通讯联系人、电话及地址。</w:t>
      </w:r>
    </w:p>
    <w:p w14:paraId="6FE81DC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.3投诉</w:t>
      </w:r>
    </w:p>
    <w:p w14:paraId="36CA8F2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.3.1质疑供应商对采购人、采购代理机构的质疑答复不满意，或采购人或者采购代理机构未在规定期限内作出答复的，可以在答复期满后十五个工作日内向政府采购监督管理部门提起投诉。</w:t>
      </w:r>
    </w:p>
    <w:p w14:paraId="13E3297C">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w:t>
      </w:r>
      <w:r>
        <w:rPr>
          <w:rFonts w:hint="eastAsia"/>
          <w:color w:val="auto"/>
          <w:highlight w:val="none"/>
        </w:rPr>
        <w:t>.政府采购政策其他管理规定</w:t>
      </w:r>
    </w:p>
    <w:p w14:paraId="0CBB2AC1">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5.1</w:t>
      </w:r>
      <w:r>
        <w:rPr>
          <w:rFonts w:hint="eastAsia"/>
          <w:color w:val="auto"/>
          <w:highlight w:val="none"/>
        </w:rPr>
        <w:t>根据《财政部关于促进政府采购公平竞争优化营商环境的通知》（财库〔</w:t>
      </w:r>
      <w:r>
        <w:rPr>
          <w:color w:val="auto"/>
          <w:highlight w:val="none"/>
        </w:rPr>
        <w:t>2019〕38 号</w:t>
      </w:r>
      <w:r>
        <w:rPr>
          <w:rFonts w:hint="eastAsia"/>
          <w:color w:val="auto"/>
          <w:highlight w:val="none"/>
        </w:rPr>
        <w:t>）《云南省财政厅关于促进政府采购公平竞争优化营商环境的实施意见》（云财规〔</w:t>
      </w:r>
      <w:r>
        <w:rPr>
          <w:color w:val="auto"/>
          <w:highlight w:val="none"/>
        </w:rPr>
        <w:t>2019〕5号</w:t>
      </w:r>
      <w:r>
        <w:rPr>
          <w:rFonts w:hint="eastAsia"/>
          <w:color w:val="auto"/>
          <w:highlight w:val="none"/>
        </w:rPr>
        <w:t>）规定，不得因装订、纸张、文件排序等非实质性的格式、形式问题限制和影响供应商投标、响应。</w:t>
      </w:r>
    </w:p>
    <w:p w14:paraId="0363E424">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.解释权</w:t>
      </w:r>
    </w:p>
    <w:p w14:paraId="2A33EB22">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.1本招标文件是根据《中华人民共和国政府采购法》《中华人民共和国政府采购法实施条例》《政府采购货物和服务招标投标管理办法》及相关法律法规编制，解释权属采购代理机构。</w:t>
      </w:r>
    </w:p>
    <w:p w14:paraId="24D037B8">
      <w:pPr>
        <w:pStyle w:val="2"/>
        <w:spacing w:before="0"/>
        <w:ind w:left="0" w:firstLine="562"/>
        <w:jc w:val="center"/>
        <w:rPr>
          <w:rFonts w:cs="Arial"/>
          <w:color w:val="auto"/>
          <w:highlight w:val="none"/>
        </w:rPr>
      </w:pPr>
      <w:r>
        <w:rPr>
          <w:color w:val="auto"/>
          <w:highlight w:val="none"/>
        </w:rPr>
        <w:br w:type="page"/>
      </w:r>
      <w:bookmarkStart w:id="56" w:name="_Toc1738"/>
      <w:bookmarkStart w:id="57" w:name="_Toc213141090"/>
      <w:bookmarkStart w:id="58" w:name="OLE_LINK32"/>
      <w:r>
        <w:rPr>
          <w:rFonts w:hint="eastAsia" w:ascii="宋体" w:hAnsi="宋体" w:eastAsia="宋体"/>
          <w:bCs/>
          <w:color w:val="auto"/>
          <w:sz w:val="30"/>
          <w:szCs w:val="30"/>
          <w:highlight w:val="none"/>
        </w:rPr>
        <w:t>第三章  评标方法（综合评分法）</w:t>
      </w:r>
      <w:bookmarkEnd w:id="56"/>
    </w:p>
    <w:p w14:paraId="62F64271">
      <w:pPr>
        <w:adjustRightInd w:val="0"/>
        <w:snapToGrid w:val="0"/>
        <w:spacing w:line="360" w:lineRule="auto"/>
        <w:ind w:firstLine="480" w:firstLineChars="200"/>
        <w:rPr>
          <w:rFonts w:hint="eastAsia"/>
          <w:color w:val="auto"/>
          <w:highlight w:val="none"/>
        </w:rPr>
      </w:pPr>
      <w:r>
        <w:rPr>
          <w:color w:val="auto"/>
          <w:highlight w:val="none"/>
        </w:rPr>
        <w:t>1.评标依据</w:t>
      </w:r>
    </w:p>
    <w:p w14:paraId="1C5FD686">
      <w:pPr>
        <w:adjustRightInd w:val="0"/>
        <w:snapToGrid w:val="0"/>
        <w:spacing w:line="360" w:lineRule="auto"/>
        <w:ind w:firstLine="480" w:firstLineChars="200"/>
        <w:rPr>
          <w:rFonts w:hint="eastAsia"/>
          <w:color w:val="auto"/>
          <w:highlight w:val="none"/>
        </w:rPr>
      </w:pPr>
      <w:r>
        <w:rPr>
          <w:color w:val="auto"/>
          <w:highlight w:val="none"/>
        </w:rPr>
        <w:t>1.1《中华人民共和国政府采购法》《中华人民共和国政府采购法实施条例》；</w:t>
      </w:r>
    </w:p>
    <w:p w14:paraId="23B5949E">
      <w:pPr>
        <w:adjustRightInd w:val="0"/>
        <w:snapToGrid w:val="0"/>
        <w:spacing w:line="360" w:lineRule="auto"/>
        <w:ind w:firstLine="480" w:firstLineChars="200"/>
        <w:rPr>
          <w:rFonts w:hint="eastAsia"/>
          <w:color w:val="auto"/>
          <w:highlight w:val="none"/>
        </w:rPr>
      </w:pPr>
      <w:r>
        <w:rPr>
          <w:color w:val="auto"/>
          <w:highlight w:val="none"/>
        </w:rPr>
        <w:t>1.2《政府采购货物和服务招投标管理办法》财政部令第87号文等；</w:t>
      </w:r>
    </w:p>
    <w:p w14:paraId="0813453F">
      <w:pPr>
        <w:adjustRightInd w:val="0"/>
        <w:snapToGrid w:val="0"/>
        <w:spacing w:line="360" w:lineRule="auto"/>
        <w:ind w:firstLine="480" w:firstLineChars="200"/>
        <w:rPr>
          <w:rFonts w:hint="eastAsia"/>
          <w:color w:val="auto"/>
          <w:highlight w:val="none"/>
        </w:rPr>
      </w:pPr>
      <w:r>
        <w:rPr>
          <w:color w:val="auto"/>
          <w:highlight w:val="none"/>
        </w:rPr>
        <w:t>1.3 本项目招标文件。</w:t>
      </w:r>
    </w:p>
    <w:p w14:paraId="66543F2D">
      <w:pPr>
        <w:adjustRightInd w:val="0"/>
        <w:snapToGrid w:val="0"/>
        <w:spacing w:line="360" w:lineRule="auto"/>
        <w:ind w:firstLine="480" w:firstLineChars="200"/>
        <w:rPr>
          <w:rFonts w:hint="eastAsia"/>
          <w:color w:val="auto"/>
          <w:highlight w:val="none"/>
        </w:rPr>
      </w:pPr>
      <w:r>
        <w:rPr>
          <w:color w:val="auto"/>
          <w:highlight w:val="none"/>
        </w:rPr>
        <w:t>2.评标原则</w:t>
      </w:r>
    </w:p>
    <w:p w14:paraId="49089184">
      <w:pPr>
        <w:adjustRightInd w:val="0"/>
        <w:snapToGrid w:val="0"/>
        <w:spacing w:line="360" w:lineRule="auto"/>
        <w:ind w:firstLine="480" w:firstLineChars="200"/>
        <w:rPr>
          <w:rFonts w:hint="eastAsia"/>
          <w:color w:val="auto"/>
          <w:highlight w:val="none"/>
        </w:rPr>
      </w:pPr>
      <w:r>
        <w:rPr>
          <w:color w:val="auto"/>
          <w:highlight w:val="none"/>
        </w:rPr>
        <w:t>2.1公平、公正、科学择优评标；</w:t>
      </w:r>
    </w:p>
    <w:p w14:paraId="68C34B91">
      <w:pPr>
        <w:adjustRightInd w:val="0"/>
        <w:snapToGrid w:val="0"/>
        <w:spacing w:line="360" w:lineRule="auto"/>
        <w:ind w:firstLine="480" w:firstLineChars="200"/>
        <w:rPr>
          <w:rFonts w:hint="eastAsia"/>
          <w:color w:val="auto"/>
          <w:highlight w:val="none"/>
        </w:rPr>
      </w:pPr>
      <w:r>
        <w:rPr>
          <w:color w:val="auto"/>
          <w:highlight w:val="none"/>
        </w:rPr>
        <w:t>2.2评标由评标委员会负责，由采购人代表和评审专家组成，成员人数应当为5人以上单数，其中评审专家不得少于成员总数的三分之二。评标委员会由采购单位依法组建，有关人员对所聘任的评标委员会成员名单必须严格保密。评审专家有下列情形之一的，受到邀请应主动提出回避，采购当事人也可以要求该评审专家回避：</w:t>
      </w:r>
    </w:p>
    <w:p w14:paraId="2736F8FB">
      <w:pPr>
        <w:adjustRightInd w:val="0"/>
        <w:snapToGrid w:val="0"/>
        <w:spacing w:line="360" w:lineRule="auto"/>
        <w:ind w:firstLine="480" w:firstLineChars="200"/>
        <w:rPr>
          <w:rFonts w:hint="eastAsia"/>
          <w:color w:val="auto"/>
          <w:highlight w:val="none"/>
        </w:rPr>
      </w:pPr>
      <w:r>
        <w:rPr>
          <w:color w:val="auto"/>
          <w:highlight w:val="none"/>
        </w:rPr>
        <w:t>2.2.1.</w:t>
      </w:r>
      <w:r>
        <w:rPr>
          <w:color w:val="auto"/>
          <w:highlight w:val="none"/>
        </w:rPr>
        <w:tab/>
      </w:r>
      <w:r>
        <w:rPr>
          <w:color w:val="auto"/>
          <w:highlight w:val="none"/>
        </w:rPr>
        <w:t>参加采购活动前3年内与供应商存在劳动关系；</w:t>
      </w:r>
    </w:p>
    <w:p w14:paraId="02FA7FF7">
      <w:pPr>
        <w:adjustRightInd w:val="0"/>
        <w:snapToGrid w:val="0"/>
        <w:spacing w:line="360" w:lineRule="auto"/>
        <w:ind w:firstLine="480" w:firstLineChars="200"/>
        <w:rPr>
          <w:rFonts w:hint="eastAsia"/>
          <w:color w:val="auto"/>
          <w:highlight w:val="none"/>
        </w:rPr>
      </w:pPr>
      <w:r>
        <w:rPr>
          <w:color w:val="auto"/>
          <w:highlight w:val="none"/>
        </w:rPr>
        <w:t>2.2.2.</w:t>
      </w:r>
      <w:r>
        <w:rPr>
          <w:color w:val="auto"/>
          <w:highlight w:val="none"/>
        </w:rPr>
        <w:tab/>
      </w:r>
      <w:r>
        <w:rPr>
          <w:color w:val="auto"/>
          <w:highlight w:val="none"/>
        </w:rPr>
        <w:t>参加采购活动前3年内担任供应商的董事或监事；</w:t>
      </w:r>
    </w:p>
    <w:p w14:paraId="5F0BE4D8">
      <w:pPr>
        <w:adjustRightInd w:val="0"/>
        <w:snapToGrid w:val="0"/>
        <w:spacing w:line="360" w:lineRule="auto"/>
        <w:ind w:firstLine="480" w:firstLineChars="200"/>
        <w:rPr>
          <w:rFonts w:hint="eastAsia"/>
          <w:color w:val="auto"/>
          <w:highlight w:val="none"/>
        </w:rPr>
      </w:pPr>
      <w:r>
        <w:rPr>
          <w:color w:val="auto"/>
          <w:highlight w:val="none"/>
        </w:rPr>
        <w:t>2.2.3.</w:t>
      </w:r>
      <w:r>
        <w:rPr>
          <w:color w:val="auto"/>
          <w:highlight w:val="none"/>
        </w:rPr>
        <w:tab/>
      </w:r>
      <w:r>
        <w:rPr>
          <w:color w:val="auto"/>
          <w:highlight w:val="none"/>
        </w:rPr>
        <w:t>参加采购活动前3年内是供应商的控股股东或者实际控制人；</w:t>
      </w:r>
    </w:p>
    <w:p w14:paraId="66572290">
      <w:pPr>
        <w:adjustRightInd w:val="0"/>
        <w:snapToGrid w:val="0"/>
        <w:spacing w:line="360" w:lineRule="auto"/>
        <w:ind w:firstLine="480" w:firstLineChars="200"/>
        <w:rPr>
          <w:rFonts w:hint="eastAsia"/>
          <w:color w:val="auto"/>
          <w:highlight w:val="none"/>
        </w:rPr>
      </w:pPr>
      <w:r>
        <w:rPr>
          <w:color w:val="auto"/>
          <w:highlight w:val="none"/>
        </w:rPr>
        <w:t>2.2.4.</w:t>
      </w:r>
      <w:r>
        <w:rPr>
          <w:color w:val="auto"/>
          <w:highlight w:val="none"/>
        </w:rPr>
        <w:tab/>
      </w:r>
      <w:r>
        <w:rPr>
          <w:color w:val="auto"/>
          <w:highlight w:val="none"/>
        </w:rPr>
        <w:t>与供应商的法定代表人或者负责人有夫妻、直系血亲、三代以内旁系血亲或者近姻亲关系；</w:t>
      </w:r>
    </w:p>
    <w:p w14:paraId="37D5D4F7">
      <w:pPr>
        <w:adjustRightInd w:val="0"/>
        <w:snapToGrid w:val="0"/>
        <w:spacing w:line="360" w:lineRule="auto"/>
        <w:ind w:firstLine="480" w:firstLineChars="200"/>
        <w:rPr>
          <w:rFonts w:hint="eastAsia"/>
          <w:color w:val="auto"/>
          <w:highlight w:val="none"/>
        </w:rPr>
      </w:pPr>
      <w:r>
        <w:rPr>
          <w:color w:val="auto"/>
          <w:highlight w:val="none"/>
        </w:rPr>
        <w:t>2.2.5.</w:t>
      </w:r>
      <w:r>
        <w:rPr>
          <w:color w:val="auto"/>
          <w:highlight w:val="none"/>
        </w:rPr>
        <w:tab/>
      </w:r>
      <w:r>
        <w:rPr>
          <w:color w:val="auto"/>
          <w:highlight w:val="none"/>
        </w:rPr>
        <w:t>与供应商有其他可能影响政府采购活动公平、公正进行的关系。</w:t>
      </w:r>
    </w:p>
    <w:p w14:paraId="2157DBBA">
      <w:pPr>
        <w:adjustRightInd w:val="0"/>
        <w:snapToGrid w:val="0"/>
        <w:spacing w:line="360" w:lineRule="auto"/>
        <w:ind w:firstLine="480" w:firstLineChars="200"/>
        <w:rPr>
          <w:rFonts w:hint="eastAsia"/>
          <w:color w:val="auto"/>
          <w:highlight w:val="none"/>
        </w:rPr>
      </w:pPr>
      <w:r>
        <w:rPr>
          <w:color w:val="auto"/>
          <w:highlight w:val="none"/>
        </w:rPr>
        <w:t>2.3参加评标的人员应严格遵守国家有关保密的法律、法规和规定，并接受有关部门的监督；</w:t>
      </w:r>
    </w:p>
    <w:p w14:paraId="429539CC">
      <w:pPr>
        <w:adjustRightInd w:val="0"/>
        <w:snapToGrid w:val="0"/>
        <w:spacing w:line="360" w:lineRule="auto"/>
        <w:ind w:firstLine="480" w:firstLineChars="200"/>
        <w:rPr>
          <w:rFonts w:hint="eastAsia"/>
          <w:color w:val="auto"/>
          <w:highlight w:val="none"/>
        </w:rPr>
      </w:pPr>
      <w:r>
        <w:rPr>
          <w:color w:val="auto"/>
          <w:highlight w:val="none"/>
        </w:rPr>
        <w:t>2.4根据法律法规规定，参加评标的有关人员应对整个评标、定标过程保密，不得泄露；</w:t>
      </w:r>
    </w:p>
    <w:p w14:paraId="71D72F08">
      <w:pPr>
        <w:adjustRightInd w:val="0"/>
        <w:snapToGrid w:val="0"/>
        <w:spacing w:line="360" w:lineRule="auto"/>
        <w:ind w:firstLine="480" w:firstLineChars="200"/>
        <w:rPr>
          <w:rFonts w:hint="eastAsia"/>
          <w:color w:val="auto"/>
          <w:highlight w:val="none"/>
        </w:rPr>
      </w:pPr>
      <w:r>
        <w:rPr>
          <w:color w:val="auto"/>
          <w:highlight w:val="none"/>
        </w:rPr>
        <w:t>2.5评标委员会成员（以下简称评委）应按规定的程序评标；</w:t>
      </w:r>
    </w:p>
    <w:p w14:paraId="673443A2">
      <w:pPr>
        <w:adjustRightInd w:val="0"/>
        <w:snapToGrid w:val="0"/>
        <w:spacing w:line="360" w:lineRule="auto"/>
        <w:ind w:firstLine="480" w:firstLineChars="200"/>
        <w:rPr>
          <w:rFonts w:hint="eastAsia"/>
          <w:color w:val="auto"/>
          <w:highlight w:val="none"/>
        </w:rPr>
      </w:pPr>
      <w:r>
        <w:rPr>
          <w:rFonts w:hint="eastAsia"/>
          <w:color w:val="auto"/>
          <w:highlight w:val="none"/>
        </w:rPr>
        <w:t>2.6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139643">
      <w:pPr>
        <w:adjustRightInd w:val="0"/>
        <w:snapToGrid w:val="0"/>
        <w:spacing w:line="360" w:lineRule="auto"/>
        <w:ind w:firstLine="480" w:firstLineChars="200"/>
        <w:rPr>
          <w:rFonts w:hint="eastAsia"/>
          <w:color w:val="auto"/>
          <w:highlight w:val="none"/>
        </w:rPr>
      </w:pPr>
      <w:r>
        <w:rPr>
          <w:rFonts w:hint="eastAsia"/>
          <w:color w:val="auto"/>
          <w:highlight w:val="none"/>
        </w:rPr>
        <w:t>2.6.1异常低价审查规则：</w:t>
      </w:r>
    </w:p>
    <w:p w14:paraId="19785E36">
      <w:pPr>
        <w:adjustRightInd w:val="0"/>
        <w:snapToGrid w:val="0"/>
        <w:spacing w:line="360" w:lineRule="auto"/>
        <w:ind w:firstLine="480" w:firstLineChars="200"/>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39C2F73D">
      <w:pPr>
        <w:adjustRightInd w:val="0"/>
        <w:snapToGrid w:val="0"/>
        <w:spacing w:line="360" w:lineRule="auto"/>
        <w:ind w:firstLine="480" w:firstLineChars="200"/>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0793ACCA">
      <w:pPr>
        <w:adjustRightInd w:val="0"/>
        <w:snapToGrid w:val="0"/>
        <w:spacing w:line="360" w:lineRule="auto"/>
        <w:ind w:firstLine="480" w:firstLineChars="200"/>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47587BC0">
      <w:pPr>
        <w:adjustRightInd w:val="0"/>
        <w:snapToGrid w:val="0"/>
        <w:spacing w:line="360" w:lineRule="auto"/>
        <w:ind w:firstLine="480" w:firstLineChars="200"/>
        <w:rPr>
          <w:rFonts w:hint="eastAsia"/>
          <w:color w:val="auto"/>
          <w:highlight w:val="none"/>
        </w:rPr>
      </w:pPr>
      <w:r>
        <w:rPr>
          <w:rFonts w:hint="eastAsia"/>
          <w:color w:val="auto"/>
          <w:highlight w:val="none"/>
        </w:rPr>
        <w:t>③投标报价低于采购项目最高限价45%的，即投标报价&lt;采购项目最高限价×45%；</w:t>
      </w:r>
    </w:p>
    <w:p w14:paraId="289061B3">
      <w:pPr>
        <w:adjustRightInd w:val="0"/>
        <w:snapToGrid w:val="0"/>
        <w:spacing w:line="360" w:lineRule="auto"/>
        <w:ind w:firstLine="480" w:firstLineChars="200"/>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4600C78D">
      <w:pPr>
        <w:adjustRightInd w:val="0"/>
        <w:snapToGrid w:val="0"/>
        <w:spacing w:line="360" w:lineRule="auto"/>
        <w:ind w:firstLine="480" w:firstLineChars="200"/>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26F4368E">
      <w:pPr>
        <w:adjustRightInd w:val="0"/>
        <w:snapToGrid w:val="0"/>
        <w:spacing w:line="360" w:lineRule="auto"/>
        <w:ind w:firstLine="480" w:firstLineChars="200"/>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01DDA042">
      <w:pPr>
        <w:adjustRightInd w:val="0"/>
        <w:snapToGrid w:val="0"/>
        <w:spacing w:line="360" w:lineRule="auto"/>
        <w:ind w:firstLine="480" w:firstLineChars="200"/>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2E59C012">
      <w:pPr>
        <w:adjustRightInd w:val="0"/>
        <w:snapToGrid w:val="0"/>
        <w:spacing w:line="360" w:lineRule="auto"/>
        <w:ind w:firstLine="480" w:firstLineChars="200"/>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442A3FF1">
      <w:pPr>
        <w:adjustRightInd w:val="0"/>
        <w:snapToGrid w:val="0"/>
        <w:spacing w:line="360" w:lineRule="auto"/>
        <w:ind w:firstLine="480" w:firstLineChars="200"/>
        <w:rPr>
          <w:rFonts w:hint="eastAsia"/>
          <w:color w:val="auto"/>
          <w:highlight w:val="none"/>
        </w:rPr>
      </w:pPr>
      <w:r>
        <w:rPr>
          <w:rFonts w:hint="eastAsia"/>
          <w:color w:val="auto"/>
          <w:highlight w:val="none"/>
        </w:rPr>
        <w:t>2.6.2评标委员会成员应当在评标报告上签字，对自己的评审意见承担法律责任。对需要共同认定的事项存在争议的，应当按照少数服从多数的原则作出结论。持不同意见的评标委员会成员应当在评标报告上签署不同意见及理由，否则视为同意评标报告</w:t>
      </w:r>
    </w:p>
    <w:p w14:paraId="23E3E362">
      <w:pPr>
        <w:adjustRightInd w:val="0"/>
        <w:snapToGrid w:val="0"/>
        <w:spacing w:line="360" w:lineRule="auto"/>
        <w:ind w:firstLine="480" w:firstLineChars="200"/>
        <w:rPr>
          <w:rFonts w:hint="eastAsia"/>
          <w:color w:val="auto"/>
          <w:highlight w:val="none"/>
        </w:rPr>
      </w:pPr>
      <w:r>
        <w:rPr>
          <w:color w:val="auto"/>
          <w:highlight w:val="none"/>
        </w:rPr>
        <w:t>2.7评标委员会将对确定为实质上响应招标文件要求的投标文件进行比较评审；</w:t>
      </w:r>
    </w:p>
    <w:p w14:paraId="7896F07A">
      <w:pPr>
        <w:adjustRightInd w:val="0"/>
        <w:snapToGrid w:val="0"/>
        <w:spacing w:line="360" w:lineRule="auto"/>
        <w:ind w:firstLine="480" w:firstLineChars="200"/>
        <w:rPr>
          <w:rFonts w:hint="eastAsia"/>
          <w:color w:val="auto"/>
          <w:highlight w:val="none"/>
        </w:rPr>
      </w:pPr>
      <w:r>
        <w:rPr>
          <w:color w:val="auto"/>
          <w:highlight w:val="none"/>
        </w:rPr>
        <w:t>2.8投标人对评委施加影响的任何行为，都将被取消中标资格。</w:t>
      </w:r>
    </w:p>
    <w:p w14:paraId="51947C45">
      <w:pPr>
        <w:adjustRightInd w:val="0"/>
        <w:snapToGrid w:val="0"/>
        <w:spacing w:line="360" w:lineRule="auto"/>
        <w:ind w:firstLine="480" w:firstLineChars="200"/>
        <w:rPr>
          <w:rFonts w:hint="eastAsia"/>
          <w:color w:val="auto"/>
          <w:highlight w:val="none"/>
        </w:rPr>
      </w:pPr>
      <w:r>
        <w:rPr>
          <w:color w:val="auto"/>
          <w:highlight w:val="none"/>
        </w:rPr>
        <w:t>3.评标程序</w:t>
      </w:r>
    </w:p>
    <w:p w14:paraId="487037F6">
      <w:pPr>
        <w:adjustRightInd w:val="0"/>
        <w:snapToGrid w:val="0"/>
        <w:spacing w:line="360" w:lineRule="auto"/>
        <w:ind w:firstLine="480" w:firstLineChars="200"/>
        <w:rPr>
          <w:rFonts w:hint="eastAsia"/>
          <w:color w:val="auto"/>
          <w:highlight w:val="none"/>
        </w:rPr>
      </w:pPr>
      <w:r>
        <w:rPr>
          <w:color w:val="auto"/>
          <w:highlight w:val="none"/>
        </w:rPr>
        <w:t>3.1由采购人或采购代理机构依据资格审查标准对实质性响应的投标人进行资格审查（资格性审查条件详见附件1），并向评标委员会提交资格审查报告。</w:t>
      </w:r>
    </w:p>
    <w:p w14:paraId="141FAA7E">
      <w:pPr>
        <w:adjustRightInd w:val="0"/>
        <w:snapToGrid w:val="0"/>
        <w:spacing w:line="360" w:lineRule="auto"/>
        <w:ind w:firstLine="480" w:firstLineChars="200"/>
        <w:rPr>
          <w:rFonts w:hint="eastAsia"/>
          <w:color w:val="auto"/>
          <w:highlight w:val="none"/>
        </w:rPr>
      </w:pPr>
      <w:r>
        <w:rPr>
          <w:color w:val="auto"/>
          <w:highlight w:val="none"/>
        </w:rPr>
        <w:t>3.2评标委员会对通过资格审查的投标人进行符合性检查（符合性检查条件详见附件2）。依据招标文件的规定，从投标文件的有效性、完整性和对招标文件的响应程度进行审查，以确定是否对招标文件的实质性要求做出响应。</w:t>
      </w:r>
    </w:p>
    <w:p w14:paraId="1DDC5A40">
      <w:pPr>
        <w:snapToGrid w:val="0"/>
        <w:spacing w:line="360" w:lineRule="auto"/>
        <w:ind w:firstLine="482"/>
        <w:contextualSpacing/>
        <w:rPr>
          <w:rFonts w:hint="eastAsia" w:ascii="等线" w:hAnsi="等线" w:cs="Times New Roman"/>
          <w:color w:val="auto"/>
          <w:sz w:val="21"/>
          <w:szCs w:val="21"/>
          <w:highlight w:val="none"/>
        </w:rPr>
      </w:pPr>
      <w:r>
        <w:rPr>
          <w:rFonts w:hint="eastAsia"/>
          <w:b/>
          <w:bCs/>
          <w:color w:val="auto"/>
          <w:highlight w:val="none"/>
        </w:rPr>
        <w:t>附件1：</w:t>
      </w:r>
      <w:r>
        <w:rPr>
          <w:rFonts w:hint="eastAsia"/>
          <w:b/>
          <w:color w:val="auto"/>
          <w:highlight w:val="none"/>
        </w:rPr>
        <w:t>资格性检查</w:t>
      </w:r>
      <w:r>
        <w:rPr>
          <w:rFonts w:hint="eastAsia"/>
          <w:b/>
          <w:bCs/>
          <w:color w:val="auto"/>
          <w:highlight w:val="none"/>
        </w:rPr>
        <w:t>表：</w:t>
      </w:r>
    </w:p>
    <w:tbl>
      <w:tblPr>
        <w:tblStyle w:val="42"/>
        <w:tblW w:w="95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1"/>
        <w:gridCol w:w="1736"/>
        <w:gridCol w:w="5900"/>
        <w:gridCol w:w="976"/>
      </w:tblGrid>
      <w:tr w14:paraId="2FE62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961" w:type="dxa"/>
            <w:tcBorders>
              <w:bottom w:val="single" w:color="auto" w:sz="4" w:space="0"/>
            </w:tcBorders>
            <w:vAlign w:val="center"/>
          </w:tcPr>
          <w:p w14:paraId="297EFEC0">
            <w:pPr>
              <w:adjustRightInd w:val="0"/>
              <w:snapToGrid w:val="0"/>
              <w:spacing w:line="360" w:lineRule="auto"/>
              <w:jc w:val="center"/>
              <w:rPr>
                <w:rFonts w:hint="eastAsia"/>
                <w:b/>
                <w:color w:val="auto"/>
                <w:highlight w:val="none"/>
              </w:rPr>
            </w:pPr>
            <w:r>
              <w:rPr>
                <w:b/>
                <w:bCs/>
                <w:color w:val="auto"/>
                <w:highlight w:val="none"/>
              </w:rPr>
              <w:t>资格评审</w:t>
            </w:r>
          </w:p>
        </w:tc>
        <w:tc>
          <w:tcPr>
            <w:tcW w:w="1736" w:type="dxa"/>
            <w:vAlign w:val="center"/>
          </w:tcPr>
          <w:p w14:paraId="07FFD9C1">
            <w:pPr>
              <w:adjustRightInd w:val="0"/>
              <w:snapToGrid w:val="0"/>
              <w:spacing w:line="360" w:lineRule="auto"/>
              <w:jc w:val="center"/>
              <w:rPr>
                <w:rFonts w:hint="eastAsia"/>
                <w:b/>
                <w:color w:val="auto"/>
                <w:highlight w:val="none"/>
              </w:rPr>
            </w:pPr>
            <w:r>
              <w:rPr>
                <w:b/>
                <w:color w:val="auto"/>
                <w:highlight w:val="none"/>
              </w:rPr>
              <w:t>评审因素</w:t>
            </w:r>
          </w:p>
        </w:tc>
        <w:tc>
          <w:tcPr>
            <w:tcW w:w="5900" w:type="dxa"/>
            <w:vAlign w:val="center"/>
          </w:tcPr>
          <w:p w14:paraId="7D5177F5">
            <w:pPr>
              <w:adjustRightInd w:val="0"/>
              <w:snapToGrid w:val="0"/>
              <w:spacing w:line="360" w:lineRule="auto"/>
              <w:jc w:val="center"/>
              <w:rPr>
                <w:rFonts w:hint="eastAsia"/>
                <w:b/>
                <w:color w:val="auto"/>
                <w:highlight w:val="none"/>
              </w:rPr>
            </w:pPr>
            <w:r>
              <w:rPr>
                <w:b/>
                <w:color w:val="auto"/>
                <w:highlight w:val="none"/>
              </w:rPr>
              <w:t>评审标准</w:t>
            </w:r>
          </w:p>
        </w:tc>
        <w:tc>
          <w:tcPr>
            <w:tcW w:w="976" w:type="dxa"/>
            <w:vAlign w:val="center"/>
          </w:tcPr>
          <w:p w14:paraId="3973F0B5">
            <w:pPr>
              <w:adjustRightInd w:val="0"/>
              <w:snapToGrid w:val="0"/>
              <w:spacing w:line="360" w:lineRule="auto"/>
              <w:jc w:val="center"/>
              <w:rPr>
                <w:rFonts w:hint="eastAsia"/>
                <w:b/>
                <w:color w:val="auto"/>
                <w:highlight w:val="none"/>
              </w:rPr>
            </w:pPr>
            <w:r>
              <w:rPr>
                <w:b/>
                <w:color w:val="auto"/>
                <w:highlight w:val="none"/>
              </w:rPr>
              <w:t>审查要求</w:t>
            </w:r>
          </w:p>
        </w:tc>
      </w:tr>
      <w:tr w14:paraId="3940F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restart"/>
            <w:tcBorders>
              <w:top w:val="single" w:color="auto" w:sz="4" w:space="0"/>
            </w:tcBorders>
            <w:vAlign w:val="center"/>
          </w:tcPr>
          <w:p w14:paraId="2CBC738C">
            <w:pPr>
              <w:adjustRightInd w:val="0"/>
              <w:snapToGrid w:val="0"/>
              <w:spacing w:line="360" w:lineRule="auto"/>
              <w:rPr>
                <w:rFonts w:hint="eastAsia"/>
                <w:color w:val="auto"/>
                <w:highlight w:val="none"/>
              </w:rPr>
            </w:pPr>
            <w:r>
              <w:rPr>
                <w:color w:val="auto"/>
                <w:highlight w:val="none"/>
              </w:rPr>
              <w:t>资格</w:t>
            </w:r>
            <w:r>
              <w:rPr>
                <w:rFonts w:hint="eastAsia"/>
                <w:color w:val="auto"/>
                <w:highlight w:val="none"/>
              </w:rPr>
              <w:t>审查标准</w:t>
            </w:r>
          </w:p>
        </w:tc>
        <w:tc>
          <w:tcPr>
            <w:tcW w:w="1736" w:type="dxa"/>
            <w:vAlign w:val="center"/>
          </w:tcPr>
          <w:p w14:paraId="54A98478">
            <w:pPr>
              <w:adjustRightInd w:val="0"/>
              <w:snapToGrid w:val="0"/>
              <w:spacing w:line="360" w:lineRule="auto"/>
              <w:jc w:val="center"/>
              <w:rPr>
                <w:rFonts w:hint="eastAsia"/>
                <w:bCs/>
                <w:color w:val="auto"/>
                <w:highlight w:val="none"/>
              </w:rPr>
            </w:pPr>
            <w:r>
              <w:rPr>
                <w:rFonts w:hint="eastAsia"/>
                <w:bCs/>
                <w:color w:val="auto"/>
                <w:highlight w:val="none"/>
              </w:rPr>
              <w:t>营业执照或其他证明资料</w:t>
            </w:r>
          </w:p>
        </w:tc>
        <w:tc>
          <w:tcPr>
            <w:tcW w:w="5900" w:type="dxa"/>
            <w:vAlign w:val="center"/>
          </w:tcPr>
          <w:p w14:paraId="064BDBCB">
            <w:pPr>
              <w:adjustRightInd w:val="0"/>
              <w:snapToGrid w:val="0"/>
              <w:spacing w:line="360" w:lineRule="auto"/>
              <w:rPr>
                <w:rFonts w:hint="eastAsia"/>
                <w:bCs/>
                <w:color w:val="auto"/>
                <w:highlight w:val="none"/>
              </w:rPr>
            </w:pPr>
            <w:r>
              <w:rPr>
                <w:rFonts w:hint="eastAsia"/>
                <w:bCs/>
                <w:color w:val="auto"/>
                <w:highlight w:val="none"/>
              </w:rPr>
              <w:t>具有独立承担民事责任的能力，能合法提供采购内容及其相应的售后服务，并持有效的营业执照或其他证明材料，提供法人或者其他组织的有效营业执照、事业单位法人证书等证明文件；</w:t>
            </w:r>
          </w:p>
        </w:tc>
        <w:tc>
          <w:tcPr>
            <w:tcW w:w="976" w:type="dxa"/>
            <w:vAlign w:val="center"/>
          </w:tcPr>
          <w:p w14:paraId="273BB950">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15D17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0D8CA473">
            <w:pPr>
              <w:adjustRightInd w:val="0"/>
              <w:snapToGrid w:val="0"/>
              <w:spacing w:line="360" w:lineRule="auto"/>
              <w:rPr>
                <w:rFonts w:hint="eastAsia"/>
                <w:color w:val="auto"/>
                <w:highlight w:val="none"/>
              </w:rPr>
            </w:pPr>
          </w:p>
        </w:tc>
        <w:tc>
          <w:tcPr>
            <w:tcW w:w="1736" w:type="dxa"/>
            <w:vAlign w:val="center"/>
          </w:tcPr>
          <w:p w14:paraId="678D88B9">
            <w:pPr>
              <w:adjustRightInd w:val="0"/>
              <w:snapToGrid w:val="0"/>
              <w:spacing w:line="360" w:lineRule="auto"/>
              <w:jc w:val="center"/>
              <w:rPr>
                <w:rFonts w:hint="eastAsia"/>
                <w:bCs/>
                <w:color w:val="auto"/>
                <w:highlight w:val="none"/>
              </w:rPr>
            </w:pPr>
            <w:r>
              <w:rPr>
                <w:rFonts w:hint="eastAsia"/>
                <w:bCs/>
                <w:color w:val="auto"/>
                <w:highlight w:val="none"/>
              </w:rPr>
              <w:t>承诺函</w:t>
            </w:r>
          </w:p>
        </w:tc>
        <w:tc>
          <w:tcPr>
            <w:tcW w:w="5900" w:type="dxa"/>
            <w:vAlign w:val="center"/>
          </w:tcPr>
          <w:p w14:paraId="3BC2FCD8">
            <w:pPr>
              <w:adjustRightInd w:val="0"/>
              <w:snapToGrid w:val="0"/>
              <w:spacing w:line="360" w:lineRule="auto"/>
              <w:rPr>
                <w:rFonts w:hint="eastAsia"/>
                <w:color w:val="auto"/>
                <w:highlight w:val="none"/>
              </w:rPr>
            </w:pPr>
            <w:r>
              <w:rPr>
                <w:rFonts w:hint="eastAsia"/>
                <w:color w:val="auto"/>
                <w:highlight w:val="none"/>
              </w:rPr>
              <w:t>投标人自行承诺符合《中华人民共和国政府采购法》第二十二条规定及《中华人民共和国政府采购法实施条例》第十七条的相关要求；</w:t>
            </w:r>
          </w:p>
        </w:tc>
        <w:tc>
          <w:tcPr>
            <w:tcW w:w="976" w:type="dxa"/>
            <w:vAlign w:val="center"/>
          </w:tcPr>
          <w:p w14:paraId="426AC9ED">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67DFA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1F2907B4">
            <w:pPr>
              <w:adjustRightInd w:val="0"/>
              <w:snapToGrid w:val="0"/>
              <w:spacing w:line="360" w:lineRule="auto"/>
              <w:rPr>
                <w:rFonts w:hint="eastAsia"/>
                <w:color w:val="auto"/>
                <w:highlight w:val="none"/>
              </w:rPr>
            </w:pPr>
          </w:p>
        </w:tc>
        <w:tc>
          <w:tcPr>
            <w:tcW w:w="1736" w:type="dxa"/>
            <w:vAlign w:val="center"/>
          </w:tcPr>
          <w:p w14:paraId="0419485B">
            <w:pPr>
              <w:adjustRightInd w:val="0"/>
              <w:snapToGrid w:val="0"/>
              <w:spacing w:line="360" w:lineRule="auto"/>
              <w:jc w:val="center"/>
              <w:rPr>
                <w:rFonts w:hint="eastAsia"/>
                <w:color w:val="auto"/>
                <w:highlight w:val="none"/>
              </w:rPr>
            </w:pPr>
            <w:r>
              <w:rPr>
                <w:rFonts w:hint="eastAsia"/>
                <w:color w:val="auto"/>
                <w:highlight w:val="none"/>
              </w:rPr>
              <w:t>信誉要求</w:t>
            </w:r>
          </w:p>
        </w:tc>
        <w:tc>
          <w:tcPr>
            <w:tcW w:w="5900" w:type="dxa"/>
            <w:vAlign w:val="center"/>
          </w:tcPr>
          <w:p w14:paraId="58F974DE">
            <w:pPr>
              <w:adjustRightInd w:val="0"/>
              <w:snapToGrid w:val="0"/>
              <w:spacing w:line="360" w:lineRule="auto"/>
              <w:rPr>
                <w:rFonts w:hint="eastAsia"/>
                <w:color w:val="auto"/>
                <w:highlight w:val="none"/>
              </w:rPr>
            </w:pPr>
            <w:r>
              <w:rPr>
                <w:rFonts w:hint="eastAsia"/>
                <w:color w:val="auto"/>
                <w:highlight w:val="none"/>
              </w:rPr>
              <w:t>投标人自行承诺在“信用中国”网站(www.creditchina.gov.cn) 中未被列入：失信被执行人、严重失信主体名单查询、重大税收违法失信主体名单；在“中国政府采购网”(www.ccgp.gov.cn) 中未被列入：政府采购严重违法失信行为记录名单。</w:t>
            </w:r>
          </w:p>
        </w:tc>
        <w:tc>
          <w:tcPr>
            <w:tcW w:w="976" w:type="dxa"/>
            <w:vAlign w:val="center"/>
          </w:tcPr>
          <w:p w14:paraId="7505501F">
            <w:pPr>
              <w:adjustRightInd w:val="0"/>
              <w:snapToGrid w:val="0"/>
              <w:jc w:val="center"/>
              <w:rPr>
                <w:rFonts w:hint="eastAsia"/>
                <w:color w:val="auto"/>
                <w:highlight w:val="none"/>
              </w:rPr>
            </w:pPr>
            <w:bookmarkStart w:id="59" w:name="OLE_LINK1"/>
            <w:r>
              <w:rPr>
                <w:rFonts w:hint="eastAsia"/>
                <w:bCs/>
                <w:color w:val="auto"/>
                <w:highlight w:val="none"/>
              </w:rPr>
              <w:t>审核投标文件</w:t>
            </w:r>
            <w:bookmarkEnd w:id="59"/>
          </w:p>
        </w:tc>
      </w:tr>
      <w:tr w14:paraId="6E95A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2ECFF91D">
            <w:pPr>
              <w:adjustRightInd w:val="0"/>
              <w:snapToGrid w:val="0"/>
              <w:spacing w:line="360" w:lineRule="auto"/>
              <w:rPr>
                <w:rFonts w:hint="eastAsia"/>
                <w:color w:val="auto"/>
                <w:highlight w:val="none"/>
              </w:rPr>
            </w:pPr>
          </w:p>
        </w:tc>
        <w:tc>
          <w:tcPr>
            <w:tcW w:w="1736" w:type="dxa"/>
            <w:vAlign w:val="center"/>
          </w:tcPr>
          <w:p w14:paraId="146A5906">
            <w:pPr>
              <w:adjustRightInd w:val="0"/>
              <w:snapToGrid w:val="0"/>
              <w:spacing w:line="360" w:lineRule="auto"/>
              <w:jc w:val="center"/>
              <w:rPr>
                <w:rFonts w:hint="eastAsia"/>
                <w:color w:val="auto"/>
                <w:highlight w:val="none"/>
              </w:rPr>
            </w:pPr>
            <w:r>
              <w:rPr>
                <w:rFonts w:hint="eastAsia"/>
                <w:color w:val="auto"/>
                <w:highlight w:val="none"/>
              </w:rPr>
              <w:t>采购政策</w:t>
            </w:r>
          </w:p>
        </w:tc>
        <w:tc>
          <w:tcPr>
            <w:tcW w:w="5900" w:type="dxa"/>
            <w:vAlign w:val="center"/>
          </w:tcPr>
          <w:p w14:paraId="4E3C6C41">
            <w:pPr>
              <w:adjustRightInd w:val="0"/>
              <w:snapToGrid w:val="0"/>
              <w:spacing w:line="360" w:lineRule="auto"/>
              <w:rPr>
                <w:rFonts w:hint="eastAsia" w:eastAsia="宋体"/>
                <w:color w:val="auto"/>
                <w:highlight w:val="none"/>
                <w:lang w:eastAsia="zh-CN"/>
              </w:rPr>
            </w:pPr>
            <w:r>
              <w:rPr>
                <w:rFonts w:hint="eastAsia"/>
                <w:color w:val="auto"/>
                <w:highlight w:val="none"/>
              </w:rPr>
              <w:t>供应商应为中小企业</w:t>
            </w:r>
            <w:r>
              <w:rPr>
                <w:rFonts w:hint="eastAsia"/>
                <w:color w:val="auto"/>
                <w:highlight w:val="none"/>
                <w:lang w:eastAsia="zh-CN"/>
              </w:rPr>
              <w:t>：</w:t>
            </w:r>
          </w:p>
          <w:p w14:paraId="1FE35E88">
            <w:pPr>
              <w:adjustRightInd w:val="0"/>
              <w:snapToGrid w:val="0"/>
              <w:spacing w:line="360" w:lineRule="auto"/>
              <w:rPr>
                <w:rFonts w:hint="eastAsia"/>
                <w:color w:val="auto"/>
                <w:highlight w:val="none"/>
              </w:rPr>
            </w:pPr>
            <w:r>
              <w:rPr>
                <w:rFonts w:hint="eastAsia"/>
                <w:color w:val="auto"/>
                <w:highlight w:val="none"/>
              </w:rPr>
              <w:t>根据要求</w:t>
            </w:r>
            <w:r>
              <w:rPr>
                <w:rFonts w:hint="eastAsia"/>
                <w:color w:val="auto"/>
                <w:highlight w:val="none"/>
                <w:lang w:val="en-US" w:eastAsia="zh-CN"/>
              </w:rPr>
              <w:t>提供</w:t>
            </w:r>
            <w:r>
              <w:rPr>
                <w:rFonts w:hint="eastAsia"/>
                <w:color w:val="auto"/>
                <w:highlight w:val="none"/>
              </w:rPr>
              <w:t>《中小企业声明函》。格式以采购文件要求为准。</w:t>
            </w:r>
          </w:p>
        </w:tc>
        <w:tc>
          <w:tcPr>
            <w:tcW w:w="976" w:type="dxa"/>
            <w:vAlign w:val="center"/>
          </w:tcPr>
          <w:p w14:paraId="1AAEB164">
            <w:pPr>
              <w:adjustRightInd w:val="0"/>
              <w:snapToGrid w:val="0"/>
              <w:jc w:val="center"/>
              <w:rPr>
                <w:rFonts w:hint="eastAsia"/>
                <w:bCs/>
                <w:color w:val="auto"/>
                <w:highlight w:val="none"/>
              </w:rPr>
            </w:pPr>
            <w:r>
              <w:rPr>
                <w:rFonts w:hint="eastAsia"/>
                <w:bCs/>
                <w:color w:val="auto"/>
                <w:highlight w:val="none"/>
              </w:rPr>
              <w:t>审核投标文件</w:t>
            </w:r>
          </w:p>
        </w:tc>
      </w:tr>
      <w:tr w14:paraId="070DB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961" w:type="dxa"/>
            <w:vMerge w:val="continue"/>
            <w:vAlign w:val="center"/>
          </w:tcPr>
          <w:p w14:paraId="7D8F4505">
            <w:pPr>
              <w:adjustRightInd w:val="0"/>
              <w:snapToGrid w:val="0"/>
              <w:spacing w:line="360" w:lineRule="auto"/>
              <w:rPr>
                <w:rFonts w:hint="eastAsia"/>
                <w:color w:val="auto"/>
                <w:highlight w:val="none"/>
              </w:rPr>
            </w:pPr>
          </w:p>
        </w:tc>
        <w:tc>
          <w:tcPr>
            <w:tcW w:w="1736" w:type="dxa"/>
            <w:vAlign w:val="center"/>
          </w:tcPr>
          <w:p w14:paraId="3C8134F2">
            <w:pPr>
              <w:adjustRightInd w:val="0"/>
              <w:snapToGrid w:val="0"/>
              <w:spacing w:line="360" w:lineRule="auto"/>
              <w:jc w:val="center"/>
              <w:rPr>
                <w:rFonts w:hint="eastAsia"/>
                <w:color w:val="auto"/>
                <w:highlight w:val="none"/>
              </w:rPr>
            </w:pPr>
            <w:r>
              <w:rPr>
                <w:rFonts w:hint="eastAsia"/>
                <w:color w:val="auto"/>
                <w:highlight w:val="none"/>
              </w:rPr>
              <w:t>本项目的特定资格要求</w:t>
            </w:r>
          </w:p>
        </w:tc>
        <w:tc>
          <w:tcPr>
            <w:tcW w:w="5900" w:type="dxa"/>
            <w:vAlign w:val="center"/>
          </w:tcPr>
          <w:p w14:paraId="43D8FEE8">
            <w:pPr>
              <w:adjustRightInd w:val="0"/>
              <w:snapToGrid w:val="0"/>
              <w:spacing w:line="360" w:lineRule="auto"/>
              <w:rPr>
                <w:rFonts w:hint="eastAsia"/>
                <w:color w:val="auto"/>
                <w:highlight w:val="none"/>
              </w:rPr>
            </w:pPr>
            <w:r>
              <w:rPr>
                <w:rFonts w:hint="eastAsia"/>
                <w:color w:val="auto"/>
                <w:highlight w:val="none"/>
              </w:rPr>
              <w:t>无</w:t>
            </w:r>
          </w:p>
        </w:tc>
        <w:tc>
          <w:tcPr>
            <w:tcW w:w="976" w:type="dxa"/>
            <w:vAlign w:val="center"/>
          </w:tcPr>
          <w:p w14:paraId="76B7DFB2">
            <w:pPr>
              <w:adjustRightInd w:val="0"/>
              <w:snapToGrid w:val="0"/>
              <w:jc w:val="center"/>
              <w:rPr>
                <w:rFonts w:hint="eastAsia"/>
                <w:bCs/>
                <w:color w:val="auto"/>
                <w:highlight w:val="none"/>
              </w:rPr>
            </w:pPr>
            <w:r>
              <w:rPr>
                <w:rFonts w:hint="eastAsia"/>
                <w:bCs/>
                <w:color w:val="auto"/>
                <w:highlight w:val="none"/>
              </w:rPr>
              <w:t>——</w:t>
            </w:r>
          </w:p>
        </w:tc>
      </w:tr>
    </w:tbl>
    <w:p w14:paraId="1B36FD3D">
      <w:pPr>
        <w:adjustRightInd w:val="0"/>
        <w:snapToGrid w:val="0"/>
        <w:spacing w:line="360" w:lineRule="auto"/>
        <w:ind w:firstLine="482"/>
        <w:rPr>
          <w:rFonts w:hint="eastAsia"/>
          <w:b/>
          <w:bCs/>
          <w:color w:val="auto"/>
          <w:highlight w:val="none"/>
        </w:rPr>
      </w:pPr>
    </w:p>
    <w:p w14:paraId="08F64C1E">
      <w:pPr>
        <w:snapToGrid w:val="0"/>
        <w:spacing w:line="360" w:lineRule="auto"/>
        <w:ind w:firstLine="482"/>
        <w:contextualSpacing/>
        <w:rPr>
          <w:rFonts w:hint="eastAsia"/>
          <w:b/>
          <w:bCs/>
          <w:color w:val="auto"/>
          <w:highlight w:val="none"/>
        </w:rPr>
      </w:pPr>
      <w:r>
        <w:rPr>
          <w:rFonts w:hint="eastAsia"/>
          <w:b/>
          <w:bCs/>
          <w:color w:val="auto"/>
          <w:highlight w:val="none"/>
        </w:rPr>
        <w:t>附件二：</w:t>
      </w:r>
      <w:r>
        <w:rPr>
          <w:b/>
          <w:bCs/>
          <w:color w:val="auto"/>
          <w:highlight w:val="none"/>
        </w:rPr>
        <w:t>符合性检查</w:t>
      </w:r>
    </w:p>
    <w:p w14:paraId="6BD2CC20">
      <w:pPr>
        <w:snapToGrid w:val="0"/>
        <w:spacing w:line="360" w:lineRule="auto"/>
        <w:ind w:firstLine="480" w:firstLineChars="200"/>
        <w:contextualSpacing/>
        <w:rPr>
          <w:rFonts w:hint="eastAsia"/>
          <w:bCs/>
          <w:color w:val="auto"/>
          <w:highlight w:val="none"/>
        </w:rPr>
      </w:pPr>
      <w:r>
        <w:rPr>
          <w:bCs/>
          <w:color w:val="auto"/>
          <w:highlight w:val="none"/>
        </w:rPr>
        <w:t>在符合性检查时，如发现下列情形之一的，投标文件将被视为无效：</w:t>
      </w:r>
    </w:p>
    <w:p w14:paraId="10EDCE6E">
      <w:pPr>
        <w:snapToGrid w:val="0"/>
        <w:spacing w:line="360" w:lineRule="auto"/>
        <w:ind w:firstLine="480" w:firstLineChars="200"/>
        <w:contextualSpacing/>
        <w:rPr>
          <w:rFonts w:hint="eastAsia"/>
          <w:bCs/>
          <w:color w:val="auto"/>
          <w:highlight w:val="none"/>
        </w:rPr>
      </w:pPr>
      <w:r>
        <w:rPr>
          <w:bCs/>
          <w:color w:val="auto"/>
          <w:highlight w:val="none"/>
        </w:rPr>
        <w:t>（1）无单位盖章</w:t>
      </w:r>
      <w:r>
        <w:rPr>
          <w:rFonts w:hint="eastAsia"/>
          <w:bCs/>
          <w:color w:val="auto"/>
          <w:highlight w:val="none"/>
        </w:rPr>
        <w:t>或</w:t>
      </w:r>
      <w:r>
        <w:rPr>
          <w:bCs/>
          <w:color w:val="auto"/>
          <w:highlight w:val="none"/>
        </w:rPr>
        <w:t>无法定代表人或其授权代理人</w:t>
      </w:r>
      <w:r>
        <w:rPr>
          <w:rFonts w:hint="eastAsia"/>
          <w:bCs/>
          <w:color w:val="auto"/>
          <w:highlight w:val="none"/>
        </w:rPr>
        <w:t>签字</w:t>
      </w:r>
      <w:r>
        <w:rPr>
          <w:bCs/>
          <w:color w:val="auto"/>
          <w:highlight w:val="none"/>
        </w:rPr>
        <w:t>；</w:t>
      </w:r>
    </w:p>
    <w:p w14:paraId="0E150D88">
      <w:pPr>
        <w:snapToGrid w:val="0"/>
        <w:spacing w:line="360" w:lineRule="auto"/>
        <w:ind w:firstLine="480" w:firstLineChars="200"/>
        <w:contextualSpacing/>
        <w:rPr>
          <w:rFonts w:hint="eastAsia"/>
          <w:bCs/>
          <w:color w:val="auto"/>
          <w:highlight w:val="none"/>
        </w:rPr>
      </w:pPr>
      <w:r>
        <w:rPr>
          <w:bCs/>
          <w:color w:val="auto"/>
          <w:highlight w:val="none"/>
        </w:rPr>
        <w:t>（2）投标报价超过</w:t>
      </w:r>
      <w:r>
        <w:rPr>
          <w:rFonts w:hint="eastAsia"/>
          <w:bCs/>
          <w:color w:val="auto"/>
          <w:highlight w:val="none"/>
        </w:rPr>
        <w:t>采购预算价（最高限价）</w:t>
      </w:r>
      <w:r>
        <w:rPr>
          <w:bCs/>
          <w:color w:val="auto"/>
          <w:highlight w:val="none"/>
        </w:rPr>
        <w:t>的；</w:t>
      </w:r>
    </w:p>
    <w:p w14:paraId="58B4DD64">
      <w:pPr>
        <w:snapToGrid w:val="0"/>
        <w:spacing w:line="360" w:lineRule="auto"/>
        <w:ind w:firstLine="480" w:firstLineChars="200"/>
        <w:contextualSpacing/>
        <w:rPr>
          <w:rFonts w:hint="eastAsia"/>
          <w:bCs/>
          <w:color w:val="auto"/>
          <w:highlight w:val="none"/>
        </w:rPr>
      </w:pPr>
      <w:r>
        <w:rPr>
          <w:bCs/>
          <w:color w:val="auto"/>
          <w:highlight w:val="none"/>
        </w:rPr>
        <w:t>（3）投标人未按招标文件要求提交投标保证金的；</w:t>
      </w:r>
    </w:p>
    <w:p w14:paraId="2857ACB0">
      <w:pPr>
        <w:snapToGrid w:val="0"/>
        <w:spacing w:line="360" w:lineRule="auto"/>
        <w:ind w:firstLine="480" w:firstLineChars="200"/>
        <w:contextualSpacing/>
        <w:rPr>
          <w:rFonts w:hint="eastAsia"/>
          <w:bCs/>
          <w:color w:val="auto"/>
          <w:highlight w:val="none"/>
        </w:rPr>
      </w:pPr>
      <w:r>
        <w:rPr>
          <w:rFonts w:hint="eastAsia"/>
          <w:bCs/>
          <w:color w:val="auto"/>
          <w:highlight w:val="none"/>
        </w:rPr>
        <w:t>（4）</w:t>
      </w:r>
      <w:r>
        <w:rPr>
          <w:bCs/>
          <w:color w:val="auto"/>
          <w:highlight w:val="none"/>
        </w:rPr>
        <w:t>未实质性响应招标文件要求或者投标文件有</w:t>
      </w:r>
      <w:r>
        <w:rPr>
          <w:rFonts w:hint="eastAsia"/>
          <w:bCs/>
          <w:color w:val="auto"/>
          <w:highlight w:val="none"/>
        </w:rPr>
        <w:t>招标</w:t>
      </w:r>
      <w:r>
        <w:rPr>
          <w:bCs/>
          <w:color w:val="auto"/>
          <w:highlight w:val="none"/>
        </w:rPr>
        <w:t>人不能接受的条件的；</w:t>
      </w:r>
    </w:p>
    <w:p w14:paraId="4688AAFD">
      <w:pPr>
        <w:snapToGrid w:val="0"/>
        <w:spacing w:line="360" w:lineRule="auto"/>
        <w:ind w:firstLine="480" w:firstLineChars="200"/>
        <w:contextualSpacing/>
        <w:rPr>
          <w:rFonts w:hint="eastAsia"/>
          <w:bCs/>
          <w:color w:val="auto"/>
          <w:highlight w:val="none"/>
        </w:rPr>
      </w:pPr>
      <w:r>
        <w:rPr>
          <w:bCs/>
          <w:color w:val="auto"/>
          <w:highlight w:val="none"/>
        </w:rPr>
        <w:t>（</w:t>
      </w:r>
      <w:r>
        <w:rPr>
          <w:rFonts w:hint="eastAsia"/>
          <w:bCs/>
          <w:color w:val="auto"/>
          <w:highlight w:val="none"/>
          <w:lang w:val="en-US" w:eastAsia="zh-CN"/>
        </w:rPr>
        <w:t>5</w:t>
      </w:r>
      <w:r>
        <w:rPr>
          <w:rFonts w:hint="eastAsia"/>
          <w:bCs/>
          <w:color w:val="auto"/>
          <w:highlight w:val="none"/>
        </w:rPr>
        <w:t>）</w:t>
      </w:r>
      <w:r>
        <w:rPr>
          <w:bCs/>
          <w:color w:val="auto"/>
          <w:highlight w:val="none"/>
        </w:rPr>
        <w:t>投标文件未按招标文件规定格式编制影响投标文件实质性内容的</w:t>
      </w:r>
      <w:r>
        <w:rPr>
          <w:rFonts w:hint="eastAsia"/>
          <w:bCs/>
          <w:color w:val="auto"/>
          <w:highlight w:val="none"/>
        </w:rPr>
        <w:t>；</w:t>
      </w:r>
    </w:p>
    <w:p w14:paraId="04147797">
      <w:pPr>
        <w:snapToGrid w:val="0"/>
        <w:spacing w:line="360" w:lineRule="auto"/>
        <w:ind w:firstLine="480" w:firstLineChars="200"/>
        <w:contextualSpacing/>
        <w:rPr>
          <w:rFonts w:hint="eastAsia"/>
          <w:bCs/>
          <w:color w:val="auto"/>
          <w:highlight w:val="none"/>
        </w:rPr>
      </w:pPr>
      <w:r>
        <w:rPr>
          <w:rFonts w:hint="eastAsia"/>
          <w:bCs/>
          <w:color w:val="auto"/>
          <w:highlight w:val="none"/>
        </w:rPr>
        <w:t>（</w:t>
      </w:r>
      <w:r>
        <w:rPr>
          <w:rFonts w:hint="eastAsia"/>
          <w:bCs/>
          <w:color w:val="auto"/>
          <w:highlight w:val="none"/>
          <w:lang w:val="en-US" w:eastAsia="zh-CN"/>
        </w:rPr>
        <w:t>6</w:t>
      </w:r>
      <w:r>
        <w:rPr>
          <w:bCs/>
          <w:color w:val="auto"/>
          <w:highlight w:val="none"/>
        </w:rPr>
        <w:t>）不符合招标文件中规定的其它实质性要求。</w:t>
      </w:r>
    </w:p>
    <w:p w14:paraId="203CA0DE">
      <w:pPr>
        <w:snapToGrid w:val="0"/>
        <w:spacing w:line="360" w:lineRule="auto"/>
        <w:ind w:firstLine="480" w:firstLineChars="200"/>
        <w:contextualSpacing/>
        <w:rPr>
          <w:rFonts w:hint="eastAsia"/>
          <w:bCs/>
          <w:color w:val="auto"/>
          <w:highlight w:val="none"/>
        </w:rPr>
      </w:pPr>
      <w:r>
        <w:rPr>
          <w:bCs/>
          <w:color w:val="auto"/>
          <w:highlight w:val="none"/>
        </w:rPr>
        <w:t>3.3澄清有关问题。对投标文件中含义不明确、同类问题表述不一致或者有明显文字和计算错误的内容，评标委员会可书面形式要求投标人做出必要的澄清、说明。投标人的、说明或者澄清应当采用书面形式，并不得超出投标文件的范围或者改变投标文件的实质性内容。</w:t>
      </w:r>
    </w:p>
    <w:p w14:paraId="50F4234A">
      <w:pPr>
        <w:snapToGrid w:val="0"/>
        <w:spacing w:line="360" w:lineRule="auto"/>
        <w:ind w:firstLine="480" w:firstLineChars="200"/>
        <w:contextualSpacing/>
        <w:rPr>
          <w:rFonts w:hint="eastAsia"/>
          <w:bCs/>
          <w:color w:val="auto"/>
          <w:highlight w:val="none"/>
        </w:rPr>
      </w:pPr>
      <w:r>
        <w:rPr>
          <w:bCs/>
          <w:color w:val="auto"/>
          <w:highlight w:val="none"/>
        </w:rPr>
        <w:t>3.4</w:t>
      </w:r>
      <w:r>
        <w:rPr>
          <w:rFonts w:hint="eastAsia"/>
          <w:bCs/>
          <w:color w:val="auto"/>
          <w:highlight w:val="none"/>
        </w:rPr>
        <w:t>评标委员会按上述规定的评标内容和标准，对资格性检查和符合性检查合格的投标文件进行综合比较与独立评分。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r>
        <w:rPr>
          <w:bCs/>
          <w:color w:val="auto"/>
          <w:highlight w:val="none"/>
        </w:rPr>
        <w:t>。</w:t>
      </w:r>
    </w:p>
    <w:p w14:paraId="40FAA207">
      <w:pPr>
        <w:snapToGrid w:val="0"/>
        <w:spacing w:line="360" w:lineRule="auto"/>
        <w:ind w:firstLine="480" w:firstLineChars="200"/>
        <w:contextualSpacing/>
        <w:rPr>
          <w:rFonts w:hint="eastAsia"/>
          <w:bCs/>
          <w:color w:val="auto"/>
          <w:highlight w:val="none"/>
        </w:rPr>
      </w:pPr>
      <w:r>
        <w:rPr>
          <w:bCs/>
          <w:color w:val="auto"/>
          <w:highlight w:val="none"/>
        </w:rPr>
        <w:t>3.5</w:t>
      </w:r>
      <w:r>
        <w:rPr>
          <w:rFonts w:hint="eastAsia"/>
          <w:bCs/>
          <w:color w:val="auto"/>
          <w:highlight w:val="none"/>
        </w:rPr>
        <w:t>推荐中标候选人名单。根据采购需要，按各评委评出的最终得分由高到低顺序排列，推荐3名中标候选人，如评审得分相同的，评标委员会将依次按技术部分得分高优先、价格部分得分高优先、商务部分得分高优先的顺序确定；所有得分均相等的，主要技术指标高（技术指标的响应程度得分高）优先、质保期长优先、交货时间短优先、故障到达时间短优先的顺序确定中标候选人排序</w:t>
      </w:r>
      <w:r>
        <w:rPr>
          <w:bCs/>
          <w:color w:val="auto"/>
          <w:highlight w:val="none"/>
        </w:rPr>
        <w:t>。</w:t>
      </w:r>
    </w:p>
    <w:p w14:paraId="6A26BFB5">
      <w:pPr>
        <w:snapToGrid w:val="0"/>
        <w:spacing w:line="360" w:lineRule="auto"/>
        <w:ind w:firstLine="482" w:firstLineChars="200"/>
        <w:contextualSpacing/>
        <w:rPr>
          <w:rFonts w:hint="eastAsia"/>
          <w:b/>
          <w:color w:val="auto"/>
          <w:highlight w:val="none"/>
        </w:rPr>
      </w:pPr>
      <w:r>
        <w:rPr>
          <w:rFonts w:hint="eastAsia"/>
          <w:b/>
          <w:color w:val="auto"/>
          <w:highlight w:val="none"/>
        </w:rPr>
        <w:t>3.6根据“《政府采购货物和服务招投标管理办法》财政部令第87号”的规定，提供相同品牌产品（核心产品）且通过资格审查、符合性审查的不同投标人参加同一合同项下投标的，按一家投标人计算，评审后得分最高的同品牌投标人获得中标人推荐资格；评审得分相同的，按照最有利于采购人利益的原则，由评标委员会综合评定后确定一个投标人获得中标人推荐资格，其他同品牌投标人不作为中标候选人。</w:t>
      </w:r>
    </w:p>
    <w:p w14:paraId="6B95626F">
      <w:pPr>
        <w:snapToGrid w:val="0"/>
        <w:spacing w:line="360" w:lineRule="auto"/>
        <w:ind w:firstLine="480" w:firstLineChars="200"/>
        <w:contextualSpacing/>
        <w:rPr>
          <w:rFonts w:hint="eastAsia"/>
          <w:bCs/>
          <w:color w:val="auto"/>
          <w:highlight w:val="none"/>
        </w:rPr>
      </w:pPr>
      <w:r>
        <w:rPr>
          <w:rFonts w:hint="eastAsia"/>
          <w:bCs/>
          <w:color w:val="auto"/>
          <w:highlight w:val="none"/>
        </w:rPr>
        <w:t>3.7支持本国产品：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CEE3ACD">
      <w:pPr>
        <w:snapToGrid w:val="0"/>
        <w:spacing w:line="360" w:lineRule="auto"/>
        <w:ind w:firstLine="480" w:firstLineChars="200"/>
        <w:contextualSpacing/>
        <w:rPr>
          <w:rFonts w:hint="eastAsia"/>
          <w:bCs/>
          <w:color w:val="auto"/>
          <w:highlight w:val="none"/>
        </w:rPr>
      </w:pPr>
      <w:r>
        <w:rPr>
          <w:rFonts w:hint="eastAsia"/>
          <w:bCs/>
          <w:color w:val="auto"/>
          <w:highlight w:val="none"/>
        </w:rPr>
        <w:t>3.7.1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A52BBB1">
      <w:pPr>
        <w:snapToGrid w:val="0"/>
        <w:spacing w:line="360" w:lineRule="auto"/>
        <w:ind w:firstLine="480" w:firstLineChars="200"/>
        <w:contextualSpacing/>
        <w:rPr>
          <w:rFonts w:hint="eastAsia"/>
          <w:bCs/>
          <w:color w:val="auto"/>
          <w:highlight w:val="none"/>
        </w:rPr>
      </w:pPr>
      <w:r>
        <w:rPr>
          <w:rFonts w:hint="eastAsia"/>
          <w:bCs/>
          <w:color w:val="auto"/>
          <w:highlight w:val="none"/>
        </w:rPr>
        <w:t>3.8节能产品、环境标志产品采购按相关政策规定执行</w:t>
      </w:r>
    </w:p>
    <w:p w14:paraId="12F73A63">
      <w:pPr>
        <w:snapToGrid w:val="0"/>
        <w:spacing w:line="360" w:lineRule="auto"/>
        <w:ind w:firstLine="480" w:firstLineChars="200"/>
        <w:contextualSpacing/>
        <w:rPr>
          <w:rFonts w:hint="eastAsia"/>
          <w:bCs/>
          <w:color w:val="auto"/>
          <w:highlight w:val="none"/>
        </w:rPr>
      </w:pPr>
      <w:r>
        <w:rPr>
          <w:rFonts w:hint="eastAsia"/>
          <w:bCs/>
          <w:color w:val="auto"/>
          <w:highlight w:val="none"/>
        </w:rPr>
        <w:t>3.8.1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节能产品政府采购品目清单、环境标志产品政府采购品目清单可通过中国政府采购网（http://www.ccgp.gov.cn/）查阅。</w:t>
      </w:r>
    </w:p>
    <w:p w14:paraId="3187AD93">
      <w:pPr>
        <w:snapToGrid w:val="0"/>
        <w:spacing w:line="360" w:lineRule="auto"/>
        <w:ind w:firstLine="480" w:firstLineChars="200"/>
        <w:contextualSpacing/>
        <w:rPr>
          <w:rFonts w:hint="eastAsia"/>
          <w:bCs/>
          <w:color w:val="auto"/>
          <w:highlight w:val="none"/>
        </w:rPr>
      </w:pPr>
      <w:r>
        <w:rPr>
          <w:rFonts w:hint="eastAsia"/>
          <w:bCs/>
          <w:color w:val="auto"/>
          <w:highlight w:val="none"/>
        </w:rPr>
        <w:t>3.8.2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其中，节能产品政府采购品目清单中以“★”标注的为政府强制采购产品，其余为优先采购产品。</w:t>
      </w:r>
    </w:p>
    <w:p w14:paraId="3D1AB06D">
      <w:pPr>
        <w:snapToGrid w:val="0"/>
        <w:spacing w:line="360" w:lineRule="auto"/>
        <w:ind w:firstLine="480" w:firstLineChars="200"/>
        <w:contextualSpacing/>
        <w:rPr>
          <w:rFonts w:hint="eastAsia"/>
          <w:bCs/>
          <w:color w:val="auto"/>
          <w:highlight w:val="none"/>
        </w:rPr>
      </w:pPr>
      <w:r>
        <w:rPr>
          <w:rFonts w:hint="eastAsia"/>
          <w:bCs/>
          <w:color w:val="auto"/>
          <w:highlight w:val="none"/>
        </w:rPr>
        <w:t>3.8.3市场监管总局组织建立节能产品、环境标志产品认证结果信息发布平台，公布相关认证机构和获证产品信息。政府采购节能产品、环境标志产品认证机构名录可通过中国政府采购网（http://www.ccgp.gov.cn/）查阅。</w:t>
      </w:r>
    </w:p>
    <w:p w14:paraId="43EF1F23">
      <w:pPr>
        <w:snapToGrid w:val="0"/>
        <w:spacing w:line="360" w:lineRule="auto"/>
        <w:ind w:firstLine="480" w:firstLineChars="200"/>
        <w:contextualSpacing/>
        <w:rPr>
          <w:rFonts w:hint="eastAsia"/>
          <w:bCs/>
          <w:color w:val="auto"/>
          <w:highlight w:val="none"/>
        </w:rPr>
      </w:pPr>
      <w:r>
        <w:rPr>
          <w:bCs/>
          <w:color w:val="auto"/>
          <w:highlight w:val="none"/>
        </w:rPr>
        <w:t>4.评标方法：综合评分法</w:t>
      </w:r>
    </w:p>
    <w:p w14:paraId="478A5DE0">
      <w:pPr>
        <w:snapToGrid w:val="0"/>
        <w:spacing w:line="360" w:lineRule="auto"/>
        <w:ind w:firstLine="480" w:firstLineChars="200"/>
        <w:contextualSpacing/>
        <w:rPr>
          <w:rFonts w:hint="eastAsia"/>
          <w:bCs/>
          <w:color w:val="auto"/>
          <w:highlight w:val="none"/>
        </w:rPr>
      </w:pPr>
      <w:r>
        <w:rPr>
          <w:rFonts w:hint="eastAsia"/>
          <w:bCs/>
          <w:color w:val="auto"/>
          <w:highlight w:val="none"/>
        </w:rPr>
        <w:t>本项目采用综合评分法。评标总分值由价格部分、商务部分、技术部分三部分组成，总分值</w:t>
      </w:r>
      <w:r>
        <w:rPr>
          <w:bCs/>
          <w:color w:val="auto"/>
          <w:highlight w:val="none"/>
        </w:rPr>
        <w:t>100分。在本项目中价格部分（投标报价）所占分值</w:t>
      </w:r>
      <w:r>
        <w:rPr>
          <w:rFonts w:hint="eastAsia"/>
          <w:bCs/>
          <w:color w:val="auto"/>
          <w:highlight w:val="none"/>
        </w:rPr>
        <w:t>3</w:t>
      </w:r>
      <w:r>
        <w:rPr>
          <w:bCs/>
          <w:color w:val="auto"/>
          <w:highlight w:val="none"/>
        </w:rPr>
        <w:t>0分；商务部分、技术部分等部分（价格部分除外）所占分值为</w:t>
      </w:r>
      <w:r>
        <w:rPr>
          <w:rFonts w:hint="eastAsia"/>
          <w:bCs/>
          <w:color w:val="auto"/>
          <w:highlight w:val="none"/>
        </w:rPr>
        <w:t>7</w:t>
      </w:r>
      <w:r>
        <w:rPr>
          <w:bCs/>
          <w:color w:val="auto"/>
          <w:highlight w:val="none"/>
        </w:rPr>
        <w:t>0分。评标委员会将根据投标文件满足招标文件实质性要求前提下，按照投标报价、商务、技术部分等进行综合评估，在对各评委分值汇总时，以算术平均值为各投标人得分，以评标最终得分最高的投标人为第一中标候选人。</w:t>
      </w:r>
    </w:p>
    <w:p w14:paraId="22404440">
      <w:pPr>
        <w:snapToGrid w:val="0"/>
        <w:spacing w:line="360" w:lineRule="auto"/>
        <w:ind w:firstLine="480" w:firstLineChars="200"/>
        <w:contextualSpacing/>
        <w:rPr>
          <w:rFonts w:hint="eastAsia"/>
          <w:bCs/>
          <w:color w:val="auto"/>
          <w:highlight w:val="none"/>
        </w:rPr>
      </w:pPr>
      <w:r>
        <w:rPr>
          <w:bCs/>
          <w:color w:val="auto"/>
          <w:highlight w:val="none"/>
        </w:rPr>
        <w:t>4.1采用综合评分法的，评标结果按评审后得分由高到低顺序排列。得分相同的，按投标报价由低到高顺序排列。得分且投标报价相同的并列。</w:t>
      </w:r>
      <w:r>
        <w:rPr>
          <w:rFonts w:hint="eastAsia"/>
          <w:bCs/>
          <w:color w:val="auto"/>
          <w:highlight w:val="none"/>
        </w:rPr>
        <w:t>投标文件满足招标文件全部实质性要求，且按照评审因素的量化指标评审得分最高的投标人为排名第一的中标候选人，优先推荐采购节能清单产品，环境标志清单产品，同时列入两个清单的产品，优先于只列入其中一个清单的产品。投标文件满足招标文件全部实质性要求，且按照评审因素的量化指标评审得分最高的投标人为排名第一的中标候选人</w:t>
      </w:r>
      <w:r>
        <w:rPr>
          <w:bCs/>
          <w:color w:val="auto"/>
          <w:highlight w:val="none"/>
        </w:rPr>
        <w:t>。</w:t>
      </w:r>
    </w:p>
    <w:p w14:paraId="168717FB">
      <w:pPr>
        <w:snapToGrid w:val="0"/>
        <w:spacing w:line="360" w:lineRule="auto"/>
        <w:ind w:firstLine="480" w:firstLineChars="200"/>
        <w:contextualSpacing/>
        <w:rPr>
          <w:rFonts w:hint="eastAsia"/>
          <w:bCs/>
          <w:color w:val="auto"/>
          <w:highlight w:val="none"/>
        </w:rPr>
      </w:pPr>
      <w:r>
        <w:rPr>
          <w:bCs/>
          <w:color w:val="auto"/>
          <w:highlight w:val="none"/>
        </w:rPr>
        <w:t>5.评标计算方法</w:t>
      </w:r>
    </w:p>
    <w:p w14:paraId="57AFABA9">
      <w:pPr>
        <w:snapToGrid w:val="0"/>
        <w:spacing w:line="360" w:lineRule="auto"/>
        <w:ind w:firstLine="480" w:firstLineChars="200"/>
        <w:contextualSpacing/>
        <w:rPr>
          <w:rFonts w:hint="eastAsia"/>
          <w:bCs/>
          <w:color w:val="auto"/>
          <w:highlight w:val="none"/>
        </w:rPr>
      </w:pPr>
      <w:r>
        <w:rPr>
          <w:rFonts w:hint="eastAsia"/>
          <w:bCs/>
          <w:color w:val="auto"/>
          <w:highlight w:val="none"/>
        </w:rPr>
        <w:t>投标人的评标总得分＝投标报价得分</w:t>
      </w:r>
      <w:r>
        <w:rPr>
          <w:bCs/>
          <w:color w:val="auto"/>
          <w:highlight w:val="none"/>
        </w:rPr>
        <w:t>+技术部分得分+商务部分得分</w:t>
      </w:r>
    </w:p>
    <w:p w14:paraId="09594412">
      <w:pPr>
        <w:snapToGrid w:val="0"/>
        <w:spacing w:line="360" w:lineRule="auto"/>
        <w:ind w:firstLine="480" w:firstLineChars="200"/>
        <w:contextualSpacing/>
        <w:rPr>
          <w:rFonts w:hint="eastAsia"/>
          <w:bCs/>
          <w:color w:val="auto"/>
          <w:highlight w:val="none"/>
        </w:rPr>
      </w:pPr>
      <w:r>
        <w:rPr>
          <w:bCs/>
          <w:color w:val="auto"/>
          <w:highlight w:val="none"/>
        </w:rPr>
        <w:t>5.1 价格部分：</w:t>
      </w:r>
      <w:r>
        <w:rPr>
          <w:rFonts w:hint="eastAsia"/>
          <w:bCs/>
          <w:color w:val="auto"/>
          <w:highlight w:val="none"/>
        </w:rPr>
        <w:t>3</w:t>
      </w:r>
      <w:r>
        <w:rPr>
          <w:bCs/>
          <w:color w:val="auto"/>
          <w:highlight w:val="none"/>
        </w:rPr>
        <w:t>0分</w:t>
      </w:r>
    </w:p>
    <w:p w14:paraId="40951991">
      <w:pPr>
        <w:snapToGrid w:val="0"/>
        <w:spacing w:line="360" w:lineRule="auto"/>
        <w:ind w:firstLine="480" w:firstLineChars="200"/>
        <w:contextualSpacing/>
        <w:rPr>
          <w:rFonts w:hint="eastAsia"/>
          <w:bCs/>
          <w:color w:val="auto"/>
          <w:highlight w:val="none"/>
        </w:rPr>
      </w:pPr>
      <w:r>
        <w:rPr>
          <w:rFonts w:hint="eastAsia"/>
          <w:bCs/>
          <w:color w:val="auto"/>
          <w:highlight w:val="none"/>
        </w:rPr>
        <w:t>以有效投标价格最低的投标报价为评标基准价，其价格分为满分。其他投标人的报价分按照下列公式计算：</w:t>
      </w:r>
    </w:p>
    <w:p w14:paraId="33029DE7">
      <w:pPr>
        <w:snapToGrid w:val="0"/>
        <w:spacing w:line="360" w:lineRule="auto"/>
        <w:ind w:firstLine="480" w:firstLineChars="200"/>
        <w:contextualSpacing/>
        <w:rPr>
          <w:rFonts w:hint="eastAsia"/>
          <w:bCs/>
          <w:color w:val="auto"/>
          <w:highlight w:val="none"/>
        </w:rPr>
      </w:pPr>
      <w:r>
        <w:rPr>
          <w:rFonts w:hint="eastAsia"/>
          <w:bCs/>
          <w:color w:val="auto"/>
          <w:highlight w:val="none"/>
        </w:rPr>
        <w:t>投标报价得分</w:t>
      </w:r>
      <w:r>
        <w:rPr>
          <w:bCs/>
          <w:color w:val="auto"/>
          <w:highlight w:val="none"/>
        </w:rPr>
        <w:t>=（评标基准价/投标报价）×权重</w:t>
      </w:r>
    </w:p>
    <w:p w14:paraId="067072AD">
      <w:pPr>
        <w:widowControl w:val="0"/>
        <w:tabs>
          <w:tab w:val="left" w:pos="426"/>
        </w:tabs>
        <w:snapToGrid w:val="0"/>
        <w:spacing w:line="360" w:lineRule="auto"/>
        <w:ind w:firstLine="482" w:firstLineChars="200"/>
        <w:contextualSpacing/>
        <w:rPr>
          <w:rFonts w:hint="eastAsia"/>
          <w:b/>
          <w:color w:val="auto"/>
          <w:highlight w:val="none"/>
          <w:shd w:val="clear" w:color="auto" w:fill="FFFFFF"/>
        </w:rPr>
      </w:pPr>
      <w:r>
        <w:rPr>
          <w:rFonts w:hint="eastAsia"/>
          <w:b/>
          <w:color w:val="auto"/>
          <w:highlight w:val="none"/>
          <w:shd w:val="clear" w:color="auto" w:fill="FFFFFF"/>
        </w:rPr>
        <w:t>（1）投标报价超出最高限价的，按无效标处理。</w:t>
      </w:r>
    </w:p>
    <w:p w14:paraId="22EBFC77">
      <w:pPr>
        <w:widowControl w:val="0"/>
        <w:tabs>
          <w:tab w:val="left" w:pos="426"/>
        </w:tabs>
        <w:snapToGrid w:val="0"/>
        <w:spacing w:line="360" w:lineRule="auto"/>
        <w:ind w:firstLine="482" w:firstLineChars="200"/>
        <w:contextualSpacing/>
        <w:jc w:val="both"/>
        <w:rPr>
          <w:rFonts w:hint="eastAsia"/>
          <w:b/>
          <w:color w:val="auto"/>
          <w:highlight w:val="none"/>
          <w:shd w:val="clear" w:color="auto" w:fill="FFFFFF"/>
        </w:rPr>
      </w:pPr>
      <w:r>
        <w:rPr>
          <w:rFonts w:hint="eastAsia"/>
          <w:b/>
          <w:color w:val="auto"/>
          <w:highlight w:val="none"/>
          <w:shd w:val="clear" w:color="auto" w:fill="FFFFFF"/>
        </w:rPr>
        <w:t>（2）投标所附所有材料证书严禁弄虚作假，一经查实，将根据《中华人民共和国政府采购法》第七十七条予以处理：投标人提供虚假材料谋取中标、成交的，将处以采购金额千分之五以上千分之十以下罚款，列入不良行为记录名单，在一至三年内禁止参加政府采购活动，有违法所得的，并处没收违法所得，情节严重的，由工商行政管理机关吊销营业执照；构成犯罪的，依法追究刑事责任。</w:t>
      </w:r>
    </w:p>
    <w:p w14:paraId="52411BC0">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w:t>
      </w:r>
      <w:r>
        <w:rPr>
          <w:rFonts w:hint="eastAsia"/>
          <w:b/>
          <w:bCs/>
          <w:color w:val="auto"/>
          <w:highlight w:val="none"/>
        </w:rPr>
        <w:t>2技术及商务部分评审评分</w:t>
      </w:r>
    </w:p>
    <w:p w14:paraId="26D26945">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.3</w:t>
      </w:r>
      <w:r>
        <w:rPr>
          <w:rFonts w:hint="eastAsia"/>
          <w:b/>
          <w:bCs/>
          <w:color w:val="auto"/>
          <w:highlight w:val="none"/>
        </w:rPr>
        <w:t>综合评分表：</w:t>
      </w:r>
    </w:p>
    <w:tbl>
      <w:tblPr>
        <w:tblStyle w:val="42"/>
        <w:tblW w:w="958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8"/>
        <w:gridCol w:w="1430"/>
        <w:gridCol w:w="6684"/>
      </w:tblGrid>
      <w:tr w14:paraId="6C695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 w:hRule="atLeast"/>
          <w:jc w:val="center"/>
        </w:trPr>
        <w:tc>
          <w:tcPr>
            <w:tcW w:w="1468" w:type="dxa"/>
            <w:tcBorders>
              <w:tl2br w:val="nil"/>
              <w:tr2bl w:val="nil"/>
            </w:tcBorders>
            <w:vAlign w:val="center"/>
          </w:tcPr>
          <w:p w14:paraId="711D51B5">
            <w:pPr>
              <w:snapToGrid w:val="0"/>
              <w:spacing w:line="360" w:lineRule="auto"/>
              <w:contextualSpacing/>
              <w:jc w:val="both"/>
              <w:rPr>
                <w:rFonts w:hint="eastAsia"/>
                <w:bCs/>
                <w:color w:val="auto"/>
                <w:highlight w:val="none"/>
              </w:rPr>
            </w:pPr>
            <w:r>
              <w:rPr>
                <w:rFonts w:hint="eastAsia"/>
                <w:bCs/>
                <w:color w:val="auto"/>
                <w:highlight w:val="none"/>
              </w:rPr>
              <w:t>评审项目</w:t>
            </w:r>
          </w:p>
        </w:tc>
        <w:tc>
          <w:tcPr>
            <w:tcW w:w="1430" w:type="dxa"/>
            <w:tcBorders>
              <w:tl2br w:val="nil"/>
              <w:tr2bl w:val="nil"/>
            </w:tcBorders>
            <w:vAlign w:val="center"/>
          </w:tcPr>
          <w:p w14:paraId="0CD47E33">
            <w:pPr>
              <w:snapToGrid w:val="0"/>
              <w:spacing w:line="360" w:lineRule="auto"/>
              <w:contextualSpacing/>
              <w:jc w:val="both"/>
              <w:rPr>
                <w:rFonts w:hint="eastAsia"/>
                <w:bCs/>
                <w:color w:val="auto"/>
                <w:highlight w:val="none"/>
              </w:rPr>
            </w:pPr>
            <w:r>
              <w:rPr>
                <w:rFonts w:hint="eastAsia"/>
                <w:bCs/>
                <w:color w:val="auto"/>
                <w:highlight w:val="none"/>
              </w:rPr>
              <w:t>评审因素</w:t>
            </w:r>
          </w:p>
        </w:tc>
        <w:tc>
          <w:tcPr>
            <w:tcW w:w="6684" w:type="dxa"/>
            <w:tcBorders>
              <w:tl2br w:val="nil"/>
              <w:tr2bl w:val="nil"/>
            </w:tcBorders>
            <w:vAlign w:val="center"/>
          </w:tcPr>
          <w:p w14:paraId="4EFA1E4D">
            <w:pPr>
              <w:snapToGrid w:val="0"/>
              <w:spacing w:line="360" w:lineRule="auto"/>
              <w:contextualSpacing/>
              <w:jc w:val="both"/>
              <w:rPr>
                <w:rFonts w:hint="eastAsia"/>
                <w:bCs/>
                <w:color w:val="auto"/>
                <w:highlight w:val="none"/>
              </w:rPr>
            </w:pPr>
            <w:r>
              <w:rPr>
                <w:rFonts w:hint="eastAsia"/>
                <w:bCs/>
                <w:color w:val="auto"/>
                <w:highlight w:val="none"/>
              </w:rPr>
              <w:t>评审要点及说明</w:t>
            </w:r>
          </w:p>
        </w:tc>
      </w:tr>
      <w:tr w14:paraId="59DB5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 w:hRule="atLeast"/>
          <w:jc w:val="center"/>
        </w:trPr>
        <w:tc>
          <w:tcPr>
            <w:tcW w:w="1468" w:type="dxa"/>
            <w:tcBorders>
              <w:tl2br w:val="nil"/>
              <w:tr2bl w:val="nil"/>
            </w:tcBorders>
            <w:vAlign w:val="center"/>
          </w:tcPr>
          <w:p w14:paraId="21358039">
            <w:pPr>
              <w:snapToGrid w:val="0"/>
              <w:spacing w:line="360" w:lineRule="auto"/>
              <w:contextualSpacing/>
              <w:jc w:val="both"/>
              <w:rPr>
                <w:rFonts w:hint="eastAsia"/>
                <w:bCs/>
                <w:color w:val="auto"/>
                <w:highlight w:val="none"/>
              </w:rPr>
            </w:pPr>
            <w:bookmarkStart w:id="60" w:name="_Toc4629729"/>
            <w:bookmarkStart w:id="61" w:name="_Toc2349844"/>
            <w:bookmarkStart w:id="62" w:name="_Toc10305053"/>
            <w:bookmarkStart w:id="63" w:name="_Toc427081174"/>
            <w:r>
              <w:rPr>
                <w:rFonts w:hint="eastAsia"/>
                <w:bCs/>
                <w:color w:val="auto"/>
                <w:highlight w:val="none"/>
              </w:rPr>
              <w:t>报价部分（满分30分）</w:t>
            </w:r>
          </w:p>
        </w:tc>
        <w:tc>
          <w:tcPr>
            <w:tcW w:w="8114" w:type="dxa"/>
            <w:gridSpan w:val="2"/>
            <w:tcBorders>
              <w:tl2br w:val="nil"/>
              <w:tr2bl w:val="nil"/>
            </w:tcBorders>
            <w:vAlign w:val="center"/>
          </w:tcPr>
          <w:p w14:paraId="016497A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投标报价得分统一采用低价优先法计算，即满足招标文件要求（指通过符合性评审的报价）且投标价格最低的投标报价为评标基准价，其价格分为满分。其他投标人的价格分统一按照下列公式计算：</w:t>
            </w:r>
          </w:p>
          <w:p w14:paraId="69F3EDD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投标报价得分＝（评标基准价/投标报价）×30。</w:t>
            </w:r>
          </w:p>
          <w:p w14:paraId="1216200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注：</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14C7D4D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eastAsia="宋体"/>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p w14:paraId="7B242BD6">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bCs/>
                <w:color w:val="auto"/>
                <w:highlight w:val="none"/>
              </w:rPr>
            </w:pPr>
            <w:r>
              <w:rPr>
                <w:rFonts w:hint="eastAsia"/>
                <w:color w:val="auto"/>
                <w:highlight w:val="none"/>
                <w:lang w:val="en-US" w:eastAsia="zh-CN"/>
              </w:rPr>
              <w:t>（3）若投标人满足条件，应提供相关证明材料，经评标委员会核实方可获得价格扣除,投标人须对所提供材料的真实性负责，如有虚假，将严肃处理。</w:t>
            </w:r>
          </w:p>
        </w:tc>
      </w:tr>
      <w:tr w14:paraId="06C0F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restart"/>
            <w:tcBorders>
              <w:tl2br w:val="nil"/>
              <w:tr2bl w:val="nil"/>
            </w:tcBorders>
            <w:vAlign w:val="center"/>
          </w:tcPr>
          <w:p w14:paraId="7E578A6E">
            <w:pPr>
              <w:snapToGrid w:val="0"/>
              <w:spacing w:line="360" w:lineRule="auto"/>
              <w:contextualSpacing/>
              <w:jc w:val="both"/>
              <w:rPr>
                <w:rFonts w:hint="eastAsia"/>
                <w:bCs/>
                <w:color w:val="auto"/>
                <w:highlight w:val="none"/>
              </w:rPr>
            </w:pPr>
            <w:r>
              <w:rPr>
                <w:rFonts w:hint="eastAsia"/>
                <w:bCs/>
                <w:color w:val="auto"/>
                <w:highlight w:val="none"/>
              </w:rPr>
              <w:t>技术及商务部分（满分70分）</w:t>
            </w:r>
          </w:p>
        </w:tc>
        <w:tc>
          <w:tcPr>
            <w:tcW w:w="1430" w:type="dxa"/>
            <w:vMerge w:val="restart"/>
            <w:tcBorders>
              <w:tl2br w:val="nil"/>
              <w:tr2bl w:val="nil"/>
            </w:tcBorders>
            <w:vAlign w:val="center"/>
          </w:tcPr>
          <w:p w14:paraId="1C675EAF">
            <w:pPr>
              <w:adjustRightInd w:val="0"/>
              <w:snapToGrid w:val="0"/>
              <w:spacing w:line="360" w:lineRule="auto"/>
              <w:jc w:val="center"/>
              <w:rPr>
                <w:rFonts w:hint="eastAsia" w:eastAsia="宋体"/>
                <w:bCs/>
                <w:color w:val="auto"/>
                <w:highlight w:val="none"/>
                <w:lang w:eastAsia="zh-CN"/>
              </w:rPr>
            </w:pPr>
            <w:r>
              <w:rPr>
                <w:rFonts w:hint="eastAsia"/>
                <w:color w:val="auto"/>
                <w:highlight w:val="none"/>
              </w:rPr>
              <w:t>参数响应情况</w:t>
            </w:r>
            <w:r>
              <w:rPr>
                <w:rFonts w:hint="eastAsia"/>
                <w:color w:val="auto"/>
                <w:highlight w:val="none"/>
                <w:lang w:eastAsia="zh-CN"/>
              </w:rPr>
              <w:t>（</w:t>
            </w:r>
            <w:r>
              <w:rPr>
                <w:rFonts w:hint="eastAsia"/>
                <w:color w:val="auto"/>
                <w:highlight w:val="none"/>
                <w:lang w:val="en-US" w:eastAsia="zh-CN"/>
              </w:rPr>
              <w:t>29分</w:t>
            </w:r>
            <w:r>
              <w:rPr>
                <w:rFonts w:hint="eastAsia"/>
                <w:color w:val="auto"/>
                <w:highlight w:val="none"/>
                <w:lang w:eastAsia="zh-CN"/>
              </w:rPr>
              <w:t>）</w:t>
            </w:r>
          </w:p>
        </w:tc>
        <w:tc>
          <w:tcPr>
            <w:tcW w:w="6684" w:type="dxa"/>
            <w:tcBorders>
              <w:bottom w:val="single" w:color="auto" w:sz="4" w:space="0"/>
              <w:tl2br w:val="nil"/>
              <w:tr2bl w:val="nil"/>
            </w:tcBorders>
            <w:vAlign w:val="center"/>
          </w:tcPr>
          <w:p w14:paraId="4C4FB48B">
            <w:pPr>
              <w:pStyle w:val="142"/>
              <w:adjustRightInd w:val="0"/>
              <w:snapToGrid w:val="0"/>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根据投标人提供的技术指标参数偏离表和技术支持资料，对照采购文件中标注“▲”技术参数进行评审。</w:t>
            </w:r>
          </w:p>
          <w:p w14:paraId="2EA10979">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1.重要技术参数响应（</w:t>
            </w:r>
            <w:r>
              <w:rPr>
                <w:rFonts w:hint="eastAsia" w:ascii="宋体" w:hAnsi="宋体"/>
                <w:b/>
                <w:bCs/>
                <w:color w:val="auto"/>
                <w:sz w:val="24"/>
                <w:szCs w:val="24"/>
                <w:highlight w:val="none"/>
                <w:lang w:val="en-US" w:eastAsia="zh-CN"/>
              </w:rPr>
              <w:t>17</w:t>
            </w:r>
            <w:r>
              <w:rPr>
                <w:rFonts w:hint="eastAsia" w:ascii="宋体" w:hAnsi="宋体"/>
                <w:b/>
                <w:bCs/>
                <w:color w:val="auto"/>
                <w:sz w:val="24"/>
                <w:szCs w:val="24"/>
                <w:highlight w:val="none"/>
              </w:rPr>
              <w:t>分）：</w:t>
            </w:r>
          </w:p>
          <w:p w14:paraId="05F903AB">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采购文件第四章采购需求中参数配置标注“▲”项为重要技术参数，共</w:t>
            </w:r>
            <w:r>
              <w:rPr>
                <w:rFonts w:hint="eastAsia" w:ascii="宋体" w:hAnsi="宋体"/>
                <w:b/>
                <w:bCs/>
                <w:color w:val="auto"/>
                <w:sz w:val="24"/>
                <w:szCs w:val="24"/>
                <w:highlight w:val="none"/>
                <w:lang w:val="en-US" w:eastAsia="zh-CN"/>
              </w:rPr>
              <w:t>68</w:t>
            </w:r>
            <w:r>
              <w:rPr>
                <w:rFonts w:hint="eastAsia" w:ascii="宋体" w:hAnsi="宋体"/>
                <w:b/>
                <w:bCs/>
                <w:color w:val="auto"/>
                <w:sz w:val="24"/>
                <w:szCs w:val="24"/>
                <w:highlight w:val="none"/>
              </w:rPr>
              <w:t>项，供应商拟投产品的技术参数存在一项负偏离的，扣</w:t>
            </w:r>
            <w:r>
              <w:rPr>
                <w:rFonts w:hint="eastAsia" w:ascii="宋体" w:hAnsi="宋体"/>
                <w:b/>
                <w:bCs/>
                <w:color w:val="auto"/>
                <w:sz w:val="24"/>
                <w:szCs w:val="24"/>
                <w:highlight w:val="none"/>
                <w:lang w:val="en-US" w:eastAsia="zh-CN"/>
              </w:rPr>
              <w:t>0.25</w:t>
            </w:r>
            <w:r>
              <w:rPr>
                <w:rFonts w:hint="eastAsia" w:ascii="宋体" w:hAnsi="宋体"/>
                <w:b/>
                <w:bCs/>
                <w:color w:val="auto"/>
                <w:sz w:val="24"/>
                <w:szCs w:val="24"/>
                <w:highlight w:val="none"/>
              </w:rPr>
              <w:t>分，本项分值</w:t>
            </w:r>
            <w:r>
              <w:rPr>
                <w:rFonts w:hint="eastAsia" w:ascii="宋体" w:hAnsi="宋体"/>
                <w:b/>
                <w:bCs/>
                <w:color w:val="auto"/>
                <w:sz w:val="24"/>
                <w:szCs w:val="24"/>
                <w:highlight w:val="none"/>
                <w:lang w:val="en-US" w:eastAsia="zh-CN"/>
              </w:rPr>
              <w:t>17</w:t>
            </w:r>
            <w:r>
              <w:rPr>
                <w:rFonts w:hint="eastAsia" w:ascii="宋体" w:hAnsi="宋体"/>
                <w:b/>
                <w:bCs/>
                <w:color w:val="auto"/>
                <w:sz w:val="24"/>
                <w:szCs w:val="24"/>
                <w:highlight w:val="none"/>
              </w:rPr>
              <w:t>分扣完为止，正偏离不加分。</w:t>
            </w:r>
          </w:p>
          <w:p w14:paraId="43CDD73E">
            <w:pPr>
              <w:adjustRightInd w:val="0"/>
              <w:snapToGrid w:val="0"/>
              <w:spacing w:line="360" w:lineRule="auto"/>
              <w:rPr>
                <w:rFonts w:hint="eastAsia" w:cs="Times New Roman"/>
                <w:color w:val="auto"/>
                <w:highlight w:val="none"/>
              </w:rPr>
            </w:pPr>
            <w:r>
              <w:rPr>
                <w:rFonts w:hint="eastAsia" w:cs="Times New Roman"/>
                <w:color w:val="auto"/>
                <w:highlight w:val="none"/>
              </w:rPr>
              <w:t>注：证明材料包括 第四章 货物需求及技术要求的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4216B411">
            <w:pPr>
              <w:snapToGrid w:val="0"/>
              <w:spacing w:line="360" w:lineRule="auto"/>
              <w:contextualSpacing/>
              <w:rPr>
                <w:rFonts w:hint="eastAsia"/>
                <w:bCs/>
                <w:color w:val="auto"/>
                <w:highlight w:val="none"/>
              </w:rPr>
            </w:pPr>
            <w:r>
              <w:rPr>
                <w:rFonts w:hint="eastAsia" w:cs="Times New Roman"/>
                <w:color w:val="auto"/>
                <w:highlight w:val="none"/>
              </w:rPr>
              <w:t>因未附产品技术支持资料或说明导致评审小组会无法评审时，则视为不响应该项技术参数要求。</w:t>
            </w:r>
          </w:p>
        </w:tc>
      </w:tr>
      <w:tr w14:paraId="5BA9C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3D27ED60">
            <w:pPr>
              <w:snapToGrid w:val="0"/>
              <w:spacing w:line="360" w:lineRule="auto"/>
              <w:contextualSpacing/>
              <w:jc w:val="both"/>
              <w:rPr>
                <w:rFonts w:hint="eastAsia"/>
                <w:bCs/>
                <w:color w:val="auto"/>
                <w:highlight w:val="none"/>
              </w:rPr>
            </w:pPr>
          </w:p>
        </w:tc>
        <w:tc>
          <w:tcPr>
            <w:tcW w:w="1430" w:type="dxa"/>
            <w:vMerge w:val="continue"/>
            <w:tcBorders>
              <w:bottom w:val="single" w:color="auto" w:sz="4" w:space="0"/>
              <w:tl2br w:val="nil"/>
              <w:tr2bl w:val="nil"/>
            </w:tcBorders>
            <w:vAlign w:val="center"/>
          </w:tcPr>
          <w:p w14:paraId="6C85789A">
            <w:pPr>
              <w:adjustRightInd w:val="0"/>
              <w:snapToGrid w:val="0"/>
              <w:spacing w:line="360" w:lineRule="auto"/>
              <w:jc w:val="center"/>
              <w:rPr>
                <w:rFonts w:hint="eastAsia"/>
                <w:bCs/>
                <w:color w:val="auto"/>
                <w:highlight w:val="none"/>
              </w:rPr>
            </w:pPr>
          </w:p>
        </w:tc>
        <w:tc>
          <w:tcPr>
            <w:tcW w:w="6684" w:type="dxa"/>
            <w:tcBorders>
              <w:bottom w:val="single" w:color="auto" w:sz="4" w:space="0"/>
              <w:tl2br w:val="nil"/>
              <w:tr2bl w:val="nil"/>
            </w:tcBorders>
            <w:vAlign w:val="center"/>
          </w:tcPr>
          <w:p w14:paraId="0CD53D79">
            <w:pPr>
              <w:adjustRightInd w:val="0"/>
              <w:snapToGrid w:val="0"/>
              <w:spacing w:line="360" w:lineRule="auto"/>
              <w:rPr>
                <w:rFonts w:hint="eastAsia" w:cs="Times New Roman"/>
                <w:b/>
                <w:bCs/>
                <w:color w:val="auto"/>
                <w:highlight w:val="none"/>
              </w:rPr>
            </w:pPr>
            <w:r>
              <w:rPr>
                <w:rFonts w:hint="eastAsia" w:cs="Times New Roman"/>
                <w:b/>
                <w:bCs/>
                <w:color w:val="auto"/>
                <w:highlight w:val="none"/>
              </w:rPr>
              <w:t>2.一般技术参数响应（</w:t>
            </w:r>
            <w:r>
              <w:rPr>
                <w:rFonts w:hint="eastAsia" w:cs="Times New Roman"/>
                <w:b/>
                <w:bCs/>
                <w:color w:val="auto"/>
                <w:highlight w:val="none"/>
                <w:lang w:val="en-US" w:eastAsia="zh-CN"/>
              </w:rPr>
              <w:t>12</w:t>
            </w:r>
            <w:r>
              <w:rPr>
                <w:rFonts w:hint="eastAsia" w:cs="Times New Roman"/>
                <w:b/>
                <w:bCs/>
                <w:color w:val="auto"/>
                <w:highlight w:val="none"/>
              </w:rPr>
              <w:t>分）</w:t>
            </w:r>
          </w:p>
          <w:p w14:paraId="01C3D101">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采购文件第四章采购需求中参数配置未标注“▲”项为一般技术参数，根据投标人投标文件技术规格偏离表对招标文件技术指标的响应程度进行评分：</w:t>
            </w:r>
          </w:p>
          <w:p w14:paraId="21A287FF">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1.投标人提供产品配置及技术要求完全满足或优于招标文件参数要求的得基本分</w:t>
            </w:r>
            <w:r>
              <w:rPr>
                <w:rFonts w:hint="eastAsia" w:ascii="宋体" w:hAnsi="宋体"/>
                <w:b/>
                <w:bCs/>
                <w:color w:val="auto"/>
                <w:sz w:val="24"/>
                <w:szCs w:val="24"/>
                <w:highlight w:val="none"/>
                <w:lang w:val="en-US" w:eastAsia="zh-CN"/>
              </w:rPr>
              <w:t>12</w:t>
            </w:r>
            <w:r>
              <w:rPr>
                <w:rFonts w:hint="eastAsia" w:ascii="宋体" w:hAnsi="宋体"/>
                <w:b/>
                <w:bCs/>
                <w:color w:val="auto"/>
                <w:sz w:val="24"/>
                <w:szCs w:val="24"/>
                <w:highlight w:val="none"/>
              </w:rPr>
              <w:t>分。</w:t>
            </w:r>
          </w:p>
          <w:p w14:paraId="054155AE">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2.产品参数如有负偏离，即有一项不满足或低于招标需求的，在基本分</w:t>
            </w:r>
            <w:r>
              <w:rPr>
                <w:rFonts w:hint="eastAsia" w:ascii="宋体" w:hAnsi="宋体"/>
                <w:b/>
                <w:bCs/>
                <w:color w:val="auto"/>
                <w:sz w:val="24"/>
                <w:szCs w:val="24"/>
                <w:highlight w:val="none"/>
                <w:lang w:val="en-US" w:eastAsia="zh-CN"/>
              </w:rPr>
              <w:t>12</w:t>
            </w:r>
            <w:r>
              <w:rPr>
                <w:rFonts w:hint="eastAsia" w:ascii="宋体" w:hAnsi="宋体"/>
                <w:b/>
                <w:bCs/>
                <w:color w:val="auto"/>
                <w:sz w:val="24"/>
                <w:szCs w:val="24"/>
                <w:highlight w:val="none"/>
              </w:rPr>
              <w:t>分基础上每项扣</w:t>
            </w:r>
            <w:r>
              <w:rPr>
                <w:rFonts w:hint="eastAsia" w:ascii="宋体" w:hAnsi="宋体"/>
                <w:b/>
                <w:bCs/>
                <w:color w:val="auto"/>
                <w:sz w:val="24"/>
                <w:szCs w:val="24"/>
                <w:highlight w:val="none"/>
                <w:lang w:val="en-US" w:eastAsia="zh-CN"/>
              </w:rPr>
              <w:t>0.05</w:t>
            </w:r>
            <w:r>
              <w:rPr>
                <w:rFonts w:hint="eastAsia" w:ascii="宋体" w:hAnsi="宋体"/>
                <w:b/>
                <w:bCs/>
                <w:color w:val="auto"/>
                <w:sz w:val="24"/>
                <w:szCs w:val="24"/>
                <w:highlight w:val="none"/>
              </w:rPr>
              <w:t>分，分数扣完为止。</w:t>
            </w:r>
          </w:p>
          <w:p w14:paraId="3311069F">
            <w:pPr>
              <w:pStyle w:val="142"/>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3.允许投标人对技术指标做出正向偏离。</w:t>
            </w:r>
          </w:p>
          <w:p w14:paraId="04D516A7">
            <w:pPr>
              <w:snapToGrid w:val="0"/>
              <w:spacing w:line="360" w:lineRule="auto"/>
              <w:contextualSpacing/>
              <w:rPr>
                <w:rFonts w:hint="eastAsia"/>
                <w:bCs/>
                <w:color w:val="auto"/>
                <w:highlight w:val="none"/>
              </w:rPr>
            </w:pPr>
            <w:r>
              <w:rPr>
                <w:rFonts w:hint="eastAsia" w:cs="Times New Roman"/>
                <w:color w:val="auto"/>
                <w:highlight w:val="none"/>
              </w:rPr>
              <w:t>注：</w:t>
            </w:r>
            <w:r>
              <w:rPr>
                <w:rFonts w:hint="eastAsia" w:cs="Times New Roman"/>
                <w:color w:val="auto"/>
                <w:highlight w:val="none"/>
                <w:lang w:val="en-US" w:eastAsia="zh-CN"/>
              </w:rPr>
              <w:t>根据供应商所提供的《技术参数偏离表》或相关证明材料进行评审</w:t>
            </w:r>
            <w:r>
              <w:rPr>
                <w:rFonts w:hint="eastAsia" w:cs="Times New Roman"/>
                <w:color w:val="auto"/>
                <w:highlight w:val="none"/>
              </w:rPr>
              <w:t>。</w:t>
            </w:r>
          </w:p>
        </w:tc>
      </w:tr>
      <w:tr w14:paraId="4F714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03F3574B">
            <w:pPr>
              <w:snapToGrid w:val="0"/>
              <w:spacing w:line="360" w:lineRule="auto"/>
              <w:contextualSpacing/>
              <w:jc w:val="both"/>
              <w:rPr>
                <w:rFonts w:hint="eastAsia"/>
                <w:bCs/>
                <w:color w:val="auto"/>
                <w:highlight w:val="none"/>
              </w:rPr>
            </w:pPr>
          </w:p>
        </w:tc>
        <w:tc>
          <w:tcPr>
            <w:tcW w:w="1430" w:type="dxa"/>
            <w:tcBorders>
              <w:bottom w:val="single" w:color="auto" w:sz="4" w:space="0"/>
              <w:tl2br w:val="nil"/>
              <w:tr2bl w:val="nil"/>
            </w:tcBorders>
            <w:vAlign w:val="center"/>
          </w:tcPr>
          <w:p w14:paraId="03E2A199">
            <w:pPr>
              <w:adjustRightInd w:val="0"/>
              <w:spacing w:line="360" w:lineRule="auto"/>
              <w:jc w:val="center"/>
              <w:rPr>
                <w:rFonts w:hint="default"/>
                <w:color w:val="auto"/>
                <w:highlight w:val="none"/>
                <w:lang w:val="en-US"/>
              </w:rPr>
            </w:pPr>
            <w:r>
              <w:rPr>
                <w:rFonts w:hint="eastAsia"/>
                <w:color w:val="auto"/>
                <w:highlight w:val="none"/>
              </w:rPr>
              <w:t>项目技术</w:t>
            </w:r>
            <w:r>
              <w:rPr>
                <w:rFonts w:hint="eastAsia"/>
                <w:color w:val="auto"/>
                <w:highlight w:val="none"/>
                <w:lang w:val="en-US" w:eastAsia="zh-CN"/>
              </w:rPr>
              <w:t>分析（6分）</w:t>
            </w:r>
          </w:p>
        </w:tc>
        <w:tc>
          <w:tcPr>
            <w:tcW w:w="6684" w:type="dxa"/>
            <w:tcBorders>
              <w:bottom w:val="single" w:color="auto" w:sz="4" w:space="0"/>
              <w:tl2br w:val="nil"/>
              <w:tr2bl w:val="nil"/>
            </w:tcBorders>
            <w:shd w:val="clear" w:color="auto" w:fill="FFFFFF"/>
            <w:vAlign w:val="center"/>
          </w:tcPr>
          <w:p w14:paraId="29DABC1B">
            <w:pPr>
              <w:adjustRightInd w:val="0"/>
              <w:snapToGrid w:val="0"/>
              <w:spacing w:line="360" w:lineRule="auto"/>
              <w:rPr>
                <w:rFonts w:hint="eastAsia" w:cs="Times New Roman"/>
                <w:color w:val="auto"/>
                <w:highlight w:val="none"/>
              </w:rPr>
            </w:pPr>
            <w:r>
              <w:rPr>
                <w:rFonts w:hint="eastAsia" w:cs="Times New Roman"/>
                <w:color w:val="auto"/>
                <w:highlight w:val="none"/>
              </w:rPr>
              <w:t>根据投标人的项目技术</w:t>
            </w:r>
            <w:r>
              <w:rPr>
                <w:rFonts w:hint="eastAsia" w:cs="Times New Roman"/>
                <w:color w:val="auto"/>
                <w:highlight w:val="none"/>
                <w:lang w:val="en-US" w:eastAsia="zh-CN"/>
              </w:rPr>
              <w:t>分析</w:t>
            </w:r>
            <w:r>
              <w:rPr>
                <w:rFonts w:hint="eastAsia" w:cs="Times New Roman"/>
                <w:color w:val="auto"/>
                <w:highlight w:val="none"/>
              </w:rPr>
              <w:t>进行综合评审，方案包括但不限于：</w:t>
            </w:r>
          </w:p>
          <w:p w14:paraId="56B38BBF">
            <w:pPr>
              <w:adjustRightInd w:val="0"/>
              <w:snapToGrid w:val="0"/>
              <w:spacing w:line="360" w:lineRule="auto"/>
              <w:rPr>
                <w:rFonts w:hint="eastAsia" w:cs="Times New Roman"/>
                <w:b/>
                <w:bCs/>
                <w:color w:val="auto"/>
                <w:highlight w:val="none"/>
                <w:lang w:eastAsia="zh-CN"/>
              </w:rPr>
            </w:pPr>
            <w:r>
              <w:rPr>
                <w:rFonts w:hint="eastAsia" w:cs="Times New Roman"/>
                <w:b/>
                <w:bCs/>
                <w:color w:val="auto"/>
                <w:highlight w:val="none"/>
                <w:lang w:eastAsia="zh-CN"/>
              </w:rPr>
              <w:t>（</w:t>
            </w:r>
            <w:r>
              <w:rPr>
                <w:rFonts w:hint="eastAsia" w:cs="Times New Roman"/>
                <w:b/>
                <w:bCs/>
                <w:color w:val="auto"/>
                <w:highlight w:val="none"/>
                <w:lang w:val="en-US" w:eastAsia="zh-CN"/>
              </w:rPr>
              <w:t>1</w:t>
            </w:r>
            <w:r>
              <w:rPr>
                <w:rFonts w:hint="eastAsia" w:cs="Times New Roman"/>
                <w:b/>
                <w:bCs/>
                <w:color w:val="auto"/>
                <w:highlight w:val="none"/>
                <w:lang w:eastAsia="zh-CN"/>
              </w:rPr>
              <w:t>）</w:t>
            </w:r>
            <w:r>
              <w:rPr>
                <w:rFonts w:hint="eastAsia" w:cs="Times New Roman"/>
                <w:b/>
                <w:bCs/>
                <w:color w:val="auto"/>
                <w:highlight w:val="none"/>
              </w:rPr>
              <w:t>项目需求及重难点分析</w:t>
            </w:r>
            <w:r>
              <w:rPr>
                <w:rFonts w:hint="eastAsia" w:cs="Times New Roman"/>
                <w:b/>
                <w:bCs/>
                <w:color w:val="auto"/>
                <w:highlight w:val="none"/>
                <w:lang w:eastAsia="zh-CN"/>
              </w:rPr>
              <w:t>；</w:t>
            </w:r>
          </w:p>
          <w:p w14:paraId="61722105">
            <w:pPr>
              <w:adjustRightInd w:val="0"/>
              <w:snapToGrid w:val="0"/>
              <w:spacing w:line="360" w:lineRule="auto"/>
              <w:rPr>
                <w:rFonts w:hint="eastAsia" w:cs="Times New Roman"/>
                <w:b/>
                <w:bCs/>
                <w:color w:val="auto"/>
                <w:highlight w:val="none"/>
                <w:lang w:val="en-US" w:eastAsia="zh-CN"/>
              </w:rPr>
            </w:pPr>
            <w:r>
              <w:rPr>
                <w:rFonts w:hint="eastAsia" w:cs="Times New Roman"/>
                <w:b/>
                <w:bCs/>
                <w:color w:val="auto"/>
                <w:highlight w:val="none"/>
                <w:lang w:val="en-US" w:eastAsia="zh-CN"/>
              </w:rPr>
              <w:t>（2）针对难点解决方案及措施；</w:t>
            </w:r>
          </w:p>
          <w:p w14:paraId="5975C4DC">
            <w:pPr>
              <w:adjustRightInd w:val="0"/>
              <w:snapToGrid w:val="0"/>
              <w:spacing w:line="360" w:lineRule="auto"/>
              <w:rPr>
                <w:rFonts w:hint="eastAsia" w:cs="Times New Roman"/>
                <w:color w:val="auto"/>
                <w:highlight w:val="none"/>
              </w:rPr>
            </w:pPr>
            <w:r>
              <w:rPr>
                <w:rFonts w:hint="eastAsia" w:cs="Times New Roman"/>
                <w:b/>
                <w:bCs/>
                <w:color w:val="auto"/>
                <w:highlight w:val="none"/>
                <w:lang w:eastAsia="zh-CN"/>
              </w:rPr>
              <w:t>（</w:t>
            </w:r>
            <w:r>
              <w:rPr>
                <w:rFonts w:hint="eastAsia" w:cs="Times New Roman"/>
                <w:b/>
                <w:bCs/>
                <w:color w:val="auto"/>
                <w:highlight w:val="none"/>
                <w:lang w:val="en-US" w:eastAsia="zh-CN"/>
              </w:rPr>
              <w:t>3</w:t>
            </w:r>
            <w:r>
              <w:rPr>
                <w:rFonts w:hint="eastAsia" w:cs="Times New Roman"/>
                <w:b/>
                <w:bCs/>
                <w:color w:val="auto"/>
                <w:highlight w:val="none"/>
                <w:lang w:eastAsia="zh-CN"/>
              </w:rPr>
              <w:t>）</w:t>
            </w:r>
            <w:r>
              <w:rPr>
                <w:rFonts w:hint="eastAsia" w:cs="Times New Roman"/>
                <w:b/>
                <w:bCs/>
                <w:color w:val="auto"/>
                <w:highlight w:val="none"/>
              </w:rPr>
              <w:t>各系统的技术架构、功能设计、技术路线。</w:t>
            </w:r>
          </w:p>
          <w:p w14:paraId="4D1EC9D0">
            <w:pPr>
              <w:snapToGrid w:val="0"/>
              <w:spacing w:line="360" w:lineRule="auto"/>
              <w:contextualSpacing/>
              <w:rPr>
                <w:rFonts w:hint="eastAsia" w:ascii="宋体" w:hAnsi="宋体" w:eastAsia="宋体" w:cs="宋体"/>
                <w:color w:val="auto"/>
                <w:sz w:val="24"/>
                <w:szCs w:val="24"/>
                <w:highlight w:val="none"/>
                <w:lang w:val="en-US" w:eastAsia="zh-CN" w:bidi="ar-SA"/>
              </w:rPr>
            </w:pPr>
            <w:r>
              <w:rPr>
                <w:rFonts w:hint="eastAsia" w:cs="Times New Roman"/>
                <w:color w:val="auto"/>
                <w:highlight w:val="none"/>
              </w:rPr>
              <w:t>以上</w:t>
            </w:r>
            <w:r>
              <w:rPr>
                <w:rFonts w:hint="eastAsia" w:cs="Times New Roman"/>
                <w:color w:val="auto"/>
                <w:highlight w:val="none"/>
                <w:lang w:val="en-US" w:eastAsia="zh-CN"/>
              </w:rPr>
              <w:t>3</w:t>
            </w:r>
            <w:r>
              <w:rPr>
                <w:rFonts w:hint="eastAsia" w:cs="Times New Roman"/>
                <w:color w:val="auto"/>
                <w:highlight w:val="none"/>
              </w:rPr>
              <w:t>项，经评定相关内容完整、项目技术分析详细、全面，完全满足采购文件服务要求，在完整性、契合度、思路清晰、可实施性、专业性上强的得</w:t>
            </w:r>
            <w:r>
              <w:rPr>
                <w:rFonts w:hint="eastAsia" w:cs="Times New Roman"/>
                <w:color w:val="auto"/>
                <w:highlight w:val="none"/>
                <w:lang w:val="en-US" w:eastAsia="zh-CN"/>
              </w:rPr>
              <w:t>6</w:t>
            </w:r>
            <w:r>
              <w:rPr>
                <w:rFonts w:hint="eastAsia" w:cs="Times New Roman"/>
                <w:color w:val="auto"/>
                <w:highlight w:val="none"/>
              </w:rPr>
              <w:t>分；每缺少一项内容扣</w:t>
            </w:r>
            <w:r>
              <w:rPr>
                <w:rFonts w:hint="eastAsia" w:cs="Times New Roman"/>
                <w:color w:val="auto"/>
                <w:highlight w:val="none"/>
                <w:lang w:val="en-US" w:eastAsia="zh-CN"/>
              </w:rPr>
              <w:t>2</w:t>
            </w:r>
            <w:r>
              <w:rPr>
                <w:rFonts w:hint="eastAsia" w:cs="Times New Roman"/>
                <w:color w:val="auto"/>
                <w:highlight w:val="none"/>
              </w:rPr>
              <w:t>分，内容有针对性，但存在不足的扣1分；扣完为止。</w:t>
            </w:r>
          </w:p>
        </w:tc>
      </w:tr>
      <w:tr w14:paraId="2C82D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jc w:val="center"/>
        </w:trPr>
        <w:tc>
          <w:tcPr>
            <w:tcW w:w="1468" w:type="dxa"/>
            <w:vMerge w:val="continue"/>
            <w:tcBorders>
              <w:tl2br w:val="nil"/>
              <w:tr2bl w:val="nil"/>
            </w:tcBorders>
            <w:vAlign w:val="center"/>
          </w:tcPr>
          <w:p w14:paraId="47AE5E42">
            <w:pPr>
              <w:snapToGrid w:val="0"/>
              <w:spacing w:line="360" w:lineRule="auto"/>
              <w:contextualSpacing/>
              <w:jc w:val="both"/>
              <w:rPr>
                <w:rFonts w:hint="eastAsia"/>
                <w:bCs/>
                <w:color w:val="auto"/>
                <w:highlight w:val="none"/>
              </w:rPr>
            </w:pPr>
          </w:p>
        </w:tc>
        <w:tc>
          <w:tcPr>
            <w:tcW w:w="1430" w:type="dxa"/>
            <w:tcBorders>
              <w:top w:val="single" w:color="auto" w:sz="4" w:space="0"/>
              <w:bottom w:val="single" w:color="auto" w:sz="4" w:space="0"/>
              <w:tl2br w:val="nil"/>
              <w:tr2bl w:val="nil"/>
            </w:tcBorders>
            <w:vAlign w:val="center"/>
          </w:tcPr>
          <w:p w14:paraId="1255F25C">
            <w:pPr>
              <w:adjustRightInd w:val="0"/>
              <w:spacing w:line="460" w:lineRule="exact"/>
              <w:jc w:val="center"/>
              <w:rPr>
                <w:rFonts w:hint="eastAsia" w:eastAsia="宋体"/>
                <w:bCs/>
                <w:color w:val="auto"/>
                <w:highlight w:val="none"/>
                <w:lang w:eastAsia="zh-CN"/>
              </w:rPr>
            </w:pPr>
            <w:r>
              <w:rPr>
                <w:rFonts w:hint="eastAsia" w:ascii="宋体" w:hAnsi="宋体" w:cs="宋体"/>
                <w:color w:val="auto"/>
                <w:sz w:val="24"/>
                <w:highlight w:val="none"/>
              </w:rPr>
              <w:t>项目实施方案</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10分</w:t>
            </w:r>
            <w:r>
              <w:rPr>
                <w:rFonts w:hint="eastAsia" w:ascii="宋体" w:hAnsi="宋体" w:cs="宋体"/>
                <w:color w:val="auto"/>
                <w:sz w:val="24"/>
                <w:highlight w:val="none"/>
                <w:lang w:eastAsia="zh-CN"/>
              </w:rPr>
              <w:t>）</w:t>
            </w:r>
          </w:p>
        </w:tc>
        <w:tc>
          <w:tcPr>
            <w:tcW w:w="6684" w:type="dxa"/>
            <w:tcBorders>
              <w:top w:val="single" w:color="auto" w:sz="4" w:space="0"/>
              <w:bottom w:val="single" w:color="auto" w:sz="4" w:space="0"/>
              <w:tl2br w:val="nil"/>
              <w:tr2bl w:val="nil"/>
            </w:tcBorders>
            <w:shd w:val="clear" w:color="auto" w:fill="auto"/>
            <w:vAlign w:val="center"/>
          </w:tcPr>
          <w:p w14:paraId="6CD1CBFF">
            <w:pPr>
              <w:adjustRightInd w:val="0"/>
              <w:spacing w:line="440" w:lineRule="exact"/>
              <w:rPr>
                <w:rFonts w:hint="eastAsia" w:ascii="宋体" w:hAnsi="宋体" w:cs="宋体"/>
                <w:color w:val="auto"/>
                <w:sz w:val="24"/>
                <w:highlight w:val="none"/>
              </w:rPr>
            </w:pPr>
            <w:r>
              <w:rPr>
                <w:rFonts w:hint="eastAsia" w:ascii="宋体" w:hAnsi="宋体" w:cs="宋体"/>
                <w:color w:val="auto"/>
                <w:sz w:val="24"/>
                <w:highlight w:val="none"/>
              </w:rPr>
              <w:t>根据投标人提供的项目实施方案进行评审，包括但不限于：</w:t>
            </w:r>
          </w:p>
          <w:p w14:paraId="5EB73AA7">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（1）项目实施过程管控方案；</w:t>
            </w:r>
          </w:p>
          <w:p w14:paraId="6A2389FC">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（2）项目实施进度计划安排</w:t>
            </w:r>
            <w:r>
              <w:rPr>
                <w:rFonts w:hint="eastAsia" w:cs="宋体"/>
                <w:b/>
                <w:bCs/>
                <w:color w:val="auto"/>
                <w:sz w:val="24"/>
                <w:highlight w:val="none"/>
                <w:u w:val="none"/>
                <w:lang w:val="en-US" w:eastAsia="zh-CN"/>
              </w:rPr>
              <w:t>及保障措施</w:t>
            </w:r>
            <w:r>
              <w:rPr>
                <w:rFonts w:hint="eastAsia" w:ascii="宋体" w:hAnsi="宋体" w:cs="宋体"/>
                <w:b/>
                <w:bCs/>
                <w:color w:val="auto"/>
                <w:sz w:val="24"/>
                <w:highlight w:val="none"/>
                <w:u w:val="none"/>
              </w:rPr>
              <w:t>；</w:t>
            </w:r>
          </w:p>
          <w:p w14:paraId="2CF3AE7C">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（3）系统安装调试方案；</w:t>
            </w:r>
          </w:p>
          <w:p w14:paraId="5473C070">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（4）试验验证或成果验收方案；</w:t>
            </w:r>
          </w:p>
          <w:p w14:paraId="56EAAF79">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（5）项目违约处罚措施及承诺。</w:t>
            </w:r>
          </w:p>
          <w:p w14:paraId="2A84568B">
            <w:pPr>
              <w:adjustRightInd w:val="0"/>
              <w:spacing w:line="440" w:lineRule="exact"/>
              <w:rPr>
                <w:rFonts w:hint="eastAsia" w:ascii="宋体" w:hAnsi="宋体" w:eastAsia="宋体" w:cs="宋体"/>
                <w:bCs/>
                <w:color w:val="auto"/>
                <w:sz w:val="24"/>
                <w:szCs w:val="24"/>
                <w:highlight w:val="none"/>
                <w:lang w:val="en-US" w:eastAsia="zh-CN" w:bidi="ar-SA"/>
              </w:rPr>
            </w:pPr>
            <w:r>
              <w:rPr>
                <w:rFonts w:hint="eastAsia" w:ascii="宋体" w:hAnsi="宋体" w:cs="宋体"/>
                <w:b w:val="0"/>
                <w:bCs w:val="0"/>
                <w:color w:val="auto"/>
                <w:sz w:val="24"/>
                <w:highlight w:val="none"/>
                <w:u w:val="none"/>
              </w:rPr>
              <w:t>以上5项，经评定相关内容完整、方案详细、全面，完全满足采购文件服务要求，在完整性、契合度、思路清晰、可实施性、专业性上强的得</w:t>
            </w:r>
            <w:r>
              <w:rPr>
                <w:rFonts w:hint="eastAsia" w:cs="宋体"/>
                <w:b w:val="0"/>
                <w:bCs w:val="0"/>
                <w:color w:val="auto"/>
                <w:sz w:val="24"/>
                <w:highlight w:val="none"/>
                <w:u w:val="none"/>
                <w:lang w:val="en-US" w:eastAsia="zh-CN"/>
              </w:rPr>
              <w:t>10</w:t>
            </w:r>
            <w:r>
              <w:rPr>
                <w:rFonts w:hint="eastAsia" w:ascii="宋体" w:hAnsi="宋体" w:cs="宋体"/>
                <w:b w:val="0"/>
                <w:bCs w:val="0"/>
                <w:color w:val="auto"/>
                <w:sz w:val="24"/>
                <w:highlight w:val="none"/>
                <w:u w:val="none"/>
              </w:rPr>
              <w:t>分；每缺少一项内容扣</w:t>
            </w:r>
            <w:r>
              <w:rPr>
                <w:rFonts w:hint="eastAsia" w:cs="宋体"/>
                <w:b w:val="0"/>
                <w:bCs w:val="0"/>
                <w:color w:val="auto"/>
                <w:sz w:val="24"/>
                <w:highlight w:val="none"/>
                <w:u w:val="none"/>
                <w:lang w:val="en-US" w:eastAsia="zh-CN"/>
              </w:rPr>
              <w:t>2</w:t>
            </w:r>
            <w:r>
              <w:rPr>
                <w:rFonts w:hint="eastAsia" w:ascii="宋体" w:hAnsi="宋体" w:cs="宋体"/>
                <w:b w:val="0"/>
                <w:bCs w:val="0"/>
                <w:color w:val="auto"/>
                <w:sz w:val="24"/>
                <w:highlight w:val="none"/>
                <w:u w:val="none"/>
              </w:rPr>
              <w:t>分；内容存在细微不足，方案略有瑕疵的扣1分；内容存在较大不足，存在明显疏漏、思路不清晰，可实施性较弱的扣</w:t>
            </w:r>
            <w:r>
              <w:rPr>
                <w:rFonts w:hint="eastAsia" w:ascii="宋体" w:hAnsi="宋体" w:cs="宋体"/>
                <w:b w:val="0"/>
                <w:bCs w:val="0"/>
                <w:color w:val="auto"/>
                <w:sz w:val="24"/>
                <w:highlight w:val="none"/>
                <w:u w:val="none"/>
                <w:lang w:val="en-US" w:eastAsia="zh-CN"/>
              </w:rPr>
              <w:t>1</w:t>
            </w:r>
            <w:r>
              <w:rPr>
                <w:rFonts w:hint="eastAsia" w:ascii="宋体" w:hAnsi="宋体" w:cs="宋体"/>
                <w:b w:val="0"/>
                <w:bCs w:val="0"/>
                <w:color w:val="auto"/>
                <w:sz w:val="24"/>
                <w:highlight w:val="none"/>
                <w:u w:val="none"/>
              </w:rPr>
              <w:t>分，内容存在严重不足，存在多处错误、逻辑混乱的，扣</w:t>
            </w:r>
            <w:r>
              <w:rPr>
                <w:rFonts w:hint="eastAsia" w:cs="宋体"/>
                <w:b w:val="0"/>
                <w:bCs w:val="0"/>
                <w:color w:val="auto"/>
                <w:sz w:val="24"/>
                <w:highlight w:val="none"/>
                <w:u w:val="none"/>
                <w:lang w:val="en-US" w:eastAsia="zh-CN"/>
              </w:rPr>
              <w:t>1.5</w:t>
            </w:r>
            <w:r>
              <w:rPr>
                <w:rFonts w:hint="eastAsia" w:ascii="宋体" w:hAnsi="宋体" w:cs="宋体"/>
                <w:b w:val="0"/>
                <w:bCs w:val="0"/>
                <w:color w:val="auto"/>
                <w:sz w:val="24"/>
                <w:highlight w:val="none"/>
                <w:u w:val="none"/>
              </w:rPr>
              <w:t>分；扣完为止。</w:t>
            </w:r>
          </w:p>
        </w:tc>
      </w:tr>
      <w:tr w14:paraId="15040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1FEA16F">
            <w:pPr>
              <w:snapToGrid w:val="0"/>
              <w:spacing w:line="360" w:lineRule="auto"/>
              <w:contextualSpacing/>
              <w:jc w:val="both"/>
              <w:rPr>
                <w:rFonts w:hint="eastAsia"/>
                <w:bCs/>
                <w:color w:val="auto"/>
                <w:highlight w:val="none"/>
              </w:rPr>
            </w:pPr>
          </w:p>
        </w:tc>
        <w:tc>
          <w:tcPr>
            <w:tcW w:w="1430" w:type="dxa"/>
            <w:tcBorders>
              <w:top w:val="single" w:color="auto" w:sz="4" w:space="0"/>
              <w:tl2br w:val="nil"/>
              <w:tr2bl w:val="nil"/>
            </w:tcBorders>
            <w:vAlign w:val="center"/>
          </w:tcPr>
          <w:p w14:paraId="05E55EAE">
            <w:pPr>
              <w:adjustRightInd w:val="0"/>
              <w:spacing w:line="480" w:lineRule="exact"/>
              <w:jc w:val="center"/>
              <w:rPr>
                <w:rFonts w:hint="eastAsia" w:ascii="宋体" w:hAnsi="宋体" w:cs="宋体"/>
                <w:color w:val="auto"/>
                <w:sz w:val="24"/>
                <w:highlight w:val="none"/>
              </w:rPr>
            </w:pPr>
            <w:r>
              <w:rPr>
                <w:rFonts w:hint="eastAsia" w:ascii="宋体" w:hAnsi="宋体" w:cs="宋体"/>
                <w:color w:val="auto"/>
                <w:sz w:val="24"/>
                <w:highlight w:val="none"/>
              </w:rPr>
              <w:t>质量承诺及其保证措施</w:t>
            </w:r>
          </w:p>
          <w:p w14:paraId="252E7E2A">
            <w:pPr>
              <w:adjustRightInd w:val="0"/>
              <w:spacing w:line="480" w:lineRule="exact"/>
              <w:jc w:val="center"/>
              <w:rPr>
                <w:rFonts w:hint="eastAsia"/>
                <w:bCs/>
                <w:color w:val="auto"/>
                <w:highlight w:val="none"/>
              </w:rPr>
            </w:pPr>
            <w:r>
              <w:rPr>
                <w:rFonts w:hint="eastAsia" w:ascii="宋体" w:hAnsi="宋体" w:cs="宋体"/>
                <w:color w:val="auto"/>
                <w:sz w:val="24"/>
                <w:highlight w:val="none"/>
              </w:rPr>
              <w:t>（</w:t>
            </w:r>
            <w:r>
              <w:rPr>
                <w:rFonts w:hint="eastAsia" w:cs="宋体"/>
                <w:color w:val="auto"/>
                <w:sz w:val="24"/>
                <w:highlight w:val="none"/>
                <w:lang w:val="en-US" w:eastAsia="zh-CN"/>
              </w:rPr>
              <w:t>8</w:t>
            </w:r>
            <w:r>
              <w:rPr>
                <w:rFonts w:hint="eastAsia" w:ascii="宋体" w:hAnsi="宋体" w:cs="宋体"/>
                <w:color w:val="auto"/>
                <w:sz w:val="24"/>
                <w:highlight w:val="none"/>
              </w:rPr>
              <w:t>分）</w:t>
            </w:r>
          </w:p>
        </w:tc>
        <w:tc>
          <w:tcPr>
            <w:tcW w:w="6684" w:type="dxa"/>
            <w:tcBorders>
              <w:top w:val="single" w:color="auto" w:sz="4" w:space="0"/>
              <w:tl2br w:val="nil"/>
              <w:tr2bl w:val="nil"/>
            </w:tcBorders>
            <w:shd w:val="clear" w:color="auto" w:fill="FFFFFF"/>
            <w:vAlign w:val="center"/>
          </w:tcPr>
          <w:p w14:paraId="02B5D810">
            <w:pPr>
              <w:adjustRightInd w:val="0"/>
              <w:spacing w:line="440" w:lineRule="exact"/>
              <w:rPr>
                <w:rFonts w:hint="eastAsia" w:ascii="宋体" w:hAnsi="宋体" w:cs="宋体"/>
                <w:color w:val="auto"/>
                <w:sz w:val="24"/>
                <w:highlight w:val="none"/>
              </w:rPr>
            </w:pPr>
            <w:r>
              <w:rPr>
                <w:rFonts w:hint="eastAsia" w:ascii="宋体" w:hAnsi="宋体" w:cs="宋体"/>
                <w:color w:val="auto"/>
                <w:sz w:val="24"/>
                <w:highlight w:val="none"/>
              </w:rPr>
              <w:t>根据投标人提供的质量承诺及其保证措施进行评审，包括但不限于：</w:t>
            </w:r>
          </w:p>
          <w:p w14:paraId="73898A58">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（1）服务及产品质量</w:t>
            </w:r>
            <w:r>
              <w:rPr>
                <w:rFonts w:hint="eastAsia" w:cs="宋体"/>
                <w:b/>
                <w:bCs/>
                <w:color w:val="auto"/>
                <w:sz w:val="24"/>
                <w:highlight w:val="none"/>
                <w:u w:val="none"/>
                <w:lang w:val="en-US" w:eastAsia="zh-CN"/>
              </w:rPr>
              <w:t>保障措施及承诺</w:t>
            </w:r>
            <w:r>
              <w:rPr>
                <w:rFonts w:hint="eastAsia" w:ascii="宋体" w:hAnsi="宋体" w:cs="宋体"/>
                <w:b/>
                <w:bCs/>
                <w:color w:val="auto"/>
                <w:sz w:val="24"/>
                <w:highlight w:val="none"/>
                <w:u w:val="none"/>
              </w:rPr>
              <w:t>；</w:t>
            </w:r>
          </w:p>
          <w:p w14:paraId="07623FE2">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（2）产品质保期；</w:t>
            </w:r>
          </w:p>
          <w:p w14:paraId="6D04AD46">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w:t>
            </w:r>
            <w:r>
              <w:rPr>
                <w:rFonts w:hint="eastAsia" w:cs="宋体"/>
                <w:b/>
                <w:bCs/>
                <w:color w:val="auto"/>
                <w:sz w:val="24"/>
                <w:highlight w:val="none"/>
                <w:u w:val="none"/>
                <w:lang w:val="en-US" w:eastAsia="zh-CN"/>
              </w:rPr>
              <w:t>3</w:t>
            </w:r>
            <w:r>
              <w:rPr>
                <w:rFonts w:hint="eastAsia" w:ascii="宋体" w:hAnsi="宋体" w:cs="宋体"/>
                <w:b/>
                <w:bCs/>
                <w:color w:val="auto"/>
                <w:sz w:val="24"/>
                <w:highlight w:val="none"/>
                <w:u w:val="none"/>
              </w:rPr>
              <w:t>）质量缺陷处理方案；</w:t>
            </w:r>
          </w:p>
          <w:p w14:paraId="139EA28A">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w:t>
            </w:r>
            <w:r>
              <w:rPr>
                <w:rFonts w:hint="eastAsia" w:cs="宋体"/>
                <w:b/>
                <w:bCs/>
                <w:color w:val="auto"/>
                <w:sz w:val="24"/>
                <w:highlight w:val="none"/>
                <w:u w:val="none"/>
                <w:lang w:val="en-US" w:eastAsia="zh-CN"/>
              </w:rPr>
              <w:t>4</w:t>
            </w:r>
            <w:r>
              <w:rPr>
                <w:rFonts w:hint="eastAsia" w:ascii="宋体" w:hAnsi="宋体" w:cs="宋体"/>
                <w:b/>
                <w:bCs/>
                <w:color w:val="auto"/>
                <w:sz w:val="24"/>
                <w:highlight w:val="none"/>
                <w:u w:val="none"/>
              </w:rPr>
              <w:t>）违约责任承诺及处罚措施。</w:t>
            </w:r>
          </w:p>
          <w:p w14:paraId="0CA3BA81">
            <w:pPr>
              <w:adjustRightInd w:val="0"/>
              <w:spacing w:line="440" w:lineRule="exact"/>
              <w:rPr>
                <w:rFonts w:hint="eastAsia" w:ascii="宋体" w:hAnsi="宋体" w:eastAsia="宋体" w:cs="Times New Roman"/>
                <w:color w:val="auto"/>
                <w:sz w:val="24"/>
                <w:szCs w:val="24"/>
                <w:highlight w:val="none"/>
                <w:lang w:val="en-US" w:eastAsia="zh-CN" w:bidi="ar-SA"/>
              </w:rPr>
            </w:pPr>
            <w:r>
              <w:rPr>
                <w:rFonts w:hint="eastAsia" w:ascii="宋体" w:hAnsi="宋体" w:cs="宋体"/>
                <w:b w:val="0"/>
                <w:bCs w:val="0"/>
                <w:color w:val="auto"/>
                <w:sz w:val="24"/>
                <w:highlight w:val="none"/>
                <w:u w:val="none"/>
              </w:rPr>
              <w:t>以上</w:t>
            </w:r>
            <w:r>
              <w:rPr>
                <w:rFonts w:hint="eastAsia" w:cs="宋体"/>
                <w:b w:val="0"/>
                <w:bCs w:val="0"/>
                <w:color w:val="auto"/>
                <w:sz w:val="24"/>
                <w:highlight w:val="none"/>
                <w:u w:val="none"/>
                <w:lang w:val="en-US" w:eastAsia="zh-CN"/>
              </w:rPr>
              <w:t>4</w:t>
            </w:r>
            <w:r>
              <w:rPr>
                <w:rFonts w:hint="eastAsia" w:ascii="宋体" w:hAnsi="宋体" w:cs="宋体"/>
                <w:b w:val="0"/>
                <w:bCs w:val="0"/>
                <w:color w:val="auto"/>
                <w:sz w:val="24"/>
                <w:highlight w:val="none"/>
                <w:u w:val="none"/>
              </w:rPr>
              <w:t>项，经评定相关内容完整、</w:t>
            </w:r>
            <w:r>
              <w:rPr>
                <w:rFonts w:hint="eastAsia" w:cs="宋体"/>
                <w:b w:val="0"/>
                <w:bCs w:val="0"/>
                <w:color w:val="auto"/>
                <w:sz w:val="24"/>
                <w:highlight w:val="none"/>
                <w:u w:val="none"/>
                <w:lang w:val="en-US" w:eastAsia="zh-CN"/>
              </w:rPr>
              <w:t>措施</w:t>
            </w:r>
            <w:r>
              <w:rPr>
                <w:rFonts w:hint="eastAsia" w:ascii="宋体" w:hAnsi="宋体" w:cs="宋体"/>
                <w:b w:val="0"/>
                <w:bCs w:val="0"/>
                <w:color w:val="auto"/>
                <w:sz w:val="24"/>
                <w:highlight w:val="none"/>
                <w:u w:val="none"/>
              </w:rPr>
              <w:t>详细、全面，完全满足采购文件服务要求，在完整性、契合度、思路清晰、可实施性、专业性上强的得</w:t>
            </w:r>
            <w:r>
              <w:rPr>
                <w:rFonts w:hint="eastAsia" w:cs="宋体"/>
                <w:b w:val="0"/>
                <w:bCs w:val="0"/>
                <w:color w:val="auto"/>
                <w:sz w:val="24"/>
                <w:highlight w:val="none"/>
                <w:u w:val="none"/>
                <w:lang w:val="en-US" w:eastAsia="zh-CN"/>
              </w:rPr>
              <w:t>8</w:t>
            </w:r>
            <w:r>
              <w:rPr>
                <w:rFonts w:hint="eastAsia" w:ascii="宋体" w:hAnsi="宋体" w:cs="宋体"/>
                <w:b w:val="0"/>
                <w:bCs w:val="0"/>
                <w:color w:val="auto"/>
                <w:sz w:val="24"/>
                <w:highlight w:val="none"/>
                <w:u w:val="none"/>
              </w:rPr>
              <w:t>分；每缺少一项内容扣</w:t>
            </w:r>
            <w:r>
              <w:rPr>
                <w:rFonts w:hint="eastAsia" w:cs="宋体"/>
                <w:b w:val="0"/>
                <w:bCs w:val="0"/>
                <w:color w:val="auto"/>
                <w:sz w:val="24"/>
                <w:highlight w:val="none"/>
                <w:u w:val="none"/>
                <w:lang w:val="en-US" w:eastAsia="zh-CN"/>
              </w:rPr>
              <w:t>2</w:t>
            </w:r>
            <w:r>
              <w:rPr>
                <w:rFonts w:hint="eastAsia" w:ascii="宋体" w:hAnsi="宋体" w:cs="宋体"/>
                <w:b w:val="0"/>
                <w:bCs w:val="0"/>
                <w:color w:val="auto"/>
                <w:sz w:val="24"/>
                <w:highlight w:val="none"/>
                <w:u w:val="none"/>
              </w:rPr>
              <w:t>分；内容存在细微不足，方案略有瑕疵的扣</w:t>
            </w:r>
            <w:r>
              <w:rPr>
                <w:rFonts w:hint="eastAsia" w:cs="宋体"/>
                <w:b w:val="0"/>
                <w:bCs w:val="0"/>
                <w:color w:val="auto"/>
                <w:sz w:val="24"/>
                <w:highlight w:val="none"/>
                <w:u w:val="none"/>
                <w:lang w:val="en-US" w:eastAsia="zh-CN"/>
              </w:rPr>
              <w:t>0.5</w:t>
            </w:r>
            <w:r>
              <w:rPr>
                <w:rFonts w:hint="eastAsia" w:ascii="宋体" w:hAnsi="宋体" w:cs="宋体"/>
                <w:b w:val="0"/>
                <w:bCs w:val="0"/>
                <w:color w:val="auto"/>
                <w:sz w:val="24"/>
                <w:highlight w:val="none"/>
                <w:u w:val="none"/>
              </w:rPr>
              <w:t>分；内容存在较大不足，存在明显疏漏、思路不清晰，可实施性较弱的扣</w:t>
            </w:r>
            <w:r>
              <w:rPr>
                <w:rFonts w:hint="eastAsia" w:cs="宋体"/>
                <w:b w:val="0"/>
                <w:bCs w:val="0"/>
                <w:color w:val="auto"/>
                <w:sz w:val="24"/>
                <w:highlight w:val="none"/>
                <w:u w:val="none"/>
                <w:lang w:val="en-US" w:eastAsia="zh-CN"/>
              </w:rPr>
              <w:t>1</w:t>
            </w:r>
            <w:r>
              <w:rPr>
                <w:rFonts w:hint="eastAsia" w:ascii="宋体" w:hAnsi="宋体" w:cs="宋体"/>
                <w:b w:val="0"/>
                <w:bCs w:val="0"/>
                <w:color w:val="auto"/>
                <w:sz w:val="24"/>
                <w:highlight w:val="none"/>
                <w:u w:val="none"/>
              </w:rPr>
              <w:t>分，内容存在严重不足，存在多处错误、逻辑混乱的，扣</w:t>
            </w:r>
            <w:r>
              <w:rPr>
                <w:rFonts w:hint="eastAsia" w:cs="宋体"/>
                <w:b w:val="0"/>
                <w:bCs w:val="0"/>
                <w:color w:val="auto"/>
                <w:sz w:val="24"/>
                <w:highlight w:val="none"/>
                <w:u w:val="none"/>
                <w:lang w:val="en-US" w:eastAsia="zh-CN"/>
              </w:rPr>
              <w:t>1.5</w:t>
            </w:r>
            <w:r>
              <w:rPr>
                <w:rFonts w:hint="eastAsia" w:ascii="宋体" w:hAnsi="宋体" w:cs="宋体"/>
                <w:b w:val="0"/>
                <w:bCs w:val="0"/>
                <w:color w:val="auto"/>
                <w:sz w:val="24"/>
                <w:highlight w:val="none"/>
                <w:u w:val="none"/>
              </w:rPr>
              <w:t>分；扣完为止。</w:t>
            </w:r>
          </w:p>
        </w:tc>
      </w:tr>
      <w:tr w14:paraId="79DF7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47EC2331">
            <w:pPr>
              <w:snapToGrid w:val="0"/>
              <w:spacing w:line="360" w:lineRule="auto"/>
              <w:contextualSpacing/>
              <w:jc w:val="both"/>
              <w:rPr>
                <w:rFonts w:hint="eastAsia"/>
                <w:bCs/>
                <w:color w:val="auto"/>
                <w:highlight w:val="none"/>
              </w:rPr>
            </w:pPr>
          </w:p>
        </w:tc>
        <w:tc>
          <w:tcPr>
            <w:tcW w:w="1430" w:type="dxa"/>
            <w:tcBorders>
              <w:top w:val="single" w:color="auto" w:sz="4" w:space="0"/>
              <w:tl2br w:val="nil"/>
              <w:tr2bl w:val="nil"/>
            </w:tcBorders>
            <w:vAlign w:val="center"/>
          </w:tcPr>
          <w:p w14:paraId="1D98C036">
            <w:pPr>
              <w:spacing w:line="440" w:lineRule="exact"/>
              <w:jc w:val="center"/>
              <w:rPr>
                <w:rFonts w:hint="eastAsia" w:ascii="宋体" w:hAnsi="宋体"/>
                <w:color w:val="auto"/>
                <w:sz w:val="24"/>
                <w:highlight w:val="none"/>
              </w:rPr>
            </w:pPr>
            <w:r>
              <w:rPr>
                <w:rFonts w:hint="eastAsia" w:ascii="宋体" w:hAnsi="宋体"/>
                <w:color w:val="auto"/>
                <w:sz w:val="24"/>
                <w:highlight w:val="none"/>
              </w:rPr>
              <w:t>售后服务方案及承诺</w:t>
            </w:r>
          </w:p>
          <w:p w14:paraId="6A80F2CE">
            <w:pPr>
              <w:spacing w:line="440" w:lineRule="exact"/>
              <w:jc w:val="center"/>
              <w:rPr>
                <w:rFonts w:hint="eastAsia"/>
                <w:color w:val="auto"/>
                <w:highlight w:val="none"/>
                <w:lang w:val="en-US" w:eastAsia="zh-CN"/>
              </w:rPr>
            </w:pPr>
            <w:r>
              <w:rPr>
                <w:rFonts w:hint="eastAsia" w:ascii="宋体" w:hAnsi="宋体" w:cs="宋体"/>
                <w:bCs/>
                <w:color w:val="auto"/>
                <w:sz w:val="24"/>
                <w:highlight w:val="none"/>
              </w:rPr>
              <w:t>（10分）</w:t>
            </w:r>
          </w:p>
        </w:tc>
        <w:tc>
          <w:tcPr>
            <w:tcW w:w="6684" w:type="dxa"/>
            <w:tcBorders>
              <w:top w:val="single" w:color="auto" w:sz="4" w:space="0"/>
              <w:tl2br w:val="nil"/>
              <w:tr2bl w:val="nil"/>
            </w:tcBorders>
            <w:shd w:val="clear" w:color="auto" w:fill="auto"/>
            <w:vAlign w:val="center"/>
          </w:tcPr>
          <w:p w14:paraId="08EB0F09">
            <w:pPr>
              <w:adjustRightInd w:val="0"/>
              <w:spacing w:line="440" w:lineRule="exact"/>
              <w:rPr>
                <w:rFonts w:hint="eastAsia" w:ascii="宋体" w:hAnsi="宋体"/>
                <w:color w:val="auto"/>
                <w:sz w:val="24"/>
                <w:highlight w:val="none"/>
              </w:rPr>
            </w:pPr>
            <w:r>
              <w:rPr>
                <w:rFonts w:hint="eastAsia" w:ascii="宋体" w:hAnsi="宋体" w:cs="宋体"/>
                <w:color w:val="auto"/>
                <w:sz w:val="24"/>
                <w:highlight w:val="none"/>
              </w:rPr>
              <w:t>根据投标人提供的</w:t>
            </w:r>
            <w:r>
              <w:rPr>
                <w:rFonts w:hint="eastAsia" w:ascii="宋体" w:hAnsi="宋体"/>
                <w:color w:val="auto"/>
                <w:sz w:val="24"/>
                <w:highlight w:val="none"/>
              </w:rPr>
              <w:t>售后服务方案及承诺进行评审，包括但不限于：</w:t>
            </w:r>
          </w:p>
          <w:p w14:paraId="5A33EE08">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（1）售后服务方案及运维服务方案；</w:t>
            </w:r>
          </w:p>
          <w:p w14:paraId="27FA6962">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（2）售后服务人员安排；</w:t>
            </w:r>
          </w:p>
          <w:p w14:paraId="3E4AA155">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（3）缺陷管理、应急故障处理；</w:t>
            </w:r>
          </w:p>
          <w:p w14:paraId="5B9AEEED">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（4）系统升级、运行支持、安全漏洞修补；</w:t>
            </w:r>
          </w:p>
          <w:p w14:paraId="407C9BD3">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（5）运维保障及违约惩罚措施等方案。</w:t>
            </w:r>
          </w:p>
          <w:p w14:paraId="378C6366">
            <w:pPr>
              <w:adjustRightInd w:val="0"/>
              <w:spacing w:line="440" w:lineRule="exact"/>
              <w:rPr>
                <w:rFonts w:hint="eastAsia" w:ascii="宋体" w:hAnsi="宋体" w:eastAsia="宋体" w:cs="宋体"/>
                <w:color w:val="auto"/>
                <w:sz w:val="24"/>
                <w:szCs w:val="24"/>
                <w:highlight w:val="none"/>
                <w:lang w:val="en-US" w:eastAsia="zh-CN" w:bidi="ar-SA"/>
              </w:rPr>
            </w:pPr>
            <w:r>
              <w:rPr>
                <w:rFonts w:hint="eastAsia" w:ascii="宋体" w:hAnsi="宋体"/>
                <w:b w:val="0"/>
                <w:bCs w:val="0"/>
                <w:color w:val="auto"/>
                <w:sz w:val="24"/>
                <w:highlight w:val="none"/>
                <w:u w:val="none"/>
              </w:rPr>
              <w:t>以上5项，经评定相关内容完整、</w:t>
            </w:r>
            <w:r>
              <w:rPr>
                <w:rFonts w:hint="eastAsia"/>
                <w:b w:val="0"/>
                <w:bCs w:val="0"/>
                <w:color w:val="auto"/>
                <w:sz w:val="24"/>
                <w:highlight w:val="none"/>
                <w:u w:val="none"/>
                <w:lang w:val="en-US" w:eastAsia="zh-CN"/>
              </w:rPr>
              <w:t>方案</w:t>
            </w:r>
            <w:r>
              <w:rPr>
                <w:rFonts w:hint="eastAsia" w:ascii="宋体" w:hAnsi="宋体"/>
                <w:b w:val="0"/>
                <w:bCs w:val="0"/>
                <w:color w:val="auto"/>
                <w:sz w:val="24"/>
                <w:highlight w:val="none"/>
                <w:u w:val="none"/>
              </w:rPr>
              <w:t>详细、全面，完全满足采购文件服务要求，在完整性、契合度、思路清晰、可实施性、专业性上强的得10分；每缺少一项内容扣2分；内容存在细微不足，方案略有瑕疵的扣0.5分；内容存在较大不足，存在明显疏漏、思路不清晰，可实施性较弱的扣1分，内容存在严重不足，存在多处错误、逻辑混乱的，扣1.5分；扣完为止。</w:t>
            </w:r>
          </w:p>
        </w:tc>
      </w:tr>
      <w:tr w14:paraId="161AE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2C2C767">
            <w:pPr>
              <w:snapToGrid w:val="0"/>
              <w:spacing w:line="360" w:lineRule="auto"/>
              <w:contextualSpacing/>
              <w:jc w:val="both"/>
              <w:rPr>
                <w:rFonts w:hint="eastAsia"/>
                <w:bCs/>
                <w:color w:val="auto"/>
                <w:highlight w:val="none"/>
              </w:rPr>
            </w:pPr>
          </w:p>
        </w:tc>
        <w:tc>
          <w:tcPr>
            <w:tcW w:w="1430" w:type="dxa"/>
            <w:tcBorders>
              <w:top w:val="single" w:color="auto" w:sz="4" w:space="0"/>
              <w:tl2br w:val="nil"/>
              <w:tr2bl w:val="nil"/>
            </w:tcBorders>
            <w:vAlign w:val="center"/>
          </w:tcPr>
          <w:p w14:paraId="46FC09E0">
            <w:pPr>
              <w:spacing w:line="440" w:lineRule="exact"/>
              <w:jc w:val="center"/>
              <w:rPr>
                <w:rFonts w:hint="eastAsia" w:ascii="宋体" w:hAnsi="宋体"/>
                <w:color w:val="auto"/>
                <w:sz w:val="24"/>
                <w:highlight w:val="none"/>
              </w:rPr>
            </w:pPr>
            <w:r>
              <w:rPr>
                <w:rFonts w:hint="eastAsia" w:ascii="宋体" w:hAnsi="宋体"/>
                <w:color w:val="auto"/>
                <w:sz w:val="24"/>
                <w:highlight w:val="none"/>
              </w:rPr>
              <w:t>培训承诺及方案</w:t>
            </w:r>
          </w:p>
          <w:p w14:paraId="535A5CF2">
            <w:pPr>
              <w:spacing w:line="44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（6分</w:t>
            </w:r>
            <w:r>
              <w:rPr>
                <w:rFonts w:hint="eastAsia" w:ascii="宋体" w:hAnsi="宋体"/>
                <w:color w:val="auto"/>
                <w:sz w:val="24"/>
                <w:highlight w:val="none"/>
              </w:rPr>
              <w:t>）</w:t>
            </w:r>
          </w:p>
        </w:tc>
        <w:tc>
          <w:tcPr>
            <w:tcW w:w="6684" w:type="dxa"/>
            <w:tcBorders>
              <w:top w:val="single" w:color="auto" w:sz="4" w:space="0"/>
              <w:tl2br w:val="nil"/>
              <w:tr2bl w:val="nil"/>
            </w:tcBorders>
            <w:shd w:val="clear" w:color="auto" w:fill="auto"/>
            <w:vAlign w:val="center"/>
          </w:tcPr>
          <w:p w14:paraId="5E12A4AE">
            <w:pPr>
              <w:adjustRightInd w:val="0"/>
              <w:spacing w:line="440" w:lineRule="exact"/>
              <w:rPr>
                <w:rFonts w:hint="eastAsia" w:ascii="宋体" w:hAnsi="宋体"/>
                <w:b/>
                <w:bCs/>
                <w:color w:val="auto"/>
                <w:sz w:val="24"/>
                <w:highlight w:val="none"/>
                <w:u w:val="none"/>
              </w:rPr>
            </w:pPr>
            <w:r>
              <w:rPr>
                <w:rFonts w:hint="eastAsia" w:ascii="宋体" w:hAnsi="宋体" w:cs="宋体"/>
                <w:color w:val="auto"/>
                <w:sz w:val="24"/>
                <w:highlight w:val="none"/>
              </w:rPr>
              <w:t>根据投标人提供的</w:t>
            </w:r>
            <w:r>
              <w:rPr>
                <w:rFonts w:hint="eastAsia" w:ascii="宋体" w:hAnsi="宋体"/>
                <w:color w:val="auto"/>
                <w:sz w:val="24"/>
                <w:highlight w:val="none"/>
              </w:rPr>
              <w:t>培训承诺及方案进行评审，包括但不限于：</w:t>
            </w:r>
            <w:r>
              <w:rPr>
                <w:rFonts w:hint="eastAsia" w:ascii="宋体" w:hAnsi="宋体"/>
                <w:b/>
                <w:bCs/>
                <w:color w:val="auto"/>
                <w:sz w:val="24"/>
                <w:highlight w:val="none"/>
                <w:u w:val="none"/>
              </w:rPr>
              <w:t>（1）设备操作说明及系统使用及管理；</w:t>
            </w:r>
          </w:p>
          <w:p w14:paraId="5CFA3F41">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（2）故障排除方案；</w:t>
            </w:r>
          </w:p>
          <w:p w14:paraId="670E7B4B">
            <w:pPr>
              <w:adjustRightInd w:val="0"/>
              <w:spacing w:line="440" w:lineRule="exact"/>
              <w:rPr>
                <w:rFonts w:hint="eastAsia" w:ascii="宋体" w:hAnsi="宋体" w:cs="宋体"/>
                <w:color w:val="auto"/>
                <w:sz w:val="24"/>
                <w:highlight w:val="none"/>
                <w:u w:val="none"/>
              </w:rPr>
            </w:pPr>
            <w:r>
              <w:rPr>
                <w:rFonts w:hint="eastAsia" w:ascii="宋体" w:hAnsi="宋体"/>
                <w:b/>
                <w:bCs/>
                <w:color w:val="auto"/>
                <w:sz w:val="24"/>
                <w:highlight w:val="none"/>
                <w:u w:val="none"/>
              </w:rPr>
              <w:t>（3）线下培训内容及材料（对采购人进行硬件和软件协同使用方法、系统使用和维护方法、常见问题的处理的培训方案）。</w:t>
            </w:r>
          </w:p>
          <w:p w14:paraId="70251025">
            <w:pPr>
              <w:adjustRightInd w:val="0"/>
              <w:spacing w:line="440" w:lineRule="exact"/>
              <w:rPr>
                <w:rFonts w:hint="eastAsia" w:ascii="宋体" w:hAnsi="宋体"/>
                <w:b w:val="0"/>
                <w:bCs w:val="0"/>
                <w:color w:val="auto"/>
                <w:sz w:val="24"/>
                <w:highlight w:val="none"/>
                <w:u w:val="none"/>
              </w:rPr>
            </w:pPr>
            <w:r>
              <w:rPr>
                <w:rFonts w:hint="eastAsia" w:ascii="宋体" w:hAnsi="宋体" w:cs="宋体"/>
                <w:color w:val="auto"/>
                <w:sz w:val="24"/>
                <w:highlight w:val="none"/>
              </w:rPr>
              <w:t>以上</w:t>
            </w:r>
            <w:r>
              <w:rPr>
                <w:rFonts w:hint="eastAsia" w:cs="宋体"/>
                <w:color w:val="auto"/>
                <w:sz w:val="24"/>
                <w:highlight w:val="none"/>
                <w:lang w:val="en-US" w:eastAsia="zh-CN"/>
              </w:rPr>
              <w:t>3</w:t>
            </w:r>
            <w:r>
              <w:rPr>
                <w:rFonts w:hint="eastAsia" w:ascii="宋体" w:hAnsi="宋体" w:cs="宋体"/>
                <w:color w:val="auto"/>
                <w:sz w:val="24"/>
                <w:highlight w:val="none"/>
              </w:rPr>
              <w:t>项，经评定相关内容完整、措施详细、全面，完全满足采购文件服务要求，在完整性、契合度、思路清晰、可实施性、专业性上强的得</w:t>
            </w:r>
            <w:r>
              <w:rPr>
                <w:rFonts w:hint="eastAsia" w:cs="宋体"/>
                <w:color w:val="auto"/>
                <w:sz w:val="24"/>
                <w:highlight w:val="none"/>
                <w:lang w:val="en-US" w:eastAsia="zh-CN"/>
              </w:rPr>
              <w:t>6</w:t>
            </w:r>
            <w:r>
              <w:rPr>
                <w:rFonts w:hint="eastAsia" w:ascii="宋体" w:hAnsi="宋体" w:cs="宋体"/>
                <w:color w:val="auto"/>
                <w:sz w:val="24"/>
                <w:highlight w:val="none"/>
              </w:rPr>
              <w:t>分；每缺少一项内容扣2分；内容存在细微不足，方案略有瑕疵的扣0.5分；内容存在较大不足，存在明显疏漏、思路不清晰，可实施性较弱的扣1分，内容存在严重不足，存在多处错误、逻辑混乱的，扣1.5分；扣完为止。</w:t>
            </w:r>
          </w:p>
        </w:tc>
      </w:tr>
      <w:tr w14:paraId="51E8D6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0CDADA7A">
            <w:pPr>
              <w:snapToGrid w:val="0"/>
              <w:spacing w:line="360" w:lineRule="auto"/>
              <w:contextualSpacing/>
              <w:jc w:val="both"/>
              <w:rPr>
                <w:rFonts w:hint="eastAsia"/>
                <w:bCs/>
                <w:color w:val="auto"/>
                <w:highlight w:val="none"/>
              </w:rPr>
            </w:pPr>
          </w:p>
        </w:tc>
        <w:tc>
          <w:tcPr>
            <w:tcW w:w="1430" w:type="dxa"/>
            <w:tcBorders>
              <w:top w:val="single" w:color="auto" w:sz="4" w:space="0"/>
              <w:tl2br w:val="nil"/>
              <w:tr2bl w:val="nil"/>
            </w:tcBorders>
            <w:vAlign w:val="center"/>
          </w:tcPr>
          <w:p w14:paraId="49302A76">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cs="宋体"/>
                <w:bCs/>
                <w:color w:val="auto"/>
                <w:sz w:val="24"/>
                <w:highlight w:val="none"/>
              </w:rPr>
            </w:pPr>
            <w:r>
              <w:rPr>
                <w:rFonts w:hint="eastAsia" w:ascii="宋体" w:hAnsi="宋体" w:eastAsia="宋体" w:cs="宋体"/>
                <w:bCs/>
                <w:color w:val="auto"/>
                <w:highlight w:val="none"/>
              </w:rPr>
              <w:t>节能产品</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lang w:val="en-US" w:eastAsia="zh-CN"/>
              </w:rPr>
              <w:t>0.5分</w:t>
            </w:r>
            <w:r>
              <w:rPr>
                <w:rFonts w:hint="eastAsia" w:ascii="宋体" w:hAnsi="宋体" w:eastAsia="宋体" w:cs="宋体"/>
                <w:bCs/>
                <w:color w:val="auto"/>
                <w:highlight w:val="none"/>
                <w:lang w:eastAsia="zh-CN"/>
              </w:rPr>
              <w:t>）</w:t>
            </w:r>
          </w:p>
        </w:tc>
        <w:tc>
          <w:tcPr>
            <w:tcW w:w="6684" w:type="dxa"/>
            <w:tcBorders>
              <w:top w:val="single" w:color="auto" w:sz="4" w:space="0"/>
              <w:tl2br w:val="nil"/>
              <w:tr2bl w:val="nil"/>
            </w:tcBorders>
            <w:shd w:val="clear" w:color="auto" w:fill="auto"/>
            <w:vAlign w:val="center"/>
          </w:tcPr>
          <w:p w14:paraId="0A071AFC">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b w:val="0"/>
                <w:bCs w:val="0"/>
                <w:color w:val="auto"/>
                <w:sz w:val="24"/>
                <w:highlight w:val="none"/>
                <w:u w:val="none"/>
              </w:rPr>
            </w:pPr>
            <w:r>
              <w:rPr>
                <w:rFonts w:hint="eastAsia" w:ascii="宋体" w:hAnsi="宋体" w:eastAsia="宋体" w:cs="宋体"/>
                <w:bCs/>
                <w:color w:val="auto"/>
                <w:highlight w:val="none"/>
              </w:rPr>
              <w:t>投标产品（除政府强制采购节能产品外）为节能产品并提供在有效期内的认证证书得</w:t>
            </w:r>
            <w:r>
              <w:rPr>
                <w:rFonts w:hint="eastAsia" w:ascii="宋体" w:hAnsi="宋体" w:eastAsia="宋体" w:cs="宋体"/>
                <w:bCs/>
                <w:color w:val="auto"/>
                <w:highlight w:val="none"/>
                <w:lang w:val="en-US" w:eastAsia="zh-CN"/>
              </w:rPr>
              <w:t>0.5</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tr w14:paraId="26BBC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jc w:val="center"/>
        </w:trPr>
        <w:tc>
          <w:tcPr>
            <w:tcW w:w="1468" w:type="dxa"/>
            <w:vMerge w:val="continue"/>
            <w:tcBorders>
              <w:tl2br w:val="nil"/>
              <w:tr2bl w:val="nil"/>
            </w:tcBorders>
            <w:vAlign w:val="center"/>
          </w:tcPr>
          <w:p w14:paraId="13F55F62">
            <w:pPr>
              <w:snapToGrid w:val="0"/>
              <w:spacing w:line="360" w:lineRule="auto"/>
              <w:contextualSpacing/>
              <w:jc w:val="both"/>
              <w:rPr>
                <w:rFonts w:hint="eastAsia"/>
                <w:bCs/>
                <w:color w:val="auto"/>
                <w:highlight w:val="none"/>
                <w:lang w:val="zh-CN"/>
              </w:rPr>
            </w:pPr>
          </w:p>
        </w:tc>
        <w:tc>
          <w:tcPr>
            <w:tcW w:w="1430" w:type="dxa"/>
            <w:tcBorders>
              <w:tl2br w:val="nil"/>
              <w:tr2bl w:val="nil"/>
            </w:tcBorders>
            <w:vAlign w:val="center"/>
          </w:tcPr>
          <w:p w14:paraId="13D42E18">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bCs/>
                <w:color w:val="auto"/>
                <w:highlight w:val="none"/>
              </w:rPr>
            </w:pPr>
            <w:r>
              <w:rPr>
                <w:rFonts w:hint="eastAsia" w:ascii="宋体" w:hAnsi="宋体" w:eastAsia="宋体" w:cs="宋体"/>
                <w:bCs/>
                <w:color w:val="auto"/>
                <w:highlight w:val="none"/>
              </w:rPr>
              <w:t>环境标志产品</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lang w:val="en-US" w:eastAsia="zh-CN"/>
              </w:rPr>
              <w:t>0.5分</w:t>
            </w:r>
            <w:r>
              <w:rPr>
                <w:rFonts w:hint="eastAsia" w:ascii="宋体" w:hAnsi="宋体" w:eastAsia="宋体" w:cs="宋体"/>
                <w:bCs/>
                <w:color w:val="auto"/>
                <w:highlight w:val="none"/>
                <w:lang w:eastAsia="zh-CN"/>
              </w:rPr>
              <w:t>）</w:t>
            </w:r>
          </w:p>
        </w:tc>
        <w:tc>
          <w:tcPr>
            <w:tcW w:w="6684" w:type="dxa"/>
            <w:tcBorders>
              <w:tl2br w:val="nil"/>
              <w:tr2bl w:val="nil"/>
            </w:tcBorders>
            <w:vAlign w:val="center"/>
          </w:tcPr>
          <w:p w14:paraId="4924E040">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bCs/>
                <w:color w:val="auto"/>
                <w:highlight w:val="none"/>
              </w:rPr>
            </w:pPr>
            <w:r>
              <w:rPr>
                <w:rFonts w:hint="eastAsia" w:ascii="宋体" w:hAnsi="宋体" w:eastAsia="宋体" w:cs="宋体"/>
                <w:bCs/>
                <w:color w:val="auto"/>
                <w:highlight w:val="none"/>
              </w:rPr>
              <w:t>投标产品为环境标志产品并提供在有效期内的认证证书得</w:t>
            </w:r>
            <w:r>
              <w:rPr>
                <w:rFonts w:hint="eastAsia" w:ascii="宋体" w:hAnsi="宋体" w:eastAsia="宋体" w:cs="宋体"/>
                <w:bCs/>
                <w:color w:val="auto"/>
                <w:highlight w:val="none"/>
                <w:lang w:val="en-US" w:eastAsia="zh-CN"/>
              </w:rPr>
              <w:t>0.5</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bookmarkEnd w:id="60"/>
      <w:bookmarkEnd w:id="61"/>
      <w:bookmarkEnd w:id="62"/>
      <w:bookmarkEnd w:id="63"/>
    </w:tbl>
    <w:p w14:paraId="1B1701ED">
      <w:pPr>
        <w:spacing w:line="360" w:lineRule="auto"/>
        <w:rPr>
          <w:rFonts w:hint="eastAsia"/>
          <w:color w:val="auto"/>
          <w:highlight w:val="none"/>
        </w:rPr>
      </w:pPr>
      <w:r>
        <w:rPr>
          <w:rFonts w:hint="eastAsia"/>
          <w:color w:val="auto"/>
          <w:highlight w:val="none"/>
        </w:rPr>
        <w:t>注：</w:t>
      </w:r>
    </w:p>
    <w:p w14:paraId="5CB19D43">
      <w:pPr>
        <w:spacing w:line="360" w:lineRule="auto"/>
        <w:ind w:firstLine="480" w:firstLineChars="200"/>
        <w:rPr>
          <w:rFonts w:hint="eastAsia"/>
          <w:color w:val="auto"/>
          <w:highlight w:val="none"/>
        </w:rPr>
      </w:pPr>
      <w:r>
        <w:rPr>
          <w:color w:val="auto"/>
          <w:highlight w:val="none"/>
        </w:rPr>
        <w:t>1.上述表中按每项评审要求所涉及到的所有资料，投标人必须认真分类放于投标文件中。评标委员会成员按以上详细评分标准规定及投标文件承诺内容自主独立打分。</w:t>
      </w:r>
    </w:p>
    <w:p w14:paraId="24EB0E13">
      <w:pPr>
        <w:spacing w:line="360" w:lineRule="auto"/>
        <w:ind w:firstLine="480" w:firstLineChars="200"/>
        <w:rPr>
          <w:rFonts w:hint="eastAsia"/>
          <w:color w:val="auto"/>
          <w:highlight w:val="none"/>
        </w:rPr>
        <w:sectPr>
          <w:footerReference r:id="rId8" w:type="default"/>
          <w:pgSz w:w="11906" w:h="16838"/>
          <w:pgMar w:top="1134" w:right="1134" w:bottom="1134" w:left="1134" w:header="851" w:footer="851" w:gutter="0"/>
          <w:pgNumType w:start="1"/>
          <w:cols w:space="720" w:num="1"/>
          <w:docGrid w:type="lines" w:linePitch="331" w:charSpace="0"/>
        </w:sectPr>
      </w:pPr>
      <w:r>
        <w:rPr>
          <w:color w:val="auto"/>
          <w:highlight w:val="none"/>
        </w:rPr>
        <w:t>2.综合得分计算规则：取所有投标人的评审评分计算算术平均值，最后得分保留两位小数，第三位四舍五入</w:t>
      </w:r>
      <w:r>
        <w:rPr>
          <w:rFonts w:hint="eastAsia"/>
          <w:color w:val="auto"/>
          <w:highlight w:val="none"/>
        </w:rPr>
        <w:t>。</w:t>
      </w:r>
    </w:p>
    <w:p w14:paraId="6887B69B">
      <w:pPr>
        <w:pStyle w:val="2"/>
        <w:spacing w:before="0"/>
        <w:ind w:left="0" w:firstLine="562"/>
        <w:jc w:val="center"/>
        <w:rPr>
          <w:rFonts w:hint="eastAsia" w:ascii="宋体" w:hAnsi="宋体" w:eastAsia="宋体"/>
          <w:bCs/>
          <w:color w:val="auto"/>
          <w:sz w:val="30"/>
          <w:szCs w:val="30"/>
          <w:highlight w:val="none"/>
        </w:rPr>
      </w:pPr>
      <w:bookmarkStart w:id="64" w:name="_Toc27670"/>
      <w:bookmarkStart w:id="65" w:name="_Hlk184288564"/>
      <w:r>
        <w:rPr>
          <w:rFonts w:hint="eastAsia" w:ascii="宋体" w:hAnsi="宋体" w:eastAsia="宋体"/>
          <w:bCs/>
          <w:color w:val="auto"/>
          <w:sz w:val="30"/>
          <w:szCs w:val="30"/>
          <w:highlight w:val="none"/>
        </w:rPr>
        <w:t>第四章  采购需求</w:t>
      </w:r>
      <w:bookmarkEnd w:id="64"/>
    </w:p>
    <w:bookmarkEnd w:id="65"/>
    <w:p w14:paraId="397551FE">
      <w:pPr>
        <w:pStyle w:val="3"/>
        <w:snapToGrid w:val="0"/>
        <w:ind w:firstLine="482" w:firstLineChars="200"/>
        <w:rPr>
          <w:rFonts w:hint="eastAsia"/>
          <w:color w:val="auto"/>
          <w:sz w:val="24"/>
          <w:szCs w:val="24"/>
          <w:highlight w:val="none"/>
        </w:rPr>
      </w:pPr>
      <w:bookmarkStart w:id="66" w:name="_Toc7846"/>
      <w:r>
        <w:rPr>
          <w:rFonts w:hint="eastAsia"/>
          <w:color w:val="auto"/>
          <w:sz w:val="24"/>
          <w:szCs w:val="24"/>
          <w:highlight w:val="none"/>
        </w:rPr>
        <w:t>一、采购标的项目概况，以及为落实政府采购政策需满足的要求</w:t>
      </w:r>
      <w:bookmarkEnd w:id="66"/>
    </w:p>
    <w:p w14:paraId="64D75683">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（一）采购标的项目概况</w:t>
      </w:r>
    </w:p>
    <w:p w14:paraId="341EC63E">
      <w:pPr>
        <w:adjustRightInd w:val="0"/>
        <w:snapToGrid w:val="0"/>
        <w:spacing w:line="360" w:lineRule="auto"/>
        <w:ind w:firstLine="480" w:firstLineChars="200"/>
        <w:rPr>
          <w:rFonts w:hint="eastAsia"/>
          <w:bCs/>
          <w:color w:val="auto"/>
          <w:highlight w:val="none"/>
        </w:rPr>
      </w:pPr>
      <w:r>
        <w:rPr>
          <w:rFonts w:hint="eastAsia"/>
          <w:bCs/>
          <w:color w:val="auto"/>
          <w:highlight w:val="none"/>
          <w:lang w:eastAsia="zh-CN"/>
        </w:rPr>
        <w:t>玉溪职业技术学院（云南省玉溪工业财贸学校）澄江职中提级管理项目（1包）校园监控系统升级改造项目</w:t>
      </w:r>
      <w:r>
        <w:rPr>
          <w:rFonts w:hint="eastAsia"/>
          <w:bCs/>
          <w:color w:val="auto"/>
          <w:highlight w:val="none"/>
        </w:rPr>
        <w:t>。</w:t>
      </w:r>
    </w:p>
    <w:p w14:paraId="1BA80C85">
      <w:pPr>
        <w:adjustRightInd w:val="0"/>
        <w:snapToGrid w:val="0"/>
        <w:spacing w:line="360" w:lineRule="auto"/>
        <w:ind w:firstLine="482" w:firstLineChars="200"/>
        <w:rPr>
          <w:rFonts w:hint="eastAsia"/>
          <w:b/>
          <w:bCs/>
          <w:color w:val="auto"/>
          <w:highlight w:val="none"/>
        </w:rPr>
      </w:pPr>
      <w:r>
        <w:rPr>
          <w:rFonts w:hint="eastAsia"/>
          <w:b/>
          <w:bCs/>
          <w:color w:val="auto"/>
          <w:highlight w:val="none"/>
        </w:rPr>
        <w:t>（二）落实政府采购政策需满足的要求</w:t>
      </w:r>
    </w:p>
    <w:p w14:paraId="010D18D9">
      <w:pPr>
        <w:adjustRightInd w:val="0"/>
        <w:snapToGrid w:val="0"/>
        <w:spacing w:line="360" w:lineRule="auto"/>
        <w:ind w:firstLine="480" w:firstLineChars="200"/>
        <w:rPr>
          <w:rFonts w:hint="eastAsia"/>
          <w:bCs/>
          <w:color w:val="auto"/>
          <w:highlight w:val="none"/>
        </w:rPr>
      </w:pPr>
      <w:r>
        <w:rPr>
          <w:rFonts w:hint="eastAsia"/>
          <w:bCs/>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6E7EDE66">
      <w:pPr>
        <w:pStyle w:val="3"/>
        <w:snapToGrid w:val="0"/>
        <w:ind w:firstLine="482" w:firstLineChars="200"/>
        <w:rPr>
          <w:rFonts w:hint="eastAsia"/>
          <w:color w:val="auto"/>
          <w:sz w:val="24"/>
          <w:szCs w:val="24"/>
          <w:highlight w:val="none"/>
        </w:rPr>
      </w:pPr>
      <w:bookmarkStart w:id="67" w:name="_Toc13517"/>
      <w:r>
        <w:rPr>
          <w:rFonts w:hint="eastAsia"/>
          <w:color w:val="auto"/>
          <w:sz w:val="24"/>
          <w:szCs w:val="24"/>
          <w:highlight w:val="none"/>
        </w:rPr>
        <w:t>二、执行的国家相关标准、行业标准、地方标准或者其他标准、规范</w:t>
      </w:r>
      <w:bookmarkEnd w:id="67"/>
    </w:p>
    <w:p w14:paraId="1426D749">
      <w:pPr>
        <w:adjustRightInd w:val="0"/>
        <w:snapToGrid w:val="0"/>
        <w:spacing w:line="360" w:lineRule="auto"/>
        <w:ind w:firstLine="480" w:firstLineChars="200"/>
        <w:rPr>
          <w:rFonts w:hint="eastAsia"/>
          <w:bCs/>
          <w:color w:val="auto"/>
          <w:highlight w:val="none"/>
        </w:rPr>
      </w:pPr>
      <w:r>
        <w:rPr>
          <w:rFonts w:hint="eastAsia"/>
          <w:bCs/>
          <w:color w:val="auto"/>
          <w:highlight w:val="none"/>
        </w:rPr>
        <w:t>1.质量要求：符合国家相关标准及规范要求，且一次性验收合格，投入正常使用；</w:t>
      </w:r>
    </w:p>
    <w:p w14:paraId="311DBDA6">
      <w:pPr>
        <w:adjustRightInd w:val="0"/>
        <w:snapToGrid w:val="0"/>
        <w:spacing w:line="360" w:lineRule="auto"/>
        <w:ind w:firstLine="480" w:firstLineChars="200"/>
        <w:rPr>
          <w:rFonts w:hint="eastAsia"/>
          <w:bCs/>
          <w:color w:val="auto"/>
          <w:highlight w:val="none"/>
        </w:rPr>
      </w:pPr>
      <w:r>
        <w:rPr>
          <w:rFonts w:hint="eastAsia"/>
          <w:bCs/>
          <w:color w:val="auto"/>
          <w:highlight w:val="none"/>
        </w:rPr>
        <w:t>2.其他相关要求：符合国家相关标准及规范要求，且一次性验收合格，投入正常使用。</w:t>
      </w:r>
    </w:p>
    <w:p w14:paraId="5D0150A3">
      <w:pPr>
        <w:pStyle w:val="3"/>
        <w:snapToGrid w:val="0"/>
        <w:ind w:firstLine="482" w:firstLineChars="200"/>
        <w:rPr>
          <w:rFonts w:hint="eastAsia"/>
          <w:color w:val="auto"/>
          <w:sz w:val="24"/>
          <w:szCs w:val="24"/>
          <w:highlight w:val="none"/>
        </w:rPr>
      </w:pPr>
      <w:bookmarkStart w:id="68" w:name="_Toc10567"/>
      <w:r>
        <w:rPr>
          <w:rFonts w:hint="eastAsia"/>
          <w:color w:val="auto"/>
          <w:sz w:val="24"/>
          <w:szCs w:val="24"/>
          <w:highlight w:val="none"/>
        </w:rPr>
        <w:t>三、采购标的的采购内容及要求</w:t>
      </w:r>
      <w:bookmarkEnd w:id="68"/>
    </w:p>
    <w:p w14:paraId="167F540F">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（一）校园监控系统升级改造设备材料清单</w:t>
      </w:r>
    </w:p>
    <w:tbl>
      <w:tblPr>
        <w:tblStyle w:val="42"/>
        <w:tblW w:w="96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7"/>
        <w:gridCol w:w="834"/>
        <w:gridCol w:w="7262"/>
        <w:gridCol w:w="468"/>
        <w:gridCol w:w="532"/>
      </w:tblGrid>
      <w:tr w14:paraId="78B39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5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6C674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8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F0AA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设备名称</w:t>
            </w:r>
          </w:p>
        </w:tc>
        <w:tc>
          <w:tcPr>
            <w:tcW w:w="72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979F2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技术参数</w:t>
            </w:r>
          </w:p>
        </w:tc>
        <w:tc>
          <w:tcPr>
            <w:tcW w:w="4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4AB73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5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05E48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r>
      <w:tr w14:paraId="677FE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E03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E3D2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400万暖光全彩定焦枪型网络摄像机</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127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传感器类型应为1/3英寸CMOS；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像素：≥400万；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最大分辨率：≥2688×1520；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最低照度：≤0.002lux（彩色模式）；≤0.0002lux（黑白模式）；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最大补光距离：≥30m；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补光灯：≥2颗；</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供电方式：DC12V/PoE；</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防护等级：≥IP67</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E500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9EB8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w:t>
            </w:r>
          </w:p>
        </w:tc>
      </w:tr>
      <w:tr w14:paraId="4BAB7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D59E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6D7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双400万双光智能警戒双变焦枪型网络摄像机</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8D50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采用≥2颗1/1.8英寸CMOS图像传感器；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内置CPU、GPU、NPU芯片；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可输出2路通道分辨率不小于400万(2688×1520)@25fps；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支持双路电动变倍聚焦及一键聚焦；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内置≥8颗双光补光灯，双向红外监控距离≥60米，双向暖光监控距离≥30米；</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补光灯开启后，无明显波纹状、圆环状、麻点状、条纹状及不规则亮斑；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7.</w:t>
            </w:r>
            <w:r>
              <w:rPr>
                <w:rFonts w:hint="eastAsia" w:ascii="宋体" w:hAnsi="宋体" w:eastAsia="宋体" w:cs="宋体"/>
                <w:i w:val="0"/>
                <w:iCs w:val="0"/>
                <w:color w:val="auto"/>
                <w:kern w:val="0"/>
                <w:sz w:val="24"/>
                <w:szCs w:val="24"/>
                <w:highlight w:val="none"/>
                <w:u w:val="none"/>
                <w:lang w:val="en-US" w:eastAsia="zh-CN" w:bidi="ar"/>
              </w:rPr>
              <w:t>双通道智能可独立开启/关闭，双通道支持五种智能方案切换：通用行为分析、人脸检测、人数统计、热度图、道路监控、精准检索；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8.</w:t>
            </w:r>
            <w:r>
              <w:rPr>
                <w:rFonts w:hint="eastAsia" w:ascii="宋体" w:hAnsi="宋体" w:eastAsia="宋体" w:cs="宋体"/>
                <w:i w:val="0"/>
                <w:iCs w:val="0"/>
                <w:color w:val="auto"/>
                <w:kern w:val="0"/>
                <w:sz w:val="24"/>
                <w:szCs w:val="24"/>
                <w:highlight w:val="none"/>
                <w:u w:val="none"/>
                <w:lang w:val="en-US" w:eastAsia="zh-CN" w:bidi="ar"/>
              </w:rPr>
              <w:t>内置麦克风、扬声器；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9.</w:t>
            </w:r>
            <w:r>
              <w:rPr>
                <w:rFonts w:hint="eastAsia" w:ascii="宋体" w:hAnsi="宋体" w:eastAsia="宋体" w:cs="宋体"/>
                <w:i w:val="0"/>
                <w:iCs w:val="0"/>
                <w:color w:val="auto"/>
                <w:kern w:val="0"/>
                <w:sz w:val="24"/>
                <w:szCs w:val="24"/>
                <w:highlight w:val="none"/>
                <w:u w:val="none"/>
                <w:lang w:val="en-US" w:eastAsia="zh-CN" w:bidi="ar"/>
              </w:rPr>
              <w:t>双通道均支持水平、垂直方向进行角度调节，水平调整角度范围0°~90°，垂直调整角度范围0°~30°；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0.</w:t>
            </w:r>
            <w:r>
              <w:rPr>
                <w:rFonts w:hint="eastAsia" w:ascii="宋体" w:hAnsi="宋体" w:eastAsia="宋体" w:cs="宋体"/>
                <w:i w:val="0"/>
                <w:iCs w:val="0"/>
                <w:color w:val="auto"/>
                <w:kern w:val="0"/>
                <w:sz w:val="24"/>
                <w:szCs w:val="24"/>
                <w:highlight w:val="none"/>
                <w:u w:val="none"/>
                <w:lang w:val="en-US" w:eastAsia="zh-CN" w:bidi="ar"/>
              </w:rPr>
              <w:t>支持双通道摄像机互为180°夹角进行监控；</w:t>
            </w:r>
          </w:p>
          <w:p w14:paraId="2BCBAAB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最大支持1T Micro SD卡；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12.</w:t>
            </w:r>
            <w:r>
              <w:rPr>
                <w:rFonts w:hint="eastAsia" w:ascii="宋体" w:hAnsi="宋体" w:eastAsia="宋体" w:cs="宋体"/>
                <w:i w:val="0"/>
                <w:iCs w:val="0"/>
                <w:color w:val="auto"/>
                <w:kern w:val="0"/>
                <w:sz w:val="24"/>
                <w:szCs w:val="24"/>
                <w:highlight w:val="none"/>
                <w:u w:val="none"/>
                <w:lang w:val="en-US" w:eastAsia="zh-CN" w:bidi="ar"/>
              </w:rPr>
              <w:t>支持DC12V供电方式；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支持IP67防护等级；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以上标▲项须提供第三方权威机构出具的检测报告并加盖公章。</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0CC4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18E0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5EDC8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B474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952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400万双光人脸警戒定焦枪型网络摄像机</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AF7C">
            <w:pPr>
              <w:pStyle w:val="15"/>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传感器类型应为1/2.7英寸CMOS；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像素：400万；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最大分辨率：2688×1520；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最低照度：0.002lux（彩色模式）；0.0002lux（黑白模式）；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最大补光距离：60m（红外视频监控距离）30m（暖光视频监控距离）2m（人脸检测距离）；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补光灯应不低于4颗；</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镜头焦距：3.6mm至12.4mm可选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镜头光圈：F1.6；</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视场角：水平：84°；垂直：42°；对角：101°；</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通用行为分析：物品遗留；物品搬移；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热度图：支持；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周界防范：绊线入侵；区域入侵；快速移动（三项均支持人车分类及精准检测）；徘徊检测；人员聚集；停车检测；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人脸检测：支持人脸检测；支持跟踪；支持优选；支持抓拍；支持上报最优的人脸抓图；支持人脸增强，支持人脸曝光；支持人脸属性提取，支持6种属性8种表情:性别，年龄，眼镜，表情（愤怒，平静，高兴，悲伤，厌恶，惊讶，困惑，害怕），口罩，胡子，支持人脸抠图区域可设:人脸，单寸照，自定义；支持实时抓拍、优选抓拍、质量优先三种抓拍策略；支持人脸角度过滤功能；支持优选时长可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车辆检测：支持机动车抓拍及报警联动，支持机动车号牌识别；；</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14</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智能编码：H.264：支持；H.265：支持；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AI编码：H.264：支持（压缩率≥25%）；H.265：支持（压缩率≥25%）；</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15</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音频接口：</w:t>
            </w:r>
            <w:r>
              <w:rPr>
                <w:rFonts w:hint="eastAsia" w:ascii="宋体" w:hAnsi="宋体" w:cs="宋体"/>
                <w:i w:val="0"/>
                <w:iCs w:val="0"/>
                <w:color w:val="auto"/>
                <w:kern w:val="0"/>
                <w:sz w:val="24"/>
                <w:szCs w:val="24"/>
                <w:highlight w:val="none"/>
                <w:u w:val="none"/>
                <w:lang w:val="en-US" w:eastAsia="zh-CN" w:bidi="ar"/>
              </w:rPr>
              <w:t>内</w:t>
            </w:r>
            <w:r>
              <w:rPr>
                <w:rFonts w:hint="eastAsia" w:ascii="宋体" w:hAnsi="宋体" w:eastAsia="宋体" w:cs="宋体"/>
                <w:i w:val="0"/>
                <w:iCs w:val="0"/>
                <w:color w:val="auto"/>
                <w:kern w:val="0"/>
                <w:sz w:val="24"/>
                <w:szCs w:val="24"/>
                <w:highlight w:val="none"/>
                <w:u w:val="none"/>
                <w:lang w:val="en-US" w:eastAsia="zh-CN" w:bidi="ar"/>
              </w:rPr>
              <w:t>置麦克风</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内置扬声器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16</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报警事件：无SD卡；SD卡空间不足；SD卡出错；网络断开；IP冲突；非法访问；动态检测；SMD；视频遮挡；绊线入侵；区域入侵；快速移动；物品遗留；物品搬移；徘徊检测；人员聚集；停车检测；场景变更；音频异常侦测；电压检测；安全异常；人脸检测；外部报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17</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接入标准：ONVIF（Profile S &amp; Profile G &amp; Profile T）；CGI；GB/T28181-2022（双国标）；GA/T1400；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18</w:t>
            </w:r>
            <w:r>
              <w:rPr>
                <w:rFonts w:hint="eastAsia" w:ascii="宋体" w:hAnsi="宋体" w:cs="宋体"/>
                <w:i w:val="0"/>
                <w:iCs w:val="0"/>
                <w:color w:val="auto"/>
                <w:kern w:val="0"/>
                <w:sz w:val="24"/>
                <w:szCs w:val="24"/>
                <w:highlight w:val="none"/>
                <w:u w:val="none"/>
                <w:lang w:val="en-US" w:eastAsia="zh-CN" w:bidi="ar"/>
              </w:rPr>
              <w:t>.最大支持</w:t>
            </w:r>
            <w:r>
              <w:rPr>
                <w:rFonts w:hint="eastAsia" w:ascii="宋体" w:hAnsi="宋体" w:eastAsia="宋体" w:cs="宋体"/>
                <w:i w:val="0"/>
                <w:iCs w:val="0"/>
                <w:color w:val="auto"/>
                <w:kern w:val="0"/>
                <w:sz w:val="24"/>
                <w:szCs w:val="24"/>
                <w:highlight w:val="none"/>
                <w:u w:val="none"/>
                <w:lang w:val="en-US" w:eastAsia="zh-CN" w:bidi="ar"/>
              </w:rPr>
              <w:t>Micro SD卡：512GB；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其他功能：灯光报警；声音报警；智能补光；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RS-485接口：1个（波特率范围：1200bps～115200bps）；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19</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音频输入：1路（RCA头）；音频输出：1路（RCA头）；报警输入：2路（支持对接湿接点报警输出（直流3～5V电位，最大5mA电流）；支持对接干接点报警输出）；报警输出：2路（湿接点，支持直流最大12V电位，0.3A电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20</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供电方式：DC12V/PoE；</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21</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防护等级应不低于IP67</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7B0F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11BD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r>
      <w:tr w14:paraId="6516C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CA6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663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小型枪机壁装支架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8322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承重：1kg；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安装方式：壁装；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旋转角度：水平：0~360°，竖直：-30°~0°；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执行标准：Q/DXJ 064-2018；</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材质：铝合金；</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C10F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0D83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r>
      <w:tr w14:paraId="551DC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780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3441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二维万向节支架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BAA3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承重：5kg；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安装方式：面装；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旋转角度：/；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工作温度：-40℃~+60℃；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执行标准：Q/DXJ 064-2018；</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材质：铝合金；</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89C8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B283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6DEA7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37A4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338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400万双光警戒定焦海螺网络摄像机</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A80C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传感器类型：≥1/2.7英寸CMOS；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像素：≥400万；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最大分辨率：≥2688×1520；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最低照度：≤0.002lux（彩色模式）；≤0.0002lux（黑白模式）；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最大补光距离：≥50m（红外视频监控距离）≥30m（暖光视频监控距离）；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补光灯：≥1颗；</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内置麦克风；</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内置扬声器；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应支持定时语音播报功能：支持定时语音播报，最大可添加≥10个不同语音文件，可设置时间优先、次数优先，播放间隔可设置，支持针对不同语音单独配置播放时间计划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供电方式：DC12V（±30%）；PoE+（802.3at）；</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防护等级：≥IP67；</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以上标▲项须提供第三方权威机构出具的检测报告并加盖公章。</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6B9C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A193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7AC14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5C3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3B5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小半球壁装支架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171C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cs="宋体"/>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产品尺寸：162.0mm×129.4mm×80.0mm（长×宽×高）；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外观颜色：白色；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承重：1.0kg；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安装方式：壁装；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适配机型：请参考选型；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6.</w:t>
            </w:r>
            <w:r>
              <w:rPr>
                <w:rFonts w:hint="eastAsia" w:ascii="宋体" w:hAnsi="宋体" w:eastAsia="宋体" w:cs="宋体"/>
                <w:i w:val="0"/>
                <w:iCs w:val="0"/>
                <w:color w:val="auto"/>
                <w:kern w:val="0"/>
                <w:sz w:val="24"/>
                <w:szCs w:val="24"/>
                <w:highlight w:val="none"/>
                <w:u w:val="none"/>
                <w:lang w:val="en-US" w:eastAsia="zh-CN" w:bidi="ar"/>
              </w:rPr>
              <w:t>工作温度：-40℃～+60℃；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7.</w:t>
            </w:r>
            <w:r>
              <w:rPr>
                <w:rFonts w:hint="eastAsia" w:ascii="宋体" w:hAnsi="宋体" w:eastAsia="宋体" w:cs="宋体"/>
                <w:i w:val="0"/>
                <w:iCs w:val="0"/>
                <w:color w:val="auto"/>
                <w:kern w:val="0"/>
                <w:sz w:val="24"/>
                <w:szCs w:val="24"/>
                <w:highlight w:val="none"/>
                <w:u w:val="none"/>
                <w:lang w:val="en-US" w:eastAsia="zh-CN" w:bidi="ar"/>
              </w:rPr>
              <w:t>防腐蚀等级：普通防护</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A6C2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011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r>
      <w:tr w14:paraId="6E014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1963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D004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400万星光网络球机</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9FE40">
            <w:pPr>
              <w:pStyle w:val="15"/>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传感器类型：全景：≥1/1.8英寸CMOS；细节：≥1/2.8英寸CMOS；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像素：全景：≥400万；细节：≥400万；最大分辨率：全景：≥2560×1440；细节：≥2560×1440；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镜头焦距：全景：固定4mm；细节：等于或优于4.8mm～115mm；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最低照度：全景： 彩色：≤0.001lux@F1.0 黑白：0.0001lux@F1.0 0Lux（白光灯开启） 细节： 彩色：≤0.005lux@F1.6 黑白：0.0005lux@F1.6 0Lux（红外灯开启）；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最大补光距离：全景：≥30m（白光）；细节：≥150m（红外）；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内置GPU芯片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细节相机支持≥24倍光学变倍，≥16倍数字变倍</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全景摄像机与细节摄像机互为180°夹角监控。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支持快速智能切换，当更换智能模式时设备不重启，新智能使能后即可生效</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支持≥1路音频输入和≥1路音频输出</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内置≥2路报警输入和≥1路报警输出，支持报警联动功能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支持国密算法 SM1、SM2、SM3、SM4，支持GB35114 A级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ascii="宋体" w:hAnsi="宋体"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全景摄像机具有具备4个白光灯，细节摄像机具备4颗红外灯和2颗白光灯。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当设置为联动态时，全景通道可进行周界检测并联动细节通道跟踪目标；当设置为独立态时，全景通道可独立进行周界检测同时细节通道独立进行人脸检测。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以上标▲项须提供第三方权威机构出具的检测报告并加盖公章。</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DD3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4D8A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25C5E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BC0C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C2ED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球机壁装支架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F5EF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产品尺寸：257.2mm×115.0mm×160.0mm（长×宽×高）；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外观颜色：白色；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承重：7.0kg；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工作温度：-40℃～+60℃；</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E5B7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5947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73468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367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34D8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600万超星光网络球机（跟踪大模型）</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EB23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由不小于2路全景摄像机和1路细节摄像机组成，CMOS靶面尺寸均为1/1.8英寸；</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全景像素不低于600万，细节像素不低于400万；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最大支持输出分辨率全景：≥3632×1632；细节：≥2688×1520；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细节相机支持不小于25倍光学变倍，16倍数字变倍；</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全景通道可输出不小于2个镜头无缝拼接的全景图像，拼接偏差像素不大于4 个像素，全景摄像机水平视场角不小于 210°，垂直视场角不小于 90°；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全景通道可电动调节垂直旋转，旋转范围支持5°~25° ；细节通道支持0°~360°连续旋转，垂直旋转范围支持-30°~+90°；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补光灯补光区域呈类矩形分布，开启后，灯珠光束通过微结构阵列式透镜，使补光亮度均匀，无明显波纹状、圆环状、麻点状、条纹状及不规则亮斑；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全景摄像机具有不小于4颗补光灯，细节摄像机具有不小于 10颗红外灯和2颗白光灯；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联动模式下，支持全景通道检测到触发规则的目标（行人、机动车、非机动车）后联动细节通道跟踪及报警；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细节通道支持视频结构化抓拍，可对检测区内多个不同运动方向的行人、非机动车、机动车进行检测、跟踪、筛选、框选提示并抓拍存储图片；支持人脸、车牌、非机动车车牌抠图，可将人脸与人体、车牌与车辆关联现实，可同时检测目标数量最大不少于100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样机支持通用行为分析、人脸识别、视频结构化、违法停车、卡口抓拍、电子警察、交通道路事件、抛洒物等8个智能模式，每个预置点可在0.5s内完成智能模式切换；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支持1路音频输入和1路音频输出；内置7路报警输入和2路报警输出，支持报警联动功能；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内置喇叭；</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支持DC36V/2.23A（-25%～+25%）供电；</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支持IP67；TVS 6000V防雷、防浪涌和防突波保护；</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以上标▲项须提供第三方权威机构出具的检测报告并加盖公章。</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6401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6CCB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r>
      <w:tr w14:paraId="2672D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B91A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DE0E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柱装支架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F66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产品尺寸：130.4mm×45.0mm×170.0mm（长×宽×高）；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外观颜色：银灰色；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承重：7.0kg；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安装方式：柱装；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工作温度：-40℃～+60℃；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执行标准：Q/DXJ 064-2018</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109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F786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26379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D29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C9E5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球机支架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B6B4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产品尺寸：270.0mm × 115.0mm × 160.0mm（长×宽×高）；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外观颜色：银色；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承重：9.0kg；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安装方式：壁装；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工作温度：-40℃~+60℃；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执行标准：Q/DXJ 064-2018；</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产品材质：铝合金</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7D3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6427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cs="宋体"/>
                <w:i w:val="0"/>
                <w:iCs w:val="0"/>
                <w:color w:val="auto"/>
                <w:kern w:val="0"/>
                <w:sz w:val="24"/>
                <w:szCs w:val="24"/>
                <w:highlight w:val="none"/>
                <w:u w:val="none"/>
                <w:lang w:val="en-US" w:eastAsia="zh-CN" w:bidi="ar"/>
              </w:rPr>
              <w:t>5</w:t>
            </w:r>
          </w:p>
        </w:tc>
      </w:tr>
      <w:tr w14:paraId="78EBE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01C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D07D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球机吊装支架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AE91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承重：9kg；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安装方式：吊装；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旋转角度：/；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材质：铝合金；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颜色：科技灰</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4FFA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8BF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cs="宋体"/>
                <w:i w:val="0"/>
                <w:iCs w:val="0"/>
                <w:color w:val="auto"/>
                <w:kern w:val="0"/>
                <w:sz w:val="24"/>
                <w:szCs w:val="24"/>
                <w:highlight w:val="none"/>
                <w:u w:val="none"/>
                <w:lang w:val="en-US" w:eastAsia="zh-CN" w:bidi="ar"/>
              </w:rPr>
              <w:t>3</w:t>
            </w:r>
          </w:p>
        </w:tc>
      </w:tr>
      <w:tr w14:paraId="63567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EF6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6B22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8口二层云管准工业级PoE交换机</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082C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交换容量：256Gbps；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包转发率：60Mpps；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安装方式：导轨式安装；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电源接口：凤凰端子和DC端口；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防护等级：IP40、IK06；</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业务端口：具备8个10/100/1000Base-T电口(PoE)、2个10/100/1000Base-T电口、2个100/1000Base-X SFP光口；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拨码开关：管理开关/PoE看门狗/远距离PoE；</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供电方式：支持双电源输入，供电电压48-57VDC；</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空载功耗：≤2W；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满载功耗：≤117.2W；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PoE：Port 1-2≤90W，Port 3-8≤30W，总功率≤110W；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散热方式：无风扇，自然散热；</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工作湿度：10%～90%RH（无凝结）；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工作温度：-30℃～75℃；</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4EC2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3ED8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r>
      <w:tr w14:paraId="7B33F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A5C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D31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16口二层非管理准工业PoE交换机</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8A19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交换容量：256Gbps；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包转发率：30Mpps；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安装方式：导轨式安装；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电源接口：凤凰端子、DC接口；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业务端口：具备18个10/100/1000BASE-T电口、2个1000BASE-X SFP端口；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拨码开关：端口隔离/远距离PoE;</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供电方式：支持双电源，标配一个48V电源适配器；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空载功耗：≤7.06W；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满载功耗：≤199W；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PoE：Port1-2≤90W，Port3-16≤30W，总功率≤190W；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散热方式：无风扇，自然散热；</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工作湿度：5%～95%RH(无凝结)；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工作温度：-30℃～65℃；</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7D87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A875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374D5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C59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CE49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千兆电口SC企业级光纤收发器</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DA6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产品规格等级：企业级；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产品形态：盒式；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网络接口：具备1个1Gbps光口(SC)、1个10/100/1000Mbps自协商以太网口(RJ-45)；</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光纤类型：单模单纤；</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光接口类型：SC；</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发送端/接收端：发送端；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波长：1310nm发送,1550nm接收；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光传输距离：≤20km；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安装方式：桌面、壁挂安装；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标配12VDC电源；</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6540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37DD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6EB7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CF82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240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千兆电口SC企业级光纤收发器</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57C0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产品规格等级：企业级；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产品形态：盒式；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网络接口：具备1个1Gbps光口(SC)、1个10/100/1000Mbps自协商以太网口(RJ-45)；</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光纤类型：单模单纤；</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光接口类型：SC；</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发送端/接收端：接收端；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波长：1550nm发送,1310nm接收；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光传输距离：≤20km；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安装方式：桌面、壁挂安装；</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标配12VDC电源；</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E89C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DB3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18594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028E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32FD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室外非屏蔽超五类网线-黑色-305米</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0F00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材质：透明聚酯带；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材质：聚酯纤维；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材质：无氧铜(99.97%)；</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导体结构：0.50mm±0.01mm；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线规：24AWG；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绝缘材质：HDPE；</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护套材料：MDPE；</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护套颜色：黑色；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长度：305m±2m；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执行标准：YD/T 3296.2-2018；</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绝缘层原色：8芯，蓝/白蓝、橙/白橙、绿/白绿、棕/白棕；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包装方式：305m/箱，2箱/防护箱（1包2）</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4C39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箱</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736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r>
      <w:tr w14:paraId="7166E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D63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3E4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7英寸智能门禁一体机</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3657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设备关键器件均为国产品牌，包括主控芯片、内存、EMMC。</w:t>
            </w:r>
          </w:p>
          <w:p w14:paraId="14E35A7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显示屏尺寸检查:设备应采用7英寸IPS触摸显示屏,采用曲面屏设计，显示屏尺寸检查:屏幕分辨率应为</w:t>
            </w:r>
            <w:r>
              <w:rPr>
                <w:rFonts w:hint="eastAsia" w:ascii="宋体" w:hAnsi="宋体" w:eastAsia="宋体" w:cs="宋体"/>
                <w:b w:val="0"/>
                <w:bCs/>
                <w:color w:val="auto"/>
                <w:sz w:val="24"/>
                <w:highlight w:val="none"/>
                <w:lang w:eastAsia="zh-CN"/>
              </w:rPr>
              <w:t>≥</w:t>
            </w:r>
            <w:r>
              <w:rPr>
                <w:rFonts w:hint="eastAsia" w:ascii="宋体" w:hAnsi="宋体" w:eastAsia="宋体" w:cs="宋体"/>
                <w:i w:val="0"/>
                <w:iCs w:val="0"/>
                <w:color w:val="auto"/>
                <w:kern w:val="0"/>
                <w:sz w:val="24"/>
                <w:szCs w:val="24"/>
                <w:highlight w:val="none"/>
                <w:u w:val="none"/>
                <w:lang w:val="en-US" w:eastAsia="zh-CN" w:bidi="ar"/>
              </w:rPr>
              <w:t>1024×600；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应具有双目摄像头,一路为可见光200万摄像头,另一路为红外200万摄像头；摄像头性能参数试验:应能在Web端设置设备补偿模式为宽动态。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支持不低于5万个用户(包含50个管理员)、5万张人脸、5万个密码、10万张IC卡、30万条记录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设备应支持人脸、卡片、二维码、密码单凭证识读;除二维码凭证外,应支持上述任意两种或三种组合凭证识读开门。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设备应支持通过U盘导出和导入人员信息（包含用户数据、卡数据、指纹数据、人脸数据等信息）；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设备应支持通过WEB导出和导入人员信息，导入导出方式可支持模板方式及人员信息压缩包方式，压缩包导入导出支持数据加密。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人脸识别(人脸特征比对)速度应&lt;60ms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阈值设置:选定满足误识率为≤0.01%时的阈值为测试阈值。通过率测试:将探测数据库中10000张注册人员抓拍照导入样品进行批量比对。识别通过率=有效识别人数/10000 识别通过率应≥99.99%</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设备在距离地面1.4m安装高度情况下,距离屏幕正前方0.18m~4m范围内,应能有效人脸识别</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设备应支持多人同时进行人脸识别</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支持口罩检测功能检查，支持口罩不检测、口罩提醒、口罩拦截3种模式设置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根据设定事件的联动关系，当检测到该事件发生时，应能触发对应的动作；发生以下情况时，系统应报警：1.当连续若干次在目标信息识读设备或管理/控制部分上实施错误操作时；2.未经正常操作而使出入口开启时；3.出入口开启时间超过设定值时；4.设备被拆除时；5.胁迫卡、胁迫密码及胁迫指纹；6.黑名单用户在使用刷卡，指纹，密码、人脸等方式鉴权时；7.设备在被异常拆除或破坏时；8.设备应具有 2 路入侵探测接口，能联动报警输出；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可视对讲功能检查:1.应能与管理平台或客户端中心、室内机、管理机、手机APP可视对讲2.应能配置一键呼叫管理机、室内机、手机APP进行可视对讲3.应能与广播主机呼叫对讲,支持广播主机向设备广播喊话4.应能在管理中心远程视频预览,支持接入NVR设备实现视频监控录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认证结果语音自定义：集成文字转语音（TTS）和语音合成技术，认证成功和认证失败的语音可以分别配置不少于6个时间段进行自定义播报，同时认证成功的语音可叠加播报姓名；支持导入外部自定义语音文件进行播报。</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设备应支持本机刷卡输入、RS485读卡输入及韦根读卡输入的卡号规则自定义转换，转换规则包含进制转换、卡号反序等，设备应支持“输入卡号自动匹配”和“外部规则导入”等两种规则匹配方式，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支持下模块扩展功能（指纹、二维码、人证、人证+二维码、指纹+二维码）；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屏幕可视角度不小于 170°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镜头焦距 2.22mm；对角视场角≥142°；水平视场 角≥66°；垂直视场角≥119°</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内置国密 SE 密码模块，支持 SM1、SM2、SM3、SM4 加密方式加密处理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设备应支持EMMC寿命监测功能，检测到EMMC寿命不足10%时，主动关闭日志记录写入功能，延长设备使用时长，同时，通过界面提示和异常事件上报提醒用户主动开展售后维保</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快捷呼叫功能检查:1.支持快捷呼叫功能,在快捷呼叫模式下,可点击对应的快捷键一键呼叫至对应的室内机,无需手动拨号;2.可自定义的快捷键数量不少于12个:3.快捷键的名称可自定义,可配置是否展示对应名称;4.快捷键的位置布局可通过拖曳的方式进行快捷调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设备应具有多色指示灯，指示灯应支持固定频率的亮起和熄灭（呼吸状态）及识别状态提示。待机状态下显示蓝色，验证成功显示绿色，验证失败显示红色。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设备应具有以下硬件接口: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RS-485接□:1个;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RS-232接□:1个;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韦根接□:1个;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USB接□:1个;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I0输入:4个(包含2路报警输入、1路门磁、1路开门按钮输入);</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（6）</w:t>
            </w:r>
            <w:r>
              <w:rPr>
                <w:rFonts w:hint="eastAsia" w:ascii="宋体" w:hAnsi="宋体" w:eastAsia="宋体" w:cs="宋体"/>
                <w:i w:val="0"/>
                <w:iCs w:val="0"/>
                <w:color w:val="auto"/>
                <w:kern w:val="0"/>
                <w:sz w:val="24"/>
                <w:szCs w:val="24"/>
                <w:highlight w:val="none"/>
                <w:u w:val="none"/>
                <w:lang w:val="en-US" w:eastAsia="zh-CN" w:bidi="ar"/>
              </w:rPr>
              <w:t>I0输出:1个;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（7）</w:t>
            </w:r>
            <w:r>
              <w:rPr>
                <w:rFonts w:hint="eastAsia" w:ascii="宋体" w:hAnsi="宋体" w:eastAsia="宋体" w:cs="宋体"/>
                <w:i w:val="0"/>
                <w:iCs w:val="0"/>
                <w:color w:val="auto"/>
                <w:kern w:val="0"/>
                <w:sz w:val="24"/>
                <w:szCs w:val="24"/>
                <w:highlight w:val="none"/>
                <w:u w:val="none"/>
                <w:lang w:val="en-US" w:eastAsia="zh-CN" w:bidi="ar"/>
              </w:rPr>
              <w:t>门锁控制接□:1个;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（8）</w:t>
            </w:r>
            <w:r>
              <w:rPr>
                <w:rFonts w:hint="eastAsia" w:ascii="宋体" w:hAnsi="宋体" w:eastAsia="宋体" w:cs="宋体"/>
                <w:i w:val="0"/>
                <w:iCs w:val="0"/>
                <w:color w:val="auto"/>
                <w:kern w:val="0"/>
                <w:sz w:val="24"/>
                <w:szCs w:val="24"/>
                <w:highlight w:val="none"/>
                <w:u w:val="none"/>
                <w:lang w:val="en-US" w:eastAsia="zh-CN" w:bidi="ar"/>
              </w:rPr>
              <w:t>LAN接口:1个;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（9）</w:t>
            </w:r>
            <w:r>
              <w:rPr>
                <w:rFonts w:hint="eastAsia" w:ascii="宋体" w:hAnsi="宋体" w:eastAsia="宋体" w:cs="宋体"/>
                <w:i w:val="0"/>
                <w:iCs w:val="0"/>
                <w:color w:val="auto"/>
                <w:kern w:val="0"/>
                <w:sz w:val="24"/>
                <w:szCs w:val="24"/>
                <w:highlight w:val="none"/>
                <w:u w:val="none"/>
                <w:lang w:val="en-US" w:eastAsia="zh-CN" w:bidi="ar"/>
              </w:rPr>
              <w:t>离墙防拆:1个;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（10）</w:t>
            </w:r>
            <w:r>
              <w:rPr>
                <w:rFonts w:hint="eastAsia" w:ascii="宋体" w:hAnsi="宋体" w:eastAsia="宋体" w:cs="宋体"/>
                <w:i w:val="0"/>
                <w:iCs w:val="0"/>
                <w:color w:val="auto"/>
                <w:kern w:val="0"/>
                <w:sz w:val="24"/>
                <w:szCs w:val="24"/>
                <w:highlight w:val="none"/>
                <w:u w:val="none"/>
                <w:lang w:val="en-US" w:eastAsia="zh-CN" w:bidi="ar"/>
              </w:rPr>
              <w:t>音频输出接□:1个;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（11）</w:t>
            </w:r>
            <w:r>
              <w:rPr>
                <w:rFonts w:hint="eastAsia" w:ascii="宋体" w:hAnsi="宋体" w:eastAsia="宋体" w:cs="宋体"/>
                <w:i w:val="0"/>
                <w:iCs w:val="0"/>
                <w:color w:val="auto"/>
                <w:kern w:val="0"/>
                <w:sz w:val="24"/>
                <w:szCs w:val="24"/>
                <w:highlight w:val="none"/>
                <w:u w:val="none"/>
                <w:lang w:val="en-US" w:eastAsia="zh-CN" w:bidi="ar"/>
              </w:rPr>
              <w:t>喇叭/扬声器:1个;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（12）</w:t>
            </w:r>
            <w:r>
              <w:rPr>
                <w:rFonts w:hint="eastAsia" w:ascii="宋体" w:hAnsi="宋体" w:eastAsia="宋体" w:cs="宋体"/>
                <w:i w:val="0"/>
                <w:iCs w:val="0"/>
                <w:color w:val="auto"/>
                <w:kern w:val="0"/>
                <w:sz w:val="24"/>
                <w:szCs w:val="24"/>
                <w:highlight w:val="none"/>
                <w:u w:val="none"/>
                <w:lang w:val="en-US" w:eastAsia="zh-CN" w:bidi="ar"/>
              </w:rPr>
              <w:t>麦克输入:1个;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（13）</w:t>
            </w:r>
            <w:r>
              <w:rPr>
                <w:rFonts w:hint="eastAsia" w:ascii="宋体" w:hAnsi="宋体" w:eastAsia="宋体" w:cs="宋体"/>
                <w:i w:val="0"/>
                <w:iCs w:val="0"/>
                <w:color w:val="auto"/>
                <w:kern w:val="0"/>
                <w:sz w:val="24"/>
                <w:szCs w:val="24"/>
                <w:highlight w:val="none"/>
                <w:u w:val="none"/>
                <w:lang w:val="en-US" w:eastAsia="zh-CN" w:bidi="ar"/>
              </w:rPr>
              <w:t>SIM卡槽:1个;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（14）</w:t>
            </w:r>
            <w:r>
              <w:rPr>
                <w:rFonts w:hint="eastAsia" w:ascii="宋体" w:hAnsi="宋体" w:eastAsia="宋体" w:cs="宋体"/>
                <w:i w:val="0"/>
                <w:iCs w:val="0"/>
                <w:color w:val="auto"/>
                <w:kern w:val="0"/>
                <w:sz w:val="24"/>
                <w:szCs w:val="24"/>
                <w:highlight w:val="none"/>
                <w:u w:val="none"/>
                <w:lang w:val="en-US" w:eastAsia="zh-CN" w:bidi="ar"/>
              </w:rPr>
              <w:t>PSAM卡槽:1个;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（15）</w:t>
            </w:r>
            <w:r>
              <w:rPr>
                <w:rFonts w:hint="eastAsia" w:ascii="宋体" w:hAnsi="宋体" w:eastAsia="宋体" w:cs="宋体"/>
                <w:i w:val="0"/>
                <w:iCs w:val="0"/>
                <w:color w:val="auto"/>
                <w:kern w:val="0"/>
                <w:sz w:val="24"/>
                <w:szCs w:val="24"/>
                <w:highlight w:val="none"/>
                <w:u w:val="none"/>
                <w:lang w:val="en-US" w:eastAsia="zh-CN" w:bidi="ar"/>
              </w:rPr>
              <w:t>SD卡槽:1个;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（16）</w:t>
            </w:r>
            <w:r>
              <w:rPr>
                <w:rFonts w:hint="eastAsia" w:ascii="宋体" w:hAnsi="宋体" w:eastAsia="宋体" w:cs="宋体"/>
                <w:i w:val="0"/>
                <w:iCs w:val="0"/>
                <w:color w:val="auto"/>
                <w:kern w:val="0"/>
                <w:sz w:val="24"/>
                <w:szCs w:val="24"/>
                <w:highlight w:val="none"/>
                <w:u w:val="none"/>
                <w:lang w:val="en-US" w:eastAsia="zh-CN" w:bidi="ar"/>
              </w:rPr>
              <w:t>电源输出:1个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支持不低于IP66防护等级；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以上标▲项须提供第三方权威机构出具的检测报告并加盖公章。</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9287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2069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2EA9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6F97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F6A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12V2A插墙式电源适配器</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DCC1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插墙式电源适配器AC100V~240V-12V2A-V级-ADS-25FSG-1212024GPCN-国标</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B66E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DE9E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77057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E490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032D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7英寸K款防雨遮阳罩</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6030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外壳材料：PC+GF；</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产品尺寸：237mm×124mm×54mm（高×宽×厚）；</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安装方式：壁装；闸机安装</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1B9F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856A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0606D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CFED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C016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壁装旋转支架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6F5A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外壳材料：铝合金；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产品尺寸：94.0mm×55.0mm×66.5mm（高×宽×厚）；</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工作温度：-30℃～+60℃；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安装方式：壁装</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351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CC4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36315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690B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23</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DF37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单头静音锁</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7C4F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表面工艺：镀镍；</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钥头数量：单头；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锁舌长度：22mm；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适用门型：木门\金属门\防火门等；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信号输出：COM/NO/NC</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6D7D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把</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64B7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54500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7537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5C03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人脸识别通用闸机支架_ DH-ASF053-ZJ</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8B3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外壳材料：铝合金；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产品尺寸：241.4mm×100mm×100mm（长×宽×高）；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安装方式：闸机安装</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EE61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0C82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6F6E4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D4DC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25</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6FFB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集成显示终端</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72B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屏幕尺寸55寸，LED光源；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分辨率：1920*1080，双边拼缝≦3.5mm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亮度不低于500cd/m2，对比度不低于1400:1；图像显示清晰度≥950TVL，亮度鉴别等级≥11级；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显示单元具备3C认证证书；（提供中国质量认证中心出具的证书复印件加盖公章）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具备中国节能产品认证证书（能效等级:1级），提供证书复印件加盖公章；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液晶拼接产生均匀稳定知觉的闪烁频率，符合GB/T40230.2-2021视疲劳测试要求；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LCD 显示单元具备阔屏技术，在图 像亮度调节过程中，通过 Gamma 变 化不丢失灰阶保证图像细节；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智能背光灯调节功能，智能感应环 境及实时图像光线的强弱，可自动 调节液晶屏幕背光亮度及图像亮度 和对比度。可外接光控模块，根据 环境光线强弱自动调整整块大屏显 示亮度；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LCD显示单元边缘采用抗热材质，保证高温条件下拼缝效果；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液晶显示单元符合中华人民共和国环境保护部颁发的环境标志产品技术要求HJ2536-2014，提供CEC出具的认证证书；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具有优异的噪声控制功能，距离屏 水平 0.5 米/垂直 0.45 米时，显示 单元正常工作噪声值≤8dB,待机噪 声值≤3dB；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液晶拼接单元光学拼缝符合SJ/T11710-2018液晶拼接系统验收规范标准工程检查要求；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液晶拼接单元光学性能（偏振度、透过率、色调）符合GB/T25275-2010规范要求；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液晶拼接单元采用防磕碰设计，整机防碰撞力≤10KG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 xml:space="preserve">图像质量主观评价应达到《民用闭路监视电视系统工程技术规范》(GB 50198- 2011)规定的五级损伤评分等级四级以上的要求；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液晶拼接单元采用后壳传导散热方式，具有导热柱设计，屏体内部元器件热量可传导至后壳进行散热；</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液晶拼接单元具有十一级灰阶色度、亮度校正功能，使各灰阶整墙一致性达到85%；</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以上标▲项须提供第三方权威机构出具的检测报告并加盖公章。</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4151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台</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3878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w:t>
            </w:r>
          </w:p>
        </w:tc>
      </w:tr>
      <w:tr w14:paraId="60306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2695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cs="宋体"/>
                <w:i w:val="0"/>
                <w:iCs w:val="0"/>
                <w:color w:val="auto"/>
                <w:kern w:val="0"/>
                <w:sz w:val="24"/>
                <w:szCs w:val="24"/>
                <w:highlight w:val="none"/>
                <w:u w:val="none"/>
                <w:lang w:val="en-US" w:eastAsia="zh-CN" w:bidi="ar"/>
              </w:rPr>
              <w:t>26</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A162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55寸3.5mm整机后维护支架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FE5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尺寸：55英寸</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材质：铝型材（黑漆）</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6AD0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EBB2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r>
      <w:tr w14:paraId="31A25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E0AC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cs="宋体"/>
                <w:i w:val="0"/>
                <w:iCs w:val="0"/>
                <w:color w:val="auto"/>
                <w:kern w:val="0"/>
                <w:sz w:val="24"/>
                <w:szCs w:val="24"/>
                <w:highlight w:val="none"/>
                <w:u w:val="none"/>
                <w:lang w:val="en-US" w:eastAsia="zh-CN" w:bidi="ar"/>
              </w:rPr>
              <w:t>27</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1670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55寸3.5mm整机后维护底座</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2B50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尺寸：55英寸</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材质：铝型材（黑色）</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139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D974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r>
      <w:tr w14:paraId="3E973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2CFD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cs="宋体"/>
                <w:i w:val="0"/>
                <w:iCs w:val="0"/>
                <w:color w:val="auto"/>
                <w:kern w:val="0"/>
                <w:sz w:val="24"/>
                <w:szCs w:val="24"/>
                <w:highlight w:val="none"/>
                <w:u w:val="none"/>
                <w:lang w:val="en-US" w:eastAsia="zh-CN" w:bidi="ar"/>
              </w:rPr>
              <w:t>28</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D327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HDMI线10米（19+1)</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1CBF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线缆配件</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AFA6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根</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418C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70AB5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D51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cs="宋体"/>
                <w:i w:val="0"/>
                <w:iCs w:val="0"/>
                <w:color w:val="auto"/>
                <w:kern w:val="0"/>
                <w:sz w:val="24"/>
                <w:szCs w:val="24"/>
                <w:highlight w:val="none"/>
                <w:u w:val="none"/>
                <w:lang w:val="en-US" w:eastAsia="zh-CN" w:bidi="ar"/>
              </w:rPr>
              <w:t>29</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FD8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9路超高清解码器</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C8B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设备应采用高性能嵌入式处理器，嵌入式Linux系统</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设备视频输出路数应满足:≥9路HDMI</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解码能力应满足:整机具有≥192个解码通道，解码H265支持≥3路32MP@25fps；≥9路12MP@25fps；≥14路8MP@25fps；≥18路6MP@25fps；≥24路5MP@25fps；≥29路4MP@25fps；≥37路3MP@25fps；≥57路1080p@25fps；≥192路D1@25fps（H264支持47路1080p@25fps解码能力）</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设备应支持智能节能功能，当传感器检测到当前环境无人时，可自动控制电视墙熄屏。应能设置从检测到无人到进行熄屏的时间间隔。</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设备应支持跨屏同步显示功能，所有跨屏信号源可以同时发送至各个屏幕显示，时差应≤10ns。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设备最大应支持 8192×4096@60fps 解码。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设备应具有≥1个标准的RS485接口、≥9个HDMI输出口、≥3个USB 接口、≥1 路红外输入、≥1 路红外输出接口。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输出支持分辨率:1、支持以下分辨率固定输出：1920×1080@60Hz、1600×1200@60Hz、1400×1050@60Hz、1600×900@60Hz、1366×768@60Hz、1280×1024@60Hz、1280×720@60Hz、1024×768@60Hz2、支持自定义分辨率输出，最大宽高3840，最小宽高524</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支持MPEG2/MPEG4/H.264/H.265/SVAC/MJPEG标准网络视频流解码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支持QCIF/CIF/2CIF/HD1/D1/960H/720p/1080p/3MP/4MP/5MP/6MP/8MP/12MP/32MP视频解码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设备应支持音频压缩格式：PCM/G711</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设备应支持每屏1/4/6/8/9/16/25/36分割，支持M×N自由分割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设备应支持任意开窗、漫游，每屏最大支持36路开窗</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设备应支持电视墙默认底色设置，支持高清底图显示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设备应支持预案轮巡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设备应支持多屏融合拼接，跨屏画面毫秒级完美同步</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设备应支持在大屏上叠加OSD文字信息，支持位置，字体大小等自定义设置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设备应支持Onvif，RTSP，GB28181协议接入；</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以上标▲项须提供第三方权威机构出具的检测报告并加盖公章。。</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0740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C550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r>
      <w:tr w14:paraId="12431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D368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cs="宋体"/>
                <w:i w:val="0"/>
                <w:iCs w:val="0"/>
                <w:color w:val="auto"/>
                <w:sz w:val="24"/>
                <w:szCs w:val="24"/>
                <w:highlight w:val="none"/>
                <w:u w:val="none"/>
                <w:lang w:val="en-US" w:eastAsia="zh-CN"/>
              </w:rPr>
              <w:t>30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47E9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网络视频存储服务器</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CD3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设备规格：≤6U，≥48盘位</w:t>
            </w:r>
            <w:r>
              <w:rPr>
                <w:rFonts w:hint="eastAsia" w:ascii="宋体" w:hAnsi="宋体" w:cs="宋体"/>
                <w:i w:val="0"/>
                <w:iCs w:val="0"/>
                <w:color w:val="auto"/>
                <w:kern w:val="0"/>
                <w:sz w:val="24"/>
                <w:szCs w:val="24"/>
                <w:highlight w:val="none"/>
                <w:u w:val="none"/>
                <w:lang w:val="en-US" w:eastAsia="zh-CN" w:bidi="ar"/>
              </w:rPr>
              <w:t>，本次配置</w:t>
            </w:r>
            <w:r>
              <w:rPr>
                <w:rFonts w:hint="eastAsia" w:ascii="宋体" w:hAnsi="宋体" w:eastAsia="宋体" w:cs="宋体"/>
                <w:i w:val="0"/>
                <w:iCs w:val="0"/>
                <w:color w:val="auto"/>
                <w:kern w:val="0"/>
                <w:sz w:val="24"/>
                <w:szCs w:val="24"/>
                <w:highlight w:val="none"/>
                <w:u w:val="none"/>
                <w:lang w:val="en-US" w:eastAsia="zh-CN" w:bidi="ar"/>
              </w:rPr>
              <w:t>16TB硬盘</w:t>
            </w:r>
            <w:r>
              <w:rPr>
                <w:rFonts w:hint="eastAsia" w:ascii="宋体" w:hAnsi="宋体"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20块</w:t>
            </w:r>
          </w:p>
          <w:p w14:paraId="6D23DF9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可支持接入 1536 路前端摄像机； 支持同时进行 4096Mbps 视（音）频码流存储、 4096Mbps 视（音） 频码流转发、 4096Mbps 视（音） 频码流下载、1200Mbps 视（音） 频码流回放； 在转发模式下， 可进行 4096 路 2Mbps视频码流转发； 在总带宽不变的情况下， 接入、 转发和回放间的性能值可自由调整； 支持不低于 2048Mbps 图片转发， 不低于 2048Mbps 图片并发输入， 同时不低于 2048Mbps 图片并发输出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可通过IE 浏览器进行视频浏览、回放和下载；并支持多画面同时段录像同时回放，或不同时段录像同时回放；网络下载录像速度不低于150MB/s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设备可接入双音轨，可同时或分别播放左右音轨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支持纠删码技术。 最多可以支持16个盘掉线或者损坏，数据仍然有效，保留的硬盘中的数据可正常读出，且新数据可正常写入.创建RAID后即为同步完成状态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cs="宋体"/>
                <w:i w:val="0"/>
                <w:iCs w:val="0"/>
                <w:color w:val="auto"/>
                <w:kern w:val="0"/>
                <w:sz w:val="24"/>
                <w:szCs w:val="24"/>
                <w:highlight w:val="none"/>
                <w:u w:val="none"/>
                <w:lang w:val="en-US" w:eastAsia="zh-CN" w:bidi="ar"/>
              </w:rPr>
              <w:t>6.</w:t>
            </w:r>
            <w:r>
              <w:rPr>
                <w:rFonts w:hint="eastAsia" w:ascii="宋体" w:hAnsi="宋体" w:eastAsia="宋体" w:cs="宋体"/>
                <w:i w:val="0"/>
                <w:iCs w:val="0"/>
                <w:color w:val="auto"/>
                <w:kern w:val="0"/>
                <w:sz w:val="24"/>
                <w:szCs w:val="24"/>
                <w:highlight w:val="none"/>
                <w:u w:val="none"/>
                <w:lang w:val="en-US" w:eastAsia="zh-CN" w:bidi="ar"/>
              </w:rPr>
              <w:t>可将指定选择时间段和指定录像类型（报警、事件、定时等）的录像文件进行回传，支持每日自动定时回传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cs="宋体"/>
                <w:i w:val="0"/>
                <w:iCs w:val="0"/>
                <w:color w:val="auto"/>
                <w:kern w:val="0"/>
                <w:sz w:val="24"/>
                <w:szCs w:val="24"/>
                <w:highlight w:val="none"/>
                <w:u w:val="none"/>
                <w:lang w:val="en-US" w:eastAsia="zh-CN" w:bidi="ar"/>
              </w:rPr>
              <w:t>7.</w:t>
            </w:r>
            <w:r>
              <w:rPr>
                <w:rFonts w:hint="eastAsia" w:ascii="宋体" w:hAnsi="宋体" w:eastAsia="宋体" w:cs="宋体"/>
                <w:i w:val="0"/>
                <w:iCs w:val="0"/>
                <w:color w:val="auto"/>
                <w:kern w:val="0"/>
                <w:sz w:val="24"/>
                <w:szCs w:val="24"/>
                <w:highlight w:val="none"/>
                <w:u w:val="none"/>
                <w:lang w:val="en-US" w:eastAsia="zh-CN" w:bidi="ar"/>
              </w:rPr>
              <w:t>支持监控级和企业级硬盘创建RAID。 支持RAID在线扩容。 支持RAID5初始化功能，可在10秒内完成RAID自盘校验。 Raid 2.0创建后无需数据同步即可使用，无需热备盘直接重构。可将损坏RAID按照损坏等级进行重构，支持全局重构、局部重构、区域重构和不重构4种模式。最大重构速度达到2TB/h</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cs="宋体"/>
                <w:i w:val="0"/>
                <w:iCs w:val="0"/>
                <w:color w:val="auto"/>
                <w:kern w:val="0"/>
                <w:sz w:val="24"/>
                <w:szCs w:val="24"/>
                <w:highlight w:val="none"/>
                <w:u w:val="none"/>
                <w:lang w:val="en-US" w:eastAsia="zh-CN" w:bidi="ar"/>
              </w:rPr>
              <w:t>8.</w:t>
            </w:r>
            <w:r>
              <w:rPr>
                <w:rFonts w:hint="eastAsia" w:ascii="宋体" w:hAnsi="宋体" w:eastAsia="宋体" w:cs="宋体"/>
                <w:i w:val="0"/>
                <w:iCs w:val="0"/>
                <w:color w:val="auto"/>
                <w:kern w:val="0"/>
                <w:sz w:val="24"/>
                <w:szCs w:val="24"/>
                <w:highlight w:val="none"/>
                <w:u w:val="none"/>
                <w:lang w:val="en-US" w:eastAsia="zh-CN" w:bidi="ar"/>
              </w:rPr>
              <w:t>支持导出硬盘检验报告， 打印硬盘检验报告； 支持查看硬盘历史记录和健康信息，包括健康(正常)、 亚健康(一般/衰减/异常)、 故障(错误)等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cs="宋体"/>
                <w:i w:val="0"/>
                <w:iCs w:val="0"/>
                <w:color w:val="auto"/>
                <w:kern w:val="0"/>
                <w:sz w:val="24"/>
                <w:szCs w:val="24"/>
                <w:highlight w:val="none"/>
                <w:u w:val="none"/>
                <w:lang w:val="en-US" w:eastAsia="zh-CN" w:bidi="ar"/>
              </w:rPr>
              <w:t>9.</w:t>
            </w:r>
            <w:r>
              <w:rPr>
                <w:rFonts w:hint="eastAsia" w:ascii="宋体" w:hAnsi="宋体" w:eastAsia="宋体" w:cs="宋体"/>
                <w:i w:val="0"/>
                <w:iCs w:val="0"/>
                <w:color w:val="auto"/>
                <w:kern w:val="0"/>
                <w:sz w:val="24"/>
                <w:szCs w:val="24"/>
                <w:highlight w:val="none"/>
                <w:u w:val="none"/>
                <w:lang w:val="en-US" w:eastAsia="zh-CN" w:bidi="ar"/>
              </w:rPr>
              <w:t>支持对音频流存储、 下载和实时播放，可从任意时间点播放和下载； 支持-1/16、 -1/8、 -1/4、 -1/2、 -1、-2、 -4、 -8、 -16、 1/16、 1/8、 1/4、1/2、 1、 2、 4、 8、 16 倍速度播放音频文件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0.</w:t>
            </w:r>
            <w:r>
              <w:rPr>
                <w:rFonts w:hint="eastAsia" w:ascii="宋体" w:hAnsi="宋体" w:eastAsia="宋体" w:cs="宋体"/>
                <w:i w:val="0"/>
                <w:iCs w:val="0"/>
                <w:color w:val="auto"/>
                <w:kern w:val="0"/>
                <w:sz w:val="24"/>
                <w:szCs w:val="24"/>
                <w:highlight w:val="none"/>
                <w:u w:val="none"/>
                <w:lang w:val="en-US" w:eastAsia="zh-CN" w:bidi="ar"/>
              </w:rPr>
              <w:t>支持将第三方业务平台整体嵌入在一个控制器中，同时运行</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cs="宋体"/>
                <w:i w:val="0"/>
                <w:iCs w:val="0"/>
                <w:color w:val="auto"/>
                <w:kern w:val="0"/>
                <w:sz w:val="24"/>
                <w:szCs w:val="24"/>
                <w:highlight w:val="none"/>
                <w:u w:val="none"/>
                <w:lang w:val="en-US" w:eastAsia="zh-CN" w:bidi="ar"/>
              </w:rPr>
              <w:t>11.</w:t>
            </w:r>
            <w:r>
              <w:rPr>
                <w:rFonts w:hint="eastAsia" w:ascii="宋体" w:hAnsi="宋体" w:eastAsia="宋体" w:cs="宋体"/>
                <w:i w:val="0"/>
                <w:iCs w:val="0"/>
                <w:color w:val="auto"/>
                <w:kern w:val="0"/>
                <w:sz w:val="24"/>
                <w:szCs w:val="24"/>
                <w:highlight w:val="none"/>
                <w:u w:val="none"/>
                <w:lang w:val="en-US" w:eastAsia="zh-CN" w:bidi="ar"/>
              </w:rPr>
              <w:t>具有包括RAID0、RAID1、RAID3、RAID4、RAID5、RAID6、RAID10、RAID50、RAID60、超级RAID、JBOD、RAID5EE的RAID功能设置选项。 具有同步优先、业务优先、I/O均衡及自适应四种RAID同步方式设置选项。 支持全局热备和局部热备。 支持RAID即建即用。 可通过浏览器在线扩展客户端逻辑卷的存储空间。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可根据业务需要配置重构速度，支持低速（业务优先）、中速（自适应）、高速（负载均衡）和全速（同步优先）4种重构速度配置，可通过客户端软件显示重构速度； RAID模式下，当RAID内某一块硬盘发生故障，样机可将数据自动存储至热备盘，更换该硬盘或热备盘替换时，数据不应丢失且磁盘阵列可自动进行RAID重构； 支持全局重构、局部重构、区域重构和不重构4种模式，当RAID处于降级或重构状态下，不影响数据写入；可将损坏RAID按照RAID损坏等级进行重构</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样机支持扩展 MiniSAS HD 接口， 支持通过电口 SAS 线或光口 SAS 线进行互联， 能够通过 SAS 线进行上行和下行的数据通信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支持任意 N 台设备（N≥2） 通过 SAS数据线组成环状结构集群， 设备集群之间数据能够通过环状结构进行传递和通信， 其中任意 1 台设备都可以访问其下游设备中的数据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支持多台设备组成 SAS 数据环集群，当环状结构上的任意 1 个节点出现故障（包括主控盒硬件故障、 软件故障或者网络故障等），该节点设备上的硬盘通过 SAS 链路被上游设备接管， 该节点设备的上业务也会迁移到上游设备继续执行， 从而实现业务不中断、录像不丢失， 同时该故障设备的硬盘中数据可以被上游设备读取</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29E1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6917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595D2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A07D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cs="宋体"/>
                <w:i w:val="0"/>
                <w:iCs w:val="0"/>
                <w:color w:val="auto"/>
                <w:sz w:val="24"/>
                <w:szCs w:val="24"/>
                <w:highlight w:val="none"/>
                <w:u w:val="none"/>
                <w:lang w:val="en-US" w:eastAsia="zh-CN"/>
              </w:rPr>
              <w:t>31</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D80B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网络视频存储服务器</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570F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设备规格：≤6U，≥60盘位；</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具有1个控制单元，1个64位多核处理器，8GB内存，可扩展至64GB。具有1个128GB SSD固态硬盘，可扩展至2个512GB SSD固态硬盘。支持1+1直流冗余白牌电源供电;支持1个Mini SAS HD接口。前面板具有锁止功能，加锁后硬盘无法取出，具有可拆卸式防尘滤网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当系统检查到硬盘损坏、坏块太多、读写大量异常或者无法获取硬盘信息等问题，硬盘会被定义为错误盘。用户界面中硬盘位标识为红色；硬盘灯也显示为红色长亮；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支持对多个磁盘分时上电</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具有包括RAID0、RAID1、RAID3、RAID4、RAID5、RAID6、RAID10、RAID50、RAID60、超级RAID、JBOD、RAID5EE的RAID功能设置选项。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cs="宋体"/>
                <w:i w:val="0"/>
                <w:iCs w:val="0"/>
                <w:color w:val="auto"/>
                <w:kern w:val="0"/>
                <w:sz w:val="24"/>
                <w:szCs w:val="24"/>
                <w:highlight w:val="none"/>
                <w:u w:val="none"/>
                <w:lang w:val="en-US" w:eastAsia="zh-CN" w:bidi="ar"/>
              </w:rPr>
              <w:t>6.</w:t>
            </w:r>
            <w:r>
              <w:rPr>
                <w:rFonts w:hint="eastAsia" w:ascii="宋体" w:hAnsi="宋体" w:eastAsia="宋体" w:cs="宋体"/>
                <w:i w:val="0"/>
                <w:iCs w:val="0"/>
                <w:color w:val="auto"/>
                <w:kern w:val="0"/>
                <w:sz w:val="24"/>
                <w:szCs w:val="24"/>
                <w:highlight w:val="none"/>
                <w:u w:val="none"/>
                <w:lang w:val="en-US" w:eastAsia="zh-CN" w:bidi="ar"/>
              </w:rPr>
              <w:t>支持同时进行3072Mbps视（音）频码流存储，3304Mbps视（音）频码流转发、1200Mbps视（音）频码流回放；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cs="宋体"/>
                <w:i w:val="0"/>
                <w:iCs w:val="0"/>
                <w:color w:val="auto"/>
                <w:kern w:val="0"/>
                <w:sz w:val="24"/>
                <w:szCs w:val="24"/>
                <w:highlight w:val="none"/>
                <w:u w:val="none"/>
                <w:lang w:val="en-US" w:eastAsia="zh-CN" w:bidi="ar"/>
              </w:rPr>
              <w:t>7.</w:t>
            </w:r>
            <w:r>
              <w:rPr>
                <w:rFonts w:hint="eastAsia" w:ascii="宋体" w:hAnsi="宋体" w:eastAsia="宋体" w:cs="宋体"/>
                <w:i w:val="0"/>
                <w:iCs w:val="0"/>
                <w:color w:val="auto"/>
                <w:kern w:val="0"/>
                <w:sz w:val="24"/>
                <w:szCs w:val="24"/>
                <w:highlight w:val="none"/>
                <w:u w:val="none"/>
                <w:lang w:val="en-US" w:eastAsia="zh-CN" w:bidi="ar"/>
              </w:rPr>
              <w:t>在转发模式下，可支持6600Mbps视（音）频码流的转发；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cs="宋体"/>
                <w:i w:val="0"/>
                <w:iCs w:val="0"/>
                <w:color w:val="auto"/>
                <w:kern w:val="0"/>
                <w:sz w:val="24"/>
                <w:szCs w:val="24"/>
                <w:highlight w:val="none"/>
                <w:u w:val="none"/>
                <w:lang w:val="en-US" w:eastAsia="zh-CN" w:bidi="ar"/>
              </w:rPr>
              <w:t>8.</w:t>
            </w:r>
            <w:r>
              <w:rPr>
                <w:rFonts w:hint="eastAsia" w:ascii="宋体" w:hAnsi="宋体" w:eastAsia="宋体" w:cs="宋体"/>
                <w:i w:val="0"/>
                <w:iCs w:val="0"/>
                <w:color w:val="auto"/>
                <w:kern w:val="0"/>
                <w:sz w:val="24"/>
                <w:szCs w:val="24"/>
                <w:highlight w:val="none"/>
                <w:u w:val="none"/>
                <w:lang w:val="en-US" w:eastAsia="zh-CN" w:bidi="ar"/>
              </w:rPr>
              <w:t>可支持不低于800MBps的图片并发输入，同时不低于800MBps图片并发输出；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具有ISCSI、NAS（SMB、NFS、FTP、AFP）等协议的设置选项；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cs="宋体"/>
                <w:i w:val="0"/>
                <w:iCs w:val="0"/>
                <w:color w:val="auto"/>
                <w:kern w:val="0"/>
                <w:sz w:val="24"/>
                <w:szCs w:val="24"/>
                <w:highlight w:val="none"/>
                <w:u w:val="none"/>
                <w:lang w:val="en-US" w:eastAsia="zh-CN" w:bidi="ar"/>
              </w:rPr>
              <w:t>9.</w:t>
            </w:r>
            <w:r>
              <w:rPr>
                <w:rFonts w:hint="eastAsia" w:ascii="宋体" w:hAnsi="宋体" w:eastAsia="宋体" w:cs="宋体"/>
                <w:i w:val="0"/>
                <w:iCs w:val="0"/>
                <w:color w:val="auto"/>
                <w:kern w:val="0"/>
                <w:sz w:val="24"/>
                <w:szCs w:val="24"/>
                <w:highlight w:val="none"/>
                <w:u w:val="none"/>
                <w:lang w:val="en-US" w:eastAsia="zh-CN" w:bidi="ar"/>
              </w:rPr>
              <w:t>可通过IE 浏览器进行视频浏览、回放和下载；并支持多画面同时段录像同时回放，或不同时段录像同时回放；网络下载录像速度不低于150MB/s；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10.</w:t>
            </w:r>
            <w:r>
              <w:rPr>
                <w:rFonts w:hint="eastAsia" w:ascii="宋体" w:hAnsi="宋体" w:eastAsia="宋体" w:cs="宋体"/>
                <w:i w:val="0"/>
                <w:iCs w:val="0"/>
                <w:color w:val="auto"/>
                <w:kern w:val="0"/>
                <w:sz w:val="24"/>
                <w:szCs w:val="24"/>
                <w:highlight w:val="none"/>
                <w:u w:val="none"/>
                <w:lang w:val="en-US" w:eastAsia="zh-CN" w:bidi="ar"/>
              </w:rPr>
              <w:t>可接入MPEG4、H.264、H.265、SVAC编码格式及4K分辨率的网络摄像机，并对主、辅码流同时录像，支持转换成标准的PS流输出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11.</w:t>
            </w:r>
            <w:r>
              <w:rPr>
                <w:rFonts w:hint="eastAsia" w:ascii="宋体" w:hAnsi="宋体" w:eastAsia="宋体" w:cs="宋体"/>
                <w:i w:val="0"/>
                <w:iCs w:val="0"/>
                <w:color w:val="auto"/>
                <w:kern w:val="0"/>
                <w:sz w:val="24"/>
                <w:szCs w:val="24"/>
                <w:highlight w:val="none"/>
                <w:u w:val="none"/>
                <w:lang w:val="en-US" w:eastAsia="zh-CN" w:bidi="ar"/>
              </w:rPr>
              <w:t>具有预录功能，可预录报警触发前1- 40min的视频录像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可对指定录像文件进行加锁，加锁后的录像不应被覆盖，当录像解锁后可被覆盖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可在Normal和Rescue两个系统模式之间进行切换，当任何一个模式无法正常启动时，另外一个模式能正常工作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4.</w:t>
            </w:r>
            <w:r>
              <w:rPr>
                <w:rFonts w:hint="eastAsia" w:ascii="宋体" w:hAnsi="宋体" w:eastAsia="宋体" w:cs="宋体"/>
                <w:i w:val="0"/>
                <w:iCs w:val="0"/>
                <w:color w:val="auto"/>
                <w:kern w:val="0"/>
                <w:sz w:val="24"/>
                <w:szCs w:val="24"/>
                <w:highlight w:val="none"/>
                <w:u w:val="none"/>
                <w:lang w:val="en-US" w:eastAsia="zh-CN" w:bidi="ar"/>
              </w:rPr>
              <w:t>支持视频质量诊断功能，可以诊断条纹干扰、视频噪声、视频虚焦、视频偏色及视频过曝等，并生成日志</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5.</w:t>
            </w:r>
            <w:r>
              <w:rPr>
                <w:rFonts w:hint="eastAsia" w:ascii="宋体" w:hAnsi="宋体" w:eastAsia="宋体" w:cs="宋体"/>
                <w:i w:val="0"/>
                <w:iCs w:val="0"/>
                <w:color w:val="auto"/>
                <w:kern w:val="0"/>
                <w:sz w:val="24"/>
                <w:szCs w:val="24"/>
                <w:highlight w:val="none"/>
                <w:u w:val="none"/>
                <w:lang w:val="en-US" w:eastAsia="zh-CN" w:bidi="ar"/>
              </w:rPr>
              <w:t>设备可建立共享文件夹，共享文件夹同时支持SAMBA和NFS协议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6.</w:t>
            </w:r>
            <w:r>
              <w:rPr>
                <w:rFonts w:hint="eastAsia" w:ascii="宋体" w:hAnsi="宋体" w:eastAsia="宋体" w:cs="宋体"/>
                <w:i w:val="0"/>
                <w:iCs w:val="0"/>
                <w:color w:val="auto"/>
                <w:kern w:val="0"/>
                <w:sz w:val="24"/>
                <w:szCs w:val="24"/>
                <w:highlight w:val="none"/>
                <w:u w:val="none"/>
                <w:lang w:val="en-US" w:eastAsia="zh-CN" w:bidi="ar"/>
              </w:rPr>
              <w:t>设备可接入双音轨，可同时或分别播放左右音轨；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7.</w:t>
            </w:r>
            <w:r>
              <w:rPr>
                <w:rFonts w:hint="eastAsia" w:ascii="宋体" w:hAnsi="宋体" w:eastAsia="宋体" w:cs="宋体"/>
                <w:i w:val="0"/>
                <w:iCs w:val="0"/>
                <w:color w:val="auto"/>
                <w:kern w:val="0"/>
                <w:sz w:val="24"/>
                <w:szCs w:val="24"/>
                <w:highlight w:val="none"/>
                <w:u w:val="none"/>
                <w:lang w:val="en-US" w:eastAsia="zh-CN" w:bidi="ar"/>
              </w:rPr>
              <w:t>支持纠删码技术；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8.</w:t>
            </w:r>
            <w:r>
              <w:rPr>
                <w:rFonts w:hint="eastAsia" w:ascii="宋体" w:hAnsi="宋体" w:eastAsia="宋体" w:cs="宋体"/>
                <w:i w:val="0"/>
                <w:iCs w:val="0"/>
                <w:color w:val="auto"/>
                <w:kern w:val="0"/>
                <w:sz w:val="24"/>
                <w:szCs w:val="24"/>
                <w:highlight w:val="none"/>
                <w:u w:val="none"/>
                <w:lang w:val="en-US" w:eastAsia="zh-CN" w:bidi="ar"/>
              </w:rPr>
              <w:t>最多可以支持16个盘掉线或者损坏，数据仍然有效，保留的硬盘中的数据可正常读出，且新数据可正常写入.创建RAID后即为同步完成状态；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cs="宋体"/>
                <w:i w:val="0"/>
                <w:iCs w:val="0"/>
                <w:color w:val="auto"/>
                <w:kern w:val="0"/>
                <w:sz w:val="24"/>
                <w:szCs w:val="24"/>
                <w:highlight w:val="none"/>
                <w:u w:val="none"/>
                <w:lang w:val="en-US" w:eastAsia="zh-CN" w:bidi="ar"/>
              </w:rPr>
              <w:t>19.</w:t>
            </w:r>
            <w:r>
              <w:rPr>
                <w:rFonts w:hint="eastAsia" w:ascii="宋体" w:hAnsi="宋体" w:eastAsia="宋体" w:cs="宋体"/>
                <w:i w:val="0"/>
                <w:iCs w:val="0"/>
                <w:color w:val="auto"/>
                <w:kern w:val="0"/>
                <w:sz w:val="24"/>
                <w:szCs w:val="24"/>
                <w:highlight w:val="none"/>
                <w:u w:val="none"/>
                <w:lang w:val="en-US" w:eastAsia="zh-CN" w:bidi="ar"/>
              </w:rPr>
              <w:t>支持扩展 MiniSAS HD 接口， 支持通过电口 SAS 线或光口 SAS 线进行互联， 能够通过 SAS 线进行上行和下行的数据通信；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0.</w:t>
            </w:r>
            <w:r>
              <w:rPr>
                <w:rFonts w:hint="eastAsia" w:ascii="宋体" w:hAnsi="宋体" w:eastAsia="宋体" w:cs="宋体"/>
                <w:i w:val="0"/>
                <w:iCs w:val="0"/>
                <w:color w:val="auto"/>
                <w:kern w:val="0"/>
                <w:sz w:val="24"/>
                <w:szCs w:val="24"/>
                <w:highlight w:val="none"/>
                <w:u w:val="none"/>
                <w:lang w:val="en-US" w:eastAsia="zh-CN" w:bidi="ar"/>
              </w:rPr>
              <w:t>支持任意 N 台设备（N≥2） 通过 SAS数据线组成环状结构集群， 设备集群之间数据能够通过环状结构进行传递和通信， 其中任意 1 台设备都可以访问其下游设备中的数据；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支持多台设备组成 SAS 数据环集群，当环状结构上的任意 1 个节点出现故障（包括主控盒硬件故障、 软件故障或者网络故障等）， 该节点设备上的硬盘通过 SAS 链路被上游设备接管， 该节点设备的上业务也会迁移到上游设备继续执行， 从而实现业务不中断、录像不丢失， 同时该故障设备的硬盘中数据可以被上游设备读取；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以上标▲项须提供第三方权威机构出具的检测报告并加盖公章。</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543E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D6E6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5CF9B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2F1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2</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3E1E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48口三层管理型交换机</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B70A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交换容量≥880Gbps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包转发率≥267Mpps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设备提供10/100/1000Mbps电口数≥24，100/1000Mbps光口数≥24，10G光口数≥10；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采用国产芯片；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硬件采用3风扇双电源设计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支持STP、RSTP、MSTP、ERPS等环网协议；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支持基于端口VLAN、基于IEEE 802.1Q VLAN；</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支持静态路由、OSPF等三层路由协议；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支持SP、WRR、SP+WRR等队列调度方式；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支持802.1X认证、Radius认证；</w:t>
            </w:r>
          </w:p>
          <w:p w14:paraId="6632CB9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投标产品须具备工信部入网许可证明</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以上标▲项须提供第三方权威机构出具的检测报告并加盖公章。</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8FB0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0568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375E5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B538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3</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8F5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智慧校园综合管理平台</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344C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软件集成系统管理、视频管理、报警管理、门禁管理、可视对讲、车辆卡口、设备运维、停车管理、教育工作台、人员布防、安全数据库11大业务系统；</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一、系统管理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基础资源管理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（1）组织管理：支持基础信息的增删改查、导入、导出等功能；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（2）设备管理：支持视频、门禁、出入口、对讲、报警、卡口、动环、物模型等设备增删改查、导入、导出、自动搜索等功能；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用户管理：支持用户基础信息的增删改查、冻结、解冻、密码重置等功能；支持从Windows域同步用户信息，和企业域账户打通，通过域账户密码直接登录平台；支持用户的安全信息配置，可设置用户及用户登录密码效期以及MAC白名单地址配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（4）角色管理：支持角色基础信息的增删改查；角色关联权限，可配置角色的应用菜单、部门、逻辑组织以及系统资源操作权限；支持角色的复制能力；</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（5）部门管理：支持部门信息增删改查、导入、导出等功能；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（6）人员管理：支持人员基础信息的增删改查、导入、导出、移动等功能；支持人员信息的采集，包含：人脸、指纹、卡片等，人脸照片支持图片质量检测；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（7）支持卡片基础信息的增删改查、导入、导出等功能；支持人员开卡、挂失、解挂、退卡、补卡、回收等功能；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（8）车辆管理：支持车辆基础信息的增删改查、导入、导出等功能；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（9）地图管理：提供地图管理配置能力，地图类型包含；二维、光栅、三维地图，支持厂家包含：百度、谷歌、高德、天地图、 Arcgis；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（10）资源绑定：平台资源绑定，包含：设备、通道等，绑定的资源可供各业务系统调阅使用；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门户管理：提供门户首页内容自定义能力，支持自定义快捷入口、自定义菜单内容、自定义页面元素设置；支持门户展示元素自定义，包括页面logo图标、修改网站标题、设置并添加网站外部链接、界面微件自定义布局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（12）级联管理：提供级联管理能力，包含：实现上下级基础资源数据汇聚，视频预览、回放、对讲、反控制，门禁、卡口的抓拍记录汇聚等；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平台运维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（1）支持平台运维，提供服务部署维护功能、支持模块化升级部署、系统资源使用情况监控等运维相关功能；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（2）支持级联、分布式、集群，实现系统扩展及稳定性要求；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（3）支持双机热备，提升系统灾备能力，保障系统的可靠性；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（4）支持mysql数据库、云数据库切换配置，满足图片、视频、结构化数据的按需求存储；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（5）支持标准开放平台，提供rest ful 等多维度接口实现第三方系统对接；</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（6）提供NTP校时服务能力，支持对服务间、服务器和设备间的统一校时；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（7）集成可信计算能力，支持程序包可信安装升级完整性校验，以及监控可执行文件可信执行功能，阻止未经授信的可疑程序（如防勒索病毒、挖矿程序）对系统造成破坏；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二、软件功能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视频管理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（1）支持实时视频、录像回放、录像下载、电视墙、雷球联动，热成像；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（2）支持与车载单兵等移动设备的对接，提供车载单兵设备GPS信息接收服务；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（3）支持手机移动客户端进行实时视频监控，音频播放，本地截图，本地录像，云台控制，远程视频回放；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（4）录像支持1/2、1/4、1/8、1/16、1/32、1/64、2、4、8、16、32、64倍速快/慢放；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支持在浏览器中进行多路无插件视频预览；支持设备对讲、抓图、本地录像、声音控制、窗口分割、全屏、自适应、云台控制、预置点、点间巡航等功能；支持在浏览器中进行多路无插件录像回放，可自动查找存储位置；支持设备抓图、本地录像、声音控制、窗口分割、全屏、自适应、倍速、精确定位等功能；支持25路多路数并发，支持软/硬解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报警管理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（1）支持报警主机接入及布撤防；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（2）提供防区管理功能检查，支持自动获取设备防区类型（即时防区、延时防区、24小时防区)并可自定义修改类型，客户端支持防区布防、撤防、消警、旁路、隔离、取消旁路操作；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车辆卡口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（1）支持道路监控、过车记录、布控记录、违章信息、区间测试；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（2）支持布控报警及相关记录信息查询；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停车管理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（1）支持出入口管理、场区管理、地图管理、收费规则管理、用户布控设置、场内超速报警；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（2）支持在线支付和无人值守；</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停车概览引导，可依据停车向导跳转至对应页面，流程化完成停车业务，向导包含：停车设备、场区设置、收费规则管理、二维码管理、支付配置、系统配置；同时包括了部分统计数据，包括：今日泊位概况、今日收款占比、收款统计、车流量统计、用户总览；</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门禁管理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（1）支持门禁设备管理；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（2）支持门禁应用，包括门禁的可视化开门、关门、常开、常闭、恢复正常，支持按组织、门组、收藏夹快速分类筛选门禁设备，支持紧急情况下的一键常开、恢复正常；</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（3）支持门禁控制授权及复核，支持门禁管理任务查询；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（4）支持门禁系统集群，分布式方式提升接入能力；</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（5）支持门禁可视化权限下发，实时展示平台当前的授权下发速率、下发进度、预计完成时间，可根据当前平台总体未完成记录数与总体下发的速率，综合换算出授权下发预计完成时间；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可视对讲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（1）支持设备管理、权限分组、呼叫分组、监控权限分组、信息发布分组；</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（2）支持卡片、人脸等授权及复核；</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（3）支持呼叫通话、信息发布、开门记录查询；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（4）支持在无室内机场景下实现门口机呼叫虚拟室内机转移至管理中心、小区APP和云移动端APP进行接听；</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设备运维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（1）资源监控模块：支持对前端点位、物联设备、动环主机、服务器、服务进行统一纳管监控运，绘制服务拓扑；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（2）报警管理模块：支持对所纳管资源配置报警策略，并将产生的报警消息进行统一汇聚和展示，支持对报警进行确认处理，联动工单，推送报警消息、短信及邮件；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（3）自动化巡检模块：支持对前端视频点位的视频质量及录像巡检、服务器及服务的资源占用巡检、网络环境巡检；</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（4）可视化报表模块：支持故障工单统计和报警统计；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（5）系统内置前端设备、软硬件等资产类型，并可新增自定义资产类型；支持资产类型建模功能，支持新增属性类别及属性；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教育安保工作台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（1）面向安保人员提供统一的工作界面，用户的业务微件可按用户场景需要自由搭配、编排，核心业务数据可一屏呈现；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（2）安保业务：提供全局找人、找车、访客预约、融合检索、车辆违章管控、校门口出入管控等综合办理业务；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（3）业务微件：支持人员考勤统计、门禁授权/进出统计、车辆违章统计、在离宿统计、访客信息登记、出入校管理等业务微件配置；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（4）工作台引擎：内嵌工作台引擎，支持微件管理、我的微件、界面编排、支持管理员和用户自由编排形成业务工作台，同时一个用户可拥有多个工作台，同时支持主工作台切换；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加密数据库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（1）原生加密：支持采用多层级密钥保护体系，对数据做全链路加密；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（2）极致安全: 支持安全网络传输来防护网络拦截造成的信息泄露。支持一机一密的数据密态存储，让数据可用不可读；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（3）无感对接：支持非加密数据一键导入到平台，实现数据切换；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可视化运维：提供数据库的运行监控大盘，包括CPU、内存及存储空间实时使用情况，慢sql统计分析。同时支持数据的备份还原，及时主机损坏也能通过备份数据快速恢复到新平台上，保护数据不丢失，业务稳定运行；</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人员布控：支持白名单库、黑名单库、内部库、访客库、VIP库，同时可自定义人脸库类型管理；支持人脸库增删改查，绑定设备，通道布控以及人脸库人员添加、修改、删除、查看、下发到设备；支持身份核验、抓拍检索、人体检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三、性能规格</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支持管理视频通道点位不少于100万路；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支持管理门禁点位不少于100000路，管理存储门禁记录不少于1亿条；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支持管理室内机点位不少于10000路，虚拟室内机不少于200000路；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支持管理园区卡口点位不少于10000路；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支持管理出入口车道不少于500进500出，车位不少于10000个；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支持管理用户数量不少于100万个，支持同时用户在线数量不少于5000个；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四、系统兼容与开放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国产化服务器兼容：支持在市面上主流的国产化服务器部署平台，例如X86（海光）、ARM（鲲鹏）等；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用户终端兼容：支持提供WEB端、CS端（客户端）、APP、公众号、小程序等；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国产化操作系统兼容：支持适配市面上主流的国产化操作系统，例如欧拉、银河麒麟、统信UOS等；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平台配套的APP支持鸿蒙系统；</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平台开放兼容，支持提供API接口满足三方系统对接需求；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支持提供容器系统，满足可视化应用开发规范和可插拔式业务加载，满足不同业态应用融合，统一呈现；                                                                        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支持移动端查看监控视频及相关数据。</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4234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804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5D8D7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D6C7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4</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645C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出入校管理系统</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5F1A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出入校管理系统，面向幼儿园/小学/中学（初中、高中），覆盖“出入校库管理、学生考勤管理（考勤规则、考勤记录/统计、请假/改签、考勤推送）、人员通行管理（通行规则、通行记录、体温检测）、异常事件管理（异常通行、异常考勤）”等业务。通过PC端、APP端或微信端业务应用形式，根据学生/家长/教师等角色，供给针对性强、便利化优、契合度高业务，实现了学生到离校管理“家长安心、教工省心、学校放心” 目标。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一、软件功能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出入口管理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 支持出入口库添加、删除、布控、撤控，可对出入设备相似度设置；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支持出入口库内人员单独下发、批量下发;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通行管理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 支持按学生类型（住宿、走读）、学籍组织及单人创建通行规则并查询；支持通行规则最多添加4个时间段；</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支持查看学生、老师、保安及宿管通行权限;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 支持查询、导出学生、老师、保安及宿管通行记录（人员信息、出入地点、出入时间、出入类型、体温、异常原因）；支持学生、老师、保安及宿管通行体温异常记录；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考勤管理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 考勤规则：支持单时段（全天考勤一次上学、放学）、双时段（全天考勤上午上学、上午放学，下午上学、下午放学）、三时段（全天考勤上午上学、上午放学，下午上学、下午放学，晚上上学、晚上放学）规则创建、修改、查询；支持按学生类型（住宿、走读）、组织及单人考勤对象创建考勤规则；</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考勤统计：支持按上学或放学，查询、导出指定时间下组织内学生正常、迟到、未上学、请假考勤统计；支持接收考勤设备断网补传的本地数据并更新显示考勤状态；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 考勤趋势：支持按上学或放学，查询、导出指定时间下组织内学生正常、迟到、未上学、请假考勤趋势；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 支持学生请假后联动考勤统计;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移动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 移动APP支持学生/家长/组织负责人/管理员，按全部、正常、异常类别查看本人考勤记录、关联的通行记录；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支持学生申请请假、改签出入校考勤；支持班级负责人审批学生请假、改签出入校考勤；</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 支持微信推送学生当日出入校记录到家长或组织负责人；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二、性能规格</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出入口最大数量1000个；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通行记录、考勤记录保存时间6个月；</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通行记录推送家长不高于1分钟；</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C9A8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77D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63082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0CC2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5</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D7C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宿舍安全管理系统</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0AB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宿舍安全管理，面向中职宿舍安全管理，覆盖宿舍管理、配置概览、退入宿管理、楼舍管理、通行管理、在离宿管理、考勤管理、请假管理（独立购买授权）、用能管理、事件管理、通知公告业务，延伸广告机信息发布、微信服务号“家校通知”，提供型号覆盖所及业务的第三方生态数据开放接口。通过PC端、移动端（APP、微信服务号）应用形式，根据宿管、教师、学生/家长等主体角色，支撑针对性强、便捷化优、契合度高业务应用，实现了校园宿舍管理“学校放心、教工省心、家长安心” 目标。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一、软件功能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宿舍管理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 宿舍楼管理：支持宿舍楼创建、修改、删除、查询、停用、启用、导入、导出；支持宿舍楼统计；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宿舍管理：支持宿舍创建、修改、删除、查询、停用、启用、导入、导出；支持宿舍统计；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节假日管理：支持节假日自定义新增、删除；支持节假日关联宿舍人员通行计划、考勤计划；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宿舍安全管理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 数据概览：支持老师或宿管，查看负责部门组织或宿舍组织今日我的数据或校的数据；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本宿：支持以宿舍卡片形式办理入宿、调宿（迁入、对调）、退宿、清宿；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 支持退入宿操作记录按月查询；支持对人员清宿操作后撤销、一键撤销该清宿操作；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 楼舍管理：支持宿舍楼查看、统计、查询、导入、导出；支持人员查看及管理；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 通行管理：支持通行的一般规则、特殊规则制定、查看、统计；支持通行的一般权限、特殊权限管理；支持通行记录查看、导出以及通行时段分析及记录统计；可远程控制门禁设备；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 支持在离宿状态查看、导出及统计；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 支持宿舍考勤管理、请假管理、事件管理、通知公告以及相关业务数据开放；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支持配套广告机实现宿舍楼数据发布；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移动端支持APP查看考勤记录及改签；支持微信服务号向家长推送考勤信息；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二、性能规格</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本宿导出未入宿人员50000人，20秒；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宿舍楼布控：5000人（单宿舍楼关联5进5出闸机），45分钟；</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3459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E29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5C42A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B8F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6</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B8BD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请销假管理</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2E18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系统实现学生、家长、班主任发起学生请假、销假管理，请假关联宿舍安全管理考勤及请假菜单（请假记录、销假记录），请假关联出入校考勤、出入校通行管理，请假关联课堂考勤。</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一、软件功能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系统应用于宿舍、课堂、出入口考勤场景；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请假管理：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 支持学生、家长、班主任发起学生请假：请假学生、请假类型（事假、病假、集体活动、其他）、开始时间（年月日时分）、结束时间（年月日时分）、请假理由、图片（最多9张）；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支持学生、家长、班主任查看、撤回、修改审批中的请假记录；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 支持查看请假记录统计，包括：按日期（按月、按自然周）、部门信息（校区-院系-专业-年级）搜素学生请假统计：责任班级、学生默认人脸图、请假累计人次数；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销假记录：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 支持学生、家长、班主任发起班级学生销假，包括：销假理由及图片；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支持学生、家长、班主任查看审批中销假记录，包括：卡片信息：人员默认人脸图、人员姓名、人员编号、申请人，申请时间、请假开始时间、请假结束时间，销假记录处理状态（待审批），详情信息：销假学生姓名（人员编号）、申请人、申请时间（年月日时分）、请假开始时间、请假结束时间、销假理由及图片、审批进度（发起申请、责任人、处理时间，待审批、责任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 支持班主任一级直接审批班级学生的待审批销假记录：同意，或驳回;</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 支持学生、家长、班主任查看已处理销假记录;</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B627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9C55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1EEBA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461F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7</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51B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校园AI侠</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2D8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2U机箱，单电源，8盘位，最大可满配24TB硬盘，支持RAID0/1/5/6/10/50/60，支持全局热备盘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1路VGA输出，4路HDMI输出，其中VGA1和HDMI 1同源输出，支持1个4K显示输出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4个10/100/1000Mbps自适应以太网口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支持128路H.264/H.265混合接入，网络带宽512Mbps接入；512Mbps存储；512Mbps转发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支持28个1080p解码显示输出，支持Smart H.265;H.265;Smart H.264;H.264混合解码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支持32路200万或32路400万分辨率校园异常行为关联人脸，规则类型：人员独处、拌线入侵、区域入侵，支持配套ICC-Edu-IEW教育智能化预警系统，做对应行为预警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支持8路200万或8路400万分辨率校园危险行为关联人脸，规则类型：人员跌倒、剧烈运动（打架斗殴），支持可配套ICC-Edu-IEW教育智能化预警系统，做对应行为预警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支持32路200万或32路400万分辨率人脸识别；或最大支持48路200万或48路400万图片流人脸比对，支持50万张人脸图片，100个人脸名单库；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支持32路200万或32路400万分辨率后智能通用行为分析，规则类型：绊线入侵、区域入侵、人员聚集、停车检测、徘徊检测、滞留检测、攀爬检测；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支持16路200万或16路400万分辨率后智能支持人员行为分析，规则类型：奔跑检测、剧烈运动检测（打架斗殴）、跌倒检测、尾随检测，支持配套ICC-Edu-IEW教育智能化预警系统，做对应行为预警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默认已支持5种算法，最大选配到8类算法，支持展示所有安装的算法及版本，展示算法状态，可对已安装的算法进行手动更新；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设备具有4个RJ45网络接口、1个VGA接口、4个HDMI接口、2个USB2.0接口,2个USB3.0接口、1个RS232接口、1个RS485接口、8个SATA3.0接口、1个eSATA 接口、1个音频输入接口、2个音频输出接口、16路报警输入、8路报警输出。样机采用AC220V供电。</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在算法能力范围内，支持单通道多智能；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后智能分析支持实时模式和分时轮巡模式切换，在分时轮巡模式下，依据算法能力不同，可配置分时视频分析和轮巡视频分析；单个轮巡任务最大支持32路，轮巡间隔可配置30-3600秒；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支持联动录像，抓图，日志，蜂鸣，邮件，预置点，本地报警输出，IPC报警输出，门禁，语音播报，声光报警联动。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内置 4 个算力不低于 16 TOPS（INT8）的 GPU 芯片，GPU 采用 64 位 8 核 A55 处理器，最高频率不低于 1.7GHz；</w:t>
            </w:r>
          </w:p>
          <w:p w14:paraId="52F61D4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支持利用大模型对分析结果进行二次研判；支持去除误报和增补漏报两种模式；经过二次研判的结果均自动打标，包括正报、疑似误报、漏报三种状态，支持人工复核</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利用大模型进行算法生成以及配置预警功能，输入指定文本可自定义生成算法，可选择通道部署自定义算法模型，实现定时抓图/事件图片分析，相似度达到阈值时及时触发报警，支持联动录像抓图、蜂鸣报警、预置点、邮件、本地报警输出、IPC 报警输出、门禁、语音提示以及日志记录；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支持视频浓缩功能，可对录像检索关键目标并进行多等级浓缩回放、下载；支持同时对 4 个通道视频进行浓缩回放，支持过滤关键目标，目标可选人、机动车、非机动车；支持框定区域，对经过该区域的关键目标录像做二级浓缩；支持对指定目标冻结进行全通道单目标三级浓缩回放；可对录像浓缩剪辑合成仅保留关键目标、指定目标的录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支持以图搜图，支持批量上传 50 张人脸图片，并同时对 10 张目标人脸进行相似图片搜索；支持智能关联可信度高的人脸图片进行二次检索，将关联的人脸和人体的以图搜图的结果同时显示。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以上标▲项须提供第三方权威机构出具的检测报告并加盖公章。</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3CCF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D798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44EBE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B670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cs="宋体"/>
                <w:i w:val="0"/>
                <w:iCs w:val="0"/>
                <w:color w:val="auto"/>
                <w:sz w:val="24"/>
                <w:szCs w:val="24"/>
                <w:highlight w:val="none"/>
                <w:u w:val="none"/>
                <w:lang w:val="en-US" w:eastAsia="zh-CN"/>
              </w:rPr>
              <w:t>38</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454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视频监控系统_视频通道数量</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BBD7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视频监控系统，视频通道管理个数授权。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一、功能参数：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实时预览：支持窗口分割、浏览/抓图、快速录像、轮巡、鱼眼模式、音频/对讲等功能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报警类型：支持热成像报警、雷达报警、小区场景报警、水利报警等报警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云台控制：支持云台抢占、云台锁定；支持云台八方向控制，支持守望功能；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录像回放：支持录像查询及显示、回放控制、录像下载、录像存储等功能；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视频上墙：支持即时上墙；支持上墙轮巡计划；支持屏幕开关、电视墙任务；支持开窗，分割，清屏功能；支持上墙回显；支持开启所有屏幕通道轮巡；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云存储：支持录像云存储，对通道根据时间进行配额配置；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热成像：支持热成像预览实时测温；支持热图分析；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流媒体：支持视频流转发，录像回放和下载，发送RTSP协议实时码流；支持HLS/FLV/RTMP协议码流转发；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二、性能参数：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设备接入能力：</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（1）设备：单节点最大支持接入4000个视频设备或1万路通道；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（2）主动注册：单节点最大支持接入3000个视频设备或6000路通道；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（3）GB28181：单节点最大支持接入2000个视频设备或4000路通道；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（4）ONVIF：单节点最大支持接入2000个视频设备或4000路通道；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（5）解码器：单节点最大支持接入解码设备200个；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分布式最大数量：50个</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D439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2865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w:t>
            </w:r>
          </w:p>
        </w:tc>
      </w:tr>
      <w:tr w14:paraId="01053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FBF4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cs="宋体"/>
                <w:i w:val="0"/>
                <w:iCs w:val="0"/>
                <w:color w:val="auto"/>
                <w:sz w:val="24"/>
                <w:szCs w:val="24"/>
                <w:highlight w:val="none"/>
                <w:u w:val="none"/>
                <w:lang w:val="en-US" w:eastAsia="zh-CN"/>
              </w:rPr>
              <w:t>39</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D2F5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门禁管理系统_通道数量</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46DC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门禁通道管理个数授权，门禁管理系统按门数量进行授权。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一、功能参数：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设备管理，支持门禁设备的管理维护,支持门禁的增删改查、导入、导出,支持设备在离线管理,支持安全帽配置项，设备支持IP添加及主动注册两种方式；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门通道控制，支持门禁通道操作:开门、关门、常开、常闭和正常，支持门禁状态主动上报平台页面实时显示；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门组分配，支持门禁通道按组进行管理；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门禁授权-按人授权，支持单个按人授权、删除权限、批量按人授权、删除权限、支持权限复制、支持人员权限execl导出；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门禁授权-按门授权，支持以人的维护或者以部门的维度配置人员权限,可按门组或者门通道进行配置；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门禁授权-权限清空重发，支持对在线的设备进行清空重发,针对支持快速下发的设备；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门禁复核，支持发卡、人像两种复核方式，持对差异化的复核结果同步到设备；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门禁管理-任务查询，支持人员、发卡、指纹、人像授权任务查询；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刷卡记录，支持人员进行记录及门禁的事件记录集中到刷卡记录里进行展示；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补采日志，支持门禁设备手动断线续传及每天凌晨自动断线续传的记录显示；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认证记录，支持人证核验终端比对记录展示；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二、性能参数：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单节点：IP添加：≤3000；主动注册：≤1000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集群/分布式：IP添加：≤30000；主动注册：≤10000</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B4F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9A4F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1BAA8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743D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cs="宋体"/>
                <w:i w:val="0"/>
                <w:iCs w:val="0"/>
                <w:color w:val="auto"/>
                <w:sz w:val="24"/>
                <w:szCs w:val="24"/>
                <w:highlight w:val="none"/>
                <w:u w:val="none"/>
                <w:lang w:val="en-US" w:eastAsia="zh-CN"/>
              </w:rPr>
              <w:t>40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BC5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设备运维系统路数授权</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62D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支持视频点播检测、录像丢失检测；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支持视频质量诊断扩容：支持视频冻结、视频丢失、视频抖动等26项异常检测；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设备监控：支持对编码设备、解码设备、存储设备、门禁等多设备的运行指标的7x24小时实时监测；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实时报警：自定义报警策略，20种报警信息分级分类展示，接收前端报警信息并通过系统消息、邮件、短信推送；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统计：运维考核统计、视频通道统计、报修统计</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1ACB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240B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w:t>
            </w:r>
          </w:p>
        </w:tc>
      </w:tr>
      <w:tr w14:paraId="48930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F721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1</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444E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智慧校园综合管理平台</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599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top"/>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尺寸：2U机架式服务器机箱</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处理器：≥1颗国产化ARM架构，≥24核 主频≥2.5GHz</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内存：配置≥64G内存，≥4个DDR4 DIMM插槽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硬盘：配置≥2块≥4T及以上 3.5吋 SATA 热插拔机械硬盘，最大支持≥8块3.5吋/2.5吋的SAS/SATA机械硬盘或固态硬盘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电源：2个≥900W交流电源模块，支持1+1冗余；</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风扇：≥4个热拔插风扇，支持N+1冗余</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RAID卡：SAS3408无缓存，支持RAID 0,1,10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w:t>
            </w:r>
            <w:r>
              <w:rPr>
                <w:rFonts w:hint="eastAsia" w:cs="宋体"/>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认证：CCC、节能</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3F26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0278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215AE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D2AF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2</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CE9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4米立杆</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945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φ140*4*4000;法兰盘300*300*10;预埋件300*300*34-M20*750;箱子200*300*450;悬臂1.5米φ76*2*1500;材质为Q235。</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8A62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稞</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18B8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r w14:paraId="2539C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FAC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3</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EF96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墙壁监控立杆1.8米</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BCAB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立柱φ76*2*2000；悬臂φ76*2*500</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3651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稞</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A98D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060B8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B967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4</w:t>
            </w:r>
            <w:r>
              <w:rPr>
                <w:rFonts w:hint="eastAsia" w:cs="宋体"/>
                <w:i w:val="0"/>
                <w:iCs w:val="0"/>
                <w:color w:val="auto"/>
                <w:kern w:val="0"/>
                <w:sz w:val="24"/>
                <w:szCs w:val="24"/>
                <w:highlight w:val="none"/>
                <w:u w:val="none"/>
                <w:lang w:val="en-US" w:eastAsia="zh-CN" w:bidi="ar"/>
              </w:rPr>
              <w:t>4</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51A6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电源线</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D8F3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RVV2*1.5mm²</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06F4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0F2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w:t>
            </w:r>
          </w:p>
        </w:tc>
      </w:tr>
      <w:tr w14:paraId="28EDA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058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45</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969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电源线</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CBE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BVR4mm²</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B6D5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BF43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200</w:t>
            </w:r>
          </w:p>
        </w:tc>
      </w:tr>
      <w:tr w14:paraId="1B169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9F87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17AA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电源线</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52D4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BVR2.5mm²</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F86E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89D3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200</w:t>
            </w:r>
          </w:p>
        </w:tc>
      </w:tr>
      <w:tr w14:paraId="0D1AF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F763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47</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16F8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PVC线管</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DEE8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PVC线管φ20</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B200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142A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1800</w:t>
            </w:r>
          </w:p>
        </w:tc>
      </w:tr>
      <w:tr w14:paraId="0BF70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3D87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48</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8C9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PVC线管</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7B2C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PVC线管φ32</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A578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8797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w:t>
            </w:r>
          </w:p>
        </w:tc>
      </w:tr>
      <w:tr w14:paraId="3D286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4CB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49</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5689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PE管</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D2EF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PE管φ40</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CF8E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582E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540</w:t>
            </w:r>
          </w:p>
        </w:tc>
      </w:tr>
      <w:tr w14:paraId="6EFCF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45C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3E9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光纤</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6E37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单模8芯光纤</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D1CC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1DF4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1200</w:t>
            </w:r>
          </w:p>
        </w:tc>
      </w:tr>
      <w:tr w14:paraId="65B68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77E7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E6B3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室外防水壁挂</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6509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室外防水壁挂6U，550*410*300</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0E6F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B2B6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1A29F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F85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52</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B343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机柜</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3B32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标准型610系列标准服务器机柜600*1000*2000</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21F2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5B33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31225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ACBC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53</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CD6E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PDU</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DAF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16A大功率PDU机柜插座 8位总控开关全长1.8米</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AB86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F19E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4A5F0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8E12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54</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ACB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PDU</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C089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8位10A2500W</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A883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0D2E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12541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17A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6FA4">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光纤终端盒</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6BD3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8口8芯单模FC满配尾纤法兰盘 光缆熔接盒 光纤续接盘 配线架</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57DF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A4CB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r>
      <w:tr w14:paraId="365DC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FB78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56</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45FC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光纤配线架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0E6B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ODF光纤配线架SC方口96芯ODF单元箱终端盒光缆熔接箱 96芯SC满配</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BD69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587E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3FE17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AC28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57</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094E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光纤收发器机架</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5E16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6槽19英寸2U光纤收发器机架式嵌入插卡光电转换器模块机箱</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A365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E86D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r>
      <w:tr w14:paraId="6A2B5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74E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58</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2CD80">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绿化带开槽</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270B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400*300</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6B5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E79A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300</w:t>
            </w:r>
          </w:p>
        </w:tc>
      </w:tr>
      <w:tr w14:paraId="42230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F29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F79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光纤敷设</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34C2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穿管、架空敷设</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8F0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2D84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1000</w:t>
            </w:r>
          </w:p>
        </w:tc>
      </w:tr>
      <w:tr w14:paraId="183B1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E4D9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581A">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水泥地面开槽</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7E33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水泥地面开槽，修复</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8576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米</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D1A9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w:t>
            </w:r>
          </w:p>
        </w:tc>
      </w:tr>
      <w:tr w14:paraId="39D4A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565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61</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C2C93">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监控设备安装及调试</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6536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监控设备安装及综合布线，设备调试，原有设备利旧，所有摄像头整合，接入服务器</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1319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点位</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B67C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93</w:t>
            </w:r>
          </w:p>
        </w:tc>
      </w:tr>
      <w:tr w14:paraId="73F08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25E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62</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48E4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光纤熔接</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25E5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光纤熔接含辅材</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29F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芯</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F8B8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160</w:t>
            </w:r>
          </w:p>
        </w:tc>
      </w:tr>
      <w:tr w14:paraId="758A2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38C0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63</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E7446">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监控立杆基础</w:t>
            </w:r>
          </w:p>
        </w:tc>
        <w:tc>
          <w:tcPr>
            <w:tcW w:w="7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2DFB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600*600*800基础开挖，浇灌C25混凝土</w:t>
            </w:r>
          </w:p>
        </w:tc>
        <w:tc>
          <w:tcPr>
            <w:tcW w:w="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869DC">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w:t>
            </w:r>
          </w:p>
        </w:tc>
        <w:tc>
          <w:tcPr>
            <w:tcW w:w="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2DD1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r>
    </w:tbl>
    <w:p w14:paraId="62425385">
      <w:pPr>
        <w:adjustRightInd w:val="0"/>
        <w:snapToGrid w:val="0"/>
        <w:spacing w:line="360" w:lineRule="auto"/>
        <w:rPr>
          <w:rFonts w:hint="eastAsia"/>
          <w:bCs/>
          <w:color w:val="auto"/>
          <w:highlight w:val="none"/>
        </w:rPr>
      </w:pPr>
      <w:r>
        <w:rPr>
          <w:rFonts w:hint="eastAsia"/>
          <w:bCs/>
          <w:color w:val="auto"/>
          <w:highlight w:val="none"/>
        </w:rPr>
        <w:t>说明：本表中的各项技术参数和规格要求如出现引用某一特定的专利技术、商标、名称、设计、图片、原产地或供应者等情况，则仅起参考作用。供应商可选用实质上“相当于”或“优于”该参考技术规格要求的产品报价，同时填写技术规格偏离表。</w:t>
      </w:r>
    </w:p>
    <w:p w14:paraId="5F67334B">
      <w:pPr>
        <w:widowControl w:val="0"/>
        <w:autoSpaceDE w:val="0"/>
        <w:autoSpaceDN w:val="0"/>
        <w:adjustRightInd w:val="0"/>
        <w:spacing w:line="360" w:lineRule="auto"/>
        <w:ind w:firstLine="482" w:firstLineChars="200"/>
        <w:rPr>
          <w:rFonts w:hint="eastAsia"/>
          <w:b/>
          <w:color w:val="auto"/>
          <w:highlight w:val="none"/>
        </w:rPr>
      </w:pPr>
      <w:r>
        <w:rPr>
          <w:rFonts w:hint="eastAsia"/>
          <w:b/>
          <w:color w:val="auto"/>
          <w:highlight w:val="none"/>
        </w:rPr>
        <w:t>（二）质量保证</w:t>
      </w:r>
    </w:p>
    <w:p w14:paraId="1527BBD6">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1.中标人应保证提供的服务或开发的标的质量指标达到相应的国家标准，行业标准及乙方在本采购活动中提交并确定遵照的有关标准及技术要求。</w:t>
      </w:r>
    </w:p>
    <w:p w14:paraId="305DB053">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2.中标人应保证所供服务或开发的标的没有设计、质量或工艺上的缺陷。</w:t>
      </w:r>
    </w:p>
    <w:p w14:paraId="154220BE">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3.中标人应保证提供的服务不侵犯任何第三方的专利、商标或版权。否则，中标人须承担对第三方的专利或版权的侵权责任并承担因此而发生的所有费用。</w:t>
      </w:r>
    </w:p>
    <w:p w14:paraId="24EEE288">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（三）售后服务及要求</w:t>
      </w:r>
    </w:p>
    <w:p w14:paraId="7B753626">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1.具备7×24小时日常支撑响应能力，24小时内现场支撑响应能力。系统上线稳定运行后，提供运维保障服务，如遇报障，需马上作出响应，并按以下响应时间要求解决问题。</w:t>
      </w:r>
    </w:p>
    <w:p w14:paraId="5AAB393A">
      <w:pPr>
        <w:adjustRightInd w:val="0"/>
        <w:snapToGrid w:val="0"/>
        <w:spacing w:line="360" w:lineRule="auto"/>
        <w:ind w:firstLine="480" w:firstLineChars="200"/>
        <w:rPr>
          <w:rFonts w:hint="eastAsia"/>
          <w:bCs/>
          <w:color w:val="auto"/>
          <w:highlight w:val="none"/>
        </w:rPr>
      </w:pPr>
      <w:r>
        <w:rPr>
          <w:rFonts w:hint="eastAsia"/>
          <w:color w:val="auto"/>
          <w:highlight w:val="none"/>
        </w:rPr>
        <w:t>2.响应时间要求乙方需保障运维对象的可用性，除硬件故障或应用软件自身原因等外，应避免其他原因导致的系统瘫痪。一般技术和业务问题：1小时内解决。重大技术和业务问题：一个工作日内解决。需要技术骨干成员解决问题的情况，乙方应派出专门技术人员1个工作日内到达现场，到达现场后1个工作日内解决问题。</w:t>
      </w:r>
    </w:p>
    <w:p w14:paraId="75BF55C9">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（四）其他要求</w:t>
      </w:r>
    </w:p>
    <w:p w14:paraId="484AF98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投标人需对文件的真实性负责，如果与投标文件中承诺或提供的资料不符，采购人将提请评标委员会认定该行为属于提供虚假材料谋取中标（成交）。同时，采购人将按照《中华人民共和国政府采购法》及其实施条例的规定，将该情况报送财政部门处理，由财政部门依法对其进行行政处罚。</w:t>
      </w:r>
    </w:p>
    <w:p w14:paraId="7F548809">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2.投标人应对其在投标文件中所响应的产品功能、技术参数和性能的真实性、可靠性负全部责任。如果经验证或核查发现实际供货产品的功能、技术参数和性能与投标承诺存在实质性不符或无法达到招标文件要求，采购人将提请评标委员会认定该行为属于提供虚假材料谋取中标（成交）。同时，采购人将按照《中华人民共和国政府采购法》及其实施条例的规定，将该情况报送财政部门处理，由财政部门依法对其进行行政处罚。</w:t>
      </w:r>
    </w:p>
    <w:p w14:paraId="68F3BE19">
      <w:pPr>
        <w:pStyle w:val="3"/>
        <w:snapToGrid w:val="0"/>
        <w:ind w:firstLine="482" w:firstLineChars="200"/>
        <w:rPr>
          <w:rFonts w:hint="eastAsia"/>
          <w:color w:val="auto"/>
          <w:sz w:val="24"/>
          <w:szCs w:val="24"/>
          <w:highlight w:val="none"/>
        </w:rPr>
      </w:pPr>
      <w:bookmarkStart w:id="69" w:name="_Toc9657"/>
      <w:r>
        <w:rPr>
          <w:rFonts w:hint="eastAsia"/>
          <w:color w:val="auto"/>
          <w:sz w:val="24"/>
          <w:szCs w:val="24"/>
          <w:highlight w:val="none"/>
        </w:rPr>
        <w:t>四、采购标的的数量、采购项目服务期限及交货地点</w:t>
      </w:r>
      <w:bookmarkEnd w:id="69"/>
    </w:p>
    <w:p w14:paraId="69D0B699">
      <w:pPr>
        <w:adjustRightInd w:val="0"/>
        <w:snapToGrid w:val="0"/>
        <w:spacing w:line="360" w:lineRule="auto"/>
        <w:ind w:firstLine="480" w:firstLineChars="200"/>
        <w:rPr>
          <w:rFonts w:hint="eastAsia"/>
          <w:bCs/>
          <w:color w:val="auto"/>
          <w:highlight w:val="none"/>
        </w:rPr>
      </w:pPr>
      <w:r>
        <w:rPr>
          <w:rFonts w:hint="eastAsia"/>
          <w:bCs/>
          <w:color w:val="auto"/>
          <w:highlight w:val="none"/>
        </w:rPr>
        <w:t>1.采购标的数量：1项，</w:t>
      </w:r>
      <w:r>
        <w:rPr>
          <w:rFonts w:hint="eastAsia"/>
          <w:bCs/>
          <w:color w:val="auto"/>
          <w:highlight w:val="none"/>
          <w:lang w:eastAsia="zh-CN"/>
        </w:rPr>
        <w:t>玉溪职业技术学院（云南省玉溪工业财贸学校）澄江职中提级管理项目（1包）校园监控系统升级改造项目</w:t>
      </w:r>
      <w:r>
        <w:rPr>
          <w:rFonts w:hint="eastAsia"/>
          <w:bCs/>
          <w:color w:val="auto"/>
          <w:highlight w:val="none"/>
        </w:rPr>
        <w:t>。</w:t>
      </w:r>
    </w:p>
    <w:p w14:paraId="06F9EC8B">
      <w:pPr>
        <w:adjustRightInd w:val="0"/>
        <w:snapToGrid w:val="0"/>
        <w:spacing w:line="360" w:lineRule="auto"/>
        <w:ind w:firstLine="480" w:firstLineChars="200"/>
        <w:rPr>
          <w:rFonts w:hint="eastAsia"/>
          <w:color w:val="auto"/>
          <w:highlight w:val="none"/>
        </w:rPr>
      </w:pPr>
      <w:r>
        <w:rPr>
          <w:rFonts w:hint="eastAsia"/>
          <w:bCs/>
          <w:color w:val="auto"/>
          <w:highlight w:val="none"/>
        </w:rPr>
        <w:t>2.合同履行期限：</w:t>
      </w:r>
      <w:r>
        <w:rPr>
          <w:rFonts w:hint="eastAsia"/>
          <w:color w:val="auto"/>
          <w:highlight w:val="none"/>
        </w:rPr>
        <w:t>自合同签</w:t>
      </w:r>
      <w:r>
        <w:rPr>
          <w:rFonts w:hint="eastAsia"/>
          <w:color w:val="auto"/>
          <w:highlight w:val="none"/>
          <w:lang w:eastAsia="zh-CN"/>
        </w:rPr>
        <w:t>订之日起</w:t>
      </w:r>
      <w:r>
        <w:rPr>
          <w:rFonts w:hint="eastAsia"/>
          <w:color w:val="auto"/>
          <w:highlight w:val="none"/>
          <w:lang w:val="en-US" w:eastAsia="zh-CN"/>
        </w:rPr>
        <w:t>9</w:t>
      </w:r>
      <w:r>
        <w:rPr>
          <w:rFonts w:hint="eastAsia"/>
          <w:color w:val="auto"/>
          <w:highlight w:val="none"/>
          <w:lang w:eastAsia="zh-CN"/>
        </w:rPr>
        <w:t>0日历天内完成</w:t>
      </w:r>
      <w:r>
        <w:rPr>
          <w:rFonts w:hint="eastAsia"/>
          <w:color w:val="auto"/>
          <w:highlight w:val="none"/>
        </w:rPr>
        <w:t>设备安装调试，并投入使用。</w:t>
      </w:r>
    </w:p>
    <w:p w14:paraId="3CF4459F">
      <w:pPr>
        <w:adjustRightInd w:val="0"/>
        <w:snapToGrid w:val="0"/>
        <w:spacing w:line="360" w:lineRule="auto"/>
        <w:ind w:firstLine="480" w:firstLineChars="200"/>
        <w:rPr>
          <w:rFonts w:hint="eastAsia"/>
          <w:bCs/>
          <w:color w:val="auto"/>
          <w:highlight w:val="none"/>
        </w:rPr>
      </w:pPr>
      <w:r>
        <w:rPr>
          <w:rFonts w:hint="eastAsia"/>
          <w:bCs/>
          <w:color w:val="auto"/>
          <w:highlight w:val="none"/>
        </w:rPr>
        <w:t>3.服务地点：采购人指定地点。</w:t>
      </w:r>
    </w:p>
    <w:p w14:paraId="4C90C2C4">
      <w:pPr>
        <w:adjustRightInd w:val="0"/>
        <w:snapToGrid w:val="0"/>
        <w:spacing w:line="360" w:lineRule="auto"/>
        <w:ind w:firstLine="480" w:firstLineChars="200"/>
        <w:rPr>
          <w:rFonts w:hint="eastAsia"/>
          <w:bCs/>
          <w:color w:val="auto"/>
          <w:highlight w:val="none"/>
        </w:rPr>
      </w:pPr>
      <w:r>
        <w:rPr>
          <w:rFonts w:hint="eastAsia"/>
          <w:bCs/>
          <w:color w:val="auto"/>
          <w:highlight w:val="none"/>
        </w:rPr>
        <w:t>4.付款方式：</w:t>
      </w:r>
      <w:r>
        <w:rPr>
          <w:rFonts w:hint="eastAsia"/>
          <w:bCs/>
          <w:color w:val="auto"/>
          <w:highlight w:val="none"/>
          <w:lang w:val="en-US" w:eastAsia="zh-CN"/>
        </w:rPr>
        <w:t>双方合同约定</w:t>
      </w:r>
      <w:r>
        <w:rPr>
          <w:rFonts w:hint="eastAsia"/>
          <w:bCs/>
          <w:color w:val="auto"/>
          <w:highlight w:val="none"/>
        </w:rPr>
        <w:t>。</w:t>
      </w:r>
    </w:p>
    <w:p w14:paraId="021FB64A">
      <w:pPr>
        <w:adjustRightInd w:val="0"/>
        <w:snapToGrid w:val="0"/>
        <w:spacing w:line="360" w:lineRule="auto"/>
        <w:ind w:firstLine="480" w:firstLineChars="200"/>
        <w:rPr>
          <w:rFonts w:hint="eastAsia" w:eastAsia="宋体"/>
          <w:bCs/>
          <w:color w:val="auto"/>
          <w:highlight w:val="none"/>
          <w:lang w:eastAsia="zh-CN"/>
        </w:rPr>
      </w:pPr>
      <w:r>
        <w:rPr>
          <w:rFonts w:hint="eastAsia"/>
          <w:bCs/>
          <w:color w:val="auto"/>
          <w:highlight w:val="none"/>
          <w:lang w:val="en-US" w:eastAsia="zh-CN"/>
        </w:rPr>
        <w:t>5.质保期：自验收合格之日起，不低于三年</w:t>
      </w:r>
      <w:r>
        <w:rPr>
          <w:rFonts w:hint="eastAsia"/>
          <w:bCs/>
          <w:color w:val="auto"/>
          <w:highlight w:val="none"/>
          <w:lang w:eastAsia="zh-CN"/>
        </w:rPr>
        <w:t>。</w:t>
      </w:r>
    </w:p>
    <w:p w14:paraId="15A0D9FA">
      <w:pPr>
        <w:pStyle w:val="3"/>
        <w:snapToGrid w:val="0"/>
        <w:ind w:firstLine="482" w:firstLineChars="200"/>
        <w:rPr>
          <w:rFonts w:hint="eastAsia"/>
          <w:color w:val="auto"/>
          <w:sz w:val="24"/>
          <w:szCs w:val="24"/>
          <w:highlight w:val="none"/>
        </w:rPr>
      </w:pPr>
      <w:bookmarkStart w:id="70" w:name="_Toc26291"/>
      <w:r>
        <w:rPr>
          <w:rFonts w:hint="eastAsia"/>
          <w:color w:val="auto"/>
          <w:sz w:val="24"/>
          <w:szCs w:val="24"/>
          <w:highlight w:val="none"/>
        </w:rPr>
        <w:t>五、验收标准</w:t>
      </w:r>
      <w:bookmarkEnd w:id="70"/>
    </w:p>
    <w:p w14:paraId="56D6FBED">
      <w:pPr>
        <w:adjustRightInd w:val="0"/>
        <w:snapToGrid w:val="0"/>
        <w:spacing w:line="360" w:lineRule="auto"/>
        <w:ind w:firstLine="480" w:firstLineChars="200"/>
        <w:rPr>
          <w:rFonts w:hint="eastAsia"/>
          <w:bCs/>
          <w:color w:val="auto"/>
          <w:highlight w:val="none"/>
        </w:rPr>
      </w:pPr>
      <w:r>
        <w:rPr>
          <w:rFonts w:hint="eastAsia"/>
          <w:bCs/>
          <w:color w:val="auto"/>
          <w:highlight w:val="none"/>
        </w:rPr>
        <w:t>1.项目内部验收（即初验）：本项目完成项目建设后根据国家以及相关规定进行内部验收，内部验收合格后进入试运行阶段，试运行一段时间后根据甲方的使用情况和国家以及相关规定进行综合验收。</w:t>
      </w:r>
    </w:p>
    <w:p w14:paraId="108B951B">
      <w:pPr>
        <w:adjustRightInd w:val="0"/>
        <w:snapToGrid w:val="0"/>
        <w:spacing w:line="360" w:lineRule="auto"/>
        <w:ind w:firstLine="480" w:firstLineChars="200"/>
        <w:rPr>
          <w:rFonts w:hint="eastAsia"/>
          <w:bCs/>
          <w:color w:val="auto"/>
          <w:highlight w:val="none"/>
        </w:rPr>
      </w:pPr>
      <w:r>
        <w:rPr>
          <w:rFonts w:hint="eastAsia"/>
          <w:bCs/>
          <w:color w:val="auto"/>
          <w:highlight w:val="none"/>
        </w:rPr>
        <w:t>2.试运行：项目通过内部验收后，经甲方同意，系统将进入为期60日的试运行阶段，以检验其是否达到本合同约定功能符合运行要求的项目活动。乙方应解决项目内部验收遗留问题及试运行期间所反映出的问题，若系统达不到合同规定要求，试运行期将继续顺延，直到系统完善。</w:t>
      </w:r>
    </w:p>
    <w:p w14:paraId="55E3F6C3">
      <w:pPr>
        <w:adjustRightInd w:val="0"/>
        <w:snapToGrid w:val="0"/>
        <w:spacing w:line="360" w:lineRule="auto"/>
        <w:ind w:firstLine="480" w:firstLineChars="200"/>
        <w:rPr>
          <w:rFonts w:hint="eastAsia"/>
          <w:bCs/>
          <w:color w:val="auto"/>
          <w:highlight w:val="none"/>
        </w:rPr>
      </w:pPr>
      <w:r>
        <w:rPr>
          <w:rFonts w:hint="eastAsia"/>
          <w:bCs/>
          <w:color w:val="auto"/>
          <w:highlight w:val="none"/>
        </w:rPr>
        <w:t>3.项目综合验收（即终验）：项目试运行结束，功能达到符合运行要求后，经过本合同约定的试运行，检验系统是否能够完全交付的项目活动。乙方应负责完成内部验收遗留问题的整改，解决所有试运行期间的问题，使系统具备正式上线使用的条件。</w:t>
      </w:r>
    </w:p>
    <w:p w14:paraId="257E7B65">
      <w:pPr>
        <w:adjustRightInd w:val="0"/>
        <w:snapToGrid w:val="0"/>
        <w:spacing w:line="360" w:lineRule="auto"/>
        <w:ind w:firstLine="480" w:firstLineChars="200"/>
        <w:rPr>
          <w:rFonts w:hint="eastAsia"/>
          <w:bCs/>
          <w:color w:val="auto"/>
          <w:highlight w:val="none"/>
        </w:rPr>
      </w:pPr>
      <w:r>
        <w:rPr>
          <w:rFonts w:hint="eastAsia"/>
          <w:bCs/>
          <w:color w:val="auto"/>
          <w:highlight w:val="none"/>
        </w:rPr>
        <w:t>4.甲方组成验收小组，按国家有关规定规范进行验收，若无国家标准按行业标准验收，必要时邀请相关专业人员或机构参与验收，评审通过后由甲方出具相应的验收意见书。因质量问题发生争议时，由甲方当地质量技术监督部门鉴定。符合质量技术标准的，鉴定费由甲方承担；否则鉴定费由乙方承担。</w:t>
      </w:r>
    </w:p>
    <w:p w14:paraId="0050A265">
      <w:pPr>
        <w:spacing w:line="360" w:lineRule="auto"/>
        <w:rPr>
          <w:rFonts w:hint="eastAsia"/>
          <w:color w:val="auto"/>
          <w:highlight w:val="none"/>
        </w:rPr>
        <w:sectPr>
          <w:pgSz w:w="11906" w:h="16838"/>
          <w:pgMar w:top="1134" w:right="1134" w:bottom="1134" w:left="1134" w:header="851" w:footer="851" w:gutter="0"/>
          <w:cols w:space="720" w:num="1"/>
          <w:docGrid w:type="lines" w:linePitch="331" w:charSpace="0"/>
        </w:sectPr>
      </w:pPr>
    </w:p>
    <w:p w14:paraId="3072A1DB">
      <w:pPr>
        <w:pStyle w:val="2"/>
        <w:spacing w:before="0"/>
        <w:ind w:left="0" w:firstLine="602"/>
        <w:jc w:val="center"/>
        <w:rPr>
          <w:rFonts w:hint="eastAsia" w:ascii="宋体" w:hAnsi="宋体" w:eastAsia="宋体"/>
          <w:bCs/>
          <w:color w:val="auto"/>
          <w:sz w:val="30"/>
          <w:szCs w:val="30"/>
          <w:highlight w:val="none"/>
        </w:rPr>
      </w:pPr>
      <w:bookmarkStart w:id="71" w:name="_Toc29959"/>
      <w:r>
        <w:rPr>
          <w:rFonts w:hint="eastAsia" w:ascii="宋体" w:hAnsi="宋体" w:eastAsia="宋体"/>
          <w:bCs/>
          <w:color w:val="auto"/>
          <w:sz w:val="30"/>
          <w:szCs w:val="30"/>
          <w:highlight w:val="none"/>
        </w:rPr>
        <w:t>第五章  合同书样式及主要条款</w:t>
      </w:r>
      <w:bookmarkEnd w:id="57"/>
      <w:r>
        <w:rPr>
          <w:rFonts w:hint="eastAsia" w:ascii="宋体" w:hAnsi="宋体" w:eastAsia="宋体"/>
          <w:bCs/>
          <w:color w:val="auto"/>
          <w:sz w:val="30"/>
          <w:szCs w:val="30"/>
          <w:highlight w:val="none"/>
        </w:rPr>
        <w:t>(此合同范本仅供参考)</w:t>
      </w:r>
      <w:bookmarkEnd w:id="71"/>
    </w:p>
    <w:bookmarkEnd w:id="58"/>
    <w:tbl>
      <w:tblPr>
        <w:tblStyle w:val="42"/>
        <w:tblpPr w:leftFromText="180" w:rightFromText="180" w:vertAnchor="text" w:horzAnchor="margin" w:tblpXSpec="center" w:tblpY="91"/>
        <w:tblW w:w="9750" w:type="dxa"/>
        <w:tblInd w:w="0" w:type="dxa"/>
        <w:tblLayout w:type="fixed"/>
        <w:tblCellMar>
          <w:top w:w="0" w:type="dxa"/>
          <w:left w:w="0" w:type="dxa"/>
          <w:bottom w:w="0" w:type="dxa"/>
          <w:right w:w="0" w:type="dxa"/>
        </w:tblCellMar>
      </w:tblPr>
      <w:tblGrid>
        <w:gridCol w:w="9750"/>
      </w:tblGrid>
      <w:tr w14:paraId="25B554E2">
        <w:tblPrEx>
          <w:tblCellMar>
            <w:top w:w="0" w:type="dxa"/>
            <w:left w:w="0" w:type="dxa"/>
            <w:bottom w:w="0" w:type="dxa"/>
            <w:right w:w="0" w:type="dxa"/>
          </w:tblCellMar>
        </w:tblPrEx>
        <w:tc>
          <w:tcPr>
            <w:tcW w:w="9750" w:type="dxa"/>
            <w:vAlign w:val="center"/>
          </w:tcPr>
          <w:p w14:paraId="38B82BFF">
            <w:pPr>
              <w:spacing w:line="360" w:lineRule="auto"/>
              <w:ind w:firstLine="560"/>
              <w:rPr>
                <w:rFonts w:hint="eastAsia" w:ascii="楷体" w:hAnsi="楷体" w:eastAsia="楷体" w:cs="Arial"/>
                <w:color w:val="auto"/>
                <w:sz w:val="28"/>
                <w:szCs w:val="28"/>
                <w:highlight w:val="none"/>
              </w:rPr>
            </w:pPr>
            <w:r>
              <w:rPr>
                <w:rFonts w:hint="eastAsia" w:ascii="楷体" w:hAnsi="楷体" w:eastAsia="楷体" w:cs="Arial"/>
                <w:color w:val="auto"/>
                <w:sz w:val="28"/>
                <w:szCs w:val="28"/>
                <w:highlight w:val="none"/>
              </w:rPr>
              <w:t>合同编号：                合同自编号：             项目编号：</w:t>
            </w:r>
          </w:p>
          <w:p w14:paraId="0C7CAAE9">
            <w:pPr>
              <w:spacing w:line="360" w:lineRule="auto"/>
              <w:rPr>
                <w:rFonts w:hint="eastAsia" w:cs="Arial"/>
                <w:b/>
                <w:color w:val="auto"/>
                <w:highlight w:val="none"/>
              </w:rPr>
            </w:pPr>
            <w:r>
              <w:rPr>
                <w:rFonts w:hint="eastAsia" w:cs="Arial"/>
                <w:color w:val="auto"/>
                <w:highlight w:val="none"/>
              </w:rPr>
              <w:t>本合同须加盖甲乙双方骑缝章有效</w:t>
            </w:r>
          </w:p>
        </w:tc>
      </w:tr>
      <w:tr w14:paraId="04A655CB">
        <w:tblPrEx>
          <w:tblCellMar>
            <w:top w:w="0" w:type="dxa"/>
            <w:left w:w="0" w:type="dxa"/>
            <w:bottom w:w="0" w:type="dxa"/>
            <w:right w:w="0" w:type="dxa"/>
          </w:tblCellMar>
        </w:tblPrEx>
        <w:tc>
          <w:tcPr>
            <w:tcW w:w="9750" w:type="dxa"/>
            <w:vAlign w:val="center"/>
          </w:tcPr>
          <w:p w14:paraId="38862A55">
            <w:pPr>
              <w:spacing w:line="360" w:lineRule="auto"/>
              <w:jc w:val="center"/>
              <w:rPr>
                <w:rFonts w:hint="eastAsia" w:ascii="方正姚体" w:hAnsi="??" w:eastAsia="方正姚体" w:cs="Arial"/>
                <w:b/>
                <w:color w:val="auto"/>
                <w:sz w:val="36"/>
                <w:szCs w:val="36"/>
                <w:highlight w:val="none"/>
              </w:rPr>
            </w:pPr>
          </w:p>
          <w:p w14:paraId="0E12DC9E">
            <w:pPr>
              <w:spacing w:line="360" w:lineRule="auto"/>
              <w:jc w:val="center"/>
              <w:rPr>
                <w:rFonts w:hint="eastAsia" w:ascii="方正姚体" w:hAnsi="??" w:eastAsia="方正姚体" w:cs="Arial"/>
                <w:b/>
                <w:color w:val="auto"/>
                <w:sz w:val="36"/>
                <w:szCs w:val="36"/>
                <w:highlight w:val="none"/>
              </w:rPr>
            </w:pPr>
          </w:p>
        </w:tc>
      </w:tr>
      <w:tr w14:paraId="410381BD">
        <w:tblPrEx>
          <w:tblCellMar>
            <w:top w:w="0" w:type="dxa"/>
            <w:left w:w="0" w:type="dxa"/>
            <w:bottom w:w="0" w:type="dxa"/>
            <w:right w:w="0" w:type="dxa"/>
          </w:tblCellMar>
        </w:tblPrEx>
        <w:tc>
          <w:tcPr>
            <w:tcW w:w="9750" w:type="dxa"/>
            <w:vAlign w:val="center"/>
          </w:tcPr>
          <w:p w14:paraId="7C360FA7">
            <w:pPr>
              <w:spacing w:line="360" w:lineRule="auto"/>
              <w:jc w:val="center"/>
              <w:rPr>
                <w:rFonts w:hint="eastAsia" w:ascii="??" w:hAnsi="??" w:cs="Arial"/>
                <w:color w:val="auto"/>
                <w:sz w:val="18"/>
                <w:szCs w:val="18"/>
                <w:highlight w:val="none"/>
              </w:rPr>
            </w:pPr>
            <w:r>
              <w:rPr>
                <w:rFonts w:hint="eastAsia" w:ascii="黑体" w:hAnsi="黑体" w:eastAsia="黑体" w:cs="Arial"/>
                <w:color w:val="auto"/>
                <w:sz w:val="39"/>
                <w:szCs w:val="39"/>
                <w:highlight w:val="none"/>
              </w:rPr>
              <w:t>云南省政府采购</w:t>
            </w:r>
          </w:p>
        </w:tc>
      </w:tr>
      <w:tr w14:paraId="658BDC93">
        <w:tblPrEx>
          <w:tblCellMar>
            <w:top w:w="0" w:type="dxa"/>
            <w:left w:w="0" w:type="dxa"/>
            <w:bottom w:w="0" w:type="dxa"/>
            <w:right w:w="0" w:type="dxa"/>
          </w:tblCellMar>
        </w:tblPrEx>
        <w:tc>
          <w:tcPr>
            <w:tcW w:w="9750" w:type="dxa"/>
            <w:vAlign w:val="center"/>
          </w:tcPr>
          <w:p w14:paraId="3E95041B">
            <w:pPr>
              <w:spacing w:line="360" w:lineRule="auto"/>
              <w:jc w:val="center"/>
              <w:rPr>
                <w:rFonts w:hint="eastAsia" w:ascii="??" w:hAnsi="??" w:cs="Arial"/>
                <w:color w:val="auto"/>
                <w:sz w:val="18"/>
                <w:szCs w:val="18"/>
                <w:highlight w:val="none"/>
              </w:rPr>
            </w:pPr>
            <w:r>
              <w:rPr>
                <w:rFonts w:hint="eastAsia" w:ascii="楷体_GB2312" w:hAnsi="??" w:eastAsia="楷体_GB2312" w:cs="Arial"/>
                <w:color w:val="auto"/>
                <w:sz w:val="33"/>
                <w:szCs w:val="33"/>
                <w:highlight w:val="none"/>
              </w:rPr>
              <w:t>（公开招标采购）</w:t>
            </w:r>
          </w:p>
          <w:p w14:paraId="75CB4E7B">
            <w:pPr>
              <w:pStyle w:val="17"/>
              <w:jc w:val="center"/>
              <w:rPr>
                <w:rFonts w:hint="eastAsia"/>
                <w:color w:val="auto"/>
                <w:highlight w:val="none"/>
              </w:rPr>
            </w:pPr>
          </w:p>
          <w:p w14:paraId="138EBA40">
            <w:pPr>
              <w:spacing w:line="360" w:lineRule="auto"/>
              <w:jc w:val="center"/>
              <w:rPr>
                <w:rFonts w:hint="eastAsia" w:ascii="??" w:hAnsi="??" w:cs="Arial"/>
                <w:color w:val="auto"/>
                <w:sz w:val="18"/>
                <w:szCs w:val="18"/>
                <w:highlight w:val="none"/>
              </w:rPr>
            </w:pPr>
          </w:p>
        </w:tc>
      </w:tr>
      <w:tr w14:paraId="46D35922">
        <w:tblPrEx>
          <w:tblCellMar>
            <w:top w:w="0" w:type="dxa"/>
            <w:left w:w="0" w:type="dxa"/>
            <w:bottom w:w="0" w:type="dxa"/>
            <w:right w:w="0" w:type="dxa"/>
          </w:tblCellMar>
        </w:tblPrEx>
        <w:tc>
          <w:tcPr>
            <w:tcW w:w="9750" w:type="dxa"/>
            <w:vAlign w:val="center"/>
          </w:tcPr>
          <w:p w14:paraId="4199DD80">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合</w:t>
            </w:r>
          </w:p>
        </w:tc>
      </w:tr>
      <w:tr w14:paraId="2450A9D0">
        <w:tblPrEx>
          <w:tblCellMar>
            <w:top w:w="0" w:type="dxa"/>
            <w:left w:w="0" w:type="dxa"/>
            <w:bottom w:w="0" w:type="dxa"/>
            <w:right w:w="0" w:type="dxa"/>
          </w:tblCellMar>
        </w:tblPrEx>
        <w:tc>
          <w:tcPr>
            <w:tcW w:w="9750" w:type="dxa"/>
            <w:vAlign w:val="center"/>
          </w:tcPr>
          <w:p w14:paraId="350F3AD4">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同</w:t>
            </w:r>
          </w:p>
        </w:tc>
      </w:tr>
      <w:tr w14:paraId="5F2DB9CE">
        <w:tblPrEx>
          <w:tblCellMar>
            <w:top w:w="0" w:type="dxa"/>
            <w:left w:w="0" w:type="dxa"/>
            <w:bottom w:w="0" w:type="dxa"/>
            <w:right w:w="0" w:type="dxa"/>
          </w:tblCellMar>
        </w:tblPrEx>
        <w:tc>
          <w:tcPr>
            <w:tcW w:w="9750" w:type="dxa"/>
            <w:vAlign w:val="center"/>
          </w:tcPr>
          <w:p w14:paraId="458F5F63">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书</w:t>
            </w:r>
          </w:p>
          <w:p w14:paraId="284B361A">
            <w:pPr>
              <w:pStyle w:val="17"/>
              <w:jc w:val="center"/>
              <w:rPr>
                <w:rFonts w:hint="eastAsia"/>
                <w:color w:val="auto"/>
                <w:highlight w:val="none"/>
              </w:rPr>
            </w:pPr>
          </w:p>
          <w:p w14:paraId="686754D1">
            <w:pPr>
              <w:pStyle w:val="17"/>
              <w:jc w:val="center"/>
              <w:rPr>
                <w:rFonts w:hint="eastAsia"/>
                <w:color w:val="auto"/>
                <w:highlight w:val="none"/>
              </w:rPr>
            </w:pPr>
          </w:p>
        </w:tc>
      </w:tr>
      <w:tr w14:paraId="7B8EAF1C">
        <w:tblPrEx>
          <w:tblCellMar>
            <w:top w:w="0" w:type="dxa"/>
            <w:left w:w="0" w:type="dxa"/>
            <w:bottom w:w="0" w:type="dxa"/>
            <w:right w:w="0" w:type="dxa"/>
          </w:tblCellMar>
        </w:tblPrEx>
        <w:tc>
          <w:tcPr>
            <w:tcW w:w="9750" w:type="dxa"/>
            <w:vAlign w:val="center"/>
          </w:tcPr>
          <w:p w14:paraId="783DF28B">
            <w:pPr>
              <w:spacing w:line="360" w:lineRule="auto"/>
              <w:jc w:val="center"/>
              <w:rPr>
                <w:rFonts w:hint="eastAsia" w:ascii="??" w:hAnsi="??" w:cs="Arial"/>
                <w:color w:val="auto"/>
                <w:sz w:val="18"/>
                <w:szCs w:val="18"/>
                <w:highlight w:val="none"/>
              </w:rPr>
            </w:pPr>
            <w:r>
              <w:rPr>
                <w:rFonts w:hint="eastAsia" w:ascii="楷体_GB2312" w:hAnsi="??" w:eastAsia="楷体_GB2312" w:cs="Arial"/>
                <w:b/>
                <w:bCs/>
                <w:color w:val="auto"/>
                <w:sz w:val="27"/>
                <w:szCs w:val="27"/>
                <w:highlight w:val="none"/>
              </w:rPr>
              <w:t>签订地点</w:t>
            </w:r>
            <w:r>
              <w:rPr>
                <w:rFonts w:ascii="楷体_GB2312" w:hAnsi="??" w:eastAsia="楷体_GB2312" w:cs="Arial"/>
                <w:b/>
                <w:bCs/>
                <w:color w:val="auto"/>
                <w:sz w:val="27"/>
                <w:szCs w:val="27"/>
                <w:highlight w:val="none"/>
              </w:rPr>
              <w:t>:</w:t>
            </w:r>
            <w:r>
              <w:rPr>
                <w:rFonts w:hint="eastAsia" w:ascii="楷体_GB2312" w:hAnsi="??" w:eastAsia="楷体_GB2312" w:cs="Arial"/>
                <w:b/>
                <w:bCs/>
                <w:color w:val="auto"/>
                <w:sz w:val="27"/>
                <w:szCs w:val="27"/>
                <w:highlight w:val="none"/>
              </w:rPr>
              <w:t>云南省玉溪市</w:t>
            </w:r>
          </w:p>
        </w:tc>
      </w:tr>
      <w:tr w14:paraId="690C451A">
        <w:tblPrEx>
          <w:tblCellMar>
            <w:top w:w="0" w:type="dxa"/>
            <w:left w:w="0" w:type="dxa"/>
            <w:bottom w:w="0" w:type="dxa"/>
            <w:right w:w="0" w:type="dxa"/>
          </w:tblCellMar>
        </w:tblPrEx>
        <w:tc>
          <w:tcPr>
            <w:tcW w:w="9750" w:type="dxa"/>
            <w:vAlign w:val="center"/>
          </w:tcPr>
          <w:p w14:paraId="2BE0C5AD">
            <w:pPr>
              <w:spacing w:line="360" w:lineRule="auto"/>
              <w:jc w:val="center"/>
              <w:rPr>
                <w:rFonts w:hint="eastAsia" w:ascii="??" w:hAnsi="??" w:cs="Arial"/>
                <w:color w:val="auto"/>
                <w:sz w:val="18"/>
                <w:szCs w:val="18"/>
                <w:highlight w:val="none"/>
              </w:rPr>
            </w:pPr>
          </w:p>
        </w:tc>
      </w:tr>
      <w:tr w14:paraId="5C0EBFC0">
        <w:tblPrEx>
          <w:tblCellMar>
            <w:top w:w="0" w:type="dxa"/>
            <w:left w:w="0" w:type="dxa"/>
            <w:bottom w:w="0" w:type="dxa"/>
            <w:right w:w="0" w:type="dxa"/>
          </w:tblCellMar>
        </w:tblPrEx>
        <w:tc>
          <w:tcPr>
            <w:tcW w:w="9750" w:type="dxa"/>
            <w:vAlign w:val="center"/>
          </w:tcPr>
          <w:p w14:paraId="16C3ECAF">
            <w:pPr>
              <w:spacing w:line="360" w:lineRule="auto"/>
              <w:jc w:val="center"/>
              <w:rPr>
                <w:rFonts w:hint="eastAsia" w:ascii="楷体_GB2312" w:hAnsi="??" w:eastAsia="楷体_GB2312" w:cs="Arial"/>
                <w:b/>
                <w:bCs/>
                <w:color w:val="auto"/>
                <w:sz w:val="27"/>
                <w:szCs w:val="27"/>
                <w:highlight w:val="none"/>
              </w:rPr>
            </w:pPr>
            <w:r>
              <w:rPr>
                <w:rFonts w:hint="eastAsia" w:ascii="楷体_GB2312" w:hAnsi="??" w:eastAsia="楷体_GB2312" w:cs="Arial"/>
                <w:b/>
                <w:bCs/>
                <w:color w:val="auto"/>
                <w:sz w:val="27"/>
                <w:szCs w:val="27"/>
                <w:highlight w:val="none"/>
              </w:rPr>
              <w:t>云南省财政厅　制</w:t>
            </w:r>
          </w:p>
          <w:p w14:paraId="755BC12D">
            <w:pPr>
              <w:spacing w:line="360" w:lineRule="auto"/>
              <w:jc w:val="center"/>
              <w:rPr>
                <w:rFonts w:hint="eastAsia"/>
                <w:color w:val="auto"/>
                <w:highlight w:val="none"/>
              </w:rPr>
            </w:pPr>
          </w:p>
        </w:tc>
      </w:tr>
    </w:tbl>
    <w:p w14:paraId="3CDF11E0">
      <w:pPr>
        <w:spacing w:line="360" w:lineRule="auto"/>
        <w:ind w:firstLine="614" w:firstLineChars="255"/>
        <w:rPr>
          <w:rFonts w:hint="eastAsia"/>
          <w:b/>
          <w:color w:val="auto"/>
          <w:highlight w:val="none"/>
        </w:rPr>
      </w:pPr>
    </w:p>
    <w:p w14:paraId="54BD9225">
      <w:pPr>
        <w:spacing w:line="360" w:lineRule="auto"/>
        <w:ind w:firstLine="614" w:firstLineChars="255"/>
        <w:rPr>
          <w:rFonts w:hint="eastAsia"/>
          <w:b/>
          <w:color w:val="auto"/>
          <w:highlight w:val="none"/>
        </w:rPr>
      </w:pPr>
    </w:p>
    <w:p w14:paraId="079C7222">
      <w:pPr>
        <w:spacing w:line="360" w:lineRule="auto"/>
        <w:ind w:firstLine="482"/>
        <w:rPr>
          <w:rFonts w:hint="eastAsia"/>
          <w:b/>
          <w:color w:val="auto"/>
          <w:highlight w:val="none"/>
        </w:rPr>
      </w:pPr>
    </w:p>
    <w:p w14:paraId="17D329EB">
      <w:pPr>
        <w:spacing w:line="360" w:lineRule="auto"/>
        <w:ind w:firstLine="840" w:firstLineChars="350"/>
        <w:rPr>
          <w:rFonts w:hint="eastAsia"/>
          <w:color w:val="auto"/>
          <w:highlight w:val="none"/>
        </w:rPr>
      </w:pPr>
    </w:p>
    <w:p w14:paraId="1AFBCC41">
      <w:pPr>
        <w:spacing w:line="360" w:lineRule="auto"/>
        <w:ind w:firstLine="840" w:firstLineChars="350"/>
        <w:rPr>
          <w:rFonts w:hint="eastAsia"/>
          <w:color w:val="auto"/>
          <w:highlight w:val="none"/>
        </w:rPr>
      </w:pPr>
      <w:r>
        <w:rPr>
          <w:rFonts w:hint="eastAsia"/>
          <w:color w:val="auto"/>
          <w:highlight w:val="none"/>
        </w:rPr>
        <w:t xml:space="preserve">甲方（招标人公章）名称： </w:t>
      </w:r>
    </w:p>
    <w:p w14:paraId="48D78FB6">
      <w:pPr>
        <w:spacing w:line="360" w:lineRule="auto"/>
        <w:ind w:firstLine="840" w:firstLineChars="350"/>
        <w:rPr>
          <w:rFonts w:hint="eastAsia"/>
          <w:color w:val="auto"/>
          <w:highlight w:val="none"/>
        </w:rPr>
      </w:pPr>
      <w:r>
        <w:rPr>
          <w:rFonts w:hint="eastAsia"/>
          <w:color w:val="auto"/>
          <w:highlight w:val="none"/>
        </w:rPr>
        <w:t>地址：</w:t>
      </w:r>
      <w:r>
        <w:rPr>
          <w:color w:val="auto"/>
          <w:highlight w:val="none"/>
        </w:rPr>
        <w:t xml:space="preserve"> </w:t>
      </w:r>
    </w:p>
    <w:p w14:paraId="10B11881">
      <w:pPr>
        <w:spacing w:line="360" w:lineRule="auto"/>
        <w:ind w:firstLine="840" w:firstLineChars="350"/>
        <w:rPr>
          <w:rFonts w:hint="eastAsia"/>
          <w:color w:val="auto"/>
          <w:highlight w:val="none"/>
        </w:rPr>
      </w:pPr>
      <w:r>
        <w:rPr>
          <w:rFonts w:hint="eastAsia"/>
          <w:color w:val="auto"/>
          <w:highlight w:val="none"/>
        </w:rPr>
        <w:t>邮编：</w:t>
      </w:r>
    </w:p>
    <w:p w14:paraId="7505C91A">
      <w:pPr>
        <w:spacing w:line="360" w:lineRule="auto"/>
        <w:ind w:firstLine="840" w:firstLineChars="350"/>
        <w:rPr>
          <w:rFonts w:hint="eastAsia"/>
          <w:color w:val="auto"/>
          <w:highlight w:val="none"/>
        </w:rPr>
      </w:pPr>
      <w:r>
        <w:rPr>
          <w:rFonts w:hint="eastAsia"/>
          <w:color w:val="auto"/>
          <w:highlight w:val="none"/>
        </w:rPr>
        <w:t>法定代表人或委托代理人：</w:t>
      </w:r>
    </w:p>
    <w:p w14:paraId="7A00EC25">
      <w:pPr>
        <w:spacing w:line="360" w:lineRule="auto"/>
        <w:ind w:firstLine="840" w:firstLineChars="350"/>
        <w:rPr>
          <w:rFonts w:hint="eastAsia"/>
          <w:color w:val="auto"/>
          <w:highlight w:val="none"/>
        </w:rPr>
      </w:pPr>
      <w:r>
        <w:rPr>
          <w:rFonts w:hint="eastAsia"/>
          <w:color w:val="auto"/>
          <w:highlight w:val="none"/>
        </w:rPr>
        <w:t>项目（技术）负责人：</w:t>
      </w:r>
    </w:p>
    <w:p w14:paraId="10703178">
      <w:pPr>
        <w:spacing w:line="360" w:lineRule="auto"/>
        <w:ind w:firstLine="840" w:firstLineChars="350"/>
        <w:rPr>
          <w:rFonts w:hint="eastAsia"/>
          <w:color w:val="auto"/>
          <w:highlight w:val="none"/>
        </w:rPr>
      </w:pPr>
      <w:r>
        <w:rPr>
          <w:rFonts w:hint="eastAsia"/>
          <w:color w:val="auto"/>
          <w:highlight w:val="none"/>
        </w:rPr>
        <w:t>电话：</w:t>
      </w:r>
    </w:p>
    <w:p w14:paraId="3B267CF8">
      <w:pPr>
        <w:spacing w:line="360" w:lineRule="auto"/>
        <w:ind w:firstLine="840" w:firstLineChars="350"/>
        <w:rPr>
          <w:rFonts w:hint="eastAsia"/>
          <w:color w:val="auto"/>
          <w:highlight w:val="none"/>
        </w:rPr>
      </w:pPr>
      <w:r>
        <w:rPr>
          <w:rFonts w:hint="eastAsia"/>
          <w:color w:val="auto"/>
          <w:highlight w:val="none"/>
        </w:rPr>
        <w:t>日期：</w:t>
      </w:r>
    </w:p>
    <w:p w14:paraId="4E950EA9">
      <w:pPr>
        <w:spacing w:line="360" w:lineRule="auto"/>
        <w:ind w:firstLine="840" w:firstLineChars="350"/>
        <w:rPr>
          <w:rFonts w:hint="eastAsia"/>
          <w:color w:val="auto"/>
          <w:highlight w:val="none"/>
        </w:rPr>
      </w:pPr>
    </w:p>
    <w:p w14:paraId="476037B2">
      <w:pPr>
        <w:spacing w:line="360" w:lineRule="auto"/>
        <w:ind w:firstLine="840" w:firstLineChars="350"/>
        <w:rPr>
          <w:rFonts w:hint="eastAsia"/>
          <w:color w:val="auto"/>
          <w:highlight w:val="none"/>
        </w:rPr>
      </w:pPr>
    </w:p>
    <w:p w14:paraId="51457A62">
      <w:pPr>
        <w:spacing w:line="360" w:lineRule="auto"/>
        <w:ind w:firstLine="840" w:firstLineChars="350"/>
        <w:rPr>
          <w:rFonts w:hint="eastAsia"/>
          <w:color w:val="auto"/>
          <w:highlight w:val="none"/>
        </w:rPr>
      </w:pPr>
      <w:r>
        <w:rPr>
          <w:rFonts w:hint="eastAsia"/>
          <w:color w:val="auto"/>
          <w:highlight w:val="none"/>
        </w:rPr>
        <w:t xml:space="preserve">乙方（投标人公章）名称： </w:t>
      </w:r>
    </w:p>
    <w:p w14:paraId="7174EFD2">
      <w:pPr>
        <w:spacing w:line="360" w:lineRule="auto"/>
        <w:ind w:firstLine="840" w:firstLineChars="350"/>
        <w:rPr>
          <w:rFonts w:hint="eastAsia"/>
          <w:color w:val="auto"/>
          <w:highlight w:val="none"/>
        </w:rPr>
      </w:pPr>
      <w:r>
        <w:rPr>
          <w:rFonts w:hint="eastAsia"/>
          <w:color w:val="auto"/>
          <w:highlight w:val="none"/>
        </w:rPr>
        <w:t>地址：</w:t>
      </w:r>
    </w:p>
    <w:p w14:paraId="2E212C8C">
      <w:pPr>
        <w:spacing w:line="360" w:lineRule="auto"/>
        <w:ind w:firstLine="840" w:firstLineChars="350"/>
        <w:rPr>
          <w:rFonts w:hint="eastAsia"/>
          <w:color w:val="auto"/>
          <w:highlight w:val="none"/>
        </w:rPr>
      </w:pPr>
      <w:r>
        <w:rPr>
          <w:rFonts w:hint="eastAsia"/>
          <w:color w:val="auto"/>
          <w:highlight w:val="none"/>
        </w:rPr>
        <w:t>邮编：</w:t>
      </w:r>
    </w:p>
    <w:p w14:paraId="49B6C802">
      <w:pPr>
        <w:spacing w:line="360" w:lineRule="auto"/>
        <w:ind w:firstLine="840" w:firstLineChars="350"/>
        <w:rPr>
          <w:rFonts w:hint="eastAsia"/>
          <w:color w:val="auto"/>
          <w:highlight w:val="none"/>
        </w:rPr>
      </w:pPr>
      <w:r>
        <w:rPr>
          <w:rFonts w:hint="eastAsia"/>
          <w:color w:val="auto"/>
          <w:highlight w:val="none"/>
        </w:rPr>
        <w:t>法定代表人或委托代理人：</w:t>
      </w:r>
    </w:p>
    <w:p w14:paraId="0423C3B4">
      <w:pPr>
        <w:spacing w:line="360" w:lineRule="auto"/>
        <w:ind w:firstLine="840" w:firstLineChars="350"/>
        <w:rPr>
          <w:rFonts w:hint="eastAsia"/>
          <w:color w:val="auto"/>
          <w:highlight w:val="none"/>
        </w:rPr>
      </w:pPr>
      <w:r>
        <w:rPr>
          <w:rFonts w:hint="eastAsia"/>
          <w:color w:val="auto"/>
          <w:highlight w:val="none"/>
        </w:rPr>
        <w:t>经办人：</w:t>
      </w:r>
    </w:p>
    <w:p w14:paraId="6B179519">
      <w:pPr>
        <w:spacing w:line="360" w:lineRule="auto"/>
        <w:ind w:firstLine="840" w:firstLineChars="350"/>
        <w:rPr>
          <w:rFonts w:hint="eastAsia"/>
          <w:color w:val="auto"/>
          <w:highlight w:val="none"/>
        </w:rPr>
      </w:pPr>
      <w:r>
        <w:rPr>
          <w:rFonts w:hint="eastAsia"/>
          <w:color w:val="auto"/>
          <w:highlight w:val="none"/>
        </w:rPr>
        <w:t>电话：</w:t>
      </w:r>
    </w:p>
    <w:p w14:paraId="02BFCF94">
      <w:pPr>
        <w:spacing w:line="360" w:lineRule="auto"/>
        <w:ind w:firstLine="840" w:firstLineChars="350"/>
        <w:rPr>
          <w:rFonts w:hint="eastAsia"/>
          <w:color w:val="auto"/>
          <w:highlight w:val="none"/>
        </w:rPr>
      </w:pPr>
      <w:r>
        <w:rPr>
          <w:rFonts w:hint="eastAsia"/>
          <w:color w:val="auto"/>
          <w:highlight w:val="none"/>
        </w:rPr>
        <w:t>日期：</w:t>
      </w:r>
    </w:p>
    <w:p w14:paraId="138B1F09">
      <w:pPr>
        <w:spacing w:line="360" w:lineRule="auto"/>
        <w:ind w:firstLine="840" w:firstLineChars="350"/>
        <w:rPr>
          <w:rFonts w:hint="eastAsia"/>
          <w:color w:val="auto"/>
          <w:highlight w:val="none"/>
        </w:rPr>
      </w:pPr>
    </w:p>
    <w:p w14:paraId="5B324D93">
      <w:pPr>
        <w:spacing w:line="360" w:lineRule="auto"/>
        <w:ind w:firstLine="840" w:firstLineChars="350"/>
        <w:rPr>
          <w:rFonts w:hint="eastAsia"/>
          <w:color w:val="auto"/>
          <w:highlight w:val="none"/>
        </w:rPr>
      </w:pPr>
    </w:p>
    <w:p w14:paraId="33D6DED0">
      <w:pPr>
        <w:spacing w:line="360" w:lineRule="auto"/>
        <w:ind w:firstLine="840" w:firstLineChars="350"/>
        <w:rPr>
          <w:rFonts w:hint="eastAsia"/>
          <w:color w:val="auto"/>
          <w:highlight w:val="none"/>
        </w:rPr>
      </w:pPr>
      <w:r>
        <w:rPr>
          <w:rFonts w:hint="eastAsia"/>
          <w:color w:val="auto"/>
          <w:highlight w:val="none"/>
        </w:rPr>
        <w:t xml:space="preserve">丙方（鉴证方公章）名称： </w:t>
      </w:r>
    </w:p>
    <w:p w14:paraId="552EA64E">
      <w:pPr>
        <w:spacing w:line="360" w:lineRule="auto"/>
        <w:ind w:firstLine="840" w:firstLineChars="350"/>
        <w:rPr>
          <w:rFonts w:hint="eastAsia"/>
          <w:color w:val="auto"/>
          <w:highlight w:val="none"/>
        </w:rPr>
      </w:pPr>
      <w:r>
        <w:rPr>
          <w:rFonts w:hint="eastAsia"/>
          <w:color w:val="auto"/>
          <w:highlight w:val="none"/>
        </w:rPr>
        <w:t>地址：</w:t>
      </w:r>
    </w:p>
    <w:p w14:paraId="79AEE8E1">
      <w:pPr>
        <w:spacing w:line="360" w:lineRule="auto"/>
        <w:ind w:firstLine="840" w:firstLineChars="350"/>
        <w:rPr>
          <w:rFonts w:hint="eastAsia"/>
          <w:color w:val="auto"/>
          <w:highlight w:val="none"/>
        </w:rPr>
      </w:pPr>
      <w:r>
        <w:rPr>
          <w:rFonts w:hint="eastAsia"/>
          <w:color w:val="auto"/>
          <w:highlight w:val="none"/>
        </w:rPr>
        <w:t>邮编：</w:t>
      </w:r>
    </w:p>
    <w:p w14:paraId="46290B2E">
      <w:pPr>
        <w:spacing w:line="360" w:lineRule="auto"/>
        <w:ind w:firstLine="840" w:firstLineChars="350"/>
        <w:rPr>
          <w:rFonts w:hint="eastAsia"/>
          <w:color w:val="auto"/>
          <w:highlight w:val="none"/>
        </w:rPr>
      </w:pPr>
      <w:r>
        <w:rPr>
          <w:rFonts w:hint="eastAsia"/>
          <w:color w:val="auto"/>
          <w:highlight w:val="none"/>
        </w:rPr>
        <w:t>法定代表人或委托代理人：</w:t>
      </w:r>
    </w:p>
    <w:p w14:paraId="2F9EBEE6">
      <w:pPr>
        <w:spacing w:line="360" w:lineRule="auto"/>
        <w:ind w:firstLine="840" w:firstLineChars="350"/>
        <w:rPr>
          <w:rFonts w:hint="eastAsia"/>
          <w:color w:val="auto"/>
          <w:highlight w:val="none"/>
        </w:rPr>
      </w:pPr>
      <w:r>
        <w:rPr>
          <w:rFonts w:hint="eastAsia"/>
          <w:color w:val="auto"/>
          <w:highlight w:val="none"/>
        </w:rPr>
        <w:t>经办人：</w:t>
      </w:r>
    </w:p>
    <w:p w14:paraId="780E5990">
      <w:pPr>
        <w:spacing w:line="360" w:lineRule="auto"/>
        <w:ind w:firstLine="840" w:firstLineChars="350"/>
        <w:rPr>
          <w:rFonts w:hint="eastAsia"/>
          <w:color w:val="auto"/>
          <w:highlight w:val="none"/>
        </w:rPr>
      </w:pPr>
      <w:r>
        <w:rPr>
          <w:rFonts w:hint="eastAsia"/>
          <w:color w:val="auto"/>
          <w:highlight w:val="none"/>
        </w:rPr>
        <w:t>电话：</w:t>
      </w:r>
    </w:p>
    <w:p w14:paraId="598EEB9D">
      <w:pPr>
        <w:spacing w:line="360" w:lineRule="auto"/>
        <w:ind w:firstLine="840" w:firstLineChars="350"/>
        <w:rPr>
          <w:rFonts w:hint="eastAsia"/>
          <w:color w:val="auto"/>
          <w:highlight w:val="none"/>
        </w:rPr>
      </w:pPr>
      <w:r>
        <w:rPr>
          <w:rFonts w:hint="eastAsia"/>
          <w:color w:val="auto"/>
          <w:highlight w:val="none"/>
        </w:rPr>
        <w:t>日期：</w:t>
      </w:r>
    </w:p>
    <w:p w14:paraId="5AF1BB14">
      <w:pPr>
        <w:spacing w:line="360" w:lineRule="auto"/>
        <w:ind w:firstLine="482"/>
        <w:rPr>
          <w:rFonts w:hint="eastAsia"/>
          <w:b/>
          <w:color w:val="auto"/>
          <w:highlight w:val="none"/>
        </w:rPr>
      </w:pPr>
    </w:p>
    <w:p w14:paraId="06A2CE54">
      <w:pPr>
        <w:pStyle w:val="17"/>
        <w:ind w:firstLine="851"/>
        <w:rPr>
          <w:rFonts w:hint="eastAsia"/>
          <w:color w:val="auto"/>
          <w:highlight w:val="none"/>
        </w:rPr>
      </w:pPr>
    </w:p>
    <w:p w14:paraId="2ED21ABF">
      <w:pPr>
        <w:pStyle w:val="36"/>
        <w:ind w:firstLine="260"/>
        <w:rPr>
          <w:rFonts w:hint="eastAsia"/>
          <w:color w:val="auto"/>
          <w:highlight w:val="none"/>
        </w:rPr>
      </w:pPr>
    </w:p>
    <w:p w14:paraId="4D58EDFF">
      <w:pPr>
        <w:adjustRightInd w:val="0"/>
        <w:snapToGrid w:val="0"/>
        <w:spacing w:line="360" w:lineRule="auto"/>
        <w:ind w:firstLine="480" w:firstLineChars="200"/>
        <w:rPr>
          <w:rFonts w:hint="eastAsia"/>
          <w:color w:val="auto"/>
          <w:highlight w:val="none"/>
        </w:rPr>
      </w:pPr>
    </w:p>
    <w:p w14:paraId="67AF3CF4">
      <w:pPr>
        <w:adjustRightInd w:val="0"/>
        <w:snapToGrid w:val="0"/>
        <w:spacing w:line="360" w:lineRule="auto"/>
        <w:rPr>
          <w:rFonts w:hint="eastAsia"/>
          <w:b/>
          <w:color w:val="auto"/>
          <w:highlight w:val="none"/>
        </w:rPr>
      </w:pPr>
      <w:r>
        <w:rPr>
          <w:rFonts w:hint="eastAsia"/>
          <w:b/>
          <w:color w:val="auto"/>
          <w:highlight w:val="none"/>
        </w:rPr>
        <w:t>甲方：</w:t>
      </w:r>
    </w:p>
    <w:p w14:paraId="48C25D5E">
      <w:pPr>
        <w:adjustRightInd w:val="0"/>
        <w:snapToGrid w:val="0"/>
        <w:spacing w:line="360" w:lineRule="auto"/>
        <w:rPr>
          <w:rFonts w:hint="eastAsia"/>
          <w:b/>
          <w:color w:val="auto"/>
          <w:highlight w:val="none"/>
        </w:rPr>
      </w:pPr>
      <w:r>
        <w:rPr>
          <w:rFonts w:hint="eastAsia"/>
          <w:b/>
          <w:color w:val="auto"/>
          <w:highlight w:val="none"/>
        </w:rPr>
        <w:t>乙方：</w:t>
      </w:r>
    </w:p>
    <w:p w14:paraId="6384BB3C">
      <w:pPr>
        <w:spacing w:line="360" w:lineRule="auto"/>
        <w:ind w:firstLine="480" w:firstLineChars="200"/>
        <w:rPr>
          <w:rFonts w:hint="eastAsia" w:cs="Courier New"/>
          <w:color w:val="auto"/>
          <w:highlight w:val="none"/>
        </w:rPr>
      </w:pPr>
      <w:r>
        <w:rPr>
          <w:rFonts w:hint="eastAsia" w:cs="Courier New"/>
          <w:color w:val="auto"/>
          <w:highlight w:val="none"/>
        </w:rPr>
        <w:t>根据</w:t>
      </w:r>
      <w:r>
        <w:rPr>
          <w:rFonts w:hint="eastAsia" w:cs="Courier New"/>
          <w:color w:val="auto"/>
          <w:highlight w:val="none"/>
          <w:u w:val="single"/>
        </w:rPr>
        <w:t xml:space="preserve">       </w:t>
      </w:r>
      <w:r>
        <w:rPr>
          <w:rFonts w:hint="eastAsia" w:cs="Courier New"/>
          <w:color w:val="auto"/>
          <w:highlight w:val="none"/>
        </w:rPr>
        <w:t>的采购结果，按照《中华人民共和国政府采购法》《中华人民共和国民法典》的规定，经双方协商，本着平等互利和诚实信用的原则，一致同意签订本合同如下。</w:t>
      </w:r>
    </w:p>
    <w:p w14:paraId="760FCFB3">
      <w:pPr>
        <w:widowControl w:val="0"/>
        <w:spacing w:line="360" w:lineRule="auto"/>
        <w:ind w:firstLine="482" w:firstLineChars="200"/>
        <w:rPr>
          <w:rFonts w:hint="eastAsia"/>
          <w:b/>
          <w:color w:val="auto"/>
          <w:highlight w:val="none"/>
        </w:rPr>
      </w:pPr>
      <w:bookmarkStart w:id="72" w:name="_Toc449081308"/>
      <w:bookmarkStart w:id="73" w:name="_Toc433100727"/>
      <w:bookmarkStart w:id="74" w:name="_Toc433100714"/>
      <w:bookmarkStart w:id="75" w:name="_Toc449081295"/>
      <w:bookmarkStart w:id="76" w:name="_Toc449081309"/>
      <w:bookmarkStart w:id="77" w:name="_Toc433100728"/>
      <w:r>
        <w:rPr>
          <w:rFonts w:hint="eastAsia"/>
          <w:b/>
          <w:color w:val="auto"/>
          <w:highlight w:val="none"/>
        </w:rPr>
        <w:t>一、服务范围</w:t>
      </w:r>
    </w:p>
    <w:p w14:paraId="579FFD3D">
      <w:pPr>
        <w:spacing w:line="360" w:lineRule="auto"/>
        <w:ind w:firstLine="480" w:firstLineChars="200"/>
        <w:rPr>
          <w:rFonts w:hint="eastAsia"/>
          <w:color w:val="auto"/>
          <w:highlight w:val="none"/>
        </w:rPr>
      </w:pPr>
      <w:r>
        <w:rPr>
          <w:rFonts w:hint="eastAsia"/>
          <w:color w:val="auto"/>
          <w:highlight w:val="none"/>
        </w:rPr>
        <w:t>乙方为甲方提供以下服务：</w:t>
      </w:r>
    </w:p>
    <w:p w14:paraId="2FC2E6B3">
      <w:pPr>
        <w:spacing w:line="360" w:lineRule="auto"/>
        <w:ind w:firstLine="480" w:firstLineChars="200"/>
        <w:rPr>
          <w:rFonts w:hint="eastAsia"/>
          <w:color w:val="auto"/>
          <w:highlight w:val="none"/>
          <w:u w:val="single"/>
        </w:rPr>
      </w:pPr>
      <w:r>
        <w:rPr>
          <w:rFonts w:hint="eastAsia"/>
          <w:color w:val="auto"/>
          <w:highlight w:val="none"/>
        </w:rPr>
        <w:t>1.</w:t>
      </w:r>
      <w:r>
        <w:rPr>
          <w:rFonts w:hint="eastAsia"/>
          <w:color w:val="auto"/>
          <w:highlight w:val="none"/>
          <w:u w:val="single"/>
        </w:rPr>
        <w:t xml:space="preserve">                                                        </w:t>
      </w:r>
      <w:r>
        <w:rPr>
          <w:rFonts w:hint="eastAsia"/>
          <w:color w:val="auto"/>
          <w:highlight w:val="none"/>
        </w:rPr>
        <w:t>。</w:t>
      </w:r>
    </w:p>
    <w:p w14:paraId="63193D30">
      <w:pPr>
        <w:spacing w:line="360" w:lineRule="auto"/>
        <w:ind w:firstLine="480" w:firstLineChars="200"/>
        <w:rPr>
          <w:rFonts w:hint="eastAsia"/>
          <w:color w:val="auto"/>
          <w:highlight w:val="none"/>
        </w:rPr>
      </w:pPr>
      <w:r>
        <w:rPr>
          <w:rFonts w:hint="eastAsia"/>
          <w:color w:val="auto"/>
          <w:highlight w:val="none"/>
        </w:rPr>
        <w:t>2.</w:t>
      </w:r>
      <w:r>
        <w:rPr>
          <w:rFonts w:hint="eastAsia"/>
          <w:color w:val="auto"/>
          <w:highlight w:val="none"/>
          <w:u w:val="single"/>
        </w:rPr>
        <w:t xml:space="preserve">                                                       </w:t>
      </w:r>
      <w:r>
        <w:rPr>
          <w:rFonts w:hint="eastAsia"/>
          <w:color w:val="auto"/>
          <w:highlight w:val="none"/>
        </w:rPr>
        <w:t>。</w:t>
      </w:r>
    </w:p>
    <w:p w14:paraId="5A4D444F">
      <w:pPr>
        <w:spacing w:line="360" w:lineRule="auto"/>
        <w:ind w:firstLine="480" w:firstLineChars="200"/>
        <w:rPr>
          <w:rFonts w:hint="eastAsia"/>
          <w:color w:val="auto"/>
          <w:highlight w:val="none"/>
        </w:rPr>
      </w:pPr>
      <w:r>
        <w:rPr>
          <w:rFonts w:hint="eastAsia"/>
          <w:color w:val="auto"/>
          <w:highlight w:val="none"/>
        </w:rPr>
        <w:t>3.</w:t>
      </w:r>
      <w:r>
        <w:rPr>
          <w:rFonts w:hint="eastAsia"/>
          <w:color w:val="auto"/>
          <w:highlight w:val="none"/>
          <w:u w:val="single"/>
        </w:rPr>
        <w:t xml:space="preserve">                                                       </w:t>
      </w:r>
      <w:r>
        <w:rPr>
          <w:rFonts w:hint="eastAsia"/>
          <w:color w:val="auto"/>
          <w:highlight w:val="none"/>
        </w:rPr>
        <w:t>。</w:t>
      </w:r>
    </w:p>
    <w:p w14:paraId="61427DCA">
      <w:pPr>
        <w:widowControl w:val="0"/>
        <w:spacing w:line="360" w:lineRule="auto"/>
        <w:ind w:firstLine="482" w:firstLineChars="200"/>
        <w:rPr>
          <w:rFonts w:hint="eastAsia"/>
          <w:b/>
          <w:color w:val="auto"/>
          <w:highlight w:val="none"/>
        </w:rPr>
      </w:pPr>
      <w:r>
        <w:rPr>
          <w:rFonts w:hint="eastAsia"/>
          <w:b/>
          <w:color w:val="auto"/>
          <w:highlight w:val="none"/>
        </w:rPr>
        <w:t>二、合同金额</w:t>
      </w:r>
    </w:p>
    <w:p w14:paraId="4EE08839">
      <w:pPr>
        <w:spacing w:line="360" w:lineRule="auto"/>
        <w:ind w:firstLine="480" w:firstLineChars="200"/>
        <w:rPr>
          <w:rFonts w:hint="eastAsia"/>
          <w:color w:val="auto"/>
          <w:highlight w:val="none"/>
          <w:u w:val="single"/>
        </w:rPr>
      </w:pPr>
      <w:r>
        <w:rPr>
          <w:rFonts w:hint="eastAsia"/>
          <w:color w:val="auto"/>
          <w:highlight w:val="none"/>
        </w:rPr>
        <w:t>1.合同总金额：¥</w:t>
      </w:r>
      <w:r>
        <w:rPr>
          <w:rFonts w:hint="eastAsia"/>
          <w:color w:val="auto"/>
          <w:highlight w:val="none"/>
          <w:u w:val="single"/>
          <w:lang w:bidi="ar"/>
        </w:rPr>
        <w:t xml:space="preserve">           </w:t>
      </w:r>
      <w:r>
        <w:rPr>
          <w:rFonts w:hint="eastAsia"/>
          <w:color w:val="auto"/>
          <w:highlight w:val="none"/>
          <w:lang w:bidi="ar"/>
        </w:rPr>
        <w:t>元，大写金额：</w:t>
      </w:r>
      <w:r>
        <w:rPr>
          <w:rFonts w:hint="eastAsia"/>
          <w:bCs/>
          <w:color w:val="auto"/>
          <w:kern w:val="2"/>
          <w:highlight w:val="none"/>
        </w:rPr>
        <w:t>人民币</w:t>
      </w:r>
      <w:r>
        <w:rPr>
          <w:rFonts w:hint="eastAsia"/>
          <w:color w:val="auto"/>
          <w:highlight w:val="none"/>
          <w:u w:val="single"/>
        </w:rPr>
        <w:t xml:space="preserve">           </w:t>
      </w:r>
      <w:r>
        <w:rPr>
          <w:rFonts w:hint="eastAsia"/>
          <w:color w:val="auto"/>
          <w:highlight w:val="none"/>
        </w:rPr>
        <w:t>。</w:t>
      </w:r>
    </w:p>
    <w:p w14:paraId="16D6C462">
      <w:pPr>
        <w:spacing w:line="360" w:lineRule="auto"/>
        <w:ind w:firstLine="480" w:firstLineChars="200"/>
        <w:rPr>
          <w:rFonts w:hint="eastAsia"/>
          <w:bCs/>
          <w:color w:val="auto"/>
          <w:highlight w:val="none"/>
        </w:rPr>
      </w:pPr>
      <w:r>
        <w:rPr>
          <w:rFonts w:hint="eastAsia"/>
          <w:color w:val="auto"/>
          <w:highlight w:val="none"/>
        </w:rPr>
        <w:t>2.合同总金额</w:t>
      </w:r>
      <w:r>
        <w:rPr>
          <w:rFonts w:hint="eastAsia"/>
          <w:bCs/>
          <w:color w:val="auto"/>
          <w:kern w:val="2"/>
          <w:highlight w:val="none"/>
        </w:rPr>
        <w:t>为人民币含税全包价，包括设备、材料、随配附件、备品备件、工具、运抵指定交货地点、现场安装调试的各种费用和售后服务、项目期内的管护费、税金、措施费、施工费、过渡期运维和指挥中心升级改造费等完成本采购内容所需的一切费用。项目实施后乙方不得另行收取其他任何费用。</w:t>
      </w:r>
    </w:p>
    <w:p w14:paraId="483896A1">
      <w:pPr>
        <w:widowControl w:val="0"/>
        <w:spacing w:line="360" w:lineRule="auto"/>
        <w:ind w:firstLine="482" w:firstLineChars="200"/>
        <w:rPr>
          <w:rFonts w:hint="eastAsia"/>
          <w:b/>
          <w:color w:val="auto"/>
          <w:highlight w:val="none"/>
        </w:rPr>
      </w:pPr>
      <w:r>
        <w:rPr>
          <w:rFonts w:hint="eastAsia"/>
          <w:b/>
          <w:color w:val="auto"/>
          <w:highlight w:val="none"/>
        </w:rPr>
        <w:t>三、服务期及交付地点</w:t>
      </w:r>
    </w:p>
    <w:p w14:paraId="3DF76CB7">
      <w:pPr>
        <w:spacing w:line="360" w:lineRule="auto"/>
        <w:ind w:firstLine="480" w:firstLineChars="200"/>
        <w:rPr>
          <w:rFonts w:hint="eastAsia"/>
          <w:color w:val="auto"/>
          <w:highlight w:val="none"/>
        </w:rPr>
      </w:pPr>
      <w:r>
        <w:rPr>
          <w:rFonts w:hint="eastAsia"/>
          <w:color w:val="auto"/>
          <w:highlight w:val="none"/>
        </w:rPr>
        <w:t>1.服务期：合同签订后</w:t>
      </w:r>
      <w:r>
        <w:rPr>
          <w:rFonts w:hint="eastAsia"/>
          <w:color w:val="auto"/>
          <w:highlight w:val="none"/>
          <w:u w:val="single"/>
          <w:lang w:bidi="ar"/>
        </w:rPr>
        <w:t xml:space="preserve">  </w:t>
      </w:r>
      <w:r>
        <w:rPr>
          <w:rFonts w:hint="eastAsia"/>
          <w:color w:val="auto"/>
          <w:highlight w:val="none"/>
          <w:u w:val="single"/>
          <w:lang w:val="en-US" w:eastAsia="zh-CN" w:bidi="ar"/>
        </w:rPr>
        <w:t xml:space="preserve"> </w:t>
      </w:r>
      <w:r>
        <w:rPr>
          <w:rFonts w:hint="eastAsia"/>
          <w:color w:val="auto"/>
          <w:highlight w:val="none"/>
          <w:u w:val="single"/>
          <w:lang w:bidi="ar"/>
        </w:rPr>
        <w:t xml:space="preserve">  </w:t>
      </w:r>
      <w:r>
        <w:rPr>
          <w:rFonts w:hint="eastAsia"/>
          <w:color w:val="auto"/>
          <w:highlight w:val="none"/>
        </w:rPr>
        <w:t>个日历天内完成项目新建设备安装调试和试运行；</w:t>
      </w:r>
    </w:p>
    <w:p w14:paraId="5812743B">
      <w:pPr>
        <w:spacing w:line="360" w:lineRule="auto"/>
        <w:ind w:firstLine="480" w:firstLineChars="200"/>
        <w:rPr>
          <w:rFonts w:hint="eastAsia"/>
          <w:color w:val="auto"/>
          <w:highlight w:val="none"/>
        </w:rPr>
      </w:pPr>
      <w:r>
        <w:rPr>
          <w:rFonts w:hint="eastAsia"/>
          <w:color w:val="auto"/>
          <w:highlight w:val="none"/>
        </w:rPr>
        <w:t>2.交付地点：甲方指定地点。</w:t>
      </w:r>
    </w:p>
    <w:p w14:paraId="5701EDC6">
      <w:pPr>
        <w:widowControl w:val="0"/>
        <w:spacing w:line="360" w:lineRule="auto"/>
        <w:ind w:firstLine="482" w:firstLineChars="200"/>
        <w:rPr>
          <w:rFonts w:hint="eastAsia"/>
          <w:b/>
          <w:color w:val="auto"/>
          <w:highlight w:val="none"/>
        </w:rPr>
      </w:pPr>
      <w:r>
        <w:rPr>
          <w:rFonts w:hint="eastAsia"/>
          <w:b/>
          <w:color w:val="auto"/>
          <w:highlight w:val="none"/>
        </w:rPr>
        <w:t>四、服务要求</w:t>
      </w:r>
    </w:p>
    <w:p w14:paraId="000BA5D1">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（一）建设内容</w:t>
      </w:r>
    </w:p>
    <w:p w14:paraId="59E4F115">
      <w:pPr>
        <w:pStyle w:val="13"/>
        <w:spacing w:line="360" w:lineRule="auto"/>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 xml:space="preserve">                    ；</w:t>
      </w:r>
    </w:p>
    <w:p w14:paraId="3F018846">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（二）采购内容及技术参数要求</w:t>
      </w:r>
    </w:p>
    <w:tbl>
      <w:tblPr>
        <w:tblStyle w:val="42"/>
        <w:tblW w:w="9457" w:type="dxa"/>
        <w:jc w:val="center"/>
        <w:tblLayout w:type="fixed"/>
        <w:tblCellMar>
          <w:top w:w="0" w:type="dxa"/>
          <w:left w:w="108" w:type="dxa"/>
          <w:bottom w:w="0" w:type="dxa"/>
          <w:right w:w="108" w:type="dxa"/>
        </w:tblCellMar>
      </w:tblPr>
      <w:tblGrid>
        <w:gridCol w:w="790"/>
        <w:gridCol w:w="2164"/>
        <w:gridCol w:w="2184"/>
        <w:gridCol w:w="735"/>
        <w:gridCol w:w="878"/>
        <w:gridCol w:w="1258"/>
        <w:gridCol w:w="1448"/>
      </w:tblGrid>
      <w:tr w14:paraId="5055B5F5">
        <w:tblPrEx>
          <w:tblCellMar>
            <w:top w:w="0" w:type="dxa"/>
            <w:left w:w="108" w:type="dxa"/>
            <w:bottom w:w="0" w:type="dxa"/>
            <w:right w:w="108" w:type="dxa"/>
          </w:tblCellMar>
        </w:tblPrEx>
        <w:trPr>
          <w:trHeight w:val="321"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38D5BE25">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序号</w:t>
            </w:r>
          </w:p>
        </w:tc>
        <w:tc>
          <w:tcPr>
            <w:tcW w:w="2164" w:type="dxa"/>
            <w:tcBorders>
              <w:top w:val="single" w:color="000000" w:sz="4" w:space="0"/>
              <w:left w:val="single" w:color="000000" w:sz="4" w:space="0"/>
              <w:bottom w:val="single" w:color="000000" w:sz="4" w:space="0"/>
              <w:right w:val="single" w:color="000000" w:sz="4" w:space="0"/>
            </w:tcBorders>
            <w:vAlign w:val="center"/>
          </w:tcPr>
          <w:p w14:paraId="7AEC6DA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采购内容（名称）</w:t>
            </w:r>
          </w:p>
        </w:tc>
        <w:tc>
          <w:tcPr>
            <w:tcW w:w="2184" w:type="dxa"/>
            <w:tcBorders>
              <w:top w:val="single" w:color="000000" w:sz="4" w:space="0"/>
              <w:left w:val="single" w:color="000000" w:sz="4" w:space="0"/>
              <w:bottom w:val="single" w:color="000000" w:sz="4" w:space="0"/>
              <w:right w:val="single" w:color="000000" w:sz="4" w:space="0"/>
            </w:tcBorders>
            <w:noWrap/>
            <w:vAlign w:val="center"/>
          </w:tcPr>
          <w:p w14:paraId="5B3876B0">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规格</w:t>
            </w: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202E2D0F">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单位</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26835A3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数量</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18299C12">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单价（元）</w:t>
            </w: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0F552413">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总价（元）</w:t>
            </w:r>
          </w:p>
        </w:tc>
      </w:tr>
      <w:tr w14:paraId="7D9AAF5F">
        <w:tblPrEx>
          <w:tblCellMar>
            <w:top w:w="0" w:type="dxa"/>
            <w:left w:w="108" w:type="dxa"/>
            <w:bottom w:w="0" w:type="dxa"/>
            <w:right w:w="108" w:type="dxa"/>
          </w:tblCellMar>
        </w:tblPrEx>
        <w:trPr>
          <w:trHeight w:val="1095"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033255AB">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1</w:t>
            </w:r>
          </w:p>
        </w:tc>
        <w:tc>
          <w:tcPr>
            <w:tcW w:w="2164" w:type="dxa"/>
            <w:tcBorders>
              <w:top w:val="single" w:color="000000" w:sz="4" w:space="0"/>
              <w:left w:val="single" w:color="000000" w:sz="4" w:space="0"/>
              <w:bottom w:val="single" w:color="000000" w:sz="4" w:space="0"/>
              <w:right w:val="single" w:color="000000" w:sz="4" w:space="0"/>
            </w:tcBorders>
            <w:vAlign w:val="center"/>
          </w:tcPr>
          <w:p w14:paraId="3D0D368C">
            <w:pPr>
              <w:jc w:val="center"/>
              <w:textAlignment w:val="center"/>
              <w:rPr>
                <w:rFonts w:ascii="Times New Roman" w:hAnsi="Times New Roman" w:cs="Times New Roman"/>
                <w:color w:val="auto"/>
                <w:sz w:val="21"/>
                <w:szCs w:val="21"/>
                <w:highlight w:val="none"/>
              </w:rPr>
            </w:pPr>
          </w:p>
        </w:tc>
        <w:tc>
          <w:tcPr>
            <w:tcW w:w="2184" w:type="dxa"/>
            <w:tcBorders>
              <w:top w:val="single" w:color="000000" w:sz="4" w:space="0"/>
              <w:left w:val="single" w:color="000000" w:sz="4" w:space="0"/>
              <w:bottom w:val="single" w:color="000000" w:sz="4" w:space="0"/>
              <w:right w:val="single" w:color="000000" w:sz="4" w:space="0"/>
            </w:tcBorders>
            <w:vAlign w:val="center"/>
          </w:tcPr>
          <w:p w14:paraId="3EF25FE5">
            <w:pPr>
              <w:textAlignment w:val="center"/>
              <w:rPr>
                <w:rFonts w:ascii="Times New Roman" w:hAnsi="Times New Roman" w:cs="Times New Roman"/>
                <w:color w:val="auto"/>
                <w:sz w:val="21"/>
                <w:szCs w:val="21"/>
                <w:highlight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7355A629">
            <w:pPr>
              <w:jc w:val="center"/>
              <w:textAlignment w:val="center"/>
              <w:rPr>
                <w:rFonts w:ascii="Times New Roman" w:hAnsi="Times New Roman" w:cs="Times New Roman"/>
                <w:color w:val="auto"/>
                <w:sz w:val="21"/>
                <w:szCs w:val="21"/>
                <w:highlight w:val="none"/>
              </w:rPr>
            </w:pP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37D46828">
            <w:pPr>
              <w:jc w:val="center"/>
              <w:textAlignment w:val="center"/>
              <w:rPr>
                <w:rFonts w:ascii="Times New Roman" w:hAnsi="Times New Roman" w:cs="Times New Roman"/>
                <w:color w:val="auto"/>
                <w:sz w:val="21"/>
                <w:szCs w:val="21"/>
                <w:highlight w:val="none"/>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6AACAAB5">
            <w:pPr>
              <w:jc w:val="center"/>
              <w:textAlignment w:val="center"/>
              <w:rPr>
                <w:rFonts w:ascii="Times New Roman" w:hAnsi="Times New Roman" w:cs="Times New Roman"/>
                <w:color w:val="auto"/>
                <w:sz w:val="21"/>
                <w:szCs w:val="21"/>
                <w:highlight w:val="none"/>
              </w:rPr>
            </w:pP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7D1DDC55">
            <w:pPr>
              <w:jc w:val="center"/>
              <w:textAlignment w:val="center"/>
              <w:rPr>
                <w:rFonts w:ascii="Times New Roman" w:hAnsi="Times New Roman" w:cs="Times New Roman"/>
                <w:color w:val="auto"/>
                <w:sz w:val="21"/>
                <w:szCs w:val="21"/>
                <w:highlight w:val="none"/>
              </w:rPr>
            </w:pPr>
          </w:p>
        </w:tc>
      </w:tr>
    </w:tbl>
    <w:p w14:paraId="3246D183">
      <w:pPr>
        <w:widowControl w:val="0"/>
        <w:spacing w:line="360" w:lineRule="auto"/>
        <w:ind w:firstLine="482" w:firstLineChars="200"/>
        <w:rPr>
          <w:rFonts w:hint="eastAsia"/>
          <w:b/>
          <w:color w:val="auto"/>
          <w:highlight w:val="none"/>
        </w:rPr>
      </w:pPr>
      <w:r>
        <w:rPr>
          <w:rFonts w:hint="eastAsia"/>
          <w:b/>
          <w:color w:val="auto"/>
          <w:highlight w:val="none"/>
        </w:rPr>
        <w:t>五、质量保证</w:t>
      </w:r>
    </w:p>
    <w:p w14:paraId="61E06E1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1.乙方应保证提供的服务或开发的标的质量指标达到相应的国家标准，行业标准及乙方在本采购活动中提交并确定遵照的有关标准及技术要求。</w:t>
      </w:r>
    </w:p>
    <w:p w14:paraId="79ED8BCD">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2.乙方应保证所供服务或开发的标的没有设计、质量或工艺上的缺陷。</w:t>
      </w:r>
    </w:p>
    <w:p w14:paraId="291930EF">
      <w:pPr>
        <w:widowControl w:val="0"/>
        <w:autoSpaceDE w:val="0"/>
        <w:autoSpaceDN w:val="0"/>
        <w:adjustRightInd w:val="0"/>
        <w:spacing w:line="360" w:lineRule="auto"/>
        <w:ind w:firstLine="480" w:firstLineChars="200"/>
        <w:rPr>
          <w:rFonts w:hint="eastAsia"/>
          <w:b/>
          <w:bCs/>
          <w:color w:val="auto"/>
          <w:highlight w:val="none"/>
        </w:rPr>
      </w:pPr>
      <w:r>
        <w:rPr>
          <w:rFonts w:hint="eastAsia"/>
          <w:color w:val="auto"/>
          <w:highlight w:val="none"/>
        </w:rPr>
        <w:t>3.乙方应保证提供的服务不侵犯任何第三方的专利、商标或版权。否则，乙方须承担对第三方的专利或版权的侵权责任并承担因此而发生的所有费用。</w:t>
      </w:r>
    </w:p>
    <w:p w14:paraId="4677053C">
      <w:pPr>
        <w:spacing w:line="360" w:lineRule="auto"/>
        <w:ind w:firstLine="482" w:firstLineChars="200"/>
        <w:jc w:val="both"/>
        <w:rPr>
          <w:rFonts w:hint="eastAsia"/>
          <w:b/>
          <w:bCs/>
          <w:color w:val="auto"/>
          <w:highlight w:val="none"/>
        </w:rPr>
      </w:pPr>
      <w:r>
        <w:rPr>
          <w:rFonts w:hint="eastAsia"/>
          <w:b/>
          <w:bCs/>
          <w:color w:val="auto"/>
          <w:highlight w:val="none"/>
        </w:rPr>
        <w:t>六、售后服务及要求</w:t>
      </w:r>
    </w:p>
    <w:p w14:paraId="5F10A26A">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1.提供</w:t>
      </w:r>
      <w:r>
        <w:rPr>
          <w:rFonts w:hint="eastAsia"/>
          <w:color w:val="auto"/>
          <w:highlight w:val="none"/>
          <w:lang w:val="zh-CN"/>
        </w:rPr>
        <w:t>7*24小时快速响应服务，确保摄像机在线率和图像质量完好率均不低于9</w:t>
      </w:r>
      <w:r>
        <w:rPr>
          <w:rFonts w:hint="eastAsia"/>
          <w:color w:val="auto"/>
          <w:highlight w:val="none"/>
        </w:rPr>
        <w:t>7</w:t>
      </w:r>
      <w:r>
        <w:rPr>
          <w:rFonts w:hint="eastAsia"/>
          <w:color w:val="auto"/>
          <w:highlight w:val="none"/>
          <w:lang w:val="zh-CN"/>
        </w:rPr>
        <w:t>%。</w:t>
      </w:r>
      <w:r>
        <w:rPr>
          <w:rFonts w:hint="eastAsia"/>
          <w:color w:val="auto"/>
          <w:highlight w:val="none"/>
        </w:rPr>
        <w:t>发生故障知情后10分钟内响应，城区半小时内到达现场、乡镇3小时内到达现场，</w:t>
      </w:r>
      <w:r>
        <w:rPr>
          <w:rFonts w:hint="eastAsia"/>
          <w:color w:val="auto"/>
          <w:highlight w:val="none"/>
          <w:lang w:val="zh-CN"/>
        </w:rPr>
        <w:t>普通故障4小时内解决、复杂故障非特殊情况24小时内解决；</w:t>
      </w:r>
      <w:r>
        <w:rPr>
          <w:rFonts w:hint="eastAsia"/>
          <w:color w:val="auto"/>
          <w:highlight w:val="none"/>
        </w:rPr>
        <w:t>若超过4小时不能解决的</w:t>
      </w:r>
      <w:r>
        <w:rPr>
          <w:rFonts w:hint="eastAsia"/>
          <w:color w:val="auto"/>
          <w:highlight w:val="none"/>
          <w:lang w:val="zh-CN"/>
        </w:rPr>
        <w:t>故障</w:t>
      </w:r>
      <w:r>
        <w:rPr>
          <w:rFonts w:hint="eastAsia"/>
          <w:color w:val="auto"/>
          <w:highlight w:val="none"/>
        </w:rPr>
        <w:t>问题需向甲方提交故障报告说明情况，</w:t>
      </w:r>
      <w:r>
        <w:rPr>
          <w:rFonts w:hint="eastAsia"/>
          <w:color w:val="auto"/>
          <w:highlight w:val="none"/>
          <w:lang w:val="zh-CN"/>
        </w:rPr>
        <w:t>特殊情况由双方共同认定</w:t>
      </w:r>
      <w:r>
        <w:rPr>
          <w:rFonts w:hint="eastAsia"/>
          <w:color w:val="auto"/>
          <w:highlight w:val="none"/>
        </w:rPr>
        <w:t>。</w:t>
      </w:r>
    </w:p>
    <w:p w14:paraId="1C33B1A0">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2.乙方在大规模网络或设备检修前24小时，须通知甲方，同时做好应急预案。</w:t>
      </w:r>
    </w:p>
    <w:p w14:paraId="0631F6E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3.乙方定期不定期组织人员进行日常维护和巡检，适时（不超过一个季度）进行遮挡树枝修剪、遮挡杂物清理、前端镜头清洗、损坏设备更换、系统故障维修等，保证系统稳定正常运行。</w:t>
      </w:r>
    </w:p>
    <w:p w14:paraId="45DADDF4">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4.设备维护：合同期内，乙方对故障设备进行免费维修或更换，并持续提供备品备件各6%以上，存放在</w:t>
      </w:r>
      <w:r>
        <w:rPr>
          <w:rFonts w:hint="eastAsia"/>
          <w:color w:val="auto"/>
          <w:highlight w:val="none"/>
          <w:lang w:eastAsia="zh-CN"/>
        </w:rPr>
        <w:t>玉溪职业技术学院</w:t>
      </w:r>
      <w:r>
        <w:rPr>
          <w:rFonts w:hint="eastAsia"/>
          <w:color w:val="auto"/>
          <w:highlight w:val="none"/>
        </w:rPr>
        <w:t>情报指挥中心，备品备件只作为合同期内的维护保障设备不作为本次合同所采购设备及将来所有权移交设备。当故障设备需进行更换时，所更换设备必须与原设备同品牌同型号，如确无法更换与原设备同品牌同型号设备，必须取得甲方书面确认后方可更换符合参数要求的其它品牌和型号产品设备。</w:t>
      </w:r>
    </w:p>
    <w:p w14:paraId="7881BD24">
      <w:pPr>
        <w:spacing w:line="360" w:lineRule="auto"/>
        <w:ind w:firstLine="482" w:firstLineChars="200"/>
        <w:jc w:val="both"/>
        <w:rPr>
          <w:rFonts w:hint="eastAsia"/>
          <w:b/>
          <w:bCs/>
          <w:color w:val="auto"/>
          <w:highlight w:val="none"/>
        </w:rPr>
      </w:pPr>
      <w:r>
        <w:rPr>
          <w:rFonts w:hint="eastAsia"/>
          <w:b/>
          <w:bCs/>
          <w:color w:val="auto"/>
          <w:highlight w:val="none"/>
        </w:rPr>
        <w:t>七、验收要求</w:t>
      </w:r>
    </w:p>
    <w:p w14:paraId="244216AD">
      <w:pPr>
        <w:spacing w:line="360" w:lineRule="auto"/>
        <w:ind w:firstLine="480" w:firstLineChars="200"/>
        <w:jc w:val="both"/>
        <w:rPr>
          <w:rFonts w:hint="eastAsia"/>
          <w:color w:val="auto"/>
          <w:highlight w:val="none"/>
        </w:rPr>
      </w:pPr>
      <w:r>
        <w:rPr>
          <w:rFonts w:hint="eastAsia"/>
          <w:color w:val="auto"/>
          <w:highlight w:val="none"/>
        </w:rPr>
        <w:t>按照双方约定的标准和方式对乙方提交的技术服务工作成果进行验收。</w:t>
      </w:r>
    </w:p>
    <w:p w14:paraId="166CA36C">
      <w:pPr>
        <w:spacing w:line="360" w:lineRule="auto"/>
        <w:ind w:firstLine="482" w:firstLineChars="200"/>
        <w:jc w:val="both"/>
        <w:rPr>
          <w:rFonts w:hint="eastAsia"/>
          <w:b/>
          <w:bCs/>
          <w:color w:val="auto"/>
          <w:highlight w:val="none"/>
        </w:rPr>
      </w:pPr>
      <w:r>
        <w:rPr>
          <w:rFonts w:hint="eastAsia"/>
          <w:b/>
          <w:bCs/>
          <w:color w:val="auto"/>
          <w:highlight w:val="none"/>
        </w:rPr>
        <w:t>1.乙方完成技术服务工作的形式</w:t>
      </w:r>
    </w:p>
    <w:p w14:paraId="60C61F07">
      <w:pPr>
        <w:spacing w:line="360" w:lineRule="auto"/>
        <w:ind w:firstLine="480" w:firstLineChars="200"/>
        <w:jc w:val="both"/>
        <w:rPr>
          <w:rFonts w:hint="eastAsia"/>
          <w:color w:val="auto"/>
          <w:highlight w:val="none"/>
        </w:rPr>
      </w:pPr>
      <w:r>
        <w:rPr>
          <w:rFonts w:hint="eastAsia"/>
          <w:color w:val="auto"/>
          <w:highlight w:val="none"/>
        </w:rPr>
        <w:t>（1）乙方结合甲方实际情况和业务需求，利用先进的信息技术手段，完成本项目。</w:t>
      </w:r>
    </w:p>
    <w:p w14:paraId="2BA1439C">
      <w:pPr>
        <w:spacing w:line="360" w:lineRule="auto"/>
        <w:ind w:firstLine="480" w:firstLineChars="200"/>
        <w:jc w:val="both"/>
        <w:rPr>
          <w:rFonts w:hint="eastAsia"/>
          <w:color w:val="auto"/>
          <w:highlight w:val="none"/>
        </w:rPr>
      </w:pPr>
      <w:r>
        <w:rPr>
          <w:rFonts w:hint="eastAsia"/>
          <w:color w:val="auto"/>
          <w:highlight w:val="none"/>
        </w:rPr>
        <w:t>（2）乙方应将项目的使用手册、保修手册、项目有关单证资料等交付给甲方，使用操作及安全须知等重要资料应附有中文说明。</w:t>
      </w:r>
    </w:p>
    <w:p w14:paraId="64AB7902">
      <w:pPr>
        <w:spacing w:line="360" w:lineRule="auto"/>
        <w:ind w:firstLine="482" w:firstLineChars="200"/>
        <w:jc w:val="both"/>
        <w:rPr>
          <w:rFonts w:hint="eastAsia"/>
          <w:b/>
          <w:bCs/>
          <w:color w:val="auto"/>
          <w:highlight w:val="none"/>
        </w:rPr>
      </w:pPr>
      <w:r>
        <w:rPr>
          <w:rFonts w:hint="eastAsia"/>
          <w:b/>
          <w:bCs/>
          <w:color w:val="auto"/>
          <w:highlight w:val="none"/>
        </w:rPr>
        <w:t>2.项目的验收方法</w:t>
      </w:r>
    </w:p>
    <w:p w14:paraId="214E2A8E">
      <w:pPr>
        <w:spacing w:line="360" w:lineRule="auto"/>
        <w:ind w:firstLine="480" w:firstLineChars="200"/>
        <w:jc w:val="both"/>
        <w:rPr>
          <w:rFonts w:hint="eastAsia"/>
          <w:color w:val="auto"/>
          <w:highlight w:val="none"/>
        </w:rPr>
      </w:pPr>
      <w:r>
        <w:rPr>
          <w:rFonts w:hint="eastAsia"/>
          <w:color w:val="auto"/>
          <w:highlight w:val="none"/>
        </w:rPr>
        <w:t>（1）项目内部验收（即初验）：本项目完成项目建设后根据国家以及相关规定进行内部验收，内部验收合格后进入试运行阶段，试运行一段时间后根据甲方的使用情况和国家以及相关规定进行综合验收。</w:t>
      </w:r>
    </w:p>
    <w:p w14:paraId="4EC3417B">
      <w:pPr>
        <w:spacing w:line="360" w:lineRule="auto"/>
        <w:ind w:firstLine="480" w:firstLineChars="200"/>
        <w:jc w:val="both"/>
        <w:rPr>
          <w:rFonts w:hint="eastAsia"/>
          <w:color w:val="auto"/>
          <w:highlight w:val="none"/>
        </w:rPr>
      </w:pPr>
      <w:r>
        <w:rPr>
          <w:rFonts w:hint="eastAsia"/>
          <w:color w:val="auto"/>
          <w:highlight w:val="none"/>
        </w:rPr>
        <w:t>（2）试运行：项目通过内部验收后，经甲方同意，系统将进入为期60日的试运行阶段，以检验其是否达到本合同约定功能符合运行要求的项目活动。乙方应解决项目内部验收遗留问题及试运行期间所反映出的问题，若系统达不到合同规定要求，试运行期将继续顺延，直到系统完善。</w:t>
      </w:r>
    </w:p>
    <w:p w14:paraId="33B3F8DB">
      <w:pPr>
        <w:spacing w:line="360" w:lineRule="auto"/>
        <w:ind w:firstLine="480" w:firstLineChars="200"/>
        <w:jc w:val="both"/>
        <w:rPr>
          <w:rFonts w:hint="eastAsia"/>
          <w:color w:val="auto"/>
          <w:highlight w:val="none"/>
        </w:rPr>
      </w:pPr>
      <w:r>
        <w:rPr>
          <w:rFonts w:hint="eastAsia"/>
          <w:color w:val="auto"/>
          <w:highlight w:val="none"/>
        </w:rPr>
        <w:t>（3）项目综合验收（即终验）：项目试运行结束，功能达到符合运行要求后，经过本合同约定的试运行，检验系统是否能够完全交付的项目活动。乙方应负责完成内部验收遗留问题的整改，解决所有试运行期间的问题，使系统具备正式上线使用的条件。</w:t>
      </w:r>
    </w:p>
    <w:p w14:paraId="1A5EB5FD">
      <w:pPr>
        <w:spacing w:line="360" w:lineRule="auto"/>
        <w:ind w:firstLine="480" w:firstLineChars="200"/>
        <w:jc w:val="both"/>
        <w:rPr>
          <w:rFonts w:hint="eastAsia"/>
          <w:b/>
          <w:bCs/>
          <w:color w:val="auto"/>
          <w:highlight w:val="none"/>
        </w:rPr>
      </w:pPr>
      <w:r>
        <w:rPr>
          <w:rFonts w:hint="eastAsia"/>
          <w:color w:val="auto"/>
          <w:highlight w:val="none"/>
        </w:rPr>
        <w:t>（4）甲方组成验收小组，按国家有关规定规范进行验收，若无国家标准按行业标准验收，必要时邀请相关专业人员或机构参与验收，评审通过后由甲方出具相应的验收意见书。因质量问题发生争议时，由甲方当地质量技术监督部门鉴定。符合质量技术标准的，鉴定费由甲方承担；否则鉴定费由乙方承担。</w:t>
      </w:r>
    </w:p>
    <w:p w14:paraId="3E7868E0">
      <w:pPr>
        <w:spacing w:line="360" w:lineRule="auto"/>
        <w:ind w:firstLine="482" w:firstLineChars="200"/>
        <w:jc w:val="both"/>
        <w:rPr>
          <w:rFonts w:hint="eastAsia"/>
          <w:b/>
          <w:bCs/>
          <w:color w:val="auto"/>
          <w:highlight w:val="none"/>
        </w:rPr>
      </w:pPr>
      <w:r>
        <w:rPr>
          <w:rFonts w:hint="eastAsia"/>
          <w:b/>
          <w:bCs/>
          <w:color w:val="auto"/>
          <w:highlight w:val="none"/>
        </w:rPr>
        <w:t>3.验收的时间和地点</w:t>
      </w:r>
    </w:p>
    <w:p w14:paraId="2C5C3B88">
      <w:pPr>
        <w:spacing w:line="360" w:lineRule="auto"/>
        <w:ind w:firstLine="480" w:firstLineChars="200"/>
        <w:jc w:val="both"/>
        <w:rPr>
          <w:rFonts w:hint="eastAsia"/>
          <w:color w:val="auto"/>
          <w:highlight w:val="none"/>
        </w:rPr>
      </w:pPr>
      <w:r>
        <w:rPr>
          <w:rFonts w:hint="eastAsia"/>
          <w:color w:val="auto"/>
          <w:highlight w:val="none"/>
          <w:u w:val="single"/>
        </w:rPr>
        <w:t xml:space="preserve">                                           </w:t>
      </w:r>
      <w:r>
        <w:rPr>
          <w:rFonts w:hint="eastAsia"/>
          <w:color w:val="auto"/>
          <w:highlight w:val="none"/>
        </w:rPr>
        <w:t>。</w:t>
      </w:r>
    </w:p>
    <w:p w14:paraId="6964A84C">
      <w:pPr>
        <w:spacing w:line="360" w:lineRule="auto"/>
        <w:ind w:firstLine="482" w:firstLineChars="200"/>
        <w:jc w:val="both"/>
        <w:rPr>
          <w:rFonts w:hint="eastAsia"/>
          <w:b/>
          <w:bCs/>
          <w:color w:val="auto"/>
          <w:highlight w:val="none"/>
        </w:rPr>
      </w:pPr>
      <w:r>
        <w:rPr>
          <w:rFonts w:hint="eastAsia"/>
          <w:b/>
          <w:bCs/>
          <w:color w:val="auto"/>
          <w:highlight w:val="none"/>
        </w:rPr>
        <w:t>八、违约责任与赔偿损失</w:t>
      </w:r>
    </w:p>
    <w:p w14:paraId="559947E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1.乙方应严格按照投标文件的相关要求及上述质量承诺，保证项目中涉及的产品质量，此项如不相符的，甲方有权拒收设备或单方面终止合同，直至取消乙方本次中标资格。</w:t>
      </w:r>
    </w:p>
    <w:p w14:paraId="7468FA2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2.乙方违反上述工期承诺逾期交付，将向甲方每日偿付合同总额仟分之一的违约金，并全额扣除履约保证金。</w:t>
      </w:r>
    </w:p>
    <w:p w14:paraId="7A52A18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3.乙方违反上述联网对接承诺或其中某项不能达到要求，每日偿付合同总额仟分之一的违约金，并全额扣除履约保证金。</w:t>
      </w:r>
    </w:p>
    <w:p w14:paraId="4F0CC5B0">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4.乙方违反上述施工进度承诺的，每延迟1天将向甲方偿付壹万元（10000.00元）的违约金，款项从履约保证金或工程款中扣除。</w:t>
      </w:r>
    </w:p>
    <w:p w14:paraId="3808C994">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5.乙方违反本合同第七款（售后服务保障）中约定的，每次（每项）由乙方向甲方偿付壹仟元（¥1000元）的违约金，款项可从工程款中扣除。</w:t>
      </w:r>
    </w:p>
    <w:p w14:paraId="442A0809">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6.乙方违反保密约定，故意或过失泄密的，除应立即采取措施停止泄密行为，减小泄密造成的损失外，还应向甲方支付合同总价3%的违约金。上述违约金不足以弥补甲方所受损失的，泄密方应予以赔偿。同时，甲方还有权根据泄密造成损失的大小，单方面解除本合同，或通过相关法律途径解决。</w:t>
      </w:r>
    </w:p>
    <w:p w14:paraId="1B830FDF">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7.甲方无正当理由拒收设备，甲方向乙方偿付合同总额的3%的违约金。</w:t>
      </w:r>
    </w:p>
    <w:p w14:paraId="0E04A63F">
      <w:pPr>
        <w:spacing w:line="360" w:lineRule="auto"/>
        <w:ind w:firstLine="482" w:firstLineChars="200"/>
        <w:jc w:val="both"/>
        <w:rPr>
          <w:rFonts w:hint="eastAsia"/>
          <w:b/>
          <w:bCs/>
          <w:color w:val="auto"/>
          <w:highlight w:val="none"/>
        </w:rPr>
      </w:pPr>
      <w:r>
        <w:rPr>
          <w:rFonts w:hint="eastAsia"/>
          <w:b/>
          <w:bCs/>
          <w:color w:val="auto"/>
          <w:highlight w:val="none"/>
        </w:rPr>
        <w:t>九、付款方式：</w:t>
      </w:r>
      <w:r>
        <w:rPr>
          <w:rFonts w:hint="eastAsia"/>
          <w:b/>
          <w:bCs/>
          <w:color w:val="auto"/>
          <w:highlight w:val="none"/>
          <w:u w:val="single"/>
        </w:rPr>
        <w:t xml:space="preserve">           </w:t>
      </w:r>
      <w:r>
        <w:rPr>
          <w:rFonts w:hint="eastAsia"/>
          <w:b/>
          <w:bCs/>
          <w:color w:val="auto"/>
          <w:highlight w:val="none"/>
        </w:rPr>
        <w:t>；</w:t>
      </w:r>
    </w:p>
    <w:bookmarkEnd w:id="72"/>
    <w:bookmarkEnd w:id="73"/>
    <w:bookmarkEnd w:id="74"/>
    <w:bookmarkEnd w:id="75"/>
    <w:p w14:paraId="636A7642">
      <w:pPr>
        <w:widowControl w:val="0"/>
        <w:spacing w:line="360" w:lineRule="auto"/>
        <w:ind w:firstLine="482" w:firstLineChars="200"/>
        <w:rPr>
          <w:rFonts w:hint="eastAsia"/>
          <w:b/>
          <w:color w:val="auto"/>
          <w:highlight w:val="none"/>
        </w:rPr>
      </w:pPr>
      <w:r>
        <w:rPr>
          <w:rFonts w:hint="eastAsia"/>
          <w:b/>
          <w:color w:val="auto"/>
          <w:highlight w:val="none"/>
        </w:rPr>
        <w:t>十、争议的解决</w:t>
      </w:r>
    </w:p>
    <w:p w14:paraId="0647A4B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甲乙双方在履行合同过程中发生纠纷，应及时向有关监督管理部门反映，以便相关部门进行协调或处理；本合同发生争议产生的诉讼，由甲方住所地人民法院管辖。</w:t>
      </w:r>
    </w:p>
    <w:p w14:paraId="05878336">
      <w:pPr>
        <w:widowControl w:val="0"/>
        <w:spacing w:line="360" w:lineRule="auto"/>
        <w:ind w:firstLine="482" w:firstLineChars="200"/>
        <w:rPr>
          <w:rFonts w:hint="eastAsia"/>
          <w:b/>
          <w:color w:val="auto"/>
          <w:highlight w:val="none"/>
        </w:rPr>
      </w:pPr>
      <w:r>
        <w:rPr>
          <w:rFonts w:hint="eastAsia"/>
          <w:b/>
          <w:color w:val="auto"/>
          <w:highlight w:val="none"/>
        </w:rPr>
        <w:t>十一、不可抗力</w:t>
      </w:r>
    </w:p>
    <w:p w14:paraId="3AC169F6">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290AD6D0">
      <w:pPr>
        <w:widowControl w:val="0"/>
        <w:spacing w:line="360" w:lineRule="auto"/>
        <w:ind w:firstLine="482" w:firstLineChars="200"/>
        <w:rPr>
          <w:rFonts w:hint="eastAsia"/>
          <w:b/>
          <w:color w:val="auto"/>
          <w:highlight w:val="none"/>
        </w:rPr>
      </w:pPr>
      <w:r>
        <w:rPr>
          <w:rFonts w:hint="eastAsia"/>
          <w:b/>
          <w:color w:val="auto"/>
          <w:highlight w:val="none"/>
        </w:rPr>
        <w:t>十二、税费</w:t>
      </w:r>
    </w:p>
    <w:p w14:paraId="1FDFB83D">
      <w:pPr>
        <w:shd w:val="clear" w:color="auto" w:fill="FFFFFF"/>
        <w:spacing w:line="360" w:lineRule="auto"/>
        <w:ind w:firstLine="480" w:firstLineChars="200"/>
        <w:rPr>
          <w:rFonts w:hint="eastAsia"/>
          <w:color w:val="auto"/>
          <w:highlight w:val="none"/>
        </w:rPr>
      </w:pPr>
      <w:r>
        <w:rPr>
          <w:rFonts w:hint="eastAsia"/>
          <w:color w:val="auto"/>
          <w:highlight w:val="none"/>
        </w:rPr>
        <w:t>在中国境内、外发生的与本合同执行有关的一切税费均由乙方负担。</w:t>
      </w:r>
    </w:p>
    <w:p w14:paraId="64ABCB5C">
      <w:pPr>
        <w:widowControl w:val="0"/>
        <w:spacing w:line="360" w:lineRule="auto"/>
        <w:ind w:firstLine="482" w:firstLineChars="200"/>
        <w:rPr>
          <w:rFonts w:hint="eastAsia"/>
          <w:b/>
          <w:color w:val="auto"/>
          <w:highlight w:val="none"/>
        </w:rPr>
      </w:pPr>
      <w:r>
        <w:rPr>
          <w:rFonts w:hint="eastAsia"/>
          <w:b/>
          <w:color w:val="auto"/>
          <w:highlight w:val="none"/>
        </w:rPr>
        <w:t>十三、其它</w:t>
      </w:r>
    </w:p>
    <w:p w14:paraId="2DA5620A">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1.本合同所有附件、磋商文件、响应文件、成交通知书均为合同的有效组成部分，与本合同具有同等法律效力。</w:t>
      </w:r>
    </w:p>
    <w:p w14:paraId="3CAED666">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2.在执行本合同的过程中，所有经双方签署确认的文件（包括会议纪要、补充协议、往来信函）即成为本合同的有效组成部分。</w:t>
      </w:r>
    </w:p>
    <w:p w14:paraId="1A63ECCF">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3.如一方地址、电话、传真号码有变更，应在变更当日内书面通知对方，否则，应承担相应责任。</w:t>
      </w:r>
    </w:p>
    <w:p w14:paraId="06808E4E">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4.除甲方事先书面同意外，乙方不得部分或全部转让其应履行的合同项下的义务。</w:t>
      </w:r>
    </w:p>
    <w:p w14:paraId="0CDFF64B">
      <w:pPr>
        <w:widowControl w:val="0"/>
        <w:spacing w:line="360" w:lineRule="auto"/>
        <w:ind w:firstLine="482" w:firstLineChars="200"/>
        <w:rPr>
          <w:rFonts w:hint="eastAsia"/>
          <w:b/>
          <w:color w:val="auto"/>
          <w:highlight w:val="none"/>
        </w:rPr>
      </w:pPr>
      <w:r>
        <w:rPr>
          <w:rFonts w:hint="eastAsia"/>
          <w:b/>
          <w:color w:val="auto"/>
          <w:highlight w:val="none"/>
        </w:rPr>
        <w:t>十四、合同生效</w:t>
      </w:r>
      <w:bookmarkEnd w:id="76"/>
      <w:bookmarkEnd w:id="77"/>
    </w:p>
    <w:p w14:paraId="06F85851">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w:t>
      </w:r>
      <w:r>
        <w:rPr>
          <w:rFonts w:hint="eastAsia"/>
          <w:color w:val="auto"/>
          <w:highlight w:val="none"/>
        </w:rPr>
        <w:t>合同</w:t>
      </w:r>
      <w:r>
        <w:rPr>
          <w:rFonts w:hint="eastAsia" w:hAnsi="Courier New" w:cs="Courier New"/>
          <w:bCs/>
          <w:color w:val="auto"/>
          <w:kern w:val="2"/>
          <w:highlight w:val="none"/>
        </w:rPr>
        <w:t>在甲乙双方法人代表或其授权代表签字盖章后生效。</w:t>
      </w:r>
    </w:p>
    <w:p w14:paraId="0060D054">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2.本合同一式</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份，甲方执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份，乙方执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份，送采购代理机构壹份备案，均具有同等法律效力。</w:t>
      </w:r>
    </w:p>
    <w:p w14:paraId="1D24E323">
      <w:pPr>
        <w:adjustRightInd w:val="0"/>
        <w:snapToGrid w:val="0"/>
        <w:spacing w:line="360" w:lineRule="auto"/>
        <w:ind w:firstLine="480" w:firstLineChars="200"/>
        <w:rPr>
          <w:rFonts w:hint="eastAsia"/>
          <w:color w:val="auto"/>
          <w:highlight w:val="none"/>
        </w:rPr>
      </w:pPr>
    </w:p>
    <w:p w14:paraId="2B2A672C">
      <w:pPr>
        <w:adjustRightInd w:val="0"/>
        <w:snapToGrid w:val="0"/>
        <w:spacing w:line="360" w:lineRule="auto"/>
        <w:ind w:firstLine="480" w:firstLineChars="200"/>
        <w:rPr>
          <w:rFonts w:hint="eastAsia"/>
          <w:color w:val="auto"/>
          <w:highlight w:val="none"/>
        </w:rPr>
      </w:pPr>
    </w:p>
    <w:p w14:paraId="14C4C05B">
      <w:pPr>
        <w:adjustRightInd w:val="0"/>
        <w:snapToGrid w:val="0"/>
        <w:spacing w:line="360" w:lineRule="auto"/>
        <w:ind w:firstLine="480" w:firstLineChars="200"/>
        <w:rPr>
          <w:rFonts w:hint="eastAsia"/>
          <w:color w:val="auto"/>
          <w:highlight w:val="none"/>
        </w:rPr>
      </w:pPr>
    </w:p>
    <w:p w14:paraId="5B140D77">
      <w:pPr>
        <w:spacing w:line="360" w:lineRule="auto"/>
        <w:rPr>
          <w:rFonts w:hint="eastAsia"/>
          <w:bCs/>
          <w:color w:val="auto"/>
          <w:highlight w:val="none"/>
          <w:shd w:val="clear" w:color="auto" w:fill="FFFFFF"/>
        </w:rPr>
      </w:pPr>
    </w:p>
    <w:p w14:paraId="2B558717">
      <w:pPr>
        <w:pStyle w:val="2"/>
        <w:spacing w:before="0"/>
        <w:ind w:left="0" w:firstLine="0"/>
        <w:jc w:val="center"/>
        <w:rPr>
          <w:rFonts w:hint="eastAsia" w:ascii="宋体" w:hAnsi="宋体" w:eastAsia="宋体"/>
          <w:bCs/>
          <w:color w:val="auto"/>
          <w:sz w:val="36"/>
          <w:highlight w:val="none"/>
        </w:rPr>
      </w:pPr>
      <w:r>
        <w:rPr>
          <w:color w:val="auto"/>
          <w:highlight w:val="none"/>
        </w:rPr>
        <w:br w:type="page"/>
      </w:r>
      <w:bookmarkStart w:id="78" w:name="_Toc14771"/>
      <w:r>
        <w:rPr>
          <w:rFonts w:hint="eastAsia" w:ascii="宋体" w:hAnsi="宋体" w:eastAsia="宋体"/>
          <w:bCs/>
          <w:color w:val="auto"/>
          <w:sz w:val="36"/>
          <w:highlight w:val="none"/>
        </w:rPr>
        <w:t>第六章  投标文件格式</w:t>
      </w:r>
      <w:bookmarkEnd w:id="78"/>
    </w:p>
    <w:p w14:paraId="0B2C56AC">
      <w:pPr>
        <w:tabs>
          <w:tab w:val="left" w:pos="1701"/>
        </w:tabs>
        <w:spacing w:line="360" w:lineRule="auto"/>
        <w:ind w:firstLine="964"/>
        <w:jc w:val="center"/>
        <w:rPr>
          <w:rFonts w:hint="eastAsia"/>
          <w:b/>
          <w:color w:val="auto"/>
          <w:sz w:val="48"/>
          <w:szCs w:val="48"/>
          <w:highlight w:val="none"/>
          <w:shd w:val="clear" w:color="auto" w:fill="FFFFFF"/>
        </w:rPr>
      </w:pPr>
    </w:p>
    <w:p w14:paraId="3F05CBBE">
      <w:pPr>
        <w:adjustRightInd w:val="0"/>
        <w:snapToGrid w:val="0"/>
        <w:spacing w:line="360" w:lineRule="auto"/>
        <w:jc w:val="center"/>
        <w:rPr>
          <w:rFonts w:hint="eastAsia" w:eastAsia="宋体"/>
          <w:color w:val="auto"/>
          <w:sz w:val="36"/>
          <w:szCs w:val="36"/>
          <w:highlight w:val="none"/>
          <w:u w:val="single"/>
          <w:lang w:eastAsia="zh-CN"/>
        </w:rPr>
      </w:pPr>
      <w:r>
        <w:rPr>
          <w:rFonts w:hint="eastAsia"/>
          <w:b/>
          <w:color w:val="auto"/>
          <w:sz w:val="36"/>
          <w:szCs w:val="36"/>
          <w:highlight w:val="none"/>
          <w:shd w:val="clear" w:color="auto" w:fill="FFFFFF"/>
          <w:lang w:eastAsia="zh-CN"/>
        </w:rPr>
        <w:t>玉溪职业技术学院（云南省玉溪工业财贸学校）澄江职中提级管理项目（1包）校园监控系统升级改造项目</w:t>
      </w:r>
    </w:p>
    <w:p w14:paraId="5C6607E5">
      <w:pPr>
        <w:spacing w:line="360" w:lineRule="auto"/>
        <w:ind w:firstLine="880"/>
        <w:rPr>
          <w:rFonts w:hint="eastAsia"/>
          <w:color w:val="auto"/>
          <w:sz w:val="44"/>
          <w:highlight w:val="none"/>
        </w:rPr>
      </w:pPr>
    </w:p>
    <w:p w14:paraId="5149CE28">
      <w:pPr>
        <w:spacing w:line="360" w:lineRule="auto"/>
        <w:ind w:firstLine="880"/>
        <w:rPr>
          <w:rFonts w:hint="eastAsia"/>
          <w:color w:val="auto"/>
          <w:sz w:val="44"/>
          <w:highlight w:val="none"/>
        </w:rPr>
      </w:pPr>
    </w:p>
    <w:p w14:paraId="1776B8F0">
      <w:pPr>
        <w:spacing w:line="360" w:lineRule="auto"/>
        <w:jc w:val="center"/>
        <w:rPr>
          <w:rFonts w:hint="eastAsia"/>
          <w:b/>
          <w:color w:val="auto"/>
          <w:sz w:val="72"/>
          <w:highlight w:val="none"/>
        </w:rPr>
      </w:pPr>
    </w:p>
    <w:p w14:paraId="40A191F3">
      <w:pPr>
        <w:spacing w:line="360" w:lineRule="auto"/>
        <w:jc w:val="center"/>
        <w:rPr>
          <w:rFonts w:hint="eastAsia"/>
          <w:b/>
          <w:color w:val="auto"/>
          <w:sz w:val="72"/>
          <w:highlight w:val="none"/>
        </w:rPr>
      </w:pPr>
      <w:r>
        <w:rPr>
          <w:rFonts w:hint="eastAsia"/>
          <w:b/>
          <w:color w:val="auto"/>
          <w:sz w:val="72"/>
          <w:highlight w:val="none"/>
        </w:rPr>
        <w:t>投 标 文 件</w:t>
      </w:r>
    </w:p>
    <w:p w14:paraId="1168EB0D">
      <w:pPr>
        <w:spacing w:line="360" w:lineRule="auto"/>
        <w:ind w:firstLine="560"/>
        <w:rPr>
          <w:rFonts w:hint="eastAsia"/>
          <w:color w:val="auto"/>
          <w:sz w:val="28"/>
          <w:highlight w:val="none"/>
        </w:rPr>
      </w:pPr>
      <w:r>
        <w:rPr>
          <w:rFonts w:hint="eastAsia"/>
          <w:color w:val="auto"/>
          <w:sz w:val="28"/>
          <w:highlight w:val="none"/>
        </w:rPr>
        <w:t xml:space="preserve">                       </w:t>
      </w:r>
    </w:p>
    <w:p w14:paraId="010E080D">
      <w:pPr>
        <w:spacing w:line="360" w:lineRule="auto"/>
        <w:jc w:val="center"/>
        <w:rPr>
          <w:rFonts w:hint="eastAsia" w:eastAsia="宋体"/>
          <w:color w:val="auto"/>
          <w:sz w:val="28"/>
          <w:highlight w:val="none"/>
          <w:lang w:eastAsia="zh-CN"/>
        </w:rPr>
      </w:pPr>
      <w:r>
        <w:rPr>
          <w:rFonts w:hint="eastAsia"/>
          <w:color w:val="auto"/>
          <w:sz w:val="28"/>
          <w:highlight w:val="none"/>
        </w:rPr>
        <w:t>项目编号：</w:t>
      </w:r>
      <w:r>
        <w:rPr>
          <w:rFonts w:hint="eastAsia"/>
          <w:color w:val="auto"/>
          <w:sz w:val="28"/>
          <w:highlight w:val="none"/>
          <w:lang w:eastAsia="zh-CN"/>
        </w:rPr>
        <w:t>ZZGL-2026070H</w:t>
      </w:r>
    </w:p>
    <w:p w14:paraId="1257824A">
      <w:pPr>
        <w:spacing w:line="360" w:lineRule="auto"/>
        <w:ind w:firstLine="480"/>
        <w:rPr>
          <w:rFonts w:hint="eastAsia"/>
          <w:color w:val="auto"/>
          <w:highlight w:val="none"/>
        </w:rPr>
      </w:pPr>
    </w:p>
    <w:p w14:paraId="422E00C3">
      <w:pPr>
        <w:spacing w:line="360" w:lineRule="auto"/>
        <w:ind w:firstLine="480"/>
        <w:rPr>
          <w:rFonts w:hint="eastAsia"/>
          <w:color w:val="auto"/>
          <w:highlight w:val="none"/>
        </w:rPr>
      </w:pPr>
    </w:p>
    <w:p w14:paraId="79E020CD">
      <w:pPr>
        <w:spacing w:line="360" w:lineRule="auto"/>
        <w:ind w:firstLine="480"/>
        <w:rPr>
          <w:rFonts w:hint="eastAsia"/>
          <w:color w:val="auto"/>
          <w:highlight w:val="none"/>
        </w:rPr>
      </w:pPr>
    </w:p>
    <w:p w14:paraId="26574678">
      <w:pPr>
        <w:pStyle w:val="17"/>
        <w:ind w:firstLine="851"/>
        <w:rPr>
          <w:rFonts w:hint="eastAsia"/>
          <w:color w:val="auto"/>
          <w:highlight w:val="none"/>
        </w:rPr>
      </w:pPr>
    </w:p>
    <w:p w14:paraId="7D3735F1">
      <w:pPr>
        <w:spacing w:line="360" w:lineRule="auto"/>
        <w:ind w:firstLine="480"/>
        <w:rPr>
          <w:rFonts w:hint="eastAsia"/>
          <w:color w:val="auto"/>
          <w:highlight w:val="none"/>
        </w:rPr>
      </w:pPr>
    </w:p>
    <w:p w14:paraId="4A1D6246">
      <w:pPr>
        <w:spacing w:line="360" w:lineRule="auto"/>
        <w:ind w:firstLine="560"/>
        <w:rPr>
          <w:rFonts w:hint="eastAsia"/>
          <w:color w:val="auto"/>
          <w:sz w:val="28"/>
          <w:highlight w:val="none"/>
          <w:u w:val="single"/>
        </w:rPr>
      </w:pPr>
      <w:bookmarkStart w:id="79" w:name="_Toc217446082"/>
      <w:bookmarkStart w:id="80" w:name="_Toc5522"/>
      <w:bookmarkStart w:id="81" w:name="_Toc23946"/>
      <w:bookmarkStart w:id="82" w:name="_Toc13820"/>
      <w:r>
        <w:rPr>
          <w:rFonts w:hint="eastAsia"/>
          <w:color w:val="auto"/>
          <w:sz w:val="28"/>
          <w:highlight w:val="none"/>
        </w:rPr>
        <w:t xml:space="preserve">投标人: </w:t>
      </w:r>
      <w:r>
        <w:rPr>
          <w:rFonts w:hint="eastAsia"/>
          <w:color w:val="auto"/>
          <w:sz w:val="28"/>
          <w:highlight w:val="none"/>
          <w:u w:val="single"/>
        </w:rPr>
        <w:t xml:space="preserve">                                              （电子签章）</w:t>
      </w:r>
    </w:p>
    <w:p w14:paraId="644FFDDB">
      <w:pPr>
        <w:spacing w:line="360" w:lineRule="auto"/>
        <w:ind w:firstLine="560"/>
        <w:rPr>
          <w:rFonts w:hint="eastAsia"/>
          <w:color w:val="auto"/>
          <w:sz w:val="28"/>
          <w:highlight w:val="none"/>
        </w:rPr>
      </w:pPr>
      <w:r>
        <w:rPr>
          <w:rFonts w:hint="eastAsia"/>
          <w:color w:val="auto"/>
          <w:sz w:val="28"/>
          <w:highlight w:val="none"/>
        </w:rPr>
        <w:t>法定代表人或其委托代理人:</w:t>
      </w:r>
      <w:r>
        <w:rPr>
          <w:rFonts w:hint="eastAsia"/>
          <w:color w:val="auto"/>
          <w:sz w:val="28"/>
          <w:highlight w:val="none"/>
          <w:u w:val="single"/>
        </w:rPr>
        <w:t xml:space="preserve">                     </w:t>
      </w:r>
      <w:r>
        <w:rPr>
          <w:color w:val="auto"/>
          <w:sz w:val="28"/>
          <w:highlight w:val="none"/>
          <w:u w:val="single"/>
        </w:rPr>
        <w:t xml:space="preserve"> </w:t>
      </w:r>
      <w:r>
        <w:rPr>
          <w:rFonts w:hint="eastAsia"/>
          <w:color w:val="auto"/>
          <w:sz w:val="28"/>
          <w:highlight w:val="none"/>
          <w:u w:val="single"/>
        </w:rPr>
        <w:t xml:space="preserve">     （签字或签章）</w:t>
      </w:r>
    </w:p>
    <w:p w14:paraId="6BCAA002">
      <w:pPr>
        <w:spacing w:line="360" w:lineRule="auto"/>
        <w:ind w:firstLine="560"/>
        <w:rPr>
          <w:rFonts w:hint="eastAsia"/>
          <w:color w:val="auto"/>
          <w:highlight w:val="none"/>
        </w:rPr>
      </w:pPr>
      <w:r>
        <w:rPr>
          <w:rFonts w:hint="eastAsia"/>
          <w:color w:val="auto"/>
          <w:sz w:val="28"/>
          <w:highlight w:val="none"/>
        </w:rPr>
        <w:t>日期:</w:t>
      </w:r>
      <w:r>
        <w:rPr>
          <w:rFonts w:hint="eastAsia"/>
          <w:color w:val="auto"/>
          <w:sz w:val="28"/>
          <w:highlight w:val="none"/>
          <w:u w:val="single"/>
        </w:rPr>
        <w:t xml:space="preserve">         </w:t>
      </w:r>
      <w:r>
        <w:rPr>
          <w:rFonts w:hint="eastAsia"/>
          <w:color w:val="auto"/>
          <w:sz w:val="28"/>
          <w:highlight w:val="none"/>
        </w:rPr>
        <w:t>年</w:t>
      </w:r>
      <w:r>
        <w:rPr>
          <w:rFonts w:hint="eastAsia"/>
          <w:color w:val="auto"/>
          <w:sz w:val="28"/>
          <w:highlight w:val="none"/>
          <w:u w:val="single"/>
        </w:rPr>
        <w:t xml:space="preserve">        </w:t>
      </w:r>
      <w:r>
        <w:rPr>
          <w:rFonts w:hint="eastAsia"/>
          <w:color w:val="auto"/>
          <w:sz w:val="28"/>
          <w:highlight w:val="none"/>
        </w:rPr>
        <w:t>月</w:t>
      </w:r>
      <w:r>
        <w:rPr>
          <w:rFonts w:hint="eastAsia"/>
          <w:color w:val="auto"/>
          <w:sz w:val="28"/>
          <w:highlight w:val="none"/>
          <w:u w:val="single"/>
        </w:rPr>
        <w:t xml:space="preserve">        </w:t>
      </w:r>
      <w:r>
        <w:rPr>
          <w:rFonts w:hint="eastAsia"/>
          <w:color w:val="auto"/>
          <w:sz w:val="28"/>
          <w:highlight w:val="none"/>
        </w:rPr>
        <w:t>日</w:t>
      </w:r>
    </w:p>
    <w:p w14:paraId="57696AAE">
      <w:pPr>
        <w:spacing w:line="360" w:lineRule="auto"/>
        <w:ind w:firstLine="723"/>
        <w:jc w:val="center"/>
        <w:rPr>
          <w:rFonts w:hint="eastAsia" w:ascii="仿宋_BG2312"/>
          <w:b/>
          <w:color w:val="auto"/>
          <w:sz w:val="36"/>
          <w:highlight w:val="none"/>
          <w:shd w:val="clear" w:color="auto" w:fill="FFFFFF"/>
        </w:rPr>
      </w:pPr>
      <w:bookmarkStart w:id="83" w:name="_Toc277679098"/>
      <w:bookmarkStart w:id="84" w:name="_Toc350930234"/>
      <w:bookmarkStart w:id="85" w:name="_Toc352783562"/>
      <w:bookmarkStart w:id="86" w:name="_Toc350930019"/>
      <w:bookmarkStart w:id="87" w:name="_Toc355054077"/>
      <w:bookmarkStart w:id="88" w:name="_Toc350330519"/>
      <w:bookmarkStart w:id="89" w:name="_Toc354231820"/>
      <w:bookmarkStart w:id="90" w:name="_Toc351117903"/>
      <w:bookmarkStart w:id="91" w:name="_Toc74301071"/>
      <w:bookmarkStart w:id="92" w:name="_Toc114836186"/>
      <w:bookmarkStart w:id="93" w:name="_Toc76476014"/>
    </w:p>
    <w:p w14:paraId="022E7C17">
      <w:pPr>
        <w:pStyle w:val="17"/>
        <w:rPr>
          <w:rFonts w:hint="eastAsia"/>
          <w:color w:val="auto"/>
          <w:highlight w:val="none"/>
          <w:shd w:val="clear" w:color="auto" w:fill="FFFFFF"/>
        </w:rPr>
      </w:pPr>
      <w:r>
        <w:rPr>
          <w:rFonts w:hint="eastAsia"/>
          <w:color w:val="auto"/>
          <w:highlight w:val="none"/>
          <w:shd w:val="clear" w:color="auto" w:fill="FFFFFF"/>
        </w:rPr>
        <w:br w:type="page"/>
      </w:r>
    </w:p>
    <w:p w14:paraId="4C5B40E4">
      <w:pPr>
        <w:spacing w:line="360" w:lineRule="auto"/>
        <w:jc w:val="center"/>
        <w:rPr>
          <w:rFonts w:hint="eastAsia" w:ascii="仿宋_BG2312"/>
          <w:b/>
          <w:color w:val="auto"/>
          <w:sz w:val="36"/>
          <w:highlight w:val="none"/>
          <w:shd w:val="clear" w:color="auto" w:fill="FFFFFF"/>
        </w:rPr>
      </w:pPr>
      <w:r>
        <w:rPr>
          <w:rFonts w:hint="eastAsia" w:ascii="仿宋_BG2312"/>
          <w:b/>
          <w:color w:val="auto"/>
          <w:sz w:val="36"/>
          <w:highlight w:val="none"/>
          <w:shd w:val="clear" w:color="auto" w:fill="FFFFFF"/>
        </w:rPr>
        <w:t>开标一览表</w:t>
      </w:r>
    </w:p>
    <w:p w14:paraId="63D5500F">
      <w:pPr>
        <w:spacing w:line="360" w:lineRule="auto"/>
        <w:rPr>
          <w:rFonts w:hint="eastAsia" w:eastAsia="宋体"/>
          <w:b/>
          <w:bCs/>
          <w:color w:val="auto"/>
          <w:highlight w:val="none"/>
          <w:lang w:eastAsia="zh-CN"/>
        </w:rPr>
      </w:pPr>
      <w:r>
        <w:rPr>
          <w:rFonts w:hint="eastAsia"/>
          <w:b/>
          <w:bCs/>
          <w:color w:val="auto"/>
          <w:highlight w:val="none"/>
        </w:rPr>
        <w:t>项目名称：</w:t>
      </w:r>
      <w:r>
        <w:rPr>
          <w:rFonts w:hint="eastAsia"/>
          <w:b/>
          <w:bCs/>
          <w:color w:val="auto"/>
          <w:highlight w:val="none"/>
          <w:lang w:eastAsia="zh-CN"/>
        </w:rPr>
        <w:t>玉溪职业技术学院（云南省玉溪工业财贸学校）澄江职中提级管理项目（1包）校园监控系统升级改造项目</w:t>
      </w:r>
    </w:p>
    <w:p w14:paraId="096D2924">
      <w:pPr>
        <w:spacing w:line="360" w:lineRule="auto"/>
        <w:jc w:val="both"/>
        <w:rPr>
          <w:rFonts w:hint="eastAsia" w:eastAsia="宋体"/>
          <w:b/>
          <w:bCs/>
          <w:color w:val="auto"/>
          <w:highlight w:val="none"/>
          <w:lang w:eastAsia="zh-CN"/>
        </w:rPr>
      </w:pPr>
      <w:r>
        <w:rPr>
          <w:rFonts w:hint="eastAsia"/>
          <w:b/>
          <w:bCs/>
          <w:color w:val="auto"/>
          <w:highlight w:val="none"/>
        </w:rPr>
        <w:t>项目编号：</w:t>
      </w:r>
      <w:r>
        <w:rPr>
          <w:rFonts w:hint="eastAsia"/>
          <w:b/>
          <w:bCs/>
          <w:color w:val="auto"/>
          <w:highlight w:val="none"/>
          <w:lang w:eastAsia="zh-CN"/>
        </w:rPr>
        <w:t>ZZGL-2026070H</w:t>
      </w:r>
    </w:p>
    <w:tbl>
      <w:tblPr>
        <w:tblStyle w:val="43"/>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7608"/>
      </w:tblGrid>
      <w:tr w14:paraId="6F0E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3BD00DD0">
            <w:pPr>
              <w:spacing w:line="360" w:lineRule="auto"/>
              <w:jc w:val="center"/>
              <w:rPr>
                <w:rFonts w:hint="eastAsia"/>
                <w:color w:val="auto"/>
                <w:highlight w:val="none"/>
              </w:rPr>
            </w:pPr>
            <w:r>
              <w:rPr>
                <w:rFonts w:hint="eastAsia"/>
                <w:color w:val="auto"/>
                <w:highlight w:val="none"/>
              </w:rPr>
              <w:t>投标报价</w:t>
            </w:r>
          </w:p>
        </w:tc>
        <w:tc>
          <w:tcPr>
            <w:tcW w:w="7608" w:type="dxa"/>
            <w:tcBorders>
              <w:top w:val="single" w:color="auto" w:sz="4" w:space="0"/>
              <w:left w:val="single" w:color="auto" w:sz="4" w:space="0"/>
              <w:bottom w:val="single" w:color="auto" w:sz="4" w:space="0"/>
              <w:right w:val="single" w:color="auto" w:sz="4" w:space="0"/>
            </w:tcBorders>
            <w:vAlign w:val="center"/>
          </w:tcPr>
          <w:p w14:paraId="37AEC632">
            <w:pPr>
              <w:snapToGrid w:val="0"/>
              <w:spacing w:line="360" w:lineRule="auto"/>
              <w:rPr>
                <w:rFonts w:hint="eastAsia" w:cs="Times New Roman"/>
                <w:color w:val="auto"/>
                <w:highlight w:val="none"/>
                <w:shd w:val="clear" w:color="auto" w:fill="FFFFFF"/>
              </w:rPr>
            </w:pPr>
            <w:r>
              <w:rPr>
                <w:rFonts w:hint="eastAsia"/>
                <w:color w:val="auto"/>
                <w:highlight w:val="none"/>
                <w:shd w:val="clear" w:color="auto" w:fill="FFFFFF"/>
              </w:rPr>
              <w:t>（大写）人民币：</w:t>
            </w:r>
            <w:r>
              <w:rPr>
                <w:rFonts w:hint="eastAsia"/>
                <w:color w:val="auto"/>
                <w:highlight w:val="none"/>
                <w:u w:val="single"/>
                <w:shd w:val="clear" w:color="auto" w:fill="FFFFFF"/>
              </w:rPr>
              <w:t xml:space="preserve">         </w:t>
            </w:r>
            <w:r>
              <w:rPr>
                <w:rFonts w:hint="eastAsia"/>
                <w:color w:val="auto"/>
                <w:highlight w:val="none"/>
                <w:shd w:val="clear" w:color="auto" w:fill="FFFFFF"/>
              </w:rPr>
              <w:t>元</w:t>
            </w:r>
          </w:p>
          <w:p w14:paraId="46F639A4">
            <w:pPr>
              <w:rPr>
                <w:rFonts w:hint="eastAsia"/>
                <w:color w:val="auto"/>
                <w:highlight w:val="none"/>
              </w:rPr>
            </w:pPr>
            <w:r>
              <w:rPr>
                <w:rFonts w:hint="eastAsia"/>
                <w:color w:val="auto"/>
                <w:highlight w:val="none"/>
                <w:shd w:val="clear" w:color="auto" w:fill="FFFFFF"/>
              </w:rPr>
              <w:t>（小写）：￥</w:t>
            </w:r>
            <w:r>
              <w:rPr>
                <w:rFonts w:hint="eastAsia"/>
                <w:color w:val="auto"/>
                <w:highlight w:val="none"/>
                <w:u w:val="single"/>
                <w:shd w:val="clear" w:color="auto" w:fill="FFFFFF"/>
              </w:rPr>
              <w:t xml:space="preserve">         </w:t>
            </w:r>
            <w:r>
              <w:rPr>
                <w:rFonts w:hint="eastAsia"/>
                <w:color w:val="auto"/>
                <w:highlight w:val="none"/>
                <w:shd w:val="clear" w:color="auto" w:fill="FFFFFF"/>
              </w:rPr>
              <w:t>元</w:t>
            </w:r>
          </w:p>
        </w:tc>
      </w:tr>
      <w:tr w14:paraId="3883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0B3D00B4">
            <w:pPr>
              <w:spacing w:line="360" w:lineRule="auto"/>
              <w:jc w:val="center"/>
              <w:rPr>
                <w:rFonts w:hint="eastAsia"/>
                <w:color w:val="auto"/>
                <w:highlight w:val="none"/>
              </w:rPr>
            </w:pPr>
            <w:bookmarkStart w:id="122" w:name="_GoBack"/>
            <w:r>
              <w:rPr>
                <w:rFonts w:hint="eastAsia"/>
                <w:color w:val="auto"/>
                <w:highlight w:val="none"/>
              </w:rPr>
              <w:t>合同履行期限</w:t>
            </w:r>
            <w:bookmarkEnd w:id="122"/>
          </w:p>
        </w:tc>
        <w:tc>
          <w:tcPr>
            <w:tcW w:w="7608" w:type="dxa"/>
            <w:tcBorders>
              <w:top w:val="single" w:color="auto" w:sz="4" w:space="0"/>
              <w:left w:val="single" w:color="auto" w:sz="4" w:space="0"/>
              <w:bottom w:val="single" w:color="auto" w:sz="4" w:space="0"/>
              <w:right w:val="single" w:color="auto" w:sz="4" w:space="0"/>
            </w:tcBorders>
            <w:vAlign w:val="center"/>
          </w:tcPr>
          <w:p w14:paraId="3E50B02A">
            <w:pPr>
              <w:spacing w:line="360" w:lineRule="auto"/>
              <w:jc w:val="center"/>
              <w:rPr>
                <w:rFonts w:hint="eastAsia"/>
                <w:color w:val="auto"/>
                <w:highlight w:val="none"/>
              </w:rPr>
            </w:pPr>
          </w:p>
        </w:tc>
      </w:tr>
      <w:tr w14:paraId="7423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688605F">
            <w:pPr>
              <w:spacing w:line="360" w:lineRule="auto"/>
              <w:jc w:val="center"/>
              <w:rPr>
                <w:rFonts w:hint="eastAsia"/>
                <w:color w:val="auto"/>
                <w:highlight w:val="none"/>
                <w:shd w:val="clear" w:color="auto" w:fill="FFFFFF"/>
              </w:rPr>
            </w:pPr>
            <w:r>
              <w:rPr>
                <w:color w:val="auto"/>
                <w:highlight w:val="none"/>
              </w:rPr>
              <w:t>质量要求</w:t>
            </w:r>
          </w:p>
        </w:tc>
        <w:tc>
          <w:tcPr>
            <w:tcW w:w="7608" w:type="dxa"/>
            <w:tcBorders>
              <w:top w:val="single" w:color="auto" w:sz="4" w:space="0"/>
              <w:left w:val="single" w:color="auto" w:sz="4" w:space="0"/>
              <w:bottom w:val="single" w:color="auto" w:sz="4" w:space="0"/>
              <w:right w:val="single" w:color="auto" w:sz="4" w:space="0"/>
            </w:tcBorders>
            <w:vAlign w:val="center"/>
          </w:tcPr>
          <w:p w14:paraId="08E5D4DD">
            <w:pPr>
              <w:spacing w:line="360" w:lineRule="auto"/>
              <w:rPr>
                <w:rFonts w:hint="eastAsia"/>
                <w:color w:val="auto"/>
                <w:highlight w:val="none"/>
              </w:rPr>
            </w:pPr>
          </w:p>
        </w:tc>
      </w:tr>
      <w:tr w14:paraId="7619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69C599DF">
            <w:pPr>
              <w:spacing w:line="360" w:lineRule="auto"/>
              <w:jc w:val="center"/>
              <w:rPr>
                <w:rFonts w:hint="eastAsia" w:eastAsia="宋体"/>
                <w:color w:val="auto"/>
                <w:highlight w:val="none"/>
                <w:lang w:val="en-US" w:eastAsia="zh-CN"/>
              </w:rPr>
            </w:pPr>
            <w:r>
              <w:rPr>
                <w:rFonts w:hint="eastAsia"/>
                <w:color w:val="auto"/>
                <w:highlight w:val="none"/>
                <w:lang w:val="en-US" w:eastAsia="zh-CN"/>
              </w:rPr>
              <w:t>质保期</w:t>
            </w:r>
          </w:p>
        </w:tc>
        <w:tc>
          <w:tcPr>
            <w:tcW w:w="7608" w:type="dxa"/>
            <w:tcBorders>
              <w:top w:val="single" w:color="auto" w:sz="4" w:space="0"/>
              <w:left w:val="single" w:color="auto" w:sz="4" w:space="0"/>
              <w:bottom w:val="single" w:color="auto" w:sz="4" w:space="0"/>
              <w:right w:val="single" w:color="auto" w:sz="4" w:space="0"/>
            </w:tcBorders>
            <w:vAlign w:val="center"/>
          </w:tcPr>
          <w:p w14:paraId="03B694AB">
            <w:pPr>
              <w:spacing w:line="360" w:lineRule="auto"/>
              <w:rPr>
                <w:rFonts w:hint="eastAsia"/>
                <w:color w:val="auto"/>
                <w:highlight w:val="none"/>
              </w:rPr>
            </w:pPr>
          </w:p>
        </w:tc>
      </w:tr>
      <w:tr w14:paraId="3F9E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B76866A">
            <w:pPr>
              <w:spacing w:line="360" w:lineRule="auto"/>
              <w:jc w:val="center"/>
              <w:rPr>
                <w:rFonts w:hint="eastAsia"/>
                <w:color w:val="auto"/>
                <w:highlight w:val="none"/>
              </w:rPr>
            </w:pPr>
            <w:r>
              <w:rPr>
                <w:rFonts w:hint="eastAsia"/>
                <w:color w:val="auto"/>
                <w:highlight w:val="none"/>
              </w:rPr>
              <w:t>备    注</w:t>
            </w:r>
          </w:p>
        </w:tc>
        <w:tc>
          <w:tcPr>
            <w:tcW w:w="7608" w:type="dxa"/>
            <w:tcBorders>
              <w:top w:val="single" w:color="auto" w:sz="4" w:space="0"/>
              <w:left w:val="single" w:color="auto" w:sz="4" w:space="0"/>
              <w:bottom w:val="single" w:color="auto" w:sz="4" w:space="0"/>
              <w:right w:val="single" w:color="auto" w:sz="4" w:space="0"/>
            </w:tcBorders>
            <w:vAlign w:val="center"/>
          </w:tcPr>
          <w:p w14:paraId="2D0F50DF">
            <w:pPr>
              <w:spacing w:line="360" w:lineRule="auto"/>
              <w:jc w:val="center"/>
              <w:rPr>
                <w:rFonts w:hint="eastAsia"/>
                <w:color w:val="auto"/>
                <w:highlight w:val="none"/>
              </w:rPr>
            </w:pPr>
          </w:p>
        </w:tc>
      </w:tr>
    </w:tbl>
    <w:p w14:paraId="38551EEE">
      <w:pPr>
        <w:spacing w:line="360" w:lineRule="auto"/>
        <w:ind w:firstLine="482"/>
        <w:rPr>
          <w:rFonts w:hint="eastAsia"/>
          <w:b/>
          <w:bCs/>
          <w:color w:val="auto"/>
          <w:highlight w:val="none"/>
        </w:rPr>
      </w:pPr>
    </w:p>
    <w:p w14:paraId="34905266">
      <w:pPr>
        <w:spacing w:line="360" w:lineRule="auto"/>
        <w:ind w:firstLine="482"/>
        <w:rPr>
          <w:rFonts w:hint="eastAsia"/>
          <w:b/>
          <w:bCs/>
          <w:color w:val="auto"/>
          <w:highlight w:val="none"/>
        </w:rPr>
      </w:pPr>
      <w:r>
        <w:rPr>
          <w:rFonts w:hint="eastAsia"/>
          <w:b/>
          <w:bCs/>
          <w:color w:val="auto"/>
          <w:highlight w:val="none"/>
        </w:rPr>
        <w:t>注：1、此表必须放在投标文件第一页。</w:t>
      </w:r>
    </w:p>
    <w:p w14:paraId="1FB5E6E7">
      <w:pPr>
        <w:spacing w:line="360" w:lineRule="auto"/>
        <w:ind w:firstLine="482" w:firstLineChars="200"/>
        <w:rPr>
          <w:rFonts w:hint="eastAsia"/>
          <w:b/>
          <w:bCs/>
          <w:color w:val="auto"/>
          <w:highlight w:val="none"/>
        </w:rPr>
      </w:pPr>
      <w:r>
        <w:rPr>
          <w:rFonts w:hint="eastAsia"/>
          <w:b/>
          <w:bCs/>
          <w:color w:val="auto"/>
          <w:highlight w:val="none"/>
        </w:rPr>
        <w:t>2、投标报价币种:按人民币报价。</w:t>
      </w:r>
    </w:p>
    <w:p w14:paraId="2067E936">
      <w:pPr>
        <w:spacing w:line="360" w:lineRule="auto"/>
        <w:ind w:firstLine="480" w:firstLineChars="200"/>
        <w:rPr>
          <w:rFonts w:hint="eastAsia"/>
          <w:color w:val="auto"/>
          <w:highlight w:val="none"/>
        </w:rPr>
      </w:pPr>
    </w:p>
    <w:p w14:paraId="4D6A866C">
      <w:pPr>
        <w:spacing w:line="360" w:lineRule="auto"/>
        <w:ind w:firstLine="480" w:firstLineChars="200"/>
        <w:rPr>
          <w:rFonts w:hint="eastAsia"/>
          <w:color w:val="auto"/>
          <w:highlight w:val="none"/>
        </w:rPr>
      </w:pPr>
    </w:p>
    <w:p w14:paraId="0AB3B3DB">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B078B23">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5B71887E">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D8E2E41">
      <w:pPr>
        <w:shd w:val="solid" w:color="FFFFFF" w:fill="auto"/>
        <w:autoSpaceDN w:val="0"/>
        <w:spacing w:line="360" w:lineRule="auto"/>
        <w:rPr>
          <w:rFonts w:hint="eastAsia" w:ascii="仿宋_BG2312"/>
          <w:color w:val="auto"/>
          <w:highlight w:val="none"/>
          <w:shd w:val="clear" w:color="auto" w:fill="FFFFFF"/>
        </w:rPr>
      </w:pPr>
    </w:p>
    <w:p w14:paraId="42913D58">
      <w:pPr>
        <w:shd w:val="solid" w:color="FFFFFF" w:fill="auto"/>
        <w:autoSpaceDN w:val="0"/>
        <w:spacing w:line="360" w:lineRule="auto"/>
        <w:rPr>
          <w:rFonts w:hint="eastAsia" w:ascii="仿宋_BG2312"/>
          <w:color w:val="auto"/>
          <w:highlight w:val="none"/>
          <w:shd w:val="clear" w:color="auto" w:fill="FFFFFF"/>
        </w:rPr>
      </w:pPr>
    </w:p>
    <w:p w14:paraId="58EB289E">
      <w:pPr>
        <w:shd w:val="solid" w:color="FFFFFF" w:fill="auto"/>
        <w:autoSpaceDN w:val="0"/>
        <w:spacing w:line="360" w:lineRule="auto"/>
        <w:rPr>
          <w:rFonts w:hint="eastAsia" w:ascii="仿宋_BG2312"/>
          <w:color w:val="auto"/>
          <w:highlight w:val="none"/>
          <w:shd w:val="clear" w:color="auto" w:fill="FFFFFF"/>
        </w:rPr>
      </w:pPr>
    </w:p>
    <w:p w14:paraId="50821275">
      <w:pPr>
        <w:shd w:val="solid" w:color="FFFFFF" w:fill="auto"/>
        <w:autoSpaceDN w:val="0"/>
        <w:spacing w:line="360" w:lineRule="auto"/>
        <w:rPr>
          <w:rFonts w:hint="eastAsia" w:ascii="仿宋_BG2312"/>
          <w:color w:val="auto"/>
          <w:highlight w:val="none"/>
          <w:shd w:val="clear" w:color="auto" w:fill="FFFFFF"/>
        </w:rPr>
      </w:pPr>
    </w:p>
    <w:p w14:paraId="290B0346">
      <w:pPr>
        <w:shd w:val="solid" w:color="FFFFFF" w:fill="auto"/>
        <w:autoSpaceDN w:val="0"/>
        <w:spacing w:line="360" w:lineRule="auto"/>
        <w:ind w:firstLine="723"/>
        <w:outlineLvl w:val="1"/>
        <w:rPr>
          <w:rFonts w:hint="eastAsia" w:ascii="仿宋_BG2312"/>
          <w:b/>
          <w:color w:val="auto"/>
          <w:sz w:val="36"/>
          <w:highlight w:val="none"/>
          <w:shd w:val="clear" w:color="auto" w:fill="FFFFFF"/>
        </w:rPr>
        <w:sectPr>
          <w:pgSz w:w="11906" w:h="16838"/>
          <w:pgMar w:top="1134" w:right="1134" w:bottom="1134" w:left="1134" w:header="850" w:footer="850" w:gutter="0"/>
          <w:cols w:space="720" w:num="1"/>
          <w:docGrid w:type="lines" w:linePitch="331" w:charSpace="0"/>
        </w:sectPr>
      </w:pPr>
    </w:p>
    <w:bookmarkEnd w:id="83"/>
    <w:bookmarkEnd w:id="84"/>
    <w:bookmarkEnd w:id="85"/>
    <w:bookmarkEnd w:id="86"/>
    <w:bookmarkEnd w:id="87"/>
    <w:bookmarkEnd w:id="88"/>
    <w:bookmarkEnd w:id="89"/>
    <w:bookmarkEnd w:id="90"/>
    <w:p w14:paraId="26895612">
      <w:pPr>
        <w:numPr>
          <w:ilvl w:val="0"/>
          <w:numId w:val="3"/>
        </w:numPr>
        <w:tabs>
          <w:tab w:val="right" w:pos="8306"/>
        </w:tabs>
        <w:snapToGrid w:val="0"/>
        <w:spacing w:line="360" w:lineRule="auto"/>
        <w:contextualSpacing/>
        <w:outlineLvl w:val="1"/>
        <w:rPr>
          <w:rFonts w:hint="eastAsia" w:ascii="仿宋_BG2312"/>
          <w:b/>
          <w:color w:val="auto"/>
          <w:sz w:val="36"/>
          <w:highlight w:val="none"/>
          <w:shd w:val="clear" w:color="auto" w:fill="FFFFFF"/>
        </w:rPr>
      </w:pPr>
      <w:bookmarkStart w:id="94" w:name="_Toc12899"/>
      <w:r>
        <w:rPr>
          <w:rFonts w:hint="eastAsia" w:ascii="仿宋_BG2312"/>
          <w:b/>
          <w:color w:val="auto"/>
          <w:sz w:val="36"/>
          <w:highlight w:val="none"/>
          <w:shd w:val="clear" w:color="auto" w:fill="FFFFFF"/>
        </w:rPr>
        <w:t>资格审查部分</w:t>
      </w:r>
      <w:bookmarkEnd w:id="91"/>
      <w:bookmarkEnd w:id="92"/>
      <w:bookmarkEnd w:id="93"/>
      <w:bookmarkEnd w:id="94"/>
    </w:p>
    <w:p w14:paraId="7DB7A882">
      <w:pPr>
        <w:snapToGrid w:val="0"/>
        <w:spacing w:line="360" w:lineRule="auto"/>
        <w:contextualSpacing/>
        <w:jc w:val="center"/>
        <w:rPr>
          <w:rFonts w:hint="eastAsia"/>
          <w:b/>
          <w:bCs/>
          <w:color w:val="auto"/>
          <w:sz w:val="32"/>
          <w:szCs w:val="32"/>
          <w:highlight w:val="none"/>
        </w:rPr>
      </w:pPr>
      <w:bookmarkStart w:id="95" w:name="_Toc124784412"/>
      <w:r>
        <w:rPr>
          <w:rFonts w:hint="eastAsia"/>
          <w:b/>
          <w:bCs/>
          <w:color w:val="auto"/>
          <w:sz w:val="32"/>
          <w:szCs w:val="32"/>
          <w:highlight w:val="none"/>
        </w:rPr>
        <w:t>（一）</w:t>
      </w:r>
      <w:r>
        <w:rPr>
          <w:b/>
          <w:bCs/>
          <w:color w:val="auto"/>
          <w:sz w:val="32"/>
          <w:szCs w:val="32"/>
          <w:highlight w:val="none"/>
        </w:rPr>
        <w:t>投标人基本情况表</w:t>
      </w:r>
    </w:p>
    <w:tbl>
      <w:tblPr>
        <w:tblStyle w:val="42"/>
        <w:tblW w:w="975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433"/>
        <w:gridCol w:w="1358"/>
        <w:gridCol w:w="2059"/>
        <w:gridCol w:w="1158"/>
        <w:gridCol w:w="462"/>
        <w:gridCol w:w="910"/>
        <w:gridCol w:w="1372"/>
      </w:tblGrid>
      <w:tr w14:paraId="681B1B9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0" w:space="0"/>
              <w:left w:val="single" w:color="000000" w:sz="0" w:space="0"/>
              <w:bottom w:val="single" w:color="000000" w:sz="0" w:space="0"/>
              <w:right w:val="single" w:color="000000" w:sz="0" w:space="0"/>
            </w:tcBorders>
            <w:shd w:val="solid" w:color="FFFFFF" w:fill="auto"/>
            <w:tcMar>
              <w:top w:w="0" w:type="dxa"/>
              <w:left w:w="108" w:type="dxa"/>
              <w:bottom w:w="0" w:type="dxa"/>
              <w:right w:w="108" w:type="dxa"/>
            </w:tcMar>
            <w:vAlign w:val="center"/>
          </w:tcPr>
          <w:p w14:paraId="09C8775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投标人名称</w:t>
            </w:r>
          </w:p>
        </w:tc>
        <w:tc>
          <w:tcPr>
            <w:tcW w:w="7319" w:type="dxa"/>
            <w:gridSpan w:val="6"/>
            <w:tcBorders>
              <w:left w:val="single" w:color="000000" w:sz="6" w:space="0"/>
            </w:tcBorders>
            <w:shd w:val="solid" w:color="FFFFFF" w:fill="auto"/>
            <w:tcMar>
              <w:top w:w="0" w:type="dxa"/>
              <w:left w:w="108" w:type="dxa"/>
              <w:bottom w:w="0" w:type="dxa"/>
              <w:right w:w="108" w:type="dxa"/>
            </w:tcMar>
            <w:vAlign w:val="center"/>
          </w:tcPr>
          <w:p w14:paraId="6A98199A">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E3FA7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2FE1FE2">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注册地址</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1A0B81">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43804A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邮政编码</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16EAE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D0F9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645" w:hRule="atLeast"/>
          <w:jc w:val="center"/>
        </w:trPr>
        <w:tc>
          <w:tcPr>
            <w:tcW w:w="2433" w:type="dxa"/>
            <w:vMerge w:val="restart"/>
            <w:tcBorders>
              <w:top w:val="single" w:color="000000" w:sz="6" w:space="0"/>
            </w:tcBorders>
            <w:shd w:val="solid" w:color="FFFFFF" w:fill="auto"/>
            <w:tcMar>
              <w:top w:w="0" w:type="dxa"/>
              <w:left w:w="108" w:type="dxa"/>
              <w:bottom w:w="0" w:type="dxa"/>
              <w:right w:w="108" w:type="dxa"/>
            </w:tcMar>
            <w:vAlign w:val="center"/>
          </w:tcPr>
          <w:p w14:paraId="0B00D0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联系方式</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954D83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联系人</w:t>
            </w:r>
            <w:r>
              <w:rPr>
                <w:rFonts w:hint="eastAsia" w:ascii="仿宋_BG2312"/>
                <w:color w:val="auto"/>
                <w:highlight w:val="none"/>
                <w:shd w:val="clear" w:color="auto" w:fill="FFFFFF"/>
              </w:rPr>
              <w:t>（必填）</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6F7DC5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DCC18E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电话</w:t>
            </w:r>
            <w:r>
              <w:rPr>
                <w:rFonts w:hint="eastAsia" w:ascii="仿宋_BG2312"/>
                <w:color w:val="auto"/>
                <w:highlight w:val="none"/>
                <w:shd w:val="clear" w:color="auto" w:fill="FFFFFF"/>
              </w:rPr>
              <w:t>（必填）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9E4D520">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45FE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04" w:hRule="atLeast"/>
          <w:jc w:val="center"/>
        </w:trPr>
        <w:tc>
          <w:tcPr>
            <w:tcW w:w="2433" w:type="dxa"/>
            <w:vMerge w:val="continue"/>
            <w:tcBorders>
              <w:top w:val="single" w:color="000000" w:sz="6" w:space="0"/>
            </w:tcBorders>
            <w:shd w:val="solid" w:color="FFFFFF" w:fill="auto"/>
            <w:tcMar>
              <w:top w:w="0" w:type="dxa"/>
              <w:left w:w="108" w:type="dxa"/>
              <w:bottom w:w="0" w:type="dxa"/>
              <w:right w:w="108" w:type="dxa"/>
            </w:tcMar>
            <w:vAlign w:val="center"/>
          </w:tcPr>
          <w:p w14:paraId="6E0EEAA0">
            <w:pPr>
              <w:spacing w:line="360" w:lineRule="auto"/>
              <w:rPr>
                <w:rFonts w:hint="eastAsia"/>
                <w:color w:val="auto"/>
                <w:highlight w:val="none"/>
              </w:rPr>
            </w:pP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D4BFDD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传真</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75571AC">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3F6D48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合同往来邮箱（必填）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37756">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30FC6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1A45240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法定代表人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984D2D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799BDA7">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00D7BF2">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058C94F">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92F9FBC">
            <w:pPr>
              <w:shd w:val="solid" w:color="FFFFFF" w:fill="auto"/>
              <w:autoSpaceDN w:val="0"/>
              <w:spacing w:line="360" w:lineRule="auto"/>
              <w:rPr>
                <w:rFonts w:hint="eastAsia" w:ascii="仿宋_BG2312"/>
                <w:color w:val="auto"/>
                <w:highlight w:val="none"/>
                <w:shd w:val="clear" w:color="auto" w:fill="FFFFFF"/>
              </w:rPr>
            </w:pPr>
          </w:p>
        </w:tc>
      </w:tr>
      <w:tr w14:paraId="55DF92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F3C9A0A">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项目负责人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2EE6C4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FBD39F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9664FFE">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51775D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010F6F9">
            <w:pPr>
              <w:shd w:val="solid" w:color="FFFFFF" w:fill="auto"/>
              <w:autoSpaceDN w:val="0"/>
              <w:spacing w:line="360" w:lineRule="auto"/>
              <w:rPr>
                <w:rFonts w:hint="eastAsia" w:ascii="仿宋_BG2312"/>
                <w:color w:val="auto"/>
                <w:highlight w:val="none"/>
                <w:shd w:val="clear" w:color="auto" w:fill="FFFFFF"/>
              </w:rPr>
            </w:pPr>
          </w:p>
        </w:tc>
      </w:tr>
      <w:tr w14:paraId="501C7A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D14CAF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技术负责人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1BC48E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52BC4">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BACEF59">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66E77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C9F082">
            <w:pPr>
              <w:shd w:val="solid" w:color="FFFFFF" w:fill="auto"/>
              <w:autoSpaceDN w:val="0"/>
              <w:spacing w:line="360" w:lineRule="auto"/>
              <w:rPr>
                <w:rFonts w:hint="eastAsia" w:ascii="仿宋_BG2312"/>
                <w:color w:val="auto"/>
                <w:highlight w:val="none"/>
                <w:shd w:val="clear" w:color="auto" w:fill="FFFFFF"/>
              </w:rPr>
            </w:pPr>
          </w:p>
        </w:tc>
      </w:tr>
      <w:tr w14:paraId="3E573E4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6FA2C06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成立时间</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1BD5317">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3902" w:type="dxa"/>
            <w:gridSpan w:val="4"/>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729816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员工总人数：</w:t>
            </w:r>
          </w:p>
        </w:tc>
      </w:tr>
      <w:tr w14:paraId="212450A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33FC805C">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统一社会信用代码</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8D5121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59CBCF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935FA9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注册资金</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6DB655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7774BC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AEF44B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开户银行</w:t>
            </w:r>
            <w:r>
              <w:rPr>
                <w:rFonts w:hint="eastAsia" w:ascii="仿宋_BG2312"/>
                <w:color w:val="auto"/>
                <w:highlight w:val="none"/>
                <w:shd w:val="clear" w:color="auto" w:fill="FFFFFF"/>
              </w:rPr>
              <w:t>（必填）</w:t>
            </w:r>
          </w:p>
        </w:tc>
        <w:tc>
          <w:tcPr>
            <w:tcW w:w="7319" w:type="dxa"/>
            <w:gridSpan w:val="6"/>
            <w:tcBorders>
              <w:top w:val="single" w:color="auto" w:sz="4" w:space="0"/>
              <w:left w:val="single" w:color="000000" w:sz="6" w:space="0"/>
            </w:tcBorders>
            <w:shd w:val="solid" w:color="FFFFFF" w:fill="auto"/>
            <w:tcMar>
              <w:top w:w="0" w:type="dxa"/>
              <w:left w:w="108" w:type="dxa"/>
              <w:bottom w:w="0" w:type="dxa"/>
              <w:right w:w="108" w:type="dxa"/>
            </w:tcMar>
            <w:vAlign w:val="center"/>
          </w:tcPr>
          <w:p w14:paraId="482CBDA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7C244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46EB9F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账号</w:t>
            </w:r>
            <w:r>
              <w:rPr>
                <w:rFonts w:hint="eastAsia" w:ascii="仿宋_BG2312"/>
                <w:color w:val="auto"/>
                <w:highlight w:val="none"/>
                <w:shd w:val="clear" w:color="auto" w:fill="FFFFFF"/>
              </w:rPr>
              <w:t>（必填）</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6E0C3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0AD82DB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6"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22D4C688">
            <w:pPr>
              <w:shd w:val="solid" w:color="FFFFFF" w:fill="auto"/>
              <w:autoSpaceDN w:val="0"/>
              <w:spacing w:line="360" w:lineRule="auto"/>
              <w:rPr>
                <w:rFonts w:hint="eastAsia" w:ascii="仿宋_BG2312"/>
                <w:color w:val="auto"/>
                <w:highlight w:val="none"/>
                <w:shd w:val="clear" w:color="auto" w:fill="FFFFFF"/>
              </w:rPr>
            </w:pPr>
            <w:r>
              <w:rPr>
                <w:rFonts w:hint="eastAsia"/>
                <w:color w:val="auto"/>
                <w:highlight w:val="none"/>
                <w:shd w:val="clear" w:color="auto" w:fill="FFFFFF"/>
                <w:lang w:val="zh-CN"/>
              </w:rPr>
              <w:t>企业详细地址</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7D11324">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tc>
      </w:tr>
      <w:tr w14:paraId="05B726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701" w:hRule="atLeast"/>
          <w:jc w:val="center"/>
        </w:trPr>
        <w:tc>
          <w:tcPr>
            <w:tcW w:w="2433" w:type="dxa"/>
            <w:tcBorders>
              <w:top w:val="single" w:color="000000" w:sz="6" w:space="0"/>
            </w:tcBorders>
            <w:shd w:val="solid" w:color="FFFFFF" w:fill="auto"/>
            <w:tcMar>
              <w:top w:w="0" w:type="dxa"/>
              <w:left w:w="108" w:type="dxa"/>
              <w:bottom w:w="0" w:type="dxa"/>
              <w:right w:w="108" w:type="dxa"/>
            </w:tcMar>
          </w:tcPr>
          <w:p w14:paraId="225E6C9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备注</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tcPr>
          <w:p w14:paraId="1B78D60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bl>
    <w:p w14:paraId="5E444EED">
      <w:pPr>
        <w:adjustRightInd w:val="0"/>
        <w:snapToGrid w:val="0"/>
        <w:spacing w:line="360" w:lineRule="auto"/>
        <w:rPr>
          <w:rFonts w:hint="eastAsia" w:cs="Times New Roman"/>
          <w:b/>
          <w:bCs/>
          <w:color w:val="auto"/>
          <w:highlight w:val="none"/>
        </w:rPr>
      </w:pPr>
      <w:r>
        <w:rPr>
          <w:rFonts w:hint="eastAsia"/>
          <w:b/>
          <w:bCs/>
          <w:color w:val="auto"/>
          <w:highlight w:val="none"/>
        </w:rPr>
        <w:t>注：投标人需随此表后提供有效营业执照或事业单位法人证书或其他材料复印件加盖公章。</w:t>
      </w:r>
    </w:p>
    <w:p w14:paraId="7D94D1D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142BC42">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3D0EC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96C2010">
      <w:pPr>
        <w:rPr>
          <w:rFonts w:hint="eastAsia"/>
          <w:color w:val="auto"/>
          <w:highlight w:val="none"/>
          <w:shd w:val="clear" w:color="auto" w:fill="FFFFFF"/>
        </w:rPr>
      </w:pPr>
      <w:r>
        <w:rPr>
          <w:rFonts w:ascii="仿宋_BG2312"/>
          <w:color w:val="auto"/>
          <w:highlight w:val="none"/>
          <w:shd w:val="clear" w:color="auto" w:fill="FFFFFF"/>
        </w:rPr>
        <w:br w:type="page"/>
      </w:r>
    </w:p>
    <w:p w14:paraId="3416DBC2">
      <w:pPr>
        <w:snapToGrid w:val="0"/>
        <w:spacing w:line="360" w:lineRule="auto"/>
        <w:contextualSpacing/>
        <w:jc w:val="center"/>
        <w:rPr>
          <w:rFonts w:hint="eastAsia"/>
          <w:color w:val="auto"/>
          <w:sz w:val="44"/>
          <w:highlight w:val="none"/>
        </w:rPr>
      </w:pPr>
      <w:bookmarkStart w:id="96" w:name="_Toc15676"/>
      <w:bookmarkStart w:id="97" w:name="_Toc124784413"/>
      <w:bookmarkStart w:id="98" w:name="_Toc3346"/>
      <w:bookmarkStart w:id="99" w:name="_Toc27162"/>
      <w:r>
        <w:rPr>
          <w:rFonts w:hint="eastAsia"/>
          <w:b/>
          <w:bCs/>
          <w:color w:val="auto"/>
          <w:sz w:val="32"/>
          <w:szCs w:val="32"/>
          <w:highlight w:val="none"/>
        </w:rPr>
        <w:t>（二）法定代表人身份证明书</w:t>
      </w:r>
      <w:bookmarkEnd w:id="96"/>
      <w:bookmarkEnd w:id="97"/>
      <w:bookmarkEnd w:id="98"/>
      <w:bookmarkEnd w:id="99"/>
    </w:p>
    <w:p w14:paraId="6BF96210">
      <w:pPr>
        <w:tabs>
          <w:tab w:val="right" w:pos="8306"/>
        </w:tabs>
        <w:spacing w:line="360" w:lineRule="auto"/>
        <w:rPr>
          <w:rFonts w:hint="eastAsia"/>
          <w:color w:val="auto"/>
          <w:highlight w:val="none"/>
          <w:u w:val="single"/>
        </w:rPr>
      </w:pPr>
      <w:r>
        <w:rPr>
          <w:rFonts w:hint="eastAsia"/>
          <w:color w:val="auto"/>
          <w:highlight w:val="none"/>
        </w:rPr>
        <w:t>单位名称：</w:t>
      </w:r>
      <w:r>
        <w:rPr>
          <w:rFonts w:hint="eastAsia"/>
          <w:color w:val="auto"/>
          <w:highlight w:val="none"/>
          <w:u w:val="single"/>
        </w:rPr>
        <w:t xml:space="preserve">                              ；</w:t>
      </w:r>
    </w:p>
    <w:p w14:paraId="5933EFAE">
      <w:pPr>
        <w:tabs>
          <w:tab w:val="right" w:pos="8306"/>
        </w:tabs>
        <w:spacing w:line="360" w:lineRule="auto"/>
        <w:rPr>
          <w:rFonts w:hint="eastAsia"/>
          <w:color w:val="auto"/>
          <w:highlight w:val="none"/>
          <w:u w:val="single"/>
        </w:rPr>
      </w:pPr>
      <w:r>
        <w:rPr>
          <w:rFonts w:hint="eastAsia"/>
          <w:color w:val="auto"/>
          <w:highlight w:val="none"/>
        </w:rPr>
        <w:t>单位性质：</w:t>
      </w:r>
      <w:r>
        <w:rPr>
          <w:rFonts w:hint="eastAsia"/>
          <w:color w:val="auto"/>
          <w:highlight w:val="none"/>
          <w:u w:val="single"/>
        </w:rPr>
        <w:t xml:space="preserve">                               ；</w:t>
      </w:r>
    </w:p>
    <w:p w14:paraId="387EC765">
      <w:pPr>
        <w:tabs>
          <w:tab w:val="right" w:pos="8306"/>
        </w:tabs>
        <w:spacing w:line="360" w:lineRule="auto"/>
        <w:rPr>
          <w:rFonts w:hint="eastAsia"/>
          <w:color w:val="auto"/>
          <w:highlight w:val="none"/>
        </w:rPr>
      </w:pPr>
      <w:r>
        <w:rPr>
          <w:rFonts w:hint="eastAsia"/>
          <w:color w:val="auto"/>
          <w:highlight w:val="none"/>
        </w:rPr>
        <w:t>地址：</w:t>
      </w:r>
      <w:r>
        <w:rPr>
          <w:rFonts w:hint="eastAsia"/>
          <w:color w:val="auto"/>
          <w:highlight w:val="none"/>
          <w:u w:val="single"/>
        </w:rPr>
        <w:t xml:space="preserve">                                   ；</w:t>
      </w:r>
    </w:p>
    <w:p w14:paraId="72B437B8">
      <w:pPr>
        <w:tabs>
          <w:tab w:val="right" w:pos="8306"/>
        </w:tabs>
        <w:spacing w:line="360" w:lineRule="auto"/>
        <w:rPr>
          <w:rFonts w:hint="eastAsia"/>
          <w:color w:val="auto"/>
          <w:highlight w:val="none"/>
        </w:rPr>
      </w:pPr>
      <w:r>
        <w:rPr>
          <w:rFonts w:hint="eastAsia"/>
          <w:color w:val="auto"/>
          <w:highlight w:val="none"/>
        </w:rPr>
        <w:t>成立时间：</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 xml:space="preserve"> 月</w:t>
      </w:r>
      <w:r>
        <w:rPr>
          <w:rFonts w:hint="eastAsia"/>
          <w:color w:val="auto"/>
          <w:highlight w:val="none"/>
          <w:u w:val="single"/>
        </w:rPr>
        <w:t xml:space="preserve">      </w:t>
      </w:r>
      <w:r>
        <w:rPr>
          <w:rFonts w:hint="eastAsia"/>
          <w:color w:val="auto"/>
          <w:highlight w:val="none"/>
        </w:rPr>
        <w:t xml:space="preserve">日 </w:t>
      </w:r>
    </w:p>
    <w:p w14:paraId="06CA795F">
      <w:pPr>
        <w:tabs>
          <w:tab w:val="right" w:pos="8306"/>
        </w:tabs>
        <w:spacing w:line="360" w:lineRule="auto"/>
        <w:rPr>
          <w:rFonts w:hint="eastAsia"/>
          <w:color w:val="auto"/>
          <w:highlight w:val="none"/>
          <w:u w:val="single"/>
        </w:rPr>
      </w:pPr>
      <w:r>
        <w:rPr>
          <w:rFonts w:hint="eastAsia"/>
          <w:color w:val="auto"/>
          <w:highlight w:val="none"/>
        </w:rPr>
        <w:t>经营期限：</w:t>
      </w:r>
      <w:r>
        <w:rPr>
          <w:rFonts w:hint="eastAsia"/>
          <w:color w:val="auto"/>
          <w:highlight w:val="none"/>
          <w:u w:val="single"/>
        </w:rPr>
        <w:t xml:space="preserve">                              ；</w:t>
      </w:r>
    </w:p>
    <w:p w14:paraId="209ED7CD">
      <w:pPr>
        <w:tabs>
          <w:tab w:val="right" w:pos="8306"/>
        </w:tabs>
        <w:spacing w:line="360" w:lineRule="auto"/>
        <w:rPr>
          <w:rFonts w:hint="eastAsia"/>
          <w:color w:val="auto"/>
          <w:highlight w:val="none"/>
          <w:u w:val="single"/>
        </w:rPr>
      </w:pPr>
      <w:r>
        <w:rPr>
          <w:rFonts w:hint="eastAsia"/>
          <w:color w:val="auto"/>
          <w:highlight w:val="none"/>
        </w:rPr>
        <w:t>姓名：</w:t>
      </w:r>
      <w:r>
        <w:rPr>
          <w:rFonts w:hint="eastAsia"/>
          <w:color w:val="auto"/>
          <w:highlight w:val="none"/>
          <w:u w:val="single"/>
        </w:rPr>
        <w:t xml:space="preserve">             </w:t>
      </w:r>
      <w:r>
        <w:rPr>
          <w:rFonts w:hint="eastAsia"/>
          <w:color w:val="auto"/>
          <w:highlight w:val="none"/>
        </w:rPr>
        <w:t>性别：</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 xml:space="preserve">职务：            </w:t>
      </w:r>
      <w:r>
        <w:rPr>
          <w:rFonts w:hint="eastAsia"/>
          <w:color w:val="auto"/>
          <w:highlight w:val="none"/>
          <w:u w:val="single"/>
        </w:rPr>
        <w:t xml:space="preserve">  </w:t>
      </w:r>
    </w:p>
    <w:p w14:paraId="08C9A659">
      <w:pPr>
        <w:tabs>
          <w:tab w:val="right" w:pos="8306"/>
        </w:tabs>
        <w:spacing w:line="360" w:lineRule="auto"/>
        <w:rPr>
          <w:rFonts w:hint="eastAsia"/>
          <w:color w:val="auto"/>
          <w:highlight w:val="none"/>
        </w:rPr>
      </w:pPr>
      <w:r>
        <w:rPr>
          <w:rFonts w:hint="eastAsia"/>
          <w:color w:val="auto"/>
          <w:highlight w:val="none"/>
        </w:rPr>
        <w:t>系</w:t>
      </w:r>
      <w:r>
        <w:rPr>
          <w:rFonts w:hint="eastAsia"/>
          <w:color w:val="auto"/>
          <w:highlight w:val="none"/>
          <w:u w:val="single"/>
        </w:rPr>
        <w:t xml:space="preserve">        （投标人的单位名称）       </w:t>
      </w:r>
      <w:r>
        <w:rPr>
          <w:rFonts w:hint="eastAsia"/>
          <w:color w:val="auto"/>
          <w:highlight w:val="none"/>
        </w:rPr>
        <w:t>的法定代表人。</w:t>
      </w:r>
    </w:p>
    <w:p w14:paraId="3AFF53C3">
      <w:pPr>
        <w:tabs>
          <w:tab w:val="right" w:pos="8306"/>
        </w:tabs>
        <w:spacing w:line="360" w:lineRule="auto"/>
        <w:rPr>
          <w:rFonts w:hint="eastAsia"/>
          <w:color w:val="auto"/>
          <w:highlight w:val="none"/>
        </w:rPr>
      </w:pPr>
      <w:r>
        <w:rPr>
          <w:rFonts w:hint="eastAsia"/>
          <w:color w:val="auto"/>
          <w:highlight w:val="none"/>
        </w:rPr>
        <w:t xml:space="preserve">        特此证明。</w:t>
      </w:r>
    </w:p>
    <w:p w14:paraId="703D38DA">
      <w:pPr>
        <w:tabs>
          <w:tab w:val="right" w:pos="8306"/>
        </w:tabs>
        <w:spacing w:line="360" w:lineRule="auto"/>
        <w:ind w:firstLine="480"/>
        <w:rPr>
          <w:rFonts w:hint="eastAsia"/>
          <w:color w:val="auto"/>
          <w:highlight w:val="none"/>
          <w:u w:val="single"/>
        </w:rPr>
      </w:pPr>
      <w:r>
        <w:rPr>
          <w:rFonts w:hint="eastAsia"/>
          <w:color w:val="auto"/>
          <w:highlight w:val="none"/>
        </w:rPr>
        <w:t xml:space="preserve">           投标人：</w:t>
      </w:r>
      <w:r>
        <w:rPr>
          <w:rFonts w:hint="eastAsia"/>
          <w:color w:val="auto"/>
          <w:highlight w:val="none"/>
          <w:u w:val="single"/>
        </w:rPr>
        <w:t xml:space="preserve">                                （电子签章）</w:t>
      </w:r>
    </w:p>
    <w:p w14:paraId="77BAFB4D">
      <w:pPr>
        <w:tabs>
          <w:tab w:val="right" w:pos="8306"/>
        </w:tabs>
        <w:spacing w:line="360" w:lineRule="auto"/>
        <w:rPr>
          <w:rFonts w:hint="eastAsia"/>
          <w:color w:val="auto"/>
          <w:highlight w:val="none"/>
        </w:rPr>
      </w:pPr>
      <w:r>
        <w:rPr>
          <w:rFonts w:hint="eastAsia"/>
          <w:color w:val="auto"/>
          <w:highlight w:val="none"/>
        </w:rPr>
        <w:t xml:space="preserve">                        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B47BFC4">
      <w:pPr>
        <w:tabs>
          <w:tab w:val="right" w:pos="8306"/>
        </w:tabs>
        <w:spacing w:line="360" w:lineRule="auto"/>
        <w:ind w:firstLine="482"/>
        <w:rPr>
          <w:rFonts w:hint="eastAsia"/>
          <w:b/>
          <w:color w:val="auto"/>
          <w:highlight w:val="none"/>
        </w:rPr>
      </w:pPr>
    </w:p>
    <w:p w14:paraId="6A94B9B6">
      <w:pPr>
        <w:tabs>
          <w:tab w:val="right" w:pos="8306"/>
        </w:tabs>
        <w:spacing w:line="360" w:lineRule="auto"/>
        <w:ind w:firstLine="482"/>
        <w:rPr>
          <w:rFonts w:hint="eastAsia"/>
          <w:b/>
          <w:color w:val="auto"/>
          <w:highlight w:val="none"/>
        </w:rPr>
      </w:pPr>
      <w:r>
        <w:rPr>
          <w:rFonts w:hint="eastAsia"/>
          <w:b/>
          <w:color w:val="auto"/>
          <w:highlight w:val="none"/>
        </w:rPr>
        <w:t>附：法定代表人身份证复印件正、反面</w:t>
      </w:r>
    </w:p>
    <w:p w14:paraId="66A57074">
      <w:pPr>
        <w:snapToGrid w:val="0"/>
        <w:spacing w:line="360" w:lineRule="auto"/>
        <w:contextualSpacing/>
        <w:jc w:val="center"/>
        <w:rPr>
          <w:rFonts w:hint="eastAsia" w:ascii="仿宋_BG2312"/>
          <w:color w:val="auto"/>
          <w:highlight w:val="none"/>
          <w:shd w:val="clear" w:color="auto" w:fill="FFFFFF"/>
        </w:rPr>
      </w:pPr>
      <w:r>
        <w:rPr>
          <w:rFonts w:ascii="仿宋_BG2312"/>
          <w:b/>
          <w:color w:val="auto"/>
          <w:sz w:val="36"/>
          <w:highlight w:val="none"/>
          <w:shd w:val="clear" w:color="auto" w:fill="FFFFFF"/>
        </w:rPr>
        <w:br w:type="page"/>
      </w:r>
      <w:r>
        <w:rPr>
          <w:rFonts w:hint="eastAsia"/>
          <w:b/>
          <w:bCs/>
          <w:color w:val="auto"/>
          <w:sz w:val="32"/>
          <w:szCs w:val="32"/>
          <w:highlight w:val="none"/>
        </w:rPr>
        <w:t>（三）</w:t>
      </w:r>
      <w:r>
        <w:rPr>
          <w:b/>
          <w:bCs/>
          <w:color w:val="auto"/>
          <w:sz w:val="32"/>
          <w:szCs w:val="32"/>
          <w:highlight w:val="none"/>
        </w:rPr>
        <w:t>法定代表人授权书</w:t>
      </w:r>
    </w:p>
    <w:p w14:paraId="73D7FD36">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4019F01C">
      <w:pPr>
        <w:shd w:val="solid" w:color="FFFFFF" w:fill="auto"/>
        <w:autoSpaceDN w:val="0"/>
        <w:spacing w:line="360" w:lineRule="auto"/>
        <w:ind w:firstLine="480" w:firstLineChars="200"/>
        <w:rPr>
          <w:rFonts w:hint="eastAsia" w:ascii="仿宋_BG2312"/>
          <w:color w:val="auto"/>
          <w:highlight w:val="none"/>
          <w:shd w:val="clear" w:color="auto" w:fill="FFFFFF"/>
        </w:rPr>
      </w:pPr>
      <w:r>
        <w:rPr>
          <w:rFonts w:ascii="仿宋_BG2312"/>
          <w:color w:val="auto"/>
          <w:highlight w:val="none"/>
          <w:shd w:val="clear" w:color="auto" w:fill="FFFFFF"/>
        </w:rPr>
        <w:t>本授权声明：</w:t>
      </w:r>
      <w:r>
        <w:rPr>
          <w:rFonts w:ascii="仿宋_BG2312"/>
          <w:color w:val="auto"/>
          <w:highlight w:val="none"/>
          <w:u w:val="single"/>
          <w:shd w:val="clear" w:color="auto" w:fill="FFFFFF"/>
        </w:rPr>
        <w:t>　　　　　</w:t>
      </w:r>
      <w:r>
        <w:rPr>
          <w:rFonts w:ascii="仿宋_BG2312"/>
          <w:color w:val="auto"/>
          <w:highlight w:val="none"/>
          <w:shd w:val="clear" w:color="auto" w:fill="FFFFFF"/>
        </w:rPr>
        <w:t>（投标人名称）</w:t>
      </w:r>
      <w:r>
        <w:rPr>
          <w:rFonts w:ascii="仿宋_BG2312"/>
          <w:color w:val="auto"/>
          <w:highlight w:val="none"/>
          <w:u w:val="single"/>
          <w:shd w:val="clear" w:color="auto" w:fill="FFFFFF"/>
        </w:rPr>
        <w:t xml:space="preserve">　　　　  </w:t>
      </w:r>
      <w:r>
        <w:rPr>
          <w:rFonts w:ascii="仿宋_BG2312"/>
          <w:color w:val="auto"/>
          <w:highlight w:val="none"/>
          <w:shd w:val="clear" w:color="auto" w:fill="FFFFFF"/>
        </w:rPr>
        <w:t>（法定代表人姓名、职务）授权</w:t>
      </w:r>
      <w:r>
        <w:rPr>
          <w:rFonts w:ascii="仿宋_BG2312"/>
          <w:color w:val="auto"/>
          <w:highlight w:val="none"/>
          <w:u w:val="single"/>
          <w:shd w:val="clear" w:color="auto" w:fill="FFFFFF"/>
        </w:rPr>
        <w:t>　　　　　　　  　　　　</w:t>
      </w:r>
      <w:r>
        <w:rPr>
          <w:rFonts w:ascii="仿宋_BG2312"/>
          <w:color w:val="auto"/>
          <w:highlight w:val="none"/>
          <w:shd w:val="clear" w:color="auto" w:fill="FFFFFF"/>
        </w:rPr>
        <w:t xml:space="preserve">（被授权人姓名、职务）为我方 “ </w:t>
      </w:r>
      <w:r>
        <w:rPr>
          <w:rFonts w:ascii="仿宋_BG2312"/>
          <w:color w:val="auto"/>
          <w:highlight w:val="none"/>
          <w:u w:val="single"/>
          <w:shd w:val="clear" w:color="auto" w:fill="FFFFFF"/>
        </w:rPr>
        <w:t>　</w:t>
      </w:r>
      <w:r>
        <w:rPr>
          <w:rFonts w:hint="eastAsia" w:ascii="仿宋_BG2312"/>
          <w:color w:val="auto"/>
          <w:highlight w:val="none"/>
          <w:u w:val="single"/>
          <w:shd w:val="clear" w:color="auto" w:fill="FFFFFF"/>
        </w:rPr>
        <w:t>（项目名称）</w:t>
      </w:r>
      <w:r>
        <w:rPr>
          <w:rFonts w:ascii="仿宋_BG2312"/>
          <w:color w:val="auto"/>
          <w:highlight w:val="none"/>
          <w:shd w:val="clear" w:color="auto" w:fill="FFFFFF"/>
        </w:rPr>
        <w:t xml:space="preserve">” </w:t>
      </w:r>
      <w:r>
        <w:rPr>
          <w:rFonts w:hint="eastAsia" w:ascii="仿宋_BG2312"/>
          <w:color w:val="auto"/>
          <w:highlight w:val="none"/>
          <w:u w:val="single"/>
          <w:shd w:val="clear" w:color="auto" w:fill="FFFFFF"/>
        </w:rPr>
        <w:t xml:space="preserve"> </w:t>
      </w:r>
      <w:r>
        <w:rPr>
          <w:rFonts w:ascii="仿宋_BG2312"/>
          <w:color w:val="auto"/>
          <w:highlight w:val="none"/>
          <w:u w:val="single"/>
          <w:shd w:val="clear" w:color="auto" w:fill="FFFFFF"/>
        </w:rPr>
        <w:t>（</w:t>
      </w:r>
      <w:r>
        <w:rPr>
          <w:rFonts w:hint="eastAsia" w:ascii="仿宋_BG2312"/>
          <w:color w:val="auto"/>
          <w:highlight w:val="none"/>
          <w:u w:val="single"/>
          <w:shd w:val="clear" w:color="auto" w:fill="FFFFFF"/>
        </w:rPr>
        <w:t>项目编号</w:t>
      </w:r>
      <w:r>
        <w:rPr>
          <w:rFonts w:ascii="仿宋_BG2312"/>
          <w:color w:val="auto"/>
          <w:highlight w:val="none"/>
          <w:u w:val="single"/>
          <w:shd w:val="clear" w:color="auto" w:fill="FFFFFF"/>
        </w:rPr>
        <w:t>）</w:t>
      </w:r>
      <w:r>
        <w:rPr>
          <w:rFonts w:ascii="仿宋_BG2312"/>
          <w:color w:val="auto"/>
          <w:highlight w:val="none"/>
          <w:shd w:val="clear" w:color="auto" w:fill="FFFFFF"/>
        </w:rPr>
        <w:t>投标活动的合法代表，以我方名义全权处理该项目有关投标、签订合同以及执行合同等一切事宜。</w:t>
      </w:r>
    </w:p>
    <w:p w14:paraId="3E1D46CD">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特此声明。</w:t>
      </w:r>
    </w:p>
    <w:p w14:paraId="0431FE25">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 xml:space="preserve"> </w:t>
      </w:r>
    </w:p>
    <w:p w14:paraId="0CEF727D">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法定代表人（签字或签章）：</w:t>
      </w:r>
      <w:r>
        <w:rPr>
          <w:rFonts w:ascii="仿宋_BG2312"/>
          <w:color w:val="auto"/>
          <w:highlight w:val="none"/>
          <w:shd w:val="clear" w:color="auto" w:fill="FFFFFF"/>
        </w:rPr>
        <w:t xml:space="preserve"> </w:t>
      </w:r>
      <w:r>
        <w:rPr>
          <w:rFonts w:ascii="仿宋_BG2312"/>
          <w:color w:val="auto"/>
          <w:highlight w:val="none"/>
          <w:u w:val="single"/>
          <w:shd w:val="clear" w:color="auto" w:fill="FFFFFF"/>
        </w:rPr>
        <w:t xml:space="preserve">      </w:t>
      </w:r>
    </w:p>
    <w:p w14:paraId="5907DCDB">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1DB0A749">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D0E5A50">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授权代表（签字或签章）：</w:t>
      </w:r>
    </w:p>
    <w:p w14:paraId="4AAB6AC8">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2D2C4B95">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75C4D33">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投标人名称：　　　　</w:t>
      </w:r>
      <w:r>
        <w:rPr>
          <w:rFonts w:ascii="仿宋_BG2312"/>
          <w:color w:val="auto"/>
          <w:highlight w:val="none"/>
          <w:shd w:val="clear" w:color="auto" w:fill="FFFFFF"/>
        </w:rPr>
        <w:t xml:space="preserve"> （电子签章）</w:t>
      </w:r>
    </w:p>
    <w:p w14:paraId="4B0A6E99">
      <w:pPr>
        <w:shd w:val="solid" w:color="FFFFFF" w:fill="auto"/>
        <w:autoSpaceDN w:val="0"/>
        <w:spacing w:line="360" w:lineRule="auto"/>
        <w:ind w:firstLine="480"/>
        <w:rPr>
          <w:rFonts w:hint="eastAsia" w:ascii="仿宋_BG2312"/>
          <w:b/>
          <w:color w:val="auto"/>
          <w:highlight w:val="none"/>
          <w:shd w:val="clear" w:color="auto" w:fill="FFFFFF"/>
        </w:rPr>
      </w:pPr>
      <w:r>
        <w:rPr>
          <w:rFonts w:hint="eastAsia" w:ascii="仿宋_BG2312"/>
          <w:color w:val="auto"/>
          <w:highlight w:val="none"/>
          <w:shd w:val="clear" w:color="auto" w:fill="FFFFFF"/>
        </w:rPr>
        <w:t>日　</w:t>
      </w:r>
      <w:r>
        <w:rPr>
          <w:rFonts w:ascii="仿宋_BG2312"/>
          <w:color w:val="auto"/>
          <w:highlight w:val="none"/>
          <w:shd w:val="clear" w:color="auto" w:fill="FFFFFF"/>
        </w:rPr>
        <w:t xml:space="preserve">  期：</w:t>
      </w:r>
      <w:r>
        <w:rPr>
          <w:rFonts w:ascii="仿宋_BG2312"/>
          <w:b/>
          <w:color w:val="auto"/>
          <w:highlight w:val="none"/>
          <w:shd w:val="clear" w:color="auto" w:fill="FFFFFF"/>
        </w:rPr>
        <w:t xml:space="preserve"> </w:t>
      </w:r>
    </w:p>
    <w:p w14:paraId="6A41D1F3">
      <w:pPr>
        <w:shd w:val="solid" w:color="FFFFFF" w:fill="auto"/>
        <w:autoSpaceDN w:val="0"/>
        <w:spacing w:line="360" w:lineRule="auto"/>
        <w:ind w:firstLine="482"/>
        <w:rPr>
          <w:rFonts w:hint="eastAsia"/>
          <w:b/>
          <w:color w:val="auto"/>
          <w:highlight w:val="none"/>
        </w:rPr>
      </w:pPr>
      <w:r>
        <w:rPr>
          <w:rFonts w:ascii="仿宋_BG2312"/>
          <w:b/>
          <w:color w:val="auto"/>
          <w:highlight w:val="none"/>
          <w:shd w:val="clear" w:color="auto" w:fill="FFFFFF"/>
        </w:rPr>
        <w:t xml:space="preserve"> </w:t>
      </w:r>
      <w:r>
        <w:rPr>
          <w:rFonts w:hint="eastAsia"/>
          <w:b/>
          <w:color w:val="auto"/>
          <w:highlight w:val="none"/>
        </w:rPr>
        <w:t>附：被授权人身份证复印件正、反面</w:t>
      </w:r>
    </w:p>
    <w:p w14:paraId="7A204678">
      <w:pPr>
        <w:shd w:val="solid" w:color="FFFFFF" w:fill="auto"/>
        <w:autoSpaceDN w:val="0"/>
        <w:spacing w:line="360" w:lineRule="auto"/>
        <w:rPr>
          <w:rFonts w:hint="eastAsia" w:ascii="仿宋_BG2312"/>
          <w:color w:val="auto"/>
          <w:highlight w:val="none"/>
          <w:shd w:val="clear" w:color="auto" w:fill="FFFFFF"/>
        </w:rPr>
      </w:pPr>
    </w:p>
    <w:p w14:paraId="433C58B6">
      <w:pPr>
        <w:shd w:val="solid" w:color="FFFFFF" w:fill="auto"/>
        <w:autoSpaceDN w:val="0"/>
        <w:spacing w:line="360" w:lineRule="auto"/>
        <w:ind w:firstLine="640"/>
        <w:rPr>
          <w:rFonts w:hint="eastAsia" w:ascii="仿宋_BG2312"/>
          <w:color w:val="auto"/>
          <w:highlight w:val="none"/>
          <w:shd w:val="clear" w:color="auto" w:fill="FFFFFF"/>
        </w:rPr>
      </w:pPr>
      <w:r>
        <w:rPr>
          <w:rFonts w:ascii="仿宋_BG2312"/>
          <w:color w:val="auto"/>
          <w:sz w:val="32"/>
          <w:highlight w:val="none"/>
          <w:shd w:val="clear" w:color="auto" w:fill="FFFFFF"/>
        </w:rPr>
        <w:t xml:space="preserve">　　　　 </w:t>
      </w:r>
      <w:r>
        <w:rPr>
          <w:rFonts w:ascii="仿宋_BG2312"/>
          <w:b/>
          <w:color w:val="auto"/>
          <w:sz w:val="28"/>
          <w:highlight w:val="none"/>
          <w:shd w:val="clear" w:color="auto" w:fill="FFFFFF"/>
        </w:rPr>
        <w:t xml:space="preserve">　　　　 </w:t>
      </w:r>
    </w:p>
    <w:p w14:paraId="7D242657">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6EDFCAD8">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1A75A866">
      <w:pPr>
        <w:shd w:val="solid" w:color="FFFFFF" w:fill="auto"/>
        <w:autoSpaceDN w:val="0"/>
        <w:spacing w:line="360" w:lineRule="auto"/>
        <w:ind w:firstLine="482"/>
        <w:rPr>
          <w:rFonts w:hint="eastAsia" w:ascii="仿宋_BG2312"/>
          <w:b/>
          <w:color w:val="auto"/>
          <w:highlight w:val="none"/>
          <w:shd w:val="clear" w:color="auto" w:fill="FFFFFF"/>
        </w:rPr>
      </w:pPr>
      <w:r>
        <w:rPr>
          <w:rFonts w:ascii="仿宋_BG2312"/>
          <w:b/>
          <w:color w:val="auto"/>
          <w:highlight w:val="none"/>
          <w:shd w:val="clear" w:color="auto" w:fill="FFFFFF"/>
        </w:rPr>
        <w:t xml:space="preserve"> </w:t>
      </w:r>
    </w:p>
    <w:p w14:paraId="2ECA0222">
      <w:pPr>
        <w:pStyle w:val="17"/>
        <w:ind w:firstLine="851"/>
        <w:rPr>
          <w:rFonts w:hint="eastAsia"/>
          <w:color w:val="auto"/>
          <w:highlight w:val="none"/>
          <w:shd w:val="clear" w:color="auto" w:fill="FFFFFF"/>
        </w:rPr>
      </w:pPr>
      <w:r>
        <w:rPr>
          <w:color w:val="auto"/>
          <w:highlight w:val="none"/>
          <w:shd w:val="clear" w:color="auto" w:fill="FFFFFF"/>
        </w:rPr>
        <w:br w:type="page"/>
      </w:r>
    </w:p>
    <w:p w14:paraId="16C0AB38">
      <w:pPr>
        <w:snapToGrid w:val="0"/>
        <w:spacing w:line="360" w:lineRule="auto"/>
        <w:contextualSpacing/>
        <w:jc w:val="center"/>
        <w:rPr>
          <w:rFonts w:hint="eastAsia"/>
          <w:b/>
          <w:bCs/>
          <w:color w:val="auto"/>
          <w:sz w:val="32"/>
          <w:szCs w:val="32"/>
          <w:highlight w:val="none"/>
        </w:rPr>
      </w:pPr>
      <w:bookmarkStart w:id="100" w:name="_Toc124784424"/>
      <w:r>
        <w:rPr>
          <w:rFonts w:hint="eastAsia"/>
          <w:b/>
          <w:bCs/>
          <w:color w:val="auto"/>
          <w:sz w:val="32"/>
          <w:szCs w:val="32"/>
          <w:highlight w:val="none"/>
        </w:rPr>
        <w:t>（四）投标人资格声明/承诺函</w:t>
      </w:r>
      <w:bookmarkEnd w:id="100"/>
    </w:p>
    <w:p w14:paraId="78754727">
      <w:pPr>
        <w:spacing w:line="360" w:lineRule="auto"/>
        <w:ind w:firstLine="482"/>
        <w:rPr>
          <w:rFonts w:hint="eastAsia"/>
          <w:b/>
          <w:color w:val="auto"/>
          <w:highlight w:val="none"/>
          <w:u w:val="single"/>
        </w:rPr>
      </w:pPr>
      <w:r>
        <w:rPr>
          <w:rFonts w:hint="eastAsia"/>
          <w:b/>
          <w:color w:val="auto"/>
          <w:highlight w:val="none"/>
        </w:rPr>
        <w:t>致：</w:t>
      </w:r>
      <w:r>
        <w:rPr>
          <w:rFonts w:hint="eastAsia"/>
          <w:b/>
          <w:color w:val="auto"/>
          <w:highlight w:val="none"/>
          <w:u w:val="single"/>
        </w:rPr>
        <w:t xml:space="preserve"> （招标人、代理机构） </w:t>
      </w:r>
    </w:p>
    <w:p w14:paraId="46378BC5">
      <w:pPr>
        <w:snapToGrid w:val="0"/>
        <w:spacing w:line="360" w:lineRule="auto"/>
        <w:ind w:firstLine="480" w:firstLineChars="200"/>
        <w:contextualSpacing/>
        <w:rPr>
          <w:rFonts w:hint="eastAsia"/>
          <w:color w:val="auto"/>
          <w:highlight w:val="none"/>
        </w:rPr>
      </w:pPr>
      <w:r>
        <w:rPr>
          <w:rFonts w:hint="eastAsia"/>
          <w:color w:val="auto"/>
          <w:highlight w:val="none"/>
        </w:rPr>
        <w:t>关于贵公司</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 xml:space="preserve">日发布 </w:t>
      </w:r>
      <w:r>
        <w:rPr>
          <w:rFonts w:hint="eastAsia"/>
          <w:color w:val="auto"/>
          <w:highlight w:val="none"/>
          <w:u w:val="single"/>
        </w:rPr>
        <w:t xml:space="preserve">（项目名称）  </w:t>
      </w:r>
      <w:r>
        <w:rPr>
          <w:rFonts w:hint="eastAsia" w:cs="Courier New"/>
          <w:bCs/>
          <w:color w:val="auto"/>
          <w:highlight w:val="none"/>
          <w:u w:val="single"/>
        </w:rPr>
        <w:t xml:space="preserve">     </w:t>
      </w:r>
      <w:r>
        <w:rPr>
          <w:rFonts w:hint="eastAsia"/>
          <w:color w:val="auto"/>
          <w:highlight w:val="none"/>
        </w:rPr>
        <w:t>（</w:t>
      </w:r>
      <w:r>
        <w:rPr>
          <w:rFonts w:hint="eastAsia"/>
          <w:bCs/>
          <w:color w:val="auto"/>
          <w:highlight w:val="none"/>
        </w:rPr>
        <w:t>项目</w:t>
      </w:r>
      <w:r>
        <w:rPr>
          <w:rFonts w:hint="eastAsia"/>
          <w:color w:val="auto"/>
          <w:highlight w:val="none"/>
        </w:rPr>
        <w:t>编号：</w:t>
      </w:r>
      <w:r>
        <w:rPr>
          <w:rFonts w:hint="eastAsia"/>
          <w:color w:val="auto"/>
          <w:highlight w:val="none"/>
          <w:u w:val="single"/>
        </w:rPr>
        <w:t xml:space="preserve">  </w:t>
      </w:r>
      <w:r>
        <w:rPr>
          <w:color w:val="auto"/>
          <w:highlight w:val="none"/>
          <w:u w:val="single"/>
        </w:rPr>
        <w:t xml:space="preserve">    </w:t>
      </w:r>
      <w:r>
        <w:rPr>
          <w:rFonts w:hint="eastAsia"/>
          <w:color w:val="auto"/>
          <w:highlight w:val="none"/>
        </w:rPr>
        <w:t>）的招标公告，本公司（企业）愿意参加投标，并声明：</w:t>
      </w:r>
    </w:p>
    <w:p w14:paraId="5BF9CDEB">
      <w:pPr>
        <w:pStyle w:val="103"/>
        <w:widowControl w:val="0"/>
        <w:tabs>
          <w:tab w:val="left" w:pos="851"/>
        </w:tabs>
        <w:snapToGrid w:val="0"/>
        <w:spacing w:line="360" w:lineRule="auto"/>
        <w:ind w:left="480" w:firstLine="0" w:firstLineChars="0"/>
        <w:contextualSpacing/>
        <w:jc w:val="both"/>
        <w:rPr>
          <w:rFonts w:hint="eastAsia" w:ascii="宋体" w:hAnsi="宋体"/>
          <w:bCs/>
          <w:color w:val="auto"/>
          <w:szCs w:val="24"/>
          <w:highlight w:val="none"/>
        </w:rPr>
      </w:pPr>
      <w:r>
        <w:rPr>
          <w:rFonts w:hint="eastAsia" w:ascii="宋体" w:hAnsi="宋体"/>
          <w:color w:val="auto"/>
          <w:szCs w:val="24"/>
          <w:highlight w:val="none"/>
        </w:rPr>
        <w:t>一、本公司（企业）承诺</w:t>
      </w:r>
      <w:r>
        <w:rPr>
          <w:rFonts w:hint="eastAsia" w:ascii="宋体" w:hAnsi="宋体"/>
          <w:bCs/>
          <w:color w:val="auto"/>
          <w:szCs w:val="24"/>
          <w:highlight w:val="none"/>
        </w:rPr>
        <w:t>具备《中华人民共和国政府采购法》第二十二条规定的条件：</w:t>
      </w:r>
    </w:p>
    <w:p w14:paraId="195DA9E8">
      <w:pPr>
        <w:snapToGrid w:val="0"/>
        <w:spacing w:line="360" w:lineRule="auto"/>
        <w:ind w:firstLine="480" w:firstLineChars="200"/>
        <w:contextualSpacing/>
        <w:rPr>
          <w:rFonts w:hint="eastAsia"/>
          <w:color w:val="auto"/>
          <w:highlight w:val="none"/>
        </w:rPr>
      </w:pPr>
      <w:r>
        <w:rPr>
          <w:rFonts w:hint="eastAsia"/>
          <w:color w:val="auto"/>
          <w:highlight w:val="none"/>
        </w:rPr>
        <w:t>（一）具有独立承担民事责任的能力；</w:t>
      </w:r>
    </w:p>
    <w:p w14:paraId="394BF496">
      <w:pPr>
        <w:snapToGrid w:val="0"/>
        <w:spacing w:line="360" w:lineRule="auto"/>
        <w:ind w:firstLine="480" w:firstLineChars="200"/>
        <w:contextualSpacing/>
        <w:rPr>
          <w:rFonts w:hint="eastAsia"/>
          <w:color w:val="auto"/>
          <w:highlight w:val="none"/>
        </w:rPr>
      </w:pPr>
      <w:r>
        <w:rPr>
          <w:rFonts w:hint="eastAsia"/>
          <w:color w:val="auto"/>
          <w:highlight w:val="none"/>
        </w:rPr>
        <w:t>（二）具有良好的商业信誉和健全的财务会计制度；</w:t>
      </w:r>
      <w:r>
        <w:rPr>
          <w:color w:val="auto"/>
          <w:highlight w:val="none"/>
        </w:rPr>
        <w:t xml:space="preserve"> </w:t>
      </w:r>
    </w:p>
    <w:p w14:paraId="31F2E706">
      <w:pPr>
        <w:snapToGrid w:val="0"/>
        <w:spacing w:line="360" w:lineRule="auto"/>
        <w:ind w:firstLine="480" w:firstLineChars="200"/>
        <w:contextualSpacing/>
        <w:rPr>
          <w:rFonts w:hint="eastAsia"/>
          <w:color w:val="auto"/>
          <w:highlight w:val="none"/>
        </w:rPr>
      </w:pPr>
      <w:r>
        <w:rPr>
          <w:rFonts w:hint="eastAsia"/>
          <w:color w:val="auto"/>
          <w:highlight w:val="none"/>
        </w:rPr>
        <w:t>（三）具有履行合同所必需的设备和专业技术能力；</w:t>
      </w:r>
    </w:p>
    <w:p w14:paraId="4E95A46D">
      <w:pPr>
        <w:snapToGrid w:val="0"/>
        <w:spacing w:line="360" w:lineRule="auto"/>
        <w:ind w:firstLine="480" w:firstLineChars="200"/>
        <w:contextualSpacing/>
        <w:rPr>
          <w:rFonts w:hint="eastAsia"/>
          <w:color w:val="auto"/>
          <w:highlight w:val="none"/>
        </w:rPr>
      </w:pPr>
      <w:r>
        <w:rPr>
          <w:rFonts w:hint="eastAsia"/>
          <w:color w:val="auto"/>
          <w:highlight w:val="none"/>
        </w:rPr>
        <w:t>（四）有依法缴纳税收和社会保障资金的良好记录；</w:t>
      </w:r>
    </w:p>
    <w:p w14:paraId="5DD1BBDE">
      <w:pPr>
        <w:snapToGrid w:val="0"/>
        <w:spacing w:line="360" w:lineRule="auto"/>
        <w:ind w:firstLine="480" w:firstLineChars="200"/>
        <w:contextualSpacing/>
        <w:rPr>
          <w:rFonts w:hint="eastAsia"/>
          <w:color w:val="auto"/>
          <w:highlight w:val="none"/>
        </w:rPr>
      </w:pPr>
      <w:r>
        <w:rPr>
          <w:rFonts w:hint="eastAsia"/>
          <w:color w:val="auto"/>
          <w:highlight w:val="none"/>
        </w:rPr>
        <w:t>（五）参加政府采购活动前三年内，在经营活动中没有重大违法记录；</w:t>
      </w:r>
    </w:p>
    <w:p w14:paraId="52211E6C">
      <w:pPr>
        <w:snapToGrid w:val="0"/>
        <w:spacing w:line="360" w:lineRule="auto"/>
        <w:ind w:firstLine="480" w:firstLineChars="200"/>
        <w:contextualSpacing/>
        <w:rPr>
          <w:rFonts w:hint="eastAsia"/>
          <w:color w:val="auto"/>
          <w:highlight w:val="none"/>
        </w:rPr>
      </w:pPr>
      <w:r>
        <w:rPr>
          <w:rFonts w:hint="eastAsia"/>
          <w:color w:val="auto"/>
          <w:highlight w:val="none"/>
        </w:rPr>
        <w:t>（六）法律、行政法规规定的其他条件。</w:t>
      </w:r>
    </w:p>
    <w:p w14:paraId="5B98E8DA">
      <w:pPr>
        <w:snapToGrid w:val="0"/>
        <w:spacing w:line="360" w:lineRule="auto"/>
        <w:ind w:firstLine="480" w:firstLineChars="200"/>
        <w:contextualSpacing/>
        <w:rPr>
          <w:rFonts w:hint="eastAsia"/>
          <w:color w:val="auto"/>
          <w:highlight w:val="none"/>
        </w:rPr>
      </w:pPr>
      <w:r>
        <w:rPr>
          <w:rFonts w:hint="eastAsia"/>
          <w:color w:val="auto"/>
          <w:highlight w:val="none"/>
        </w:rPr>
        <w:t>及《中华人民共和国政府采购法实施条例》第十七条的相关要求；</w:t>
      </w:r>
    </w:p>
    <w:p w14:paraId="1429E850">
      <w:pPr>
        <w:snapToGrid w:val="0"/>
        <w:spacing w:line="360" w:lineRule="auto"/>
        <w:ind w:firstLine="480" w:firstLineChars="200"/>
        <w:contextualSpacing/>
        <w:rPr>
          <w:rFonts w:hint="eastAsia"/>
          <w:color w:val="auto"/>
          <w:highlight w:val="none"/>
        </w:rPr>
      </w:pPr>
      <w:r>
        <w:rPr>
          <w:rFonts w:hint="eastAsia"/>
          <w:color w:val="auto"/>
          <w:highlight w:val="none"/>
        </w:rPr>
        <w:t>二、本公司（企业）承诺在“信用中国”网站</w:t>
      </w:r>
      <w:r>
        <w:rPr>
          <w:color w:val="auto"/>
          <w:highlight w:val="none"/>
        </w:rPr>
        <w:t>(www.creditchina.gov.cn) 中未被列入：</w:t>
      </w:r>
      <w:r>
        <w:rPr>
          <w:rFonts w:hint="eastAsia"/>
          <w:color w:val="auto"/>
          <w:highlight w:val="none"/>
        </w:rPr>
        <w:t>失信被执行人、严重失信主体名单查询、重大税收违法失信主体名单</w:t>
      </w:r>
      <w:r>
        <w:rPr>
          <w:color w:val="auto"/>
          <w:highlight w:val="none"/>
        </w:rPr>
        <w:t>；在“中国政府采购网”(www.ccgp.gov.cn) 中未被列入：政府采购严重违法失信行为记录名单；</w:t>
      </w:r>
    </w:p>
    <w:p w14:paraId="26C1F4DE">
      <w:pPr>
        <w:snapToGrid w:val="0"/>
        <w:spacing w:line="360" w:lineRule="auto"/>
        <w:ind w:firstLine="480" w:firstLineChars="200"/>
        <w:contextualSpacing/>
        <w:rPr>
          <w:rFonts w:hint="eastAsia"/>
          <w:color w:val="auto"/>
          <w:highlight w:val="none"/>
        </w:rPr>
      </w:pPr>
      <w:r>
        <w:rPr>
          <w:rFonts w:hint="eastAsia"/>
          <w:color w:val="auto"/>
          <w:highlight w:val="none"/>
        </w:rPr>
        <w:t>三、本公司（企业）的单位负责人与所参投的本采购项目包组的其他投标人的单位负责人如有同一人且与其他投标人之间存在直接控股、管理关系的，我公司承诺投标文件为无效投标文件。</w:t>
      </w:r>
    </w:p>
    <w:p w14:paraId="79DBBE23">
      <w:pPr>
        <w:snapToGrid w:val="0"/>
        <w:spacing w:line="360" w:lineRule="auto"/>
        <w:ind w:firstLine="480" w:firstLineChars="200"/>
        <w:contextualSpacing/>
        <w:rPr>
          <w:rFonts w:hint="eastAsia"/>
          <w:color w:val="auto"/>
          <w:highlight w:val="none"/>
        </w:rPr>
      </w:pPr>
      <w:r>
        <w:rPr>
          <w:rFonts w:hint="eastAsia"/>
          <w:color w:val="auto"/>
          <w:highlight w:val="none"/>
        </w:rPr>
        <w:t>四、根据《中华人民共和国政府采购法实施条例》的规定，本公司（企业）不是本采购项目包组提供整体设计、规范编制或者项目管理、监理、检测等服务的投标人。否则，由此所造成的损失、不良后果及法律责任，一律由我公司（企业）承担。</w:t>
      </w:r>
    </w:p>
    <w:p w14:paraId="7E1A4E94">
      <w:pPr>
        <w:snapToGrid w:val="0"/>
        <w:spacing w:line="360" w:lineRule="auto"/>
        <w:ind w:firstLine="480" w:firstLineChars="200"/>
        <w:contextualSpacing/>
        <w:rPr>
          <w:rFonts w:hint="eastAsia"/>
          <w:color w:val="auto"/>
          <w:highlight w:val="none"/>
        </w:rPr>
      </w:pPr>
      <w:r>
        <w:rPr>
          <w:rFonts w:hint="eastAsia"/>
          <w:color w:val="auto"/>
          <w:highlight w:val="none"/>
        </w:rPr>
        <w:t>五、本公司（企业）承诺在本次招标采购活动中，如有违法、违规、弄虚作假行为，所造成的损失、不良后果及法律责任，一律由我公司（企业）承担。</w:t>
      </w:r>
    </w:p>
    <w:p w14:paraId="52458C5C">
      <w:pPr>
        <w:snapToGrid w:val="0"/>
        <w:spacing w:line="360" w:lineRule="auto"/>
        <w:ind w:firstLine="480" w:firstLineChars="200"/>
        <w:contextualSpacing/>
        <w:rPr>
          <w:rFonts w:hint="eastAsia"/>
          <w:color w:val="auto"/>
          <w:highlight w:val="none"/>
        </w:rPr>
      </w:pPr>
      <w:r>
        <w:rPr>
          <w:rFonts w:hint="eastAsia"/>
          <w:color w:val="auto"/>
          <w:highlight w:val="none"/>
        </w:rPr>
        <w:t>特此声明！</w:t>
      </w:r>
    </w:p>
    <w:p w14:paraId="5126845B">
      <w:pPr>
        <w:autoSpaceDE w:val="0"/>
        <w:autoSpaceDN w:val="0"/>
        <w:adjustRightInd w:val="0"/>
        <w:spacing w:line="360" w:lineRule="auto"/>
        <w:ind w:firstLine="472" w:firstLineChars="196"/>
        <w:rPr>
          <w:rFonts w:hint="eastAsia"/>
          <w:b/>
          <w:color w:val="auto"/>
          <w:highlight w:val="none"/>
        </w:rPr>
      </w:pPr>
      <w:r>
        <w:rPr>
          <w:rFonts w:hint="eastAsia"/>
          <w:b/>
          <w:color w:val="auto"/>
          <w:highlight w:val="none"/>
        </w:rPr>
        <w:t>备注：</w:t>
      </w:r>
    </w:p>
    <w:p w14:paraId="4DB07638">
      <w:pPr>
        <w:pStyle w:val="103"/>
        <w:widowControl w:val="0"/>
        <w:snapToGrid w:val="0"/>
        <w:spacing w:line="360" w:lineRule="auto"/>
        <w:ind w:left="413" w:firstLine="0" w:firstLineChars="0"/>
        <w:jc w:val="both"/>
        <w:rPr>
          <w:rFonts w:hint="eastAsia" w:ascii="宋体" w:hAnsi="宋体"/>
          <w:color w:val="auto"/>
          <w:szCs w:val="24"/>
          <w:highlight w:val="none"/>
        </w:rPr>
      </w:pPr>
      <w:r>
        <w:rPr>
          <w:rFonts w:hint="eastAsia" w:ascii="宋体" w:hAnsi="宋体"/>
          <w:color w:val="auto"/>
          <w:szCs w:val="24"/>
          <w:highlight w:val="none"/>
        </w:rPr>
        <w:t>（1）本声明函如有虚假或与事实不符的，作无效投标处理。</w:t>
      </w:r>
    </w:p>
    <w:p w14:paraId="05B4100C">
      <w:pPr>
        <w:spacing w:line="360" w:lineRule="auto"/>
        <w:ind w:firstLine="480"/>
        <w:rPr>
          <w:rFonts w:hint="eastAsia"/>
          <w:color w:val="auto"/>
          <w:highlight w:val="none"/>
          <w:u w:val="single"/>
        </w:rPr>
      </w:pPr>
      <w:r>
        <w:rPr>
          <w:rFonts w:hint="eastAsia"/>
          <w:color w:val="auto"/>
          <w:highlight w:val="none"/>
        </w:rPr>
        <w:t>投标人名称：</w:t>
      </w:r>
      <w:r>
        <w:rPr>
          <w:rFonts w:hint="eastAsia"/>
          <w:color w:val="auto"/>
          <w:highlight w:val="none"/>
          <w:u w:val="single"/>
        </w:rPr>
        <w:t>　　                      　　（电子签章）</w:t>
      </w:r>
    </w:p>
    <w:p w14:paraId="67D85DB2">
      <w:pPr>
        <w:spacing w:line="360" w:lineRule="auto"/>
        <w:ind w:firstLine="480"/>
        <w:rPr>
          <w:rFonts w:hint="eastAsia"/>
          <w:color w:val="auto"/>
          <w:highlight w:val="none"/>
          <w:u w:val="single"/>
        </w:rPr>
      </w:pPr>
      <w:r>
        <w:rPr>
          <w:rFonts w:hint="eastAsia"/>
          <w:color w:val="auto"/>
          <w:highlight w:val="none"/>
        </w:rPr>
        <w:t>法定代表人或其委托代理人：</w:t>
      </w:r>
      <w:r>
        <w:rPr>
          <w:rFonts w:hint="eastAsia"/>
          <w:color w:val="auto"/>
          <w:highlight w:val="none"/>
          <w:u w:val="single"/>
        </w:rPr>
        <w:t xml:space="preserve">                  </w:t>
      </w:r>
      <w:r>
        <w:rPr>
          <w:rFonts w:hint="eastAsia"/>
          <w:color w:val="auto"/>
          <w:highlight w:val="none"/>
        </w:rPr>
        <w:t>（签字或签章）</w:t>
      </w:r>
    </w:p>
    <w:p w14:paraId="728F5E7C">
      <w:pPr>
        <w:spacing w:line="360" w:lineRule="auto"/>
        <w:ind w:firstLine="480"/>
        <w:rPr>
          <w:rFonts w:hint="eastAsia"/>
          <w:color w:val="auto"/>
          <w:highlight w:val="none"/>
        </w:rPr>
      </w:pPr>
      <w:r>
        <w:rPr>
          <w:rFonts w:hint="eastAsia"/>
          <w:color w:val="auto"/>
          <w:highlight w:val="none"/>
        </w:rPr>
        <w:t>单位地址：</w:t>
      </w:r>
      <w:r>
        <w:rPr>
          <w:rFonts w:hint="eastAsia"/>
          <w:color w:val="auto"/>
          <w:highlight w:val="none"/>
          <w:u w:val="single"/>
        </w:rPr>
        <w:t xml:space="preserve">　　　　　 </w:t>
      </w:r>
      <w:r>
        <w:rPr>
          <w:color w:val="auto"/>
          <w:highlight w:val="none"/>
        </w:rPr>
        <w:t xml:space="preserve">  </w:t>
      </w:r>
      <w:r>
        <w:rPr>
          <w:rFonts w:hint="eastAsia"/>
          <w:color w:val="auto"/>
          <w:highlight w:val="none"/>
        </w:rPr>
        <w:t>邮政编码：</w:t>
      </w:r>
      <w:r>
        <w:rPr>
          <w:rFonts w:hint="eastAsia"/>
          <w:color w:val="auto"/>
          <w:highlight w:val="none"/>
          <w:u w:val="single"/>
        </w:rPr>
        <w:t>　　　　　　</w:t>
      </w:r>
      <w:r>
        <w:rPr>
          <w:rFonts w:hint="eastAsia"/>
          <w:color w:val="auto"/>
          <w:highlight w:val="none"/>
        </w:rPr>
        <w:t xml:space="preserve">　日期：         </w:t>
      </w:r>
    </w:p>
    <w:p w14:paraId="0128BFAD">
      <w:pPr>
        <w:snapToGrid w:val="0"/>
        <w:spacing w:line="360" w:lineRule="auto"/>
        <w:contextualSpacing/>
        <w:jc w:val="center"/>
        <w:rPr>
          <w:rFonts w:hint="eastAsia"/>
          <w:b/>
          <w:bCs/>
          <w:color w:val="auto"/>
          <w:sz w:val="32"/>
          <w:szCs w:val="32"/>
          <w:highlight w:val="none"/>
        </w:rPr>
      </w:pPr>
      <w:bookmarkStart w:id="101" w:name="_Toc29442"/>
      <w:bookmarkStart w:id="102" w:name="_Toc6445"/>
    </w:p>
    <w:bookmarkEnd w:id="101"/>
    <w:bookmarkEnd w:id="102"/>
    <w:p w14:paraId="134DF072">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（五）承诺函</w:t>
      </w:r>
    </w:p>
    <w:p w14:paraId="300DF96B">
      <w:pPr>
        <w:snapToGrid w:val="0"/>
        <w:spacing w:line="360" w:lineRule="auto"/>
        <w:contextualSpacing/>
        <w:jc w:val="center"/>
        <w:rPr>
          <w:rFonts w:hint="eastAsia"/>
          <w:color w:val="auto"/>
          <w:highlight w:val="none"/>
        </w:rPr>
      </w:pPr>
      <w:r>
        <w:rPr>
          <w:rFonts w:hint="eastAsia"/>
          <w:color w:val="auto"/>
          <w:highlight w:val="none"/>
        </w:rPr>
        <w:t>格式自拟</w:t>
      </w:r>
    </w:p>
    <w:p w14:paraId="23263F19">
      <w:pPr>
        <w:snapToGrid w:val="0"/>
        <w:spacing w:line="360" w:lineRule="auto"/>
        <w:ind w:firstLine="480" w:firstLineChars="200"/>
        <w:contextualSpacing/>
        <w:rPr>
          <w:rFonts w:hint="eastAsia"/>
          <w:color w:val="auto"/>
          <w:highlight w:val="none"/>
        </w:rPr>
      </w:pPr>
      <w:r>
        <w:rPr>
          <w:rFonts w:hint="eastAsia"/>
          <w:color w:val="auto"/>
          <w:highlight w:val="none"/>
        </w:rPr>
        <w:t>1.满足《中华人民共和国政府采购法》第二十二条规定</w:t>
      </w:r>
    </w:p>
    <w:p w14:paraId="0D4F6D47">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3B1FE7B1">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5208378C">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2047C789">
      <w:pPr>
        <w:snapToGrid w:val="0"/>
        <w:spacing w:line="360" w:lineRule="auto"/>
        <w:ind w:firstLine="480" w:firstLineChars="200"/>
        <w:contextualSpacing/>
        <w:rPr>
          <w:rFonts w:hint="eastAsia"/>
          <w:color w:val="auto"/>
          <w:highlight w:val="none"/>
        </w:rPr>
      </w:pPr>
      <w:r>
        <w:rPr>
          <w:rFonts w:hint="eastAsia"/>
          <w:color w:val="auto"/>
          <w:highlight w:val="none"/>
        </w:rPr>
        <w:t>2.本项目的特定资格要求：无。</w:t>
      </w:r>
    </w:p>
    <w:p w14:paraId="7CBE85CB">
      <w:pPr>
        <w:snapToGrid w:val="0"/>
        <w:spacing w:line="360" w:lineRule="auto"/>
        <w:contextualSpacing/>
        <w:jc w:val="center"/>
        <w:rPr>
          <w:rFonts w:hint="eastAsia"/>
          <w:b/>
          <w:bCs/>
          <w:color w:val="auto"/>
          <w:sz w:val="32"/>
          <w:szCs w:val="32"/>
          <w:highlight w:val="none"/>
        </w:rPr>
      </w:pPr>
    </w:p>
    <w:p w14:paraId="341FB156">
      <w:pPr>
        <w:snapToGrid w:val="0"/>
        <w:spacing w:line="360" w:lineRule="auto"/>
        <w:contextualSpacing/>
        <w:jc w:val="center"/>
        <w:rPr>
          <w:rFonts w:hint="eastAsia"/>
          <w:b/>
          <w:bCs/>
          <w:color w:val="auto"/>
          <w:sz w:val="32"/>
          <w:szCs w:val="32"/>
          <w:highlight w:val="none"/>
        </w:rPr>
      </w:pPr>
    </w:p>
    <w:p w14:paraId="3EE2FBFF">
      <w:pPr>
        <w:snapToGrid w:val="0"/>
        <w:spacing w:line="360" w:lineRule="auto"/>
        <w:contextualSpacing/>
        <w:jc w:val="center"/>
        <w:rPr>
          <w:rFonts w:hint="eastAsia"/>
          <w:b/>
          <w:bCs/>
          <w:color w:val="auto"/>
          <w:sz w:val="32"/>
          <w:szCs w:val="32"/>
          <w:highlight w:val="none"/>
        </w:rPr>
      </w:pPr>
    </w:p>
    <w:p w14:paraId="24EA319E">
      <w:pPr>
        <w:snapToGrid w:val="0"/>
        <w:spacing w:line="360" w:lineRule="auto"/>
        <w:contextualSpacing/>
        <w:jc w:val="center"/>
        <w:rPr>
          <w:rFonts w:hint="eastAsia"/>
          <w:b/>
          <w:bCs/>
          <w:color w:val="auto"/>
          <w:sz w:val="32"/>
          <w:szCs w:val="32"/>
          <w:highlight w:val="none"/>
        </w:rPr>
      </w:pPr>
    </w:p>
    <w:p w14:paraId="477E34EB">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（六）其他资格审查材料</w:t>
      </w:r>
    </w:p>
    <w:p w14:paraId="4FC0EFE4">
      <w:pPr>
        <w:spacing w:line="360" w:lineRule="auto"/>
        <w:rPr>
          <w:rFonts w:hint="eastAsia"/>
          <w:color w:val="auto"/>
          <w:highlight w:val="none"/>
        </w:rPr>
      </w:pPr>
    </w:p>
    <w:p w14:paraId="37BFD379">
      <w:pPr>
        <w:spacing w:line="360" w:lineRule="auto"/>
        <w:rPr>
          <w:rFonts w:hint="eastAsia"/>
          <w:color w:val="auto"/>
          <w:highlight w:val="none"/>
        </w:rPr>
      </w:pPr>
    </w:p>
    <w:p w14:paraId="55209409">
      <w:pPr>
        <w:spacing w:line="360" w:lineRule="auto"/>
        <w:rPr>
          <w:rFonts w:hint="eastAsia"/>
          <w:color w:val="auto"/>
          <w:highlight w:val="none"/>
        </w:rPr>
      </w:pPr>
    </w:p>
    <w:p w14:paraId="5DDBF742">
      <w:pPr>
        <w:pStyle w:val="13"/>
        <w:rPr>
          <w:color w:val="auto"/>
          <w:highlight w:val="none"/>
        </w:rPr>
      </w:pPr>
    </w:p>
    <w:p w14:paraId="5AA97E95">
      <w:pPr>
        <w:rPr>
          <w:rFonts w:hint="eastAsia"/>
          <w:color w:val="auto"/>
          <w:highlight w:val="none"/>
        </w:rPr>
      </w:pPr>
    </w:p>
    <w:p w14:paraId="336A11A4">
      <w:pPr>
        <w:tabs>
          <w:tab w:val="right" w:pos="8306"/>
        </w:tabs>
        <w:spacing w:line="360" w:lineRule="auto"/>
        <w:outlineLvl w:val="1"/>
        <w:rPr>
          <w:rFonts w:hint="eastAsia"/>
          <w:b/>
          <w:color w:val="auto"/>
          <w:sz w:val="36"/>
          <w:highlight w:val="none"/>
        </w:rPr>
      </w:pPr>
      <w:r>
        <w:rPr>
          <w:b/>
          <w:color w:val="auto"/>
          <w:sz w:val="36"/>
          <w:highlight w:val="none"/>
        </w:rPr>
        <w:br w:type="page"/>
      </w:r>
      <w:bookmarkStart w:id="103" w:name="_Toc29482"/>
      <w:r>
        <w:rPr>
          <w:rFonts w:hint="eastAsia"/>
          <w:b/>
          <w:color w:val="auto"/>
          <w:sz w:val="36"/>
          <w:highlight w:val="none"/>
        </w:rPr>
        <w:t>二、投标文件商务部分</w:t>
      </w:r>
      <w:bookmarkEnd w:id="103"/>
    </w:p>
    <w:p w14:paraId="07338F8E">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（一）</w:t>
      </w:r>
      <w:r>
        <w:rPr>
          <w:b/>
          <w:bCs/>
          <w:color w:val="auto"/>
          <w:sz w:val="32"/>
          <w:szCs w:val="32"/>
          <w:highlight w:val="none"/>
        </w:rPr>
        <w:t>投 标 函</w:t>
      </w:r>
      <w:bookmarkEnd w:id="79"/>
      <w:bookmarkEnd w:id="80"/>
      <w:bookmarkEnd w:id="81"/>
      <w:bookmarkEnd w:id="82"/>
      <w:bookmarkEnd w:id="95"/>
    </w:p>
    <w:p w14:paraId="6016FF4B">
      <w:pPr>
        <w:shd w:val="solid" w:color="FFFFFF" w:fill="auto"/>
        <w:autoSpaceDN w:val="0"/>
        <w:spacing w:line="348" w:lineRule="auto"/>
        <w:rPr>
          <w:rFonts w:hint="eastAsia" w:ascii="仿宋_BG2312"/>
          <w:color w:val="auto"/>
          <w:highlight w:val="none"/>
          <w:shd w:val="clear" w:color="auto" w:fill="FFFFFF"/>
        </w:rPr>
      </w:pPr>
      <w:r>
        <w:rPr>
          <w:rFonts w:ascii="仿宋_BG2312"/>
          <w:color w:val="auto"/>
          <w:highlight w:val="none"/>
          <w:shd w:val="clear" w:color="auto" w:fill="FFFFFF"/>
        </w:rPr>
        <w:t>___________（</w:t>
      </w:r>
      <w:r>
        <w:rPr>
          <w:rFonts w:hint="eastAsia" w:ascii="仿宋_BG2312"/>
          <w:color w:val="auto"/>
          <w:highlight w:val="none"/>
          <w:shd w:val="clear" w:color="auto" w:fill="FFFFFF"/>
        </w:rPr>
        <w:t>采购人</w:t>
      </w:r>
      <w:r>
        <w:rPr>
          <w:rFonts w:ascii="仿宋_BG2312"/>
          <w:color w:val="auto"/>
          <w:highlight w:val="none"/>
          <w:shd w:val="clear" w:color="auto" w:fill="FFFFFF"/>
        </w:rPr>
        <w:t>名称）：</w:t>
      </w:r>
    </w:p>
    <w:p w14:paraId="6D4CCFBD">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1．根据你方项目编号为 </w:t>
      </w:r>
      <w:r>
        <w:rPr>
          <w:color w:val="auto"/>
          <w:highlight w:val="none"/>
          <w:u w:val="single"/>
          <w:shd w:val="clear" w:color="auto" w:fill="FFFFFF"/>
        </w:rPr>
        <w:t xml:space="preserve">       </w:t>
      </w:r>
      <w:r>
        <w:rPr>
          <w:color w:val="auto"/>
          <w:highlight w:val="none"/>
          <w:shd w:val="clear" w:color="auto" w:fill="FFFFFF"/>
        </w:rPr>
        <w:t>的</w:t>
      </w:r>
      <w:r>
        <w:rPr>
          <w:color w:val="auto"/>
          <w:highlight w:val="none"/>
          <w:u w:val="single"/>
          <w:shd w:val="clear" w:color="auto" w:fill="FFFFFF"/>
        </w:rPr>
        <w:t xml:space="preserve">         （项目名称）  </w:t>
      </w:r>
      <w:r>
        <w:rPr>
          <w:color w:val="auto"/>
          <w:highlight w:val="none"/>
          <w:shd w:val="clear" w:color="auto" w:fill="FFFFFF"/>
        </w:rPr>
        <w:t>招标文件，遵照《中华人民共和国政府采购法》等有关规定，经研究上述招标文件的所有内容后，我方完全响应招标文件并按要求作出承诺，</w:t>
      </w:r>
      <w:r>
        <w:rPr>
          <w:rFonts w:hint="eastAsia"/>
          <w:color w:val="auto"/>
          <w:highlight w:val="none"/>
          <w:shd w:val="clear" w:color="auto" w:fill="FFFFFF"/>
        </w:rPr>
        <w:t>我方愿意以人民币大写</w:t>
      </w:r>
      <w:r>
        <w:rPr>
          <w:color w:val="auto"/>
          <w:highlight w:val="none"/>
          <w:u w:val="single"/>
          <w:shd w:val="clear" w:color="auto" w:fill="FFFFFF"/>
        </w:rPr>
        <w:t xml:space="preserve">        </w:t>
      </w:r>
      <w:r>
        <w:rPr>
          <w:color w:val="auto"/>
          <w:highlight w:val="none"/>
          <w:shd w:val="clear" w:color="auto" w:fill="FFFFFF"/>
        </w:rPr>
        <w:t>（小写：</w:t>
      </w:r>
      <w:r>
        <w:rPr>
          <w:color w:val="auto"/>
          <w:highlight w:val="none"/>
          <w:u w:val="single"/>
          <w:shd w:val="clear" w:color="auto" w:fill="FFFFFF"/>
        </w:rPr>
        <w:t xml:space="preserve">        </w:t>
      </w:r>
      <w:r>
        <w:rPr>
          <w:color w:val="auto"/>
          <w:highlight w:val="none"/>
          <w:shd w:val="clear" w:color="auto" w:fill="FFFFFF"/>
        </w:rPr>
        <w:t>元）作为投标总报价，</w:t>
      </w:r>
      <w:r>
        <w:rPr>
          <w:rFonts w:hint="eastAsia"/>
          <w:color w:val="auto"/>
          <w:highlight w:val="none"/>
          <w:shd w:val="clear" w:color="auto" w:fill="FFFFFF"/>
        </w:rPr>
        <w:t>并按照采购人要求进行交付</w:t>
      </w:r>
      <w:r>
        <w:rPr>
          <w:color w:val="auto"/>
          <w:highlight w:val="none"/>
          <w:shd w:val="clear" w:color="auto" w:fill="FFFFFF"/>
        </w:rPr>
        <w:t>。</w:t>
      </w:r>
    </w:p>
    <w:p w14:paraId="36CA6A4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2.我方已详细审查全部招标文件，包括修改文件（如有的话）以及全部参考资料和有关附件。我们完全理解并同意放弃对这方面有不明及误解的权利。</w:t>
      </w:r>
    </w:p>
    <w:p w14:paraId="0E5C70A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3.投标有效期为自投标截止日起</w:t>
      </w:r>
      <w:r>
        <w:rPr>
          <w:color w:val="auto"/>
          <w:highlight w:val="none"/>
          <w:u w:val="single"/>
          <w:shd w:val="clear" w:color="auto" w:fill="FFFFFF"/>
        </w:rPr>
        <w:t xml:space="preserve"> 90 </w:t>
      </w:r>
      <w:r>
        <w:rPr>
          <w:color w:val="auto"/>
          <w:highlight w:val="none"/>
          <w:shd w:val="clear" w:color="auto" w:fill="FFFFFF"/>
        </w:rPr>
        <w:t>日。如果在规定的开标时间后，我方在投标有效期内撤回投标，将被没收投标保证金。</w:t>
      </w:r>
    </w:p>
    <w:p w14:paraId="0B59788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4.一旦我方中标，我们将按照投标文件中承诺的内容提供</w:t>
      </w:r>
      <w:r>
        <w:rPr>
          <w:rFonts w:hint="eastAsia"/>
          <w:color w:val="auto"/>
          <w:highlight w:val="none"/>
          <w:shd w:val="clear" w:color="auto" w:fill="FFFFFF"/>
        </w:rPr>
        <w:t>货物及服务</w:t>
      </w:r>
      <w:r>
        <w:rPr>
          <w:color w:val="auto"/>
          <w:highlight w:val="none"/>
          <w:shd w:val="clear" w:color="auto" w:fill="FFFFFF"/>
        </w:rPr>
        <w:t>，并接受相关部门的检查和督促。</w:t>
      </w:r>
    </w:p>
    <w:p w14:paraId="0270A03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5</w:t>
      </w:r>
      <w:r>
        <w:rPr>
          <w:rFonts w:hint="eastAsia"/>
          <w:color w:val="auto"/>
          <w:highlight w:val="none"/>
          <w:shd w:val="clear" w:color="auto" w:fill="FFFFFF"/>
        </w:rPr>
        <w:t>.</w:t>
      </w:r>
      <w:r>
        <w:rPr>
          <w:color w:val="auto"/>
          <w:highlight w:val="none"/>
          <w:shd w:val="clear" w:color="auto" w:fill="FFFFFF"/>
        </w:rPr>
        <w:t>我方已提交人民币</w:t>
      </w:r>
      <w:r>
        <w:rPr>
          <w:color w:val="auto"/>
          <w:highlight w:val="none"/>
          <w:u w:val="single"/>
          <w:shd w:val="clear" w:color="auto" w:fill="FFFFFF"/>
        </w:rPr>
        <w:t xml:space="preserve">           </w:t>
      </w:r>
      <w:r>
        <w:rPr>
          <w:color w:val="auto"/>
          <w:highlight w:val="none"/>
          <w:shd w:val="clear" w:color="auto" w:fill="FFFFFF"/>
        </w:rPr>
        <w:t>元的投标保证金作为投标担保。</w:t>
      </w:r>
    </w:p>
    <w:p w14:paraId="35BE3B8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6．除非另外达成协议并生效，你方的中标通知书和本投标文件将成为约束双方的合同文件的组成部分。</w:t>
      </w:r>
    </w:p>
    <w:p w14:paraId="5DFED867">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7.同意应贵方要求提供与本投标有关的任何数据或资料。</w:t>
      </w:r>
    </w:p>
    <w:p w14:paraId="14C0CB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8.我们理解采购人或者采购代理机构与评标委员会并无义务必须接受最低报价的投标或其它任何投标，完全理解采购代理机构拒绝迟到的任何投标和最低投标报价不是被授予中标的唯一条件。</w:t>
      </w:r>
    </w:p>
    <w:p w14:paraId="435B004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9．我们愿意遵守采购代理机构招标文件的各项规定，自愿参加投标，并已清楚招标文件的要求及有关文件规定，并严格按照招标文件的规定履行全部责任和义务。</w:t>
      </w:r>
    </w:p>
    <w:p w14:paraId="1526C02C">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10.我们同意本投标文件的投标有效期从提交投标文件的截止之日起90日历日内有效。如果我们的投标被接受，则直至合同生效时止，本投标始终有效并不撤回已递交的投标文件。</w:t>
      </w:r>
    </w:p>
    <w:p w14:paraId="0AA70EB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11.我们已经详细地阅读并完全明白了全部招标文件及附件，包括澄清（如有）及参考文件，我们完全理解本招标文件的要求，我们同意放弃对招标文件提出不明或误解的一切权力。</w:t>
      </w:r>
    </w:p>
    <w:p w14:paraId="45EB19F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12.我们同意提供采购人或者采购代理机构与评标委员会要求的有关投标的一切数据或资料。</w:t>
      </w:r>
    </w:p>
    <w:p w14:paraId="675073D2">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13.如果我们未对招标文件全部要求作出实质性响应，则完全同意并接受按无效投标处理。 </w:t>
      </w:r>
    </w:p>
    <w:p w14:paraId="14781DA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14.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如果我们提供的声明或承诺不真实，则完全同意认定为我司提供虚假材料，并同意作相应处理。</w:t>
      </w:r>
    </w:p>
    <w:p w14:paraId="5F1550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15.我们是依法注册的法人，在法律、财务及运作上完全独立于本项目采购人、用户单位（如有）和采购代理机构。</w:t>
      </w:r>
    </w:p>
    <w:p w14:paraId="4FCD763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16.其他服务承诺和优惠承诺：</w:t>
      </w:r>
      <w:r>
        <w:rPr>
          <w:color w:val="auto"/>
          <w:highlight w:val="none"/>
          <w:u w:val="single"/>
          <w:shd w:val="clear" w:color="auto" w:fill="FFFFFF"/>
        </w:rPr>
        <w:t>（由投标人自行承诺）</w:t>
      </w:r>
    </w:p>
    <w:p w14:paraId="183D4D6A">
      <w:pPr>
        <w:shd w:val="solid" w:color="FFFFFF" w:fill="auto"/>
        <w:autoSpaceDN w:val="0"/>
        <w:spacing w:line="440" w:lineRule="exact"/>
        <w:ind w:firstLine="480"/>
        <w:rPr>
          <w:rFonts w:hint="eastAsia"/>
          <w:color w:val="auto"/>
          <w:highlight w:val="none"/>
          <w:shd w:val="clear" w:color="auto" w:fill="FFFFFF"/>
        </w:rPr>
      </w:pPr>
    </w:p>
    <w:p w14:paraId="02CF93C8">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投标人名称：</w:t>
      </w:r>
      <w:r>
        <w:rPr>
          <w:rFonts w:hint="eastAsia"/>
          <w:color w:val="auto"/>
          <w:highlight w:val="none"/>
          <w:u w:val="single"/>
          <w:shd w:val="clear" w:color="auto" w:fill="FFFFFF"/>
        </w:rPr>
        <w:t xml:space="preserve">                       （电子签章）</w:t>
      </w:r>
    </w:p>
    <w:p w14:paraId="706522F0">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法定代表人或其委托代理人：</w:t>
      </w:r>
      <w:r>
        <w:rPr>
          <w:rFonts w:hint="eastAsia"/>
          <w:color w:val="auto"/>
          <w:highlight w:val="none"/>
          <w:u w:val="single"/>
          <w:shd w:val="clear" w:color="auto" w:fill="FFFFFF"/>
        </w:rPr>
        <w:t xml:space="preserve">       （签字或签章）</w:t>
      </w:r>
    </w:p>
    <w:p w14:paraId="72FA55BC">
      <w:pPr>
        <w:shd w:val="solid" w:color="FFFFFF" w:fill="auto"/>
        <w:autoSpaceDN w:val="0"/>
        <w:spacing w:line="360" w:lineRule="auto"/>
        <w:ind w:firstLine="480"/>
        <w:rPr>
          <w:rFonts w:hint="eastAsia"/>
          <w:color w:val="auto"/>
          <w:highlight w:val="none"/>
          <w:shd w:val="clear" w:color="auto" w:fill="FFFFFF"/>
        </w:rPr>
      </w:pPr>
      <w:r>
        <w:rPr>
          <w:color w:val="auto"/>
          <w:highlight w:val="none"/>
          <w:shd w:val="clear" w:color="auto" w:fill="FFFFFF"/>
        </w:rPr>
        <w:t>通讯地址：</w:t>
      </w:r>
    </w:p>
    <w:p w14:paraId="08B80A81">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邮政编码：</w:t>
      </w:r>
    </w:p>
    <w:p w14:paraId="1777BE6C">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联系电话：</w:t>
      </w:r>
      <w:r>
        <w:rPr>
          <w:rFonts w:hint="eastAsia"/>
          <w:color w:val="auto"/>
          <w:highlight w:val="none"/>
          <w:shd w:val="clear" w:color="auto" w:fill="FFFFFF"/>
        </w:rPr>
        <w:t xml:space="preserve">           </w:t>
      </w:r>
    </w:p>
    <w:p w14:paraId="67D0FA9E">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传　  真：</w:t>
      </w:r>
      <w:r>
        <w:rPr>
          <w:rFonts w:hint="eastAsia"/>
          <w:color w:val="auto"/>
          <w:highlight w:val="none"/>
          <w:shd w:val="clear" w:color="auto" w:fill="FFFFFF"/>
        </w:rPr>
        <w:t xml:space="preserve">       </w:t>
      </w:r>
    </w:p>
    <w:p w14:paraId="572B60E1">
      <w:pPr>
        <w:shd w:val="solid" w:color="FFFFFF" w:fill="auto"/>
        <w:autoSpaceDN w:val="0"/>
        <w:spacing w:line="440" w:lineRule="exact"/>
        <w:ind w:firstLine="480"/>
        <w:rPr>
          <w:rFonts w:hint="eastAsia" w:ascii="仿宋_BG2312"/>
          <w:color w:val="auto"/>
          <w:highlight w:val="none"/>
          <w:shd w:val="clear" w:color="auto" w:fill="FFFFFF"/>
        </w:rPr>
      </w:pPr>
      <w:r>
        <w:rPr>
          <w:color w:val="auto"/>
          <w:highlight w:val="none"/>
          <w:shd w:val="clear" w:color="auto" w:fill="FFFFFF"/>
        </w:rPr>
        <w:t>日　  期：</w:t>
      </w:r>
      <w:bookmarkStart w:id="104" w:name="_Toc217446083"/>
      <w:r>
        <w:rPr>
          <w:rFonts w:ascii="仿宋_BG2312"/>
          <w:b/>
          <w:color w:val="auto"/>
          <w:sz w:val="36"/>
          <w:highlight w:val="none"/>
          <w:shd w:val="clear" w:color="auto" w:fill="FFFFFF"/>
        </w:rPr>
        <w:t xml:space="preserve"> </w:t>
      </w:r>
      <w:bookmarkEnd w:id="104"/>
    </w:p>
    <w:p w14:paraId="36307DA4">
      <w:pPr>
        <w:snapToGrid w:val="0"/>
        <w:spacing w:line="360" w:lineRule="auto"/>
        <w:contextualSpacing/>
        <w:jc w:val="center"/>
        <w:rPr>
          <w:rFonts w:hint="eastAsia" w:ascii="仿宋_BG2312"/>
          <w:b/>
          <w:color w:val="auto"/>
          <w:sz w:val="36"/>
          <w:highlight w:val="none"/>
          <w:shd w:val="clear" w:color="auto" w:fill="FFFFFF"/>
        </w:rPr>
      </w:pPr>
      <w:r>
        <w:rPr>
          <w:rFonts w:ascii="仿宋_BG2312"/>
          <w:b/>
          <w:color w:val="auto"/>
          <w:sz w:val="36"/>
          <w:highlight w:val="none"/>
          <w:shd w:val="clear" w:color="auto" w:fill="FFFFFF"/>
        </w:rPr>
        <w:br w:type="page"/>
      </w:r>
      <w:bookmarkStart w:id="105" w:name="_Toc124784415"/>
      <w:bookmarkStart w:id="106" w:name="_Toc29093"/>
      <w:bookmarkStart w:id="107" w:name="_Toc13188"/>
      <w:bookmarkStart w:id="108" w:name="_Toc19814"/>
      <w:r>
        <w:rPr>
          <w:rFonts w:hint="eastAsia"/>
          <w:b/>
          <w:bCs/>
          <w:color w:val="auto"/>
          <w:sz w:val="32"/>
          <w:szCs w:val="32"/>
          <w:highlight w:val="none"/>
        </w:rPr>
        <w:t>（二）投标保证金交纳凭证</w:t>
      </w:r>
      <w:bookmarkEnd w:id="105"/>
      <w:bookmarkEnd w:id="106"/>
      <w:bookmarkEnd w:id="107"/>
      <w:bookmarkEnd w:id="108"/>
    </w:p>
    <w:p w14:paraId="7D50D79D">
      <w:pPr>
        <w:pStyle w:val="127"/>
        <w:spacing w:before="0" w:after="0" w:line="360" w:lineRule="auto"/>
        <w:ind w:firstLine="520" w:firstLineChars="200"/>
        <w:rPr>
          <w:rFonts w:hint="eastAsia"/>
          <w:color w:val="auto"/>
          <w:szCs w:val="24"/>
          <w:highlight w:val="none"/>
        </w:rPr>
      </w:pPr>
      <w:r>
        <w:rPr>
          <w:rFonts w:hint="eastAsia"/>
          <w:color w:val="auto"/>
          <w:szCs w:val="24"/>
          <w:highlight w:val="none"/>
        </w:rPr>
        <w:t>（投标人提交的投标保证金应采用招标文件中规定的形式，并在此提供缴纳回执扫描件或相应凭证扫描件）</w:t>
      </w:r>
    </w:p>
    <w:p w14:paraId="216C967A">
      <w:pPr>
        <w:pStyle w:val="127"/>
        <w:spacing w:before="0" w:after="0" w:line="360" w:lineRule="auto"/>
        <w:ind w:firstLine="520" w:firstLineChars="200"/>
        <w:rPr>
          <w:rFonts w:hint="eastAsia"/>
          <w:color w:val="auto"/>
          <w:szCs w:val="24"/>
          <w:highlight w:val="none"/>
        </w:rPr>
      </w:pPr>
    </w:p>
    <w:p w14:paraId="5DD58449">
      <w:pPr>
        <w:pStyle w:val="127"/>
        <w:spacing w:before="0" w:after="0" w:line="360" w:lineRule="auto"/>
        <w:ind w:firstLine="520" w:firstLineChars="200"/>
        <w:rPr>
          <w:rFonts w:hint="eastAsia"/>
          <w:color w:val="auto"/>
          <w:szCs w:val="24"/>
          <w:highlight w:val="none"/>
        </w:rPr>
      </w:pPr>
    </w:p>
    <w:p w14:paraId="6340C6AC">
      <w:pPr>
        <w:pStyle w:val="127"/>
        <w:spacing w:before="0" w:after="0" w:line="360" w:lineRule="auto"/>
        <w:ind w:firstLine="520" w:firstLineChars="200"/>
        <w:rPr>
          <w:rFonts w:hint="eastAsia"/>
          <w:color w:val="auto"/>
          <w:szCs w:val="24"/>
          <w:highlight w:val="none"/>
        </w:rPr>
      </w:pPr>
    </w:p>
    <w:p w14:paraId="4712B2BD">
      <w:pPr>
        <w:pStyle w:val="127"/>
        <w:spacing w:before="0" w:after="0" w:line="360" w:lineRule="auto"/>
        <w:ind w:firstLine="520" w:firstLineChars="200"/>
        <w:rPr>
          <w:rFonts w:hint="eastAsia"/>
          <w:color w:val="auto"/>
          <w:szCs w:val="24"/>
          <w:highlight w:val="none"/>
        </w:rPr>
      </w:pPr>
    </w:p>
    <w:p w14:paraId="335FD8F9">
      <w:pPr>
        <w:pStyle w:val="127"/>
        <w:spacing w:before="0" w:after="0" w:line="360" w:lineRule="auto"/>
        <w:ind w:firstLine="520" w:firstLineChars="200"/>
        <w:rPr>
          <w:rFonts w:hint="eastAsia"/>
          <w:color w:val="auto"/>
          <w:szCs w:val="24"/>
          <w:highlight w:val="none"/>
        </w:rPr>
      </w:pPr>
    </w:p>
    <w:p w14:paraId="7F1399E7">
      <w:pPr>
        <w:pStyle w:val="127"/>
        <w:spacing w:before="0" w:after="0" w:line="360" w:lineRule="auto"/>
        <w:ind w:firstLine="520" w:firstLineChars="200"/>
        <w:rPr>
          <w:rFonts w:hint="eastAsia"/>
          <w:color w:val="auto"/>
          <w:szCs w:val="24"/>
          <w:highlight w:val="none"/>
        </w:rPr>
      </w:pPr>
    </w:p>
    <w:p w14:paraId="2E041DC4">
      <w:pPr>
        <w:pStyle w:val="127"/>
        <w:spacing w:before="0" w:after="0" w:line="360" w:lineRule="auto"/>
        <w:ind w:firstLine="520" w:firstLineChars="200"/>
        <w:rPr>
          <w:rFonts w:hint="eastAsia"/>
          <w:color w:val="auto"/>
          <w:szCs w:val="24"/>
          <w:highlight w:val="none"/>
        </w:rPr>
      </w:pPr>
    </w:p>
    <w:p w14:paraId="6EF6C2F0">
      <w:pPr>
        <w:pStyle w:val="127"/>
        <w:spacing w:before="0" w:after="0" w:line="360" w:lineRule="auto"/>
        <w:ind w:firstLine="520" w:firstLineChars="200"/>
        <w:rPr>
          <w:rFonts w:hint="eastAsia"/>
          <w:color w:val="auto"/>
          <w:szCs w:val="24"/>
          <w:highlight w:val="none"/>
        </w:rPr>
      </w:pPr>
    </w:p>
    <w:p w14:paraId="0BA1701F">
      <w:pPr>
        <w:pStyle w:val="127"/>
        <w:spacing w:before="0" w:after="0" w:line="360" w:lineRule="auto"/>
        <w:ind w:firstLine="520" w:firstLineChars="200"/>
        <w:rPr>
          <w:rFonts w:hint="eastAsia"/>
          <w:color w:val="auto"/>
          <w:szCs w:val="24"/>
          <w:highlight w:val="none"/>
        </w:rPr>
      </w:pPr>
    </w:p>
    <w:p w14:paraId="4B56FD59">
      <w:pPr>
        <w:pStyle w:val="127"/>
        <w:spacing w:before="0" w:after="0" w:line="360" w:lineRule="auto"/>
        <w:ind w:firstLine="520" w:firstLineChars="200"/>
        <w:rPr>
          <w:rFonts w:hint="eastAsia"/>
          <w:color w:val="auto"/>
          <w:szCs w:val="24"/>
          <w:highlight w:val="none"/>
        </w:rPr>
      </w:pPr>
    </w:p>
    <w:p w14:paraId="63421FFD">
      <w:pPr>
        <w:pStyle w:val="127"/>
        <w:spacing w:before="0" w:after="0" w:line="360" w:lineRule="auto"/>
        <w:ind w:firstLine="520" w:firstLineChars="200"/>
        <w:rPr>
          <w:rFonts w:hint="eastAsia"/>
          <w:color w:val="auto"/>
          <w:szCs w:val="24"/>
          <w:highlight w:val="none"/>
        </w:rPr>
      </w:pPr>
    </w:p>
    <w:p w14:paraId="7AD212E2">
      <w:pPr>
        <w:pStyle w:val="127"/>
        <w:spacing w:before="0" w:after="0" w:line="360" w:lineRule="auto"/>
        <w:ind w:firstLine="520" w:firstLineChars="200"/>
        <w:rPr>
          <w:rFonts w:hint="eastAsia"/>
          <w:color w:val="auto"/>
          <w:szCs w:val="24"/>
          <w:highlight w:val="none"/>
        </w:rPr>
      </w:pPr>
    </w:p>
    <w:p w14:paraId="682B7078">
      <w:pPr>
        <w:pStyle w:val="127"/>
        <w:spacing w:before="0" w:after="0" w:line="360" w:lineRule="auto"/>
        <w:ind w:firstLine="520" w:firstLineChars="200"/>
        <w:rPr>
          <w:rFonts w:hint="eastAsia"/>
          <w:color w:val="auto"/>
          <w:szCs w:val="24"/>
          <w:highlight w:val="none"/>
        </w:rPr>
      </w:pPr>
    </w:p>
    <w:p w14:paraId="65869BE9">
      <w:pPr>
        <w:pStyle w:val="127"/>
        <w:spacing w:before="0" w:after="0" w:line="360" w:lineRule="auto"/>
        <w:ind w:firstLine="520" w:firstLineChars="200"/>
        <w:rPr>
          <w:rFonts w:hint="eastAsia"/>
          <w:color w:val="auto"/>
          <w:szCs w:val="24"/>
          <w:highlight w:val="none"/>
        </w:rPr>
      </w:pPr>
    </w:p>
    <w:p w14:paraId="78181E32">
      <w:pPr>
        <w:pStyle w:val="127"/>
        <w:spacing w:before="0" w:after="0" w:line="360" w:lineRule="auto"/>
        <w:ind w:firstLine="520" w:firstLineChars="200"/>
        <w:rPr>
          <w:rFonts w:hint="eastAsia"/>
          <w:color w:val="auto"/>
          <w:szCs w:val="24"/>
          <w:highlight w:val="none"/>
        </w:rPr>
      </w:pPr>
    </w:p>
    <w:p w14:paraId="504B5B39">
      <w:pPr>
        <w:pStyle w:val="127"/>
        <w:spacing w:before="0" w:after="0" w:line="360" w:lineRule="auto"/>
        <w:ind w:firstLine="520" w:firstLineChars="200"/>
        <w:rPr>
          <w:rFonts w:hint="eastAsia"/>
          <w:color w:val="auto"/>
          <w:szCs w:val="24"/>
          <w:highlight w:val="none"/>
        </w:rPr>
      </w:pPr>
    </w:p>
    <w:p w14:paraId="75F78BAC">
      <w:pPr>
        <w:pStyle w:val="127"/>
        <w:spacing w:before="0" w:after="0" w:line="360" w:lineRule="auto"/>
        <w:ind w:firstLine="520" w:firstLineChars="200"/>
        <w:rPr>
          <w:rFonts w:hint="eastAsia"/>
          <w:color w:val="auto"/>
          <w:szCs w:val="24"/>
          <w:highlight w:val="none"/>
        </w:rPr>
      </w:pPr>
    </w:p>
    <w:p w14:paraId="34B629E4">
      <w:pPr>
        <w:pStyle w:val="127"/>
        <w:spacing w:before="0" w:after="0" w:line="360" w:lineRule="auto"/>
        <w:ind w:firstLine="520" w:firstLineChars="200"/>
        <w:rPr>
          <w:rFonts w:hint="eastAsia"/>
          <w:color w:val="auto"/>
          <w:szCs w:val="24"/>
          <w:highlight w:val="none"/>
        </w:rPr>
      </w:pPr>
    </w:p>
    <w:p w14:paraId="4B71D297">
      <w:pPr>
        <w:pStyle w:val="127"/>
        <w:spacing w:before="0" w:after="0" w:line="360" w:lineRule="auto"/>
        <w:ind w:firstLine="520" w:firstLineChars="200"/>
        <w:rPr>
          <w:rFonts w:hint="eastAsia"/>
          <w:color w:val="auto"/>
          <w:szCs w:val="24"/>
          <w:highlight w:val="none"/>
        </w:rPr>
      </w:pPr>
    </w:p>
    <w:p w14:paraId="68A8BEA0">
      <w:pPr>
        <w:pStyle w:val="127"/>
        <w:spacing w:before="0" w:after="0" w:line="360" w:lineRule="auto"/>
        <w:ind w:firstLine="520" w:firstLineChars="200"/>
        <w:rPr>
          <w:rFonts w:hint="eastAsia"/>
          <w:color w:val="auto"/>
          <w:szCs w:val="24"/>
          <w:highlight w:val="none"/>
        </w:rPr>
      </w:pPr>
    </w:p>
    <w:p w14:paraId="2CA5DCD0">
      <w:pPr>
        <w:pStyle w:val="127"/>
        <w:spacing w:before="0" w:after="0" w:line="360" w:lineRule="auto"/>
        <w:ind w:firstLine="520" w:firstLineChars="200"/>
        <w:rPr>
          <w:rFonts w:hint="eastAsia"/>
          <w:color w:val="auto"/>
          <w:szCs w:val="24"/>
          <w:highlight w:val="none"/>
        </w:rPr>
      </w:pPr>
    </w:p>
    <w:p w14:paraId="7214E57C">
      <w:pPr>
        <w:pStyle w:val="127"/>
        <w:spacing w:before="0" w:after="0" w:line="360" w:lineRule="auto"/>
        <w:ind w:firstLine="520" w:firstLineChars="200"/>
        <w:rPr>
          <w:rFonts w:hint="eastAsia"/>
          <w:color w:val="auto"/>
          <w:szCs w:val="24"/>
          <w:highlight w:val="none"/>
        </w:rPr>
      </w:pPr>
    </w:p>
    <w:p w14:paraId="26B4C2A8">
      <w:pPr>
        <w:pStyle w:val="127"/>
        <w:spacing w:before="0" w:after="0" w:line="360" w:lineRule="auto"/>
        <w:ind w:firstLine="520" w:firstLineChars="200"/>
        <w:rPr>
          <w:rFonts w:hint="eastAsia"/>
          <w:color w:val="auto"/>
          <w:szCs w:val="24"/>
          <w:highlight w:val="none"/>
        </w:rPr>
      </w:pPr>
    </w:p>
    <w:p w14:paraId="7F9C5D33">
      <w:pPr>
        <w:pStyle w:val="127"/>
        <w:spacing w:before="0" w:after="0" w:line="360" w:lineRule="auto"/>
        <w:ind w:firstLine="520" w:firstLineChars="200"/>
        <w:rPr>
          <w:rFonts w:hint="eastAsia"/>
          <w:color w:val="auto"/>
          <w:szCs w:val="24"/>
          <w:highlight w:val="none"/>
        </w:rPr>
      </w:pPr>
    </w:p>
    <w:p w14:paraId="2CB07A3F">
      <w:pPr>
        <w:pStyle w:val="127"/>
        <w:spacing w:before="0" w:after="0" w:line="360" w:lineRule="auto"/>
        <w:ind w:firstLine="520" w:firstLineChars="200"/>
        <w:rPr>
          <w:rFonts w:hint="eastAsia"/>
          <w:color w:val="auto"/>
          <w:szCs w:val="24"/>
          <w:highlight w:val="none"/>
        </w:rPr>
      </w:pPr>
    </w:p>
    <w:p w14:paraId="094E7B29">
      <w:pPr>
        <w:pStyle w:val="127"/>
        <w:spacing w:before="0" w:after="0" w:line="360" w:lineRule="auto"/>
        <w:ind w:firstLine="520" w:firstLineChars="200"/>
        <w:rPr>
          <w:rFonts w:hint="eastAsia"/>
          <w:color w:val="auto"/>
          <w:szCs w:val="24"/>
          <w:highlight w:val="none"/>
        </w:rPr>
      </w:pPr>
    </w:p>
    <w:p w14:paraId="22D7972F">
      <w:pPr>
        <w:snapToGrid w:val="0"/>
        <w:spacing w:line="360" w:lineRule="auto"/>
        <w:contextualSpacing/>
        <w:jc w:val="center"/>
        <w:rPr>
          <w:rFonts w:hint="eastAsia"/>
          <w:b/>
          <w:bCs/>
          <w:color w:val="auto"/>
          <w:sz w:val="32"/>
          <w:szCs w:val="32"/>
          <w:highlight w:val="none"/>
        </w:rPr>
      </w:pPr>
      <w:bookmarkStart w:id="109" w:name="_Toc2719"/>
      <w:bookmarkStart w:id="110" w:name="_Toc124784416"/>
      <w:r>
        <w:rPr>
          <w:rFonts w:hint="eastAsia"/>
          <w:b/>
          <w:bCs/>
          <w:color w:val="auto"/>
          <w:sz w:val="32"/>
          <w:szCs w:val="32"/>
          <w:highlight w:val="none"/>
        </w:rPr>
        <w:t>（三）廉洁自律承诺书</w:t>
      </w:r>
    </w:p>
    <w:p w14:paraId="43CF9DE5">
      <w:pPr>
        <w:spacing w:line="360" w:lineRule="auto"/>
        <w:ind w:firstLine="480" w:firstLineChars="200"/>
        <w:rPr>
          <w:rFonts w:hint="eastAsia"/>
          <w:color w:val="auto"/>
          <w:highlight w:val="none"/>
        </w:rPr>
      </w:pPr>
      <w:r>
        <w:rPr>
          <w:rFonts w:hint="eastAsia"/>
          <w:color w:val="auto"/>
          <w:highlight w:val="none"/>
        </w:rPr>
        <w:t>我公司参加了</w:t>
      </w:r>
      <w:r>
        <w:rPr>
          <w:color w:val="auto"/>
          <w:highlight w:val="none"/>
          <w:u w:val="single"/>
        </w:rPr>
        <w:t xml:space="preserve"> </w:t>
      </w:r>
      <w:r>
        <w:rPr>
          <w:rFonts w:hint="eastAsia"/>
          <w:color w:val="auto"/>
          <w:highlight w:val="none"/>
          <w:u w:val="single"/>
          <w:lang w:eastAsia="zh-CN"/>
        </w:rPr>
        <w:t>玉溪职业技术学院（云南省玉溪工业财贸学校）澄江职中提级管理项目（1包）校园监控系统升级改造项目</w:t>
      </w:r>
      <w:r>
        <w:rPr>
          <w:color w:val="auto"/>
          <w:highlight w:val="none"/>
          <w:u w:val="single"/>
        </w:rPr>
        <w:t xml:space="preserve"> </w:t>
      </w:r>
      <w:r>
        <w:rPr>
          <w:color w:val="auto"/>
          <w:highlight w:val="none"/>
        </w:rPr>
        <w:t>的投标，为维护市场公平竞争，营造诚实守信的招投标交易环境，确保招标工作的公平、公正、公开，我们承诺如下事项：</w:t>
      </w:r>
    </w:p>
    <w:p w14:paraId="0EE94066">
      <w:pPr>
        <w:spacing w:line="360" w:lineRule="auto"/>
        <w:ind w:firstLine="480" w:firstLineChars="200"/>
        <w:rPr>
          <w:rFonts w:hint="eastAsia"/>
          <w:color w:val="auto"/>
          <w:highlight w:val="none"/>
        </w:rPr>
      </w:pPr>
      <w:r>
        <w:rPr>
          <w:color w:val="auto"/>
          <w:highlight w:val="none"/>
        </w:rPr>
        <w:t>1.自觉遵守国家法律法规及省、市有关廉政建设制度。</w:t>
      </w:r>
    </w:p>
    <w:p w14:paraId="2558333E">
      <w:pPr>
        <w:spacing w:line="360" w:lineRule="auto"/>
        <w:ind w:firstLine="480" w:firstLineChars="200"/>
        <w:rPr>
          <w:rFonts w:hint="eastAsia"/>
          <w:color w:val="auto"/>
          <w:highlight w:val="none"/>
        </w:rPr>
      </w:pPr>
      <w:r>
        <w:rPr>
          <w:color w:val="auto"/>
          <w:highlight w:val="none"/>
        </w:rPr>
        <w:t>2.我公司提交的材料无任何伪造、修改、虚假成份，材料所述内容均为本公司真实拥有。若违反本承诺一经查实，本公司愿意接受公开通报并接受相关处罚。</w:t>
      </w:r>
    </w:p>
    <w:p w14:paraId="43B28F1D">
      <w:pPr>
        <w:spacing w:line="360" w:lineRule="auto"/>
        <w:ind w:firstLine="480" w:firstLineChars="200"/>
        <w:rPr>
          <w:rFonts w:hint="eastAsia"/>
          <w:color w:val="auto"/>
          <w:highlight w:val="none"/>
        </w:rPr>
      </w:pPr>
      <w:r>
        <w:rPr>
          <w:color w:val="auto"/>
          <w:highlight w:val="none"/>
        </w:rPr>
        <w:t>3.不使用不正当手段妨碍、排挤其它投标单位或串通投标。</w:t>
      </w:r>
    </w:p>
    <w:p w14:paraId="34293137">
      <w:pPr>
        <w:spacing w:line="360" w:lineRule="auto"/>
        <w:ind w:firstLine="480" w:firstLineChars="200"/>
        <w:rPr>
          <w:rFonts w:hint="eastAsia"/>
          <w:color w:val="auto"/>
          <w:highlight w:val="none"/>
        </w:rPr>
      </w:pPr>
      <w:r>
        <w:rPr>
          <w:color w:val="auto"/>
          <w:highlight w:val="none"/>
        </w:rPr>
        <w:t>4.按照招标文件规定的方式进行投标，不隐瞒本单位投标资质的真实情况，投标资质符合规定。保证不会以其他人名义投标或者以其他方式弄虚作假，骗取中标。</w:t>
      </w:r>
    </w:p>
    <w:p w14:paraId="2B51D11D">
      <w:pPr>
        <w:spacing w:line="360" w:lineRule="auto"/>
        <w:ind w:firstLine="480" w:firstLineChars="200"/>
        <w:rPr>
          <w:rFonts w:hint="eastAsia"/>
          <w:color w:val="auto"/>
          <w:highlight w:val="none"/>
        </w:rPr>
      </w:pPr>
      <w:r>
        <w:rPr>
          <w:color w:val="auto"/>
          <w:highlight w:val="none"/>
        </w:rPr>
        <w:t>5.若中标不将关键性工作进行分包。</w:t>
      </w:r>
    </w:p>
    <w:p w14:paraId="7CD01FF8">
      <w:pPr>
        <w:spacing w:line="360" w:lineRule="auto"/>
        <w:ind w:firstLine="480" w:firstLineChars="200"/>
        <w:rPr>
          <w:rFonts w:hint="eastAsia"/>
          <w:color w:val="auto"/>
          <w:highlight w:val="none"/>
        </w:rPr>
      </w:pPr>
      <w:r>
        <w:rPr>
          <w:color w:val="auto"/>
          <w:highlight w:val="none"/>
        </w:rPr>
        <w:t>6.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14:paraId="57677683">
      <w:pPr>
        <w:spacing w:line="360" w:lineRule="auto"/>
        <w:ind w:firstLine="480" w:firstLineChars="200"/>
        <w:rPr>
          <w:rFonts w:hint="eastAsia"/>
          <w:color w:val="auto"/>
          <w:highlight w:val="none"/>
        </w:rPr>
      </w:pPr>
      <w:r>
        <w:rPr>
          <w:color w:val="auto"/>
          <w:highlight w:val="none"/>
        </w:rPr>
        <w:t>7.不向涉及招标的部门及个人支付好处费、介绍费；购置或提供通讯工具、交通工具、电脑等。</w:t>
      </w:r>
    </w:p>
    <w:p w14:paraId="373A5E86">
      <w:pPr>
        <w:spacing w:line="360" w:lineRule="auto"/>
        <w:ind w:firstLine="480" w:firstLineChars="200"/>
        <w:rPr>
          <w:rFonts w:hint="eastAsia"/>
          <w:color w:val="auto"/>
          <w:highlight w:val="none"/>
        </w:rPr>
      </w:pPr>
      <w:r>
        <w:rPr>
          <w:color w:val="auto"/>
          <w:highlight w:val="none"/>
        </w:rPr>
        <w:t>8.一旦发现相关人员在招标过程中有索要财物等不廉洁行为，坚决予以抵制。</w:t>
      </w:r>
    </w:p>
    <w:p w14:paraId="554919D6">
      <w:pPr>
        <w:spacing w:line="360" w:lineRule="auto"/>
        <w:ind w:firstLine="480" w:firstLineChars="200"/>
        <w:rPr>
          <w:rFonts w:hint="eastAsia"/>
          <w:color w:val="auto"/>
          <w:highlight w:val="none"/>
        </w:rPr>
      </w:pPr>
      <w:r>
        <w:rPr>
          <w:color w:val="auto"/>
          <w:highlight w:val="none"/>
        </w:rPr>
        <w:t>9.我方自愿将本承诺书作为投标文件及合同的附件，具有同等的法律效力。</w:t>
      </w:r>
    </w:p>
    <w:p w14:paraId="70711ACE">
      <w:pPr>
        <w:spacing w:line="360" w:lineRule="auto"/>
        <w:ind w:firstLine="480" w:firstLineChars="200"/>
        <w:rPr>
          <w:rFonts w:hint="eastAsia"/>
          <w:color w:val="auto"/>
          <w:highlight w:val="none"/>
        </w:rPr>
      </w:pPr>
      <w:r>
        <w:rPr>
          <w:color w:val="auto"/>
          <w:highlight w:val="none"/>
        </w:rPr>
        <w:t>10.若违反上述承诺或违反有关法律法规以及省、市有关规定，我公司自愿按规定接受处罚。</w:t>
      </w:r>
    </w:p>
    <w:p w14:paraId="3E1E388A">
      <w:pPr>
        <w:spacing w:line="360" w:lineRule="auto"/>
        <w:ind w:firstLine="480" w:firstLineChars="200"/>
        <w:rPr>
          <w:rFonts w:hint="eastAsia"/>
          <w:color w:val="auto"/>
          <w:highlight w:val="none"/>
        </w:rPr>
      </w:pPr>
      <w:r>
        <w:rPr>
          <w:color w:val="auto"/>
          <w:highlight w:val="none"/>
        </w:rPr>
        <w:t>11.本承诺书自签署之日起生效。</w:t>
      </w:r>
    </w:p>
    <w:p w14:paraId="286BC899">
      <w:pPr>
        <w:pStyle w:val="17"/>
        <w:spacing w:line="360" w:lineRule="auto"/>
        <w:ind w:firstLine="450"/>
        <w:rPr>
          <w:rFonts w:hint="eastAsia"/>
          <w:color w:val="auto"/>
          <w:sz w:val="24"/>
          <w:szCs w:val="24"/>
          <w:highlight w:val="none"/>
        </w:rPr>
      </w:pPr>
    </w:p>
    <w:p w14:paraId="49FB4D7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8D82E7E">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287C643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71CDCDB">
      <w:pPr>
        <w:rPr>
          <w:rFonts w:hint="eastAsia"/>
          <w:color w:val="auto"/>
          <w:highlight w:val="none"/>
        </w:rPr>
      </w:pPr>
    </w:p>
    <w:p w14:paraId="39519FB7">
      <w:pPr>
        <w:rPr>
          <w:rFonts w:hint="eastAsia"/>
          <w:color w:val="auto"/>
          <w:highlight w:val="none"/>
        </w:rPr>
      </w:pPr>
    </w:p>
    <w:p w14:paraId="0B690760">
      <w:pPr>
        <w:rPr>
          <w:rFonts w:hint="eastAsia"/>
          <w:color w:val="auto"/>
          <w:highlight w:val="none"/>
        </w:rPr>
      </w:pPr>
    </w:p>
    <w:p w14:paraId="574CA3D3">
      <w:pPr>
        <w:pStyle w:val="17"/>
        <w:rPr>
          <w:rFonts w:hint="eastAsia"/>
          <w:color w:val="auto"/>
          <w:highlight w:val="none"/>
        </w:rPr>
      </w:pPr>
      <w:r>
        <w:rPr>
          <w:color w:val="auto"/>
          <w:highlight w:val="none"/>
        </w:rPr>
        <w:br w:type="page"/>
      </w:r>
    </w:p>
    <w:p w14:paraId="3235A71A">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（四）履约承诺书</w:t>
      </w:r>
    </w:p>
    <w:p w14:paraId="4F5854EE">
      <w:pPr>
        <w:spacing w:line="360" w:lineRule="auto"/>
        <w:ind w:firstLine="480" w:firstLineChars="200"/>
        <w:rPr>
          <w:rFonts w:hint="eastAsia"/>
          <w:color w:val="auto"/>
          <w:highlight w:val="none"/>
        </w:rPr>
      </w:pPr>
      <w:r>
        <w:rPr>
          <w:rFonts w:hint="eastAsia"/>
          <w:color w:val="auto"/>
          <w:highlight w:val="none"/>
        </w:rPr>
        <w:t>一、我单位承诺：</w:t>
      </w:r>
    </w:p>
    <w:p w14:paraId="0ABF090E">
      <w:pPr>
        <w:spacing w:line="360" w:lineRule="auto"/>
        <w:ind w:firstLine="480" w:firstLineChars="200"/>
        <w:rPr>
          <w:rFonts w:hint="eastAsia"/>
          <w:color w:val="auto"/>
          <w:highlight w:val="none"/>
        </w:rPr>
      </w:pPr>
      <w:r>
        <w:rPr>
          <w:rFonts w:hint="eastAsia"/>
          <w:color w:val="auto"/>
          <w:highlight w:val="none"/>
        </w:rPr>
        <w:t>（一）我单位已详细阅读并完全理解、同意《招标文件》的全部内容，包括修改补充文件以及全部参考资料和有关附件；除我单位在《招标文件》规定期间内书面提出的疑问外，我单位放弃对这方面不明及误解的权力，并严格按采购单位确定的服务要求等履行。</w:t>
      </w:r>
    </w:p>
    <w:p w14:paraId="5DCB025A">
      <w:pPr>
        <w:spacing w:line="360" w:lineRule="auto"/>
        <w:ind w:firstLine="480" w:firstLineChars="200"/>
        <w:rPr>
          <w:rFonts w:hint="eastAsia"/>
          <w:color w:val="auto"/>
          <w:highlight w:val="none"/>
        </w:rPr>
      </w:pPr>
      <w:r>
        <w:rPr>
          <w:rFonts w:hint="eastAsia"/>
          <w:color w:val="auto"/>
          <w:highlight w:val="none"/>
        </w:rPr>
        <w:t>（二）我单位开标前已详细了解招标内容，并按采购单位条件及要求编制投标报价；我单位的投标报价包括《招标文件》所述报价组成的所有内容、并包括《招标文件》未列明而完成本项目所必须的费用。我单位确认本次投标报价未低于成本价，保证按《招标文件》要求及投标承诺的诚信履约。</w:t>
      </w:r>
    </w:p>
    <w:p w14:paraId="50260D3D">
      <w:pPr>
        <w:spacing w:line="360" w:lineRule="auto"/>
        <w:ind w:firstLine="480" w:firstLineChars="200"/>
        <w:rPr>
          <w:rFonts w:hint="eastAsia"/>
          <w:color w:val="auto"/>
          <w:highlight w:val="none"/>
        </w:rPr>
      </w:pPr>
      <w:r>
        <w:rPr>
          <w:rFonts w:hint="eastAsia"/>
          <w:color w:val="auto"/>
          <w:highlight w:val="none"/>
        </w:rPr>
        <w:t>（三）我单位保证在《招标文件》要求及承诺的时间内按期、保证完成中标项目。如我单位中标，将在中标结果公告后，积极、主动的与采购单位联系合同签订事宜，合同签订中如有任何的问题，我单位保证及时书面反映情况，否则视为我单位责任、按违约处理。</w:t>
      </w:r>
    </w:p>
    <w:p w14:paraId="5ED6AF21">
      <w:pPr>
        <w:spacing w:line="360" w:lineRule="auto"/>
        <w:ind w:firstLine="480" w:firstLineChars="200"/>
        <w:rPr>
          <w:rFonts w:hint="eastAsia"/>
          <w:color w:val="auto"/>
          <w:highlight w:val="none"/>
        </w:rPr>
      </w:pPr>
      <w:r>
        <w:rPr>
          <w:rFonts w:hint="eastAsia"/>
          <w:color w:val="auto"/>
          <w:highlight w:val="none"/>
        </w:rPr>
        <w:t>二、我单位承诺：</w:t>
      </w:r>
    </w:p>
    <w:p w14:paraId="6D097A40">
      <w:pPr>
        <w:spacing w:line="360" w:lineRule="auto"/>
        <w:ind w:firstLine="480" w:firstLineChars="200"/>
        <w:rPr>
          <w:rFonts w:hint="eastAsia"/>
          <w:color w:val="auto"/>
          <w:highlight w:val="none"/>
        </w:rPr>
      </w:pPr>
      <w:r>
        <w:rPr>
          <w:rFonts w:hint="eastAsia"/>
          <w:color w:val="auto"/>
          <w:highlight w:val="none"/>
        </w:rPr>
        <w:t>除法律规定的不可抗力因素外，我单位中标后以任何理由（包括违背上述承诺的事项）提出不能满足《招标文件》技术、服务等要求或不能实现投标承诺的或提出变更的，我单位将无条件接受违约处理、并放弃我单位中标资格。我单位知悉违约责任及其处理，并无条件接受：不退还投标保证金，情节严重的，由财政部门列入不良行为记录名单，在一至三年内禁止参加采购活动，并予以通报，处以罚金，给采购单位及他人造成损失的，承担相应的赔偿责任。</w:t>
      </w:r>
    </w:p>
    <w:p w14:paraId="1FA3CD5B">
      <w:pPr>
        <w:spacing w:line="360" w:lineRule="auto"/>
        <w:ind w:firstLine="465" w:firstLineChars="182"/>
        <w:rPr>
          <w:rFonts w:hint="eastAsia"/>
          <w:color w:val="auto"/>
          <w:spacing w:val="8"/>
          <w:highlight w:val="none"/>
        </w:rPr>
      </w:pPr>
      <w:r>
        <w:rPr>
          <w:rFonts w:hint="eastAsia"/>
          <w:color w:val="auto"/>
          <w:spacing w:val="8"/>
          <w:highlight w:val="none"/>
        </w:rPr>
        <w:t xml:space="preserve">   </w:t>
      </w:r>
    </w:p>
    <w:p w14:paraId="6A09E94F">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9485FF5">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95EED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7AF81706">
      <w:pPr>
        <w:rPr>
          <w:rFonts w:hint="eastAsia"/>
          <w:color w:val="auto"/>
          <w:highlight w:val="none"/>
        </w:rPr>
      </w:pPr>
    </w:p>
    <w:p w14:paraId="1A98437C">
      <w:pPr>
        <w:rPr>
          <w:rFonts w:hint="eastAsia"/>
          <w:color w:val="auto"/>
          <w:highlight w:val="none"/>
        </w:rPr>
      </w:pPr>
    </w:p>
    <w:p w14:paraId="5E619ABA">
      <w:pPr>
        <w:pStyle w:val="17"/>
        <w:rPr>
          <w:rFonts w:hint="eastAsia"/>
          <w:color w:val="auto"/>
          <w:highlight w:val="none"/>
        </w:rPr>
      </w:pPr>
      <w:r>
        <w:rPr>
          <w:color w:val="auto"/>
          <w:highlight w:val="none"/>
        </w:rPr>
        <w:br w:type="page"/>
      </w:r>
    </w:p>
    <w:p w14:paraId="6179B1A0">
      <w:pPr>
        <w:snapToGrid w:val="0"/>
        <w:spacing w:line="360" w:lineRule="auto"/>
        <w:contextualSpacing/>
        <w:jc w:val="center"/>
        <w:rPr>
          <w:rFonts w:hint="eastAsia"/>
          <w:color w:val="auto"/>
          <w:sz w:val="44"/>
          <w:szCs w:val="44"/>
          <w:highlight w:val="none"/>
        </w:rPr>
      </w:pPr>
      <w:r>
        <w:rPr>
          <w:rFonts w:hint="eastAsia"/>
          <w:b/>
          <w:bCs/>
          <w:color w:val="auto"/>
          <w:sz w:val="30"/>
          <w:szCs w:val="30"/>
          <w:highlight w:val="none"/>
        </w:rPr>
        <w:t>（五）投标保证金退还申请书</w:t>
      </w:r>
    </w:p>
    <w:p w14:paraId="14A04216">
      <w:pPr>
        <w:spacing w:line="360" w:lineRule="auto"/>
        <w:rPr>
          <w:rFonts w:hint="eastAsia"/>
          <w:b/>
          <w:bCs/>
          <w:color w:val="auto"/>
          <w:sz w:val="30"/>
          <w:szCs w:val="30"/>
          <w:highlight w:val="none"/>
        </w:rPr>
      </w:pPr>
      <w:r>
        <w:rPr>
          <w:rFonts w:hint="eastAsia"/>
          <w:b/>
          <w:bCs/>
          <w:color w:val="auto"/>
          <w:sz w:val="30"/>
          <w:szCs w:val="30"/>
          <w:highlight w:val="none"/>
        </w:rPr>
        <w:t>致：云南中诏项目管理有限公司</w:t>
      </w:r>
    </w:p>
    <w:p w14:paraId="6313FC3D">
      <w:pPr>
        <w:spacing w:line="360" w:lineRule="auto"/>
        <w:ind w:firstLine="560" w:firstLineChars="200"/>
        <w:rPr>
          <w:rFonts w:hint="eastAsia"/>
          <w:color w:val="auto"/>
          <w:sz w:val="28"/>
          <w:szCs w:val="28"/>
          <w:highlight w:val="none"/>
        </w:rPr>
      </w:pPr>
      <w:r>
        <w:rPr>
          <w:rFonts w:hint="eastAsia"/>
          <w:color w:val="auto"/>
          <w:sz w:val="28"/>
          <w:szCs w:val="28"/>
          <w:highlight w:val="none"/>
        </w:rPr>
        <w:t>我司于</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日参加贵公司</w:t>
      </w:r>
      <w:r>
        <w:rPr>
          <w:rFonts w:hint="eastAsia"/>
          <w:b/>
          <w:bCs/>
          <w:color w:val="auto"/>
          <w:sz w:val="30"/>
          <w:szCs w:val="30"/>
          <w:highlight w:val="none"/>
          <w:u w:val="single"/>
        </w:rPr>
        <w:t xml:space="preserve">        </w:t>
      </w:r>
      <w:r>
        <w:rPr>
          <w:rFonts w:hint="eastAsia"/>
          <w:color w:val="auto"/>
          <w:sz w:val="28"/>
          <w:szCs w:val="28"/>
          <w:highlight w:val="none"/>
        </w:rPr>
        <w:t>项目投标，同时招标文件要求向贵司交纳投标保证金，共计人民币</w:t>
      </w:r>
      <w:r>
        <w:rPr>
          <w:rFonts w:hint="eastAsia"/>
          <w:color w:val="auto"/>
          <w:sz w:val="28"/>
          <w:szCs w:val="28"/>
          <w:highlight w:val="none"/>
          <w:u w:val="single"/>
        </w:rPr>
        <w:t xml:space="preserve">      </w:t>
      </w:r>
      <w:r>
        <w:rPr>
          <w:rFonts w:hint="eastAsia"/>
          <w:color w:val="auto"/>
          <w:sz w:val="28"/>
          <w:szCs w:val="28"/>
          <w:highlight w:val="none"/>
        </w:rPr>
        <w:t xml:space="preserve"> 元（大写：</w:t>
      </w:r>
      <w:r>
        <w:rPr>
          <w:rFonts w:hint="eastAsia"/>
          <w:color w:val="auto"/>
          <w:sz w:val="28"/>
          <w:szCs w:val="28"/>
          <w:highlight w:val="none"/>
          <w:u w:val="single"/>
        </w:rPr>
        <w:t xml:space="preserve">       </w:t>
      </w:r>
      <w:r>
        <w:rPr>
          <w:rFonts w:hint="eastAsia"/>
          <w:color w:val="auto"/>
          <w:sz w:val="28"/>
          <w:szCs w:val="28"/>
          <w:highlight w:val="none"/>
        </w:rPr>
        <w:t>）。</w:t>
      </w:r>
    </w:p>
    <w:p w14:paraId="10C09D7C">
      <w:pPr>
        <w:spacing w:line="360" w:lineRule="auto"/>
        <w:ind w:left="319" w:leftChars="133" w:firstLine="280" w:firstLineChars="100"/>
        <w:rPr>
          <w:rFonts w:hint="eastAsia"/>
          <w:color w:val="auto"/>
          <w:sz w:val="28"/>
          <w:szCs w:val="28"/>
          <w:highlight w:val="none"/>
        </w:rPr>
      </w:pPr>
      <w:r>
        <w:rPr>
          <w:rFonts w:hint="eastAsia"/>
          <w:color w:val="auto"/>
          <w:sz w:val="28"/>
          <w:szCs w:val="28"/>
          <w:highlight w:val="none"/>
        </w:rPr>
        <w:t>根据《中华人民共和国政府采购法实施条例》的规定，现申请退还</w:t>
      </w:r>
      <w:r>
        <w:rPr>
          <w:rFonts w:hint="eastAsia"/>
          <w:color w:val="auto"/>
          <w:sz w:val="28"/>
          <w:szCs w:val="28"/>
          <w:highlight w:val="none"/>
          <w:u w:val="single"/>
        </w:rPr>
        <w:t xml:space="preserve">     （项目名称及标段号）</w:t>
      </w:r>
      <w:r>
        <w:rPr>
          <w:rFonts w:hint="eastAsia"/>
          <w:color w:val="auto"/>
          <w:sz w:val="28"/>
          <w:szCs w:val="28"/>
          <w:highlight w:val="none"/>
        </w:rPr>
        <w:t>的投标保证金</w:t>
      </w:r>
      <w:r>
        <w:rPr>
          <w:rFonts w:hint="eastAsia"/>
          <w:color w:val="auto"/>
          <w:sz w:val="28"/>
          <w:szCs w:val="28"/>
          <w:highlight w:val="none"/>
          <w:u w:val="single"/>
        </w:rPr>
        <w:t>人民币    元整（￥      元）</w:t>
      </w:r>
      <w:r>
        <w:rPr>
          <w:rFonts w:hint="eastAsia"/>
          <w:color w:val="auto"/>
          <w:sz w:val="28"/>
          <w:szCs w:val="28"/>
          <w:highlight w:val="none"/>
        </w:rPr>
        <w:t xml:space="preserve"> 到以下账户：</w:t>
      </w:r>
    </w:p>
    <w:p w14:paraId="4866520C">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开户名：</w:t>
      </w:r>
      <w:r>
        <w:rPr>
          <w:rFonts w:hint="eastAsia"/>
          <w:b/>
          <w:bCs/>
          <w:color w:val="auto"/>
          <w:sz w:val="28"/>
          <w:szCs w:val="28"/>
          <w:highlight w:val="none"/>
          <w:u w:val="single"/>
        </w:rPr>
        <w:t xml:space="preserve">                         ；</w:t>
      </w:r>
    </w:p>
    <w:p w14:paraId="18667273">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开户行：</w:t>
      </w:r>
      <w:r>
        <w:rPr>
          <w:rFonts w:hint="eastAsia"/>
          <w:b/>
          <w:bCs/>
          <w:color w:val="auto"/>
          <w:sz w:val="28"/>
          <w:szCs w:val="28"/>
          <w:highlight w:val="none"/>
          <w:u w:val="single"/>
        </w:rPr>
        <w:t xml:space="preserve">                         ；</w:t>
      </w:r>
    </w:p>
    <w:p w14:paraId="2D416252">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账  号：</w:t>
      </w:r>
      <w:r>
        <w:rPr>
          <w:rFonts w:hint="eastAsia"/>
          <w:b/>
          <w:bCs/>
          <w:color w:val="auto"/>
          <w:sz w:val="28"/>
          <w:szCs w:val="28"/>
          <w:highlight w:val="none"/>
          <w:u w:val="single"/>
        </w:rPr>
        <w:t xml:space="preserve">                         ；</w:t>
      </w:r>
    </w:p>
    <w:p w14:paraId="4065B4A3">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联系人：</w:t>
      </w:r>
      <w:r>
        <w:rPr>
          <w:rFonts w:hint="eastAsia"/>
          <w:b/>
          <w:bCs/>
          <w:color w:val="auto"/>
          <w:sz w:val="28"/>
          <w:szCs w:val="28"/>
          <w:highlight w:val="none"/>
          <w:u w:val="single"/>
        </w:rPr>
        <w:t xml:space="preserve">                         ；</w:t>
      </w:r>
      <w:r>
        <w:rPr>
          <w:rFonts w:hint="eastAsia"/>
          <w:b/>
          <w:bCs/>
          <w:color w:val="auto"/>
          <w:sz w:val="28"/>
          <w:szCs w:val="28"/>
          <w:highlight w:val="none"/>
        </w:rPr>
        <w:t xml:space="preserve">             </w:t>
      </w:r>
    </w:p>
    <w:p w14:paraId="18CFAAAF">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联系电话：</w:t>
      </w:r>
      <w:r>
        <w:rPr>
          <w:rFonts w:hint="eastAsia"/>
          <w:b/>
          <w:bCs/>
          <w:color w:val="auto"/>
          <w:sz w:val="28"/>
          <w:szCs w:val="28"/>
          <w:highlight w:val="none"/>
          <w:u w:val="single"/>
        </w:rPr>
        <w:t xml:space="preserve">                       ；</w:t>
      </w:r>
    </w:p>
    <w:p w14:paraId="71D3AA67">
      <w:pPr>
        <w:spacing w:line="360" w:lineRule="auto"/>
        <w:ind w:firstLine="482" w:firstLineChars="200"/>
        <w:rPr>
          <w:rFonts w:hint="eastAsia"/>
          <w:b/>
          <w:bCs/>
          <w:color w:val="auto"/>
          <w:highlight w:val="none"/>
        </w:rPr>
      </w:pPr>
      <w:r>
        <w:rPr>
          <w:rFonts w:hint="eastAsia"/>
          <w:b/>
          <w:bCs/>
          <w:color w:val="auto"/>
          <w:highlight w:val="none"/>
        </w:rPr>
        <w:t>注：</w:t>
      </w:r>
    </w:p>
    <w:p w14:paraId="603D1F69">
      <w:pPr>
        <w:spacing w:line="360" w:lineRule="auto"/>
        <w:ind w:firstLine="482" w:firstLineChars="200"/>
        <w:rPr>
          <w:rFonts w:hint="eastAsia"/>
          <w:b/>
          <w:bCs/>
          <w:color w:val="auto"/>
          <w:highlight w:val="none"/>
        </w:rPr>
      </w:pPr>
      <w:r>
        <w:rPr>
          <w:rFonts w:hint="eastAsia"/>
          <w:b/>
          <w:bCs/>
          <w:color w:val="auto"/>
          <w:highlight w:val="none"/>
        </w:rPr>
        <w:t>1.后附开户许可证加盖公章。</w:t>
      </w:r>
    </w:p>
    <w:p w14:paraId="23EAF1DD">
      <w:pPr>
        <w:spacing w:line="360" w:lineRule="auto"/>
        <w:ind w:firstLine="482" w:firstLineChars="200"/>
        <w:rPr>
          <w:rFonts w:hint="eastAsia"/>
          <w:b/>
          <w:bCs/>
          <w:color w:val="auto"/>
          <w:sz w:val="28"/>
          <w:szCs w:val="28"/>
          <w:highlight w:val="none"/>
          <w:u w:val="single"/>
        </w:rPr>
      </w:pPr>
      <w:r>
        <w:rPr>
          <w:rFonts w:hint="eastAsia"/>
          <w:b/>
          <w:bCs/>
          <w:color w:val="auto"/>
          <w:highlight w:val="none"/>
        </w:rPr>
        <w:t>3.本《投标保证金退还申请书》账户填写信息须与提供的《开户许可证》信息一致。</w:t>
      </w:r>
    </w:p>
    <w:p w14:paraId="074D6249">
      <w:pPr>
        <w:wordWrap w:val="0"/>
        <w:jc w:val="right"/>
        <w:rPr>
          <w:rFonts w:hint="eastAsia"/>
          <w:color w:val="auto"/>
          <w:sz w:val="28"/>
          <w:szCs w:val="28"/>
          <w:highlight w:val="none"/>
        </w:rPr>
      </w:pPr>
    </w:p>
    <w:p w14:paraId="3EC04A6F">
      <w:pPr>
        <w:jc w:val="right"/>
        <w:rPr>
          <w:rFonts w:hint="eastAsia"/>
          <w:color w:val="auto"/>
          <w:sz w:val="28"/>
          <w:szCs w:val="28"/>
          <w:highlight w:val="none"/>
        </w:rPr>
      </w:pPr>
      <w:r>
        <w:rPr>
          <w:rFonts w:hint="eastAsia"/>
          <w:color w:val="auto"/>
          <w:sz w:val="28"/>
          <w:szCs w:val="28"/>
          <w:highlight w:val="none"/>
        </w:rPr>
        <w:t>申请单位（电子签章）：</w:t>
      </w:r>
      <w:r>
        <w:rPr>
          <w:rFonts w:hint="eastAsia"/>
          <w:color w:val="auto"/>
          <w:sz w:val="28"/>
          <w:szCs w:val="28"/>
          <w:highlight w:val="none"/>
          <w:u w:val="single"/>
        </w:rPr>
        <w:t xml:space="preserve">                </w:t>
      </w:r>
    </w:p>
    <w:p w14:paraId="71F45BD6">
      <w:pPr>
        <w:jc w:val="right"/>
        <w:rPr>
          <w:rFonts w:hint="eastAsia"/>
          <w:color w:val="auto"/>
          <w:sz w:val="28"/>
          <w:szCs w:val="28"/>
          <w:highlight w:val="none"/>
        </w:rPr>
        <w:sectPr>
          <w:pgSz w:w="11906" w:h="16838"/>
          <w:pgMar w:top="1134" w:right="1134" w:bottom="1134" w:left="1134" w:header="850" w:footer="850" w:gutter="0"/>
          <w:cols w:space="720" w:num="1"/>
          <w:docGrid w:type="lines" w:linePitch="331" w:charSpace="0"/>
        </w:sectPr>
      </w:pPr>
      <w:r>
        <w:rPr>
          <w:rFonts w:hint="eastAsia"/>
          <w:color w:val="auto"/>
          <w:sz w:val="28"/>
          <w:szCs w:val="28"/>
          <w:highlight w:val="none"/>
        </w:rPr>
        <w:t>年   月   日</w:t>
      </w:r>
    </w:p>
    <w:bookmarkEnd w:id="109"/>
    <w:bookmarkEnd w:id="110"/>
    <w:p w14:paraId="467426F0">
      <w:pPr>
        <w:shd w:val="solid" w:color="FFFFFF" w:fill="auto"/>
        <w:autoSpaceDN w:val="0"/>
        <w:spacing w:line="360" w:lineRule="auto"/>
        <w:outlineLvl w:val="1"/>
        <w:rPr>
          <w:rFonts w:hint="eastAsia" w:ascii="仿宋_BG2312"/>
          <w:b/>
          <w:color w:val="auto"/>
          <w:sz w:val="36"/>
          <w:highlight w:val="none"/>
          <w:shd w:val="clear" w:color="auto" w:fill="FFFFFF"/>
        </w:rPr>
      </w:pPr>
      <w:bookmarkStart w:id="111" w:name="_Toc29567"/>
      <w:bookmarkStart w:id="112" w:name="_Toc15535"/>
      <w:bookmarkStart w:id="113" w:name="_Toc217446086"/>
      <w:bookmarkStart w:id="114" w:name="_Toc124784417"/>
      <w:bookmarkStart w:id="115" w:name="_Toc14503"/>
      <w:bookmarkStart w:id="116" w:name="_Toc24809"/>
      <w:r>
        <w:rPr>
          <w:rFonts w:hint="eastAsia" w:ascii="仿宋_BG2312"/>
          <w:b/>
          <w:color w:val="auto"/>
          <w:sz w:val="36"/>
          <w:highlight w:val="none"/>
          <w:shd w:val="clear" w:color="auto" w:fill="FFFFFF"/>
        </w:rPr>
        <w:t>三、投标报价部分</w:t>
      </w:r>
      <w:bookmarkEnd w:id="111"/>
    </w:p>
    <w:bookmarkEnd w:id="112"/>
    <w:bookmarkEnd w:id="113"/>
    <w:bookmarkEnd w:id="114"/>
    <w:bookmarkEnd w:id="115"/>
    <w:bookmarkEnd w:id="116"/>
    <w:p w14:paraId="7106AB50">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（一）投标报价组成明细表</w:t>
      </w:r>
    </w:p>
    <w:p w14:paraId="27E70C02">
      <w:pPr>
        <w:pStyle w:val="17"/>
        <w:spacing w:line="360" w:lineRule="auto"/>
        <w:rPr>
          <w:rFonts w:hint="eastAsia" w:ascii="宋体" w:hAnsi="宋体" w:eastAsia="宋体"/>
          <w:bCs/>
          <w:color w:val="auto"/>
          <w:spacing w:val="0"/>
          <w:sz w:val="24"/>
          <w:szCs w:val="24"/>
          <w:highlight w:val="none"/>
          <w:lang w:eastAsia="zh-CN"/>
        </w:rPr>
      </w:pPr>
      <w:r>
        <w:rPr>
          <w:rFonts w:hint="eastAsia" w:ascii="宋体" w:hAnsi="宋体" w:eastAsia="宋体"/>
          <w:bCs/>
          <w:color w:val="auto"/>
          <w:spacing w:val="0"/>
          <w:sz w:val="24"/>
          <w:szCs w:val="24"/>
          <w:highlight w:val="none"/>
        </w:rPr>
        <w:t>项目名称：</w:t>
      </w:r>
      <w:r>
        <w:rPr>
          <w:rFonts w:hint="eastAsia" w:ascii="宋体" w:hAnsi="宋体" w:eastAsia="宋体"/>
          <w:bCs/>
          <w:color w:val="auto"/>
          <w:spacing w:val="0"/>
          <w:sz w:val="24"/>
          <w:szCs w:val="24"/>
          <w:highlight w:val="none"/>
          <w:lang w:eastAsia="zh-CN"/>
        </w:rPr>
        <w:t>玉溪职业技术学院（云南省玉溪工业财贸学校）澄江职中提级管理项目（1包）校园监控系统升级改造项目</w:t>
      </w:r>
    </w:p>
    <w:p w14:paraId="65C46A96">
      <w:pPr>
        <w:spacing w:line="360" w:lineRule="auto"/>
        <w:rPr>
          <w:rFonts w:hint="eastAsia"/>
          <w:b/>
          <w:bCs/>
          <w:color w:val="auto"/>
          <w:highlight w:val="none"/>
        </w:rPr>
      </w:pPr>
      <w:r>
        <w:rPr>
          <w:rFonts w:hint="eastAsia"/>
          <w:b/>
          <w:bCs/>
          <w:color w:val="auto"/>
          <w:highlight w:val="none"/>
        </w:rPr>
        <w:t>项目编号：</w:t>
      </w:r>
    </w:p>
    <w:tbl>
      <w:tblPr>
        <w:tblStyle w:val="43"/>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06"/>
        <w:gridCol w:w="1042"/>
        <w:gridCol w:w="1107"/>
        <w:gridCol w:w="861"/>
        <w:gridCol w:w="861"/>
        <w:gridCol w:w="1077"/>
        <w:gridCol w:w="1294"/>
        <w:gridCol w:w="1228"/>
        <w:gridCol w:w="117"/>
        <w:gridCol w:w="742"/>
      </w:tblGrid>
      <w:tr w14:paraId="5261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B39EFBC">
            <w:pPr>
              <w:pStyle w:val="105"/>
              <w:spacing w:line="360" w:lineRule="auto"/>
              <w:jc w:val="center"/>
              <w:rPr>
                <w:bCs/>
                <w:snapToGrid w:val="0"/>
                <w:color w:val="auto"/>
                <w:highlight w:val="none"/>
              </w:rPr>
            </w:pPr>
            <w:r>
              <w:rPr>
                <w:rFonts w:hint="eastAsia"/>
                <w:bCs/>
                <w:snapToGrid w:val="0"/>
                <w:color w:val="auto"/>
                <w:highlight w:val="none"/>
              </w:rPr>
              <w:t>序号</w:t>
            </w:r>
          </w:p>
        </w:tc>
        <w:tc>
          <w:tcPr>
            <w:tcW w:w="1042" w:type="dxa"/>
            <w:tcBorders>
              <w:top w:val="single" w:color="auto" w:sz="4" w:space="0"/>
              <w:left w:val="single" w:color="auto" w:sz="4" w:space="0"/>
              <w:bottom w:val="single" w:color="auto" w:sz="4" w:space="0"/>
              <w:right w:val="single" w:color="auto" w:sz="4" w:space="0"/>
            </w:tcBorders>
            <w:vAlign w:val="center"/>
          </w:tcPr>
          <w:p w14:paraId="38AEC0B6">
            <w:pPr>
              <w:spacing w:line="360" w:lineRule="auto"/>
              <w:jc w:val="center"/>
              <w:rPr>
                <w:rFonts w:hint="eastAsia"/>
                <w:bCs/>
                <w:snapToGrid w:val="0"/>
                <w:color w:val="auto"/>
                <w:highlight w:val="none"/>
              </w:rPr>
            </w:pPr>
            <w:r>
              <w:rPr>
                <w:rFonts w:hint="eastAsia"/>
                <w:bCs/>
                <w:color w:val="auto"/>
                <w:szCs w:val="21"/>
                <w:highlight w:val="none"/>
              </w:rPr>
              <w:t>名称</w:t>
            </w:r>
          </w:p>
        </w:tc>
        <w:tc>
          <w:tcPr>
            <w:tcW w:w="1107" w:type="dxa"/>
            <w:tcBorders>
              <w:top w:val="single" w:color="auto" w:sz="4" w:space="0"/>
              <w:left w:val="single" w:color="auto" w:sz="4" w:space="0"/>
              <w:bottom w:val="single" w:color="auto" w:sz="4" w:space="0"/>
              <w:right w:val="single" w:color="auto" w:sz="4" w:space="0"/>
            </w:tcBorders>
            <w:vAlign w:val="center"/>
          </w:tcPr>
          <w:p w14:paraId="2323CF8D">
            <w:pPr>
              <w:pStyle w:val="105"/>
              <w:spacing w:line="360" w:lineRule="auto"/>
              <w:jc w:val="center"/>
              <w:rPr>
                <w:bCs/>
                <w:snapToGrid w:val="0"/>
                <w:color w:val="auto"/>
                <w:highlight w:val="none"/>
              </w:rPr>
            </w:pPr>
            <w:r>
              <w:rPr>
                <w:rFonts w:hint="eastAsia"/>
                <w:bCs/>
                <w:snapToGrid w:val="0"/>
                <w:color w:val="auto"/>
                <w:highlight w:val="none"/>
              </w:rPr>
              <w:t>品牌</w:t>
            </w:r>
          </w:p>
        </w:tc>
        <w:tc>
          <w:tcPr>
            <w:tcW w:w="861" w:type="dxa"/>
            <w:tcBorders>
              <w:top w:val="single" w:color="auto" w:sz="4" w:space="0"/>
              <w:left w:val="single" w:color="auto" w:sz="4" w:space="0"/>
              <w:bottom w:val="single" w:color="auto" w:sz="4" w:space="0"/>
              <w:right w:val="single" w:color="auto" w:sz="4" w:space="0"/>
            </w:tcBorders>
            <w:vAlign w:val="center"/>
          </w:tcPr>
          <w:p w14:paraId="2FDE0800">
            <w:pPr>
              <w:pStyle w:val="105"/>
              <w:spacing w:line="360" w:lineRule="auto"/>
              <w:jc w:val="center"/>
              <w:rPr>
                <w:bCs/>
                <w:snapToGrid w:val="0"/>
                <w:color w:val="auto"/>
                <w:highlight w:val="none"/>
              </w:rPr>
            </w:pPr>
            <w:r>
              <w:rPr>
                <w:rFonts w:hint="eastAsia"/>
                <w:bCs/>
                <w:snapToGrid w:val="0"/>
                <w:color w:val="auto"/>
                <w:highlight w:val="none"/>
              </w:rPr>
              <w:t>型号</w:t>
            </w:r>
          </w:p>
        </w:tc>
        <w:tc>
          <w:tcPr>
            <w:tcW w:w="861" w:type="dxa"/>
            <w:tcBorders>
              <w:top w:val="single" w:color="auto" w:sz="4" w:space="0"/>
              <w:left w:val="single" w:color="auto" w:sz="4" w:space="0"/>
              <w:bottom w:val="single" w:color="auto" w:sz="4" w:space="0"/>
              <w:right w:val="single" w:color="auto" w:sz="4" w:space="0"/>
            </w:tcBorders>
            <w:vAlign w:val="center"/>
          </w:tcPr>
          <w:p w14:paraId="73E5AF2E">
            <w:pPr>
              <w:pStyle w:val="105"/>
              <w:spacing w:line="360" w:lineRule="auto"/>
              <w:jc w:val="center"/>
              <w:rPr>
                <w:bCs/>
                <w:snapToGrid w:val="0"/>
                <w:color w:val="auto"/>
                <w:highlight w:val="none"/>
              </w:rPr>
            </w:pPr>
            <w:r>
              <w:rPr>
                <w:rFonts w:hint="eastAsia"/>
                <w:bCs/>
                <w:snapToGrid w:val="0"/>
                <w:color w:val="auto"/>
                <w:highlight w:val="none"/>
              </w:rPr>
              <w:t>单位</w:t>
            </w:r>
          </w:p>
        </w:tc>
        <w:tc>
          <w:tcPr>
            <w:tcW w:w="1077" w:type="dxa"/>
            <w:tcBorders>
              <w:top w:val="single" w:color="auto" w:sz="4" w:space="0"/>
              <w:left w:val="single" w:color="auto" w:sz="4" w:space="0"/>
              <w:bottom w:val="single" w:color="auto" w:sz="4" w:space="0"/>
              <w:right w:val="single" w:color="auto" w:sz="4" w:space="0"/>
            </w:tcBorders>
            <w:vAlign w:val="center"/>
          </w:tcPr>
          <w:p w14:paraId="4D7E66FB">
            <w:pPr>
              <w:pStyle w:val="105"/>
              <w:spacing w:line="360" w:lineRule="auto"/>
              <w:jc w:val="center"/>
              <w:rPr>
                <w:bCs/>
                <w:snapToGrid w:val="0"/>
                <w:color w:val="auto"/>
                <w:highlight w:val="none"/>
              </w:rPr>
            </w:pPr>
            <w:r>
              <w:rPr>
                <w:rFonts w:hint="eastAsia"/>
                <w:bCs/>
                <w:snapToGrid w:val="0"/>
                <w:color w:val="auto"/>
                <w:highlight w:val="none"/>
              </w:rPr>
              <w:t>数量</w:t>
            </w:r>
          </w:p>
        </w:tc>
        <w:tc>
          <w:tcPr>
            <w:tcW w:w="1294" w:type="dxa"/>
            <w:tcBorders>
              <w:top w:val="single" w:color="auto" w:sz="4" w:space="0"/>
              <w:left w:val="single" w:color="auto" w:sz="4" w:space="0"/>
              <w:bottom w:val="single" w:color="auto" w:sz="4" w:space="0"/>
              <w:right w:val="single" w:color="auto" w:sz="4" w:space="0"/>
            </w:tcBorders>
            <w:vAlign w:val="center"/>
          </w:tcPr>
          <w:p w14:paraId="05417AFC">
            <w:pPr>
              <w:pStyle w:val="105"/>
              <w:spacing w:line="360" w:lineRule="auto"/>
              <w:jc w:val="center"/>
              <w:rPr>
                <w:bCs/>
                <w:snapToGrid w:val="0"/>
                <w:color w:val="auto"/>
                <w:highlight w:val="none"/>
              </w:rPr>
            </w:pPr>
            <w:r>
              <w:rPr>
                <w:rFonts w:hint="eastAsia"/>
                <w:bCs/>
                <w:snapToGrid w:val="0"/>
                <w:color w:val="auto"/>
                <w:highlight w:val="none"/>
              </w:rPr>
              <w:t>含税单价（元）</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C17DA2F">
            <w:pPr>
              <w:pStyle w:val="105"/>
              <w:spacing w:line="360" w:lineRule="auto"/>
              <w:jc w:val="center"/>
              <w:rPr>
                <w:bCs/>
                <w:snapToGrid w:val="0"/>
                <w:color w:val="auto"/>
                <w:highlight w:val="none"/>
              </w:rPr>
            </w:pPr>
            <w:r>
              <w:rPr>
                <w:rFonts w:hint="eastAsia"/>
                <w:bCs/>
                <w:snapToGrid w:val="0"/>
                <w:color w:val="auto"/>
                <w:highlight w:val="none"/>
              </w:rPr>
              <w:t>含税总价（元）</w:t>
            </w:r>
          </w:p>
        </w:tc>
        <w:tc>
          <w:tcPr>
            <w:tcW w:w="742" w:type="dxa"/>
            <w:tcBorders>
              <w:top w:val="single" w:color="auto" w:sz="4" w:space="0"/>
              <w:left w:val="single" w:color="auto" w:sz="4" w:space="0"/>
              <w:bottom w:val="single" w:color="auto" w:sz="4" w:space="0"/>
              <w:right w:val="single" w:color="auto" w:sz="4" w:space="0"/>
            </w:tcBorders>
            <w:vAlign w:val="center"/>
          </w:tcPr>
          <w:p w14:paraId="7A19FF3C">
            <w:pPr>
              <w:pStyle w:val="105"/>
              <w:spacing w:line="360" w:lineRule="auto"/>
              <w:jc w:val="center"/>
              <w:rPr>
                <w:bCs/>
                <w:snapToGrid w:val="0"/>
                <w:color w:val="auto"/>
                <w:highlight w:val="none"/>
              </w:rPr>
            </w:pPr>
            <w:r>
              <w:rPr>
                <w:rFonts w:hint="eastAsia"/>
                <w:bCs/>
                <w:snapToGrid w:val="0"/>
                <w:color w:val="auto"/>
                <w:highlight w:val="none"/>
              </w:rPr>
              <w:t>备注</w:t>
            </w:r>
          </w:p>
        </w:tc>
      </w:tr>
      <w:tr w14:paraId="61C6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2E6974E">
            <w:pPr>
              <w:pStyle w:val="105"/>
              <w:jc w:val="center"/>
              <w:rPr>
                <w:b/>
                <w:bCs/>
                <w:snapToGrid w:val="0"/>
                <w:color w:val="auto"/>
                <w:highlight w:val="none"/>
              </w:rPr>
            </w:pPr>
            <w:r>
              <w:rPr>
                <w:rFonts w:hint="eastAsia"/>
                <w:b/>
                <w:bCs/>
                <w:snapToGrid w:val="0"/>
                <w:color w:val="auto"/>
                <w:highlight w:val="none"/>
              </w:rPr>
              <w:t>1</w:t>
            </w:r>
          </w:p>
        </w:tc>
        <w:tc>
          <w:tcPr>
            <w:tcW w:w="1042" w:type="dxa"/>
            <w:tcBorders>
              <w:top w:val="single" w:color="auto" w:sz="4" w:space="0"/>
              <w:left w:val="single" w:color="auto" w:sz="4" w:space="0"/>
              <w:bottom w:val="single" w:color="auto" w:sz="4" w:space="0"/>
              <w:right w:val="single" w:color="auto" w:sz="4" w:space="0"/>
            </w:tcBorders>
            <w:vAlign w:val="center"/>
          </w:tcPr>
          <w:p w14:paraId="63473DD6">
            <w:pPr>
              <w:pStyle w:val="105"/>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3F1C24EB">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35C1249D">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DA65B53">
            <w:pPr>
              <w:pStyle w:val="105"/>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20A5327">
            <w:pPr>
              <w:pStyle w:val="105"/>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124A408">
            <w:pPr>
              <w:pStyle w:val="105"/>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55B5AED5">
            <w:pPr>
              <w:pStyle w:val="105"/>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6010FC0">
            <w:pPr>
              <w:pStyle w:val="105"/>
              <w:jc w:val="center"/>
              <w:rPr>
                <w:b/>
                <w:bCs/>
                <w:snapToGrid w:val="0"/>
                <w:color w:val="auto"/>
                <w:highlight w:val="none"/>
              </w:rPr>
            </w:pPr>
          </w:p>
        </w:tc>
      </w:tr>
      <w:tr w14:paraId="34CE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43779E3">
            <w:pPr>
              <w:pStyle w:val="105"/>
              <w:jc w:val="center"/>
              <w:rPr>
                <w:b/>
                <w:bCs/>
                <w:snapToGrid w:val="0"/>
                <w:color w:val="auto"/>
                <w:highlight w:val="none"/>
              </w:rPr>
            </w:pPr>
            <w:r>
              <w:rPr>
                <w:rFonts w:hint="eastAsia"/>
                <w:b/>
                <w:bCs/>
                <w:snapToGrid w:val="0"/>
                <w:color w:val="auto"/>
                <w:highlight w:val="none"/>
              </w:rPr>
              <w:t>2</w:t>
            </w:r>
          </w:p>
        </w:tc>
        <w:tc>
          <w:tcPr>
            <w:tcW w:w="1042" w:type="dxa"/>
            <w:tcBorders>
              <w:top w:val="single" w:color="auto" w:sz="4" w:space="0"/>
              <w:left w:val="single" w:color="auto" w:sz="4" w:space="0"/>
              <w:bottom w:val="single" w:color="auto" w:sz="4" w:space="0"/>
              <w:right w:val="single" w:color="auto" w:sz="4" w:space="0"/>
            </w:tcBorders>
            <w:vAlign w:val="center"/>
          </w:tcPr>
          <w:p w14:paraId="5F4BBB40">
            <w:pPr>
              <w:pStyle w:val="105"/>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775B7285">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0A454437">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E56BB0A">
            <w:pPr>
              <w:pStyle w:val="105"/>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05225EF">
            <w:pPr>
              <w:pStyle w:val="105"/>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A85F73F">
            <w:pPr>
              <w:pStyle w:val="105"/>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06B1949">
            <w:pPr>
              <w:pStyle w:val="105"/>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17B5CEE1">
            <w:pPr>
              <w:pStyle w:val="105"/>
              <w:jc w:val="center"/>
              <w:rPr>
                <w:b/>
                <w:bCs/>
                <w:snapToGrid w:val="0"/>
                <w:color w:val="auto"/>
                <w:highlight w:val="none"/>
              </w:rPr>
            </w:pPr>
          </w:p>
        </w:tc>
      </w:tr>
      <w:tr w14:paraId="3106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66A8D829">
            <w:pPr>
              <w:pStyle w:val="105"/>
              <w:jc w:val="center"/>
              <w:rPr>
                <w:b/>
                <w:bCs/>
                <w:snapToGrid w:val="0"/>
                <w:color w:val="auto"/>
                <w:highlight w:val="none"/>
              </w:rPr>
            </w:pPr>
            <w:r>
              <w:rPr>
                <w:rFonts w:hint="eastAsia"/>
                <w:b/>
                <w:bCs/>
                <w:snapToGrid w:val="0"/>
                <w:color w:val="auto"/>
                <w:highlight w:val="none"/>
              </w:rPr>
              <w:t>3</w:t>
            </w:r>
          </w:p>
        </w:tc>
        <w:tc>
          <w:tcPr>
            <w:tcW w:w="1042" w:type="dxa"/>
            <w:tcBorders>
              <w:top w:val="single" w:color="auto" w:sz="4" w:space="0"/>
              <w:left w:val="single" w:color="auto" w:sz="4" w:space="0"/>
              <w:bottom w:val="single" w:color="auto" w:sz="4" w:space="0"/>
              <w:right w:val="single" w:color="auto" w:sz="4" w:space="0"/>
            </w:tcBorders>
            <w:vAlign w:val="center"/>
          </w:tcPr>
          <w:p w14:paraId="76798BC9">
            <w:pPr>
              <w:pStyle w:val="105"/>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2FF497A1">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569CDD5">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70A561E">
            <w:pPr>
              <w:pStyle w:val="105"/>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296B2C3">
            <w:pPr>
              <w:pStyle w:val="105"/>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A54B1F7">
            <w:pPr>
              <w:pStyle w:val="105"/>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0E3C2361">
            <w:pPr>
              <w:pStyle w:val="105"/>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4260121">
            <w:pPr>
              <w:pStyle w:val="105"/>
              <w:jc w:val="center"/>
              <w:rPr>
                <w:b/>
                <w:bCs/>
                <w:snapToGrid w:val="0"/>
                <w:color w:val="auto"/>
                <w:highlight w:val="none"/>
              </w:rPr>
            </w:pPr>
          </w:p>
        </w:tc>
      </w:tr>
      <w:tr w14:paraId="2589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50540CFC">
            <w:pPr>
              <w:pStyle w:val="105"/>
              <w:jc w:val="center"/>
              <w:rPr>
                <w:b/>
                <w:bCs/>
                <w:snapToGrid w:val="0"/>
                <w:color w:val="auto"/>
                <w:highlight w:val="none"/>
              </w:rPr>
            </w:pPr>
            <w:r>
              <w:rPr>
                <w:rFonts w:hint="eastAsia"/>
                <w:b/>
                <w:bCs/>
                <w:snapToGrid w:val="0"/>
                <w:color w:val="auto"/>
                <w:highlight w:val="none"/>
              </w:rPr>
              <w:t>.......</w:t>
            </w:r>
          </w:p>
        </w:tc>
        <w:tc>
          <w:tcPr>
            <w:tcW w:w="1042" w:type="dxa"/>
            <w:tcBorders>
              <w:top w:val="single" w:color="auto" w:sz="4" w:space="0"/>
              <w:left w:val="single" w:color="auto" w:sz="4" w:space="0"/>
              <w:bottom w:val="single" w:color="auto" w:sz="4" w:space="0"/>
              <w:right w:val="single" w:color="auto" w:sz="4" w:space="0"/>
            </w:tcBorders>
            <w:vAlign w:val="center"/>
          </w:tcPr>
          <w:p w14:paraId="43830A78">
            <w:pPr>
              <w:pStyle w:val="105"/>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15357F27">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05BC1AD">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B21E0C4">
            <w:pPr>
              <w:pStyle w:val="105"/>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7DB88DA6">
            <w:pPr>
              <w:pStyle w:val="105"/>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C1F2054">
            <w:pPr>
              <w:pStyle w:val="105"/>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4127F648">
            <w:pPr>
              <w:pStyle w:val="105"/>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51FF1BD">
            <w:pPr>
              <w:pStyle w:val="105"/>
              <w:jc w:val="center"/>
              <w:rPr>
                <w:b/>
                <w:bCs/>
                <w:snapToGrid w:val="0"/>
                <w:color w:val="auto"/>
                <w:highlight w:val="none"/>
              </w:rPr>
            </w:pPr>
          </w:p>
        </w:tc>
      </w:tr>
      <w:tr w14:paraId="529E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2C009ED1">
            <w:pPr>
              <w:pStyle w:val="105"/>
              <w:jc w:val="center"/>
              <w:rPr>
                <w:b/>
                <w:bCs/>
                <w:snapToGrid w:val="0"/>
                <w:color w:val="auto"/>
                <w:highlight w:val="none"/>
              </w:rPr>
            </w:pPr>
          </w:p>
        </w:tc>
        <w:tc>
          <w:tcPr>
            <w:tcW w:w="1042" w:type="dxa"/>
            <w:tcBorders>
              <w:top w:val="single" w:color="auto" w:sz="4" w:space="0"/>
              <w:left w:val="single" w:color="auto" w:sz="4" w:space="0"/>
              <w:bottom w:val="single" w:color="auto" w:sz="4" w:space="0"/>
              <w:right w:val="single" w:color="auto" w:sz="4" w:space="0"/>
            </w:tcBorders>
            <w:vAlign w:val="center"/>
          </w:tcPr>
          <w:p w14:paraId="2ED98195">
            <w:pPr>
              <w:pStyle w:val="105"/>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694CF9CF">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9185B62">
            <w:pPr>
              <w:pStyle w:val="105"/>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67688A1">
            <w:pPr>
              <w:pStyle w:val="105"/>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C647403">
            <w:pPr>
              <w:pStyle w:val="105"/>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44C363AB">
            <w:pPr>
              <w:pStyle w:val="105"/>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16D36307">
            <w:pPr>
              <w:pStyle w:val="105"/>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468AB718">
            <w:pPr>
              <w:pStyle w:val="105"/>
              <w:jc w:val="center"/>
              <w:rPr>
                <w:b/>
                <w:bCs/>
                <w:snapToGrid w:val="0"/>
                <w:color w:val="auto"/>
                <w:highlight w:val="none"/>
              </w:rPr>
            </w:pPr>
          </w:p>
        </w:tc>
      </w:tr>
      <w:tr w14:paraId="7CFB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5DE5AB1">
            <w:pPr>
              <w:pStyle w:val="105"/>
              <w:jc w:val="center"/>
              <w:rPr>
                <w:b/>
                <w:bCs/>
                <w:snapToGrid w:val="0"/>
                <w:color w:val="auto"/>
                <w:highlight w:val="none"/>
              </w:rPr>
            </w:pPr>
          </w:p>
        </w:tc>
        <w:tc>
          <w:tcPr>
            <w:tcW w:w="7470" w:type="dxa"/>
            <w:gridSpan w:val="7"/>
            <w:tcBorders>
              <w:top w:val="single" w:color="auto" w:sz="4" w:space="0"/>
              <w:left w:val="single" w:color="auto" w:sz="4" w:space="0"/>
              <w:bottom w:val="single" w:color="auto" w:sz="4" w:space="0"/>
              <w:right w:val="single" w:color="auto" w:sz="4" w:space="0"/>
            </w:tcBorders>
            <w:vAlign w:val="center"/>
          </w:tcPr>
          <w:p w14:paraId="2E4A06E7">
            <w:pPr>
              <w:pStyle w:val="105"/>
              <w:jc w:val="center"/>
              <w:rPr>
                <w:b/>
                <w:bCs/>
                <w:snapToGrid w:val="0"/>
                <w:color w:val="auto"/>
                <w:highlight w:val="none"/>
              </w:rPr>
            </w:pPr>
            <w:r>
              <w:rPr>
                <w:rFonts w:hint="eastAsia"/>
                <w:b/>
                <w:bCs/>
                <w:snapToGrid w:val="0"/>
                <w:color w:val="auto"/>
                <w:highlight w:val="none"/>
              </w:rPr>
              <w:t>合计：</w:t>
            </w:r>
          </w:p>
        </w:tc>
        <w:tc>
          <w:tcPr>
            <w:tcW w:w="859" w:type="dxa"/>
            <w:gridSpan w:val="2"/>
            <w:tcBorders>
              <w:top w:val="single" w:color="auto" w:sz="4" w:space="0"/>
              <w:left w:val="single" w:color="auto" w:sz="4" w:space="0"/>
              <w:bottom w:val="single" w:color="auto" w:sz="4" w:space="0"/>
              <w:right w:val="single" w:color="auto" w:sz="4" w:space="0"/>
            </w:tcBorders>
            <w:vAlign w:val="center"/>
          </w:tcPr>
          <w:p w14:paraId="68F79426">
            <w:pPr>
              <w:pStyle w:val="105"/>
              <w:jc w:val="center"/>
              <w:rPr>
                <w:b/>
                <w:bCs/>
                <w:snapToGrid w:val="0"/>
                <w:color w:val="auto"/>
                <w:highlight w:val="none"/>
              </w:rPr>
            </w:pPr>
          </w:p>
        </w:tc>
      </w:tr>
    </w:tbl>
    <w:p w14:paraId="50C0B7E3">
      <w:pPr>
        <w:pStyle w:val="105"/>
        <w:spacing w:line="360" w:lineRule="auto"/>
        <w:jc w:val="center"/>
        <w:rPr>
          <w:rFonts w:hint="eastAsia" w:hAnsi="宋体"/>
          <w:bCs/>
          <w:snapToGrid w:val="0"/>
          <w:color w:val="auto"/>
          <w:szCs w:val="24"/>
          <w:highlight w:val="none"/>
        </w:rPr>
      </w:pPr>
    </w:p>
    <w:p w14:paraId="0C5B68E4">
      <w:pPr>
        <w:pStyle w:val="105"/>
        <w:spacing w:line="360" w:lineRule="auto"/>
        <w:ind w:firstLine="420"/>
        <w:rPr>
          <w:rFonts w:hint="eastAsia" w:hAnsi="宋体"/>
          <w:bCs/>
          <w:snapToGrid w:val="0"/>
          <w:color w:val="auto"/>
          <w:sz w:val="21"/>
          <w:szCs w:val="21"/>
          <w:highlight w:val="none"/>
        </w:rPr>
      </w:pPr>
      <w:r>
        <w:rPr>
          <w:rFonts w:hint="eastAsia" w:hAnsi="宋体"/>
          <w:bCs/>
          <w:snapToGrid w:val="0"/>
          <w:color w:val="auto"/>
          <w:sz w:val="21"/>
          <w:szCs w:val="21"/>
          <w:highlight w:val="none"/>
        </w:rPr>
        <w:t>备注：</w:t>
      </w:r>
    </w:p>
    <w:p w14:paraId="29D3BC1C">
      <w:pPr>
        <w:spacing w:line="360" w:lineRule="auto"/>
        <w:ind w:firstLine="420" w:firstLineChars="200"/>
        <w:rPr>
          <w:rFonts w:hint="eastAsia"/>
          <w:bCs/>
          <w:snapToGrid w:val="0"/>
          <w:color w:val="auto"/>
          <w:sz w:val="21"/>
          <w:szCs w:val="21"/>
          <w:highlight w:val="none"/>
        </w:rPr>
      </w:pPr>
      <w:bookmarkStart w:id="117" w:name="_Toc15581"/>
      <w:bookmarkStart w:id="118" w:name="_Toc3147"/>
      <w:bookmarkStart w:id="119" w:name="_Toc12423"/>
      <w:r>
        <w:rPr>
          <w:bCs/>
          <w:snapToGrid w:val="0"/>
          <w:color w:val="auto"/>
          <w:sz w:val="21"/>
          <w:szCs w:val="21"/>
          <w:highlight w:val="none"/>
        </w:rPr>
        <w:t>1.中文大写金额用汉字，如壹、贰、叁、肆、伍、陆、柒、捌、玖、拾、佰、仟、万、亿、元、角、分、零、整（正）等。</w:t>
      </w:r>
    </w:p>
    <w:p w14:paraId="3AE44A6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2.所有价格均系用人民币表示，单位为元。</w:t>
      </w:r>
    </w:p>
    <w:p w14:paraId="6306144C">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3.表中的合计金额应与报价一览表中的竞标报价一致。</w:t>
      </w:r>
    </w:p>
    <w:p w14:paraId="7B45962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4.此表</w:t>
      </w:r>
      <w:r>
        <w:rPr>
          <w:rFonts w:hint="eastAsia"/>
          <w:bCs/>
          <w:snapToGrid w:val="0"/>
          <w:color w:val="auto"/>
          <w:sz w:val="21"/>
          <w:szCs w:val="21"/>
          <w:highlight w:val="none"/>
        </w:rPr>
        <w:t>可</w:t>
      </w:r>
      <w:r>
        <w:rPr>
          <w:bCs/>
          <w:snapToGrid w:val="0"/>
          <w:color w:val="auto"/>
          <w:sz w:val="21"/>
          <w:szCs w:val="21"/>
          <w:highlight w:val="none"/>
        </w:rPr>
        <w:t>根据第四章 采购</w:t>
      </w:r>
      <w:r>
        <w:rPr>
          <w:rFonts w:hint="eastAsia"/>
          <w:bCs/>
          <w:snapToGrid w:val="0"/>
          <w:color w:val="auto"/>
          <w:sz w:val="21"/>
          <w:szCs w:val="21"/>
          <w:highlight w:val="none"/>
        </w:rPr>
        <w:t>需求</w:t>
      </w:r>
      <w:r>
        <w:rPr>
          <w:bCs/>
          <w:snapToGrid w:val="0"/>
          <w:color w:val="auto"/>
          <w:sz w:val="21"/>
          <w:szCs w:val="21"/>
          <w:highlight w:val="none"/>
        </w:rPr>
        <w:t>进行填报。</w:t>
      </w:r>
    </w:p>
    <w:p w14:paraId="379D46C2">
      <w:pPr>
        <w:spacing w:line="360" w:lineRule="auto"/>
        <w:ind w:firstLine="420" w:firstLineChars="200"/>
        <w:rPr>
          <w:rFonts w:hint="eastAsia"/>
          <w:bCs/>
          <w:snapToGrid w:val="0"/>
          <w:color w:val="auto"/>
          <w:sz w:val="21"/>
          <w:szCs w:val="21"/>
          <w:highlight w:val="none"/>
        </w:rPr>
      </w:pPr>
    </w:p>
    <w:p w14:paraId="27B0412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FBFD28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CFD483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BC8030D">
      <w:pPr>
        <w:pStyle w:val="17"/>
        <w:ind w:firstLine="851"/>
        <w:rPr>
          <w:rFonts w:hint="eastAsia"/>
          <w:color w:val="auto"/>
          <w:highlight w:val="none"/>
        </w:rPr>
      </w:pPr>
    </w:p>
    <w:p w14:paraId="5329F5D8">
      <w:pPr>
        <w:pStyle w:val="17"/>
        <w:ind w:firstLine="851"/>
        <w:rPr>
          <w:rFonts w:hint="eastAsia"/>
          <w:color w:val="auto"/>
          <w:highlight w:val="none"/>
        </w:rPr>
      </w:pPr>
      <w:r>
        <w:rPr>
          <w:color w:val="auto"/>
          <w:highlight w:val="none"/>
        </w:rPr>
        <w:br w:type="page"/>
      </w:r>
    </w:p>
    <w:p w14:paraId="0BC93D6F">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（二）中小企业声明函（货物）</w:t>
      </w:r>
    </w:p>
    <w:p w14:paraId="24339EE4">
      <w:pPr>
        <w:spacing w:line="360" w:lineRule="auto"/>
        <w:rPr>
          <w:rFonts w:hint="eastAsia" w:cs="仿宋"/>
          <w:color w:val="auto"/>
          <w:highlight w:val="none"/>
        </w:rPr>
      </w:pPr>
    </w:p>
    <w:p w14:paraId="6B634D4B">
      <w:pPr>
        <w:spacing w:line="360" w:lineRule="auto"/>
        <w:ind w:firstLine="480" w:firstLineChars="200"/>
        <w:rPr>
          <w:rFonts w:hint="eastAsia" w:cs="仿宋"/>
          <w:color w:val="auto"/>
          <w:highlight w:val="none"/>
        </w:rPr>
      </w:pPr>
      <w:r>
        <w:rPr>
          <w:rFonts w:hint="eastAsia" w:cs="仿宋"/>
          <w:color w:val="auto"/>
          <w:highlight w:val="none"/>
        </w:rPr>
        <w:t>本公司郑重声明，根据《政府采购促进中小企业发展管理办法》（财库﹝2020﹞46 号）的规定，本公司参加</w:t>
      </w:r>
      <w:r>
        <w:rPr>
          <w:rFonts w:hint="eastAsia" w:cs="仿宋"/>
          <w:color w:val="auto"/>
          <w:highlight w:val="none"/>
          <w:u w:val="single"/>
        </w:rPr>
        <w:t xml:space="preserve">     （单位名称）    </w:t>
      </w:r>
      <w:r>
        <w:rPr>
          <w:rFonts w:hint="eastAsia" w:cs="仿宋"/>
          <w:color w:val="auto"/>
          <w:highlight w:val="none"/>
        </w:rPr>
        <w:t>的</w:t>
      </w:r>
      <w:r>
        <w:rPr>
          <w:rFonts w:hint="eastAsia" w:cs="仿宋"/>
          <w:color w:val="auto"/>
          <w:highlight w:val="none"/>
          <w:u w:val="single"/>
        </w:rPr>
        <w:t xml:space="preserve">    （项目名称及标段号）</w:t>
      </w:r>
      <w:r>
        <w:rPr>
          <w:rFonts w:hint="eastAsia" w:cs="仿宋"/>
          <w:color w:val="auto"/>
          <w:highlight w:val="none"/>
        </w:rPr>
        <w:t>采购活动，提供的货物全部由符合政策要求的中小企业制造。相关企业（含联合体中的中小企业、签订分包意向协议的中小企业） 的具体情况如下：</w:t>
      </w:r>
    </w:p>
    <w:p w14:paraId="5B99267D">
      <w:pPr>
        <w:spacing w:line="360" w:lineRule="auto"/>
        <w:ind w:firstLine="480" w:firstLineChars="200"/>
        <w:rPr>
          <w:rFonts w:hint="eastAsia" w:cs="仿宋"/>
          <w:color w:val="auto"/>
          <w:highlight w:val="none"/>
        </w:rPr>
      </w:pPr>
      <w:r>
        <w:rPr>
          <w:rFonts w:hint="eastAsia" w:cs="仿宋"/>
          <w:color w:val="auto"/>
          <w:highlight w:val="none"/>
        </w:rPr>
        <w:t>1.</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 xml:space="preserve">； </w:t>
      </w:r>
    </w:p>
    <w:p w14:paraId="1D666726">
      <w:pPr>
        <w:spacing w:line="360" w:lineRule="auto"/>
        <w:ind w:firstLine="480" w:firstLineChars="200"/>
        <w:rPr>
          <w:rFonts w:hint="eastAsia" w:cs="仿宋"/>
          <w:color w:val="auto"/>
          <w:highlight w:val="none"/>
        </w:rPr>
      </w:pPr>
      <w:r>
        <w:rPr>
          <w:rFonts w:hint="eastAsia" w:cs="仿宋"/>
          <w:color w:val="auto"/>
          <w:highlight w:val="none"/>
        </w:rPr>
        <w:t>2.</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w:t>
      </w:r>
    </w:p>
    <w:p w14:paraId="7C8FD932">
      <w:pPr>
        <w:spacing w:line="360" w:lineRule="auto"/>
        <w:ind w:firstLine="480" w:firstLineChars="200"/>
        <w:rPr>
          <w:rFonts w:hint="eastAsia" w:cs="仿宋"/>
          <w:color w:val="auto"/>
          <w:highlight w:val="none"/>
        </w:rPr>
      </w:pPr>
      <w:r>
        <w:rPr>
          <w:rFonts w:hint="eastAsia" w:cs="仿宋"/>
          <w:color w:val="auto"/>
          <w:highlight w:val="none"/>
        </w:rPr>
        <w:t xml:space="preserve"> ……</w:t>
      </w:r>
    </w:p>
    <w:p w14:paraId="358C3C70">
      <w:pPr>
        <w:spacing w:line="360" w:lineRule="auto"/>
        <w:ind w:firstLine="480" w:firstLineChars="200"/>
        <w:rPr>
          <w:rFonts w:hint="eastAsia" w:cs="仿宋"/>
          <w:color w:val="auto"/>
          <w:highlight w:val="none"/>
        </w:rPr>
      </w:pPr>
      <w:r>
        <w:rPr>
          <w:rFonts w:hint="eastAsia" w:cs="仿宋"/>
          <w:color w:val="auto"/>
          <w:highlight w:val="none"/>
        </w:rPr>
        <w:t xml:space="preserve">以上企业，不属于大企业的分支机构，不存在控股股东为大企业的情形，也不存在与大企业的负责人为同一人的情形。 </w:t>
      </w:r>
    </w:p>
    <w:p w14:paraId="5FF77678">
      <w:pPr>
        <w:spacing w:line="360" w:lineRule="auto"/>
        <w:ind w:firstLine="480" w:firstLineChars="200"/>
        <w:rPr>
          <w:rFonts w:hint="eastAsia" w:cs="仿宋"/>
          <w:color w:val="auto"/>
          <w:highlight w:val="none"/>
        </w:rPr>
      </w:pPr>
      <w:r>
        <w:rPr>
          <w:rFonts w:hint="eastAsia" w:cs="仿宋"/>
          <w:color w:val="auto"/>
          <w:highlight w:val="none"/>
        </w:rPr>
        <w:t xml:space="preserve">本企业对上述声明内容的真实性负责。如有虚假，将依法承担相应责任。 </w:t>
      </w:r>
    </w:p>
    <w:p w14:paraId="3388B502">
      <w:pPr>
        <w:spacing w:line="360" w:lineRule="auto"/>
        <w:ind w:firstLine="504" w:firstLineChars="200"/>
        <w:rPr>
          <w:rFonts w:hint="eastAsia"/>
          <w:color w:val="auto"/>
          <w:spacing w:val="6"/>
          <w:highlight w:val="none"/>
        </w:rPr>
      </w:pPr>
      <w:r>
        <w:rPr>
          <w:rFonts w:hint="eastAsia"/>
          <w:color w:val="auto"/>
          <w:spacing w:val="6"/>
          <w:highlight w:val="none"/>
        </w:rPr>
        <w:t xml:space="preserve"> </w:t>
      </w:r>
    </w:p>
    <w:p w14:paraId="1E94D848">
      <w:pPr>
        <w:spacing w:line="360" w:lineRule="auto"/>
        <w:ind w:firstLine="3276" w:firstLineChars="1300"/>
        <w:rPr>
          <w:rFonts w:hint="eastAsia"/>
          <w:color w:val="auto"/>
          <w:spacing w:val="6"/>
          <w:highlight w:val="none"/>
        </w:rPr>
      </w:pPr>
      <w:r>
        <w:rPr>
          <w:rFonts w:hint="eastAsia"/>
          <w:color w:val="auto"/>
          <w:spacing w:val="6"/>
          <w:highlight w:val="none"/>
        </w:rPr>
        <w:t xml:space="preserve"> 企业名称（盖章）： </w:t>
      </w:r>
    </w:p>
    <w:p w14:paraId="4F3A11BB">
      <w:pPr>
        <w:spacing w:line="360" w:lineRule="auto"/>
        <w:ind w:firstLine="3528" w:firstLineChars="1400"/>
        <w:rPr>
          <w:rFonts w:hint="eastAsia"/>
          <w:b/>
          <w:color w:val="auto"/>
          <w:sz w:val="21"/>
          <w:szCs w:val="21"/>
          <w:highlight w:val="none"/>
        </w:rPr>
      </w:pPr>
      <w:r>
        <w:rPr>
          <w:rFonts w:hint="eastAsia"/>
          <w:color w:val="auto"/>
          <w:spacing w:val="6"/>
          <w:highlight w:val="none"/>
        </w:rPr>
        <w:t xml:space="preserve">日期： </w:t>
      </w:r>
    </w:p>
    <w:p w14:paraId="01C70908">
      <w:pPr>
        <w:adjustRightInd w:val="0"/>
        <w:snapToGrid w:val="0"/>
        <w:spacing w:line="360" w:lineRule="auto"/>
        <w:ind w:firstLine="422"/>
        <w:rPr>
          <w:rFonts w:hint="eastAsia"/>
          <w:b/>
          <w:color w:val="auto"/>
          <w:sz w:val="21"/>
          <w:szCs w:val="21"/>
          <w:highlight w:val="none"/>
        </w:rPr>
      </w:pPr>
    </w:p>
    <w:p w14:paraId="4BB22011">
      <w:pPr>
        <w:adjustRightInd w:val="0"/>
        <w:snapToGrid w:val="0"/>
        <w:spacing w:line="360" w:lineRule="auto"/>
        <w:ind w:firstLine="422"/>
        <w:rPr>
          <w:rFonts w:hint="eastAsia"/>
          <w:b/>
          <w:color w:val="auto"/>
          <w:kern w:val="2"/>
          <w:sz w:val="21"/>
          <w:szCs w:val="21"/>
          <w:highlight w:val="none"/>
        </w:rPr>
      </w:pPr>
      <w:r>
        <w:rPr>
          <w:rFonts w:hint="eastAsia"/>
          <w:b/>
          <w:color w:val="auto"/>
          <w:sz w:val="21"/>
          <w:szCs w:val="21"/>
          <w:highlight w:val="none"/>
        </w:rPr>
        <w:t>注：1.从业人员、营业收入、资产总额填报上一年度数据，无上一年度数据的新成立企业可不填报。</w:t>
      </w:r>
    </w:p>
    <w:p w14:paraId="0B8513CF">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2.中小企业应当按照《政府采购促进中小企业发展管理办法》（财库〔2020〕46号）规定和《中小企业划型标准规定》（工信部联企业〔2011〕300号），如实填写并提交《中小企业声明函》。</w:t>
      </w:r>
    </w:p>
    <w:p w14:paraId="0B559856">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3.根据《国家统计局关于印发〈统计上大中小微型企业划分办法（2017）〉的通知》（国统字〔2017〕213 号），大型、中型和小型企业须同时满足所列指标的下限，否则下划一档；微型企业只须满足所列指标中的一项即可。</w:t>
      </w:r>
    </w:p>
    <w:p w14:paraId="6DC1CE31">
      <w:pPr>
        <w:adjustRightInd w:val="0"/>
        <w:snapToGrid w:val="0"/>
        <w:spacing w:line="360" w:lineRule="auto"/>
        <w:ind w:firstLine="422" w:firstLineChars="200"/>
        <w:rPr>
          <w:rFonts w:hint="eastAsia"/>
          <w:b/>
          <w:color w:val="auto"/>
          <w:sz w:val="21"/>
          <w:szCs w:val="21"/>
          <w:highlight w:val="none"/>
        </w:rPr>
        <w:sectPr>
          <w:pgSz w:w="11906" w:h="16838"/>
          <w:pgMar w:top="1134" w:right="1134" w:bottom="1134" w:left="1134" w:header="850" w:footer="850" w:gutter="0"/>
          <w:cols w:space="720" w:num="1"/>
          <w:docGrid w:type="lines" w:linePitch="331" w:charSpace="0"/>
        </w:sectPr>
      </w:pPr>
      <w:r>
        <w:rPr>
          <w:rFonts w:hint="eastAsia"/>
          <w:b/>
          <w:color w:val="auto"/>
          <w:sz w:val="21"/>
          <w:szCs w:val="21"/>
          <w:highlight w:val="none"/>
        </w:rPr>
        <w:t>4.供应商填写本表时，对企业类型填写应准确、唯一，不允许跨越式填写（如中小企业、小微企业等），因供应商原因导致无法准确判断企业规模类型的，不予享受价格评审优惠政策。</w:t>
      </w:r>
    </w:p>
    <w:p w14:paraId="3F101B6C">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（三）关于符合本国产品标准的声明函</w:t>
      </w:r>
    </w:p>
    <w:p w14:paraId="67F8CE2E">
      <w:pPr>
        <w:pStyle w:val="36"/>
        <w:ind w:firstLine="260"/>
        <w:rPr>
          <w:rFonts w:hint="eastAsia"/>
          <w:color w:val="auto"/>
          <w:sz w:val="24"/>
          <w:szCs w:val="24"/>
          <w:highlight w:val="none"/>
        </w:rPr>
      </w:pPr>
    </w:p>
    <w:p w14:paraId="4F0AB3A5">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689AA139">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1.</w:t>
      </w:r>
      <w:r>
        <w:rPr>
          <w:rFonts w:hint="eastAsia" w:cs="仿宋"/>
          <w:color w:val="auto"/>
          <w:sz w:val="24"/>
          <w:szCs w:val="24"/>
          <w:highlight w:val="none"/>
          <w:u w:val="single"/>
        </w:rPr>
        <w:t>（产品名称1）</w:t>
      </w:r>
      <w:r>
        <w:rPr>
          <w:rFonts w:hint="eastAsia" w:cs="仿宋"/>
          <w:color w:val="auto"/>
          <w:sz w:val="24"/>
          <w:szCs w:val="24"/>
          <w:highlight w:val="none"/>
        </w:rPr>
        <w:t>1，生产厂为</w:t>
      </w:r>
      <w:r>
        <w:rPr>
          <w:rFonts w:hint="eastAsia" w:cs="仿宋"/>
          <w:color w:val="auto"/>
          <w:sz w:val="24"/>
          <w:szCs w:val="24"/>
          <w:highlight w:val="none"/>
          <w:u w:val="single"/>
        </w:rPr>
        <w:t>（厂名）</w:t>
      </w:r>
      <w:r>
        <w:rPr>
          <w:rFonts w:hint="eastAsia" w:cs="仿宋"/>
          <w:color w:val="auto"/>
          <w:sz w:val="24"/>
          <w:szCs w:val="24"/>
          <w:highlight w:val="none"/>
        </w:rPr>
        <w:t>2，厂址为</w:t>
      </w:r>
      <w:r>
        <w:rPr>
          <w:rFonts w:hint="eastAsia" w:cs="仿宋"/>
          <w:color w:val="auto"/>
          <w:sz w:val="24"/>
          <w:szCs w:val="24"/>
          <w:highlight w:val="none"/>
          <w:u w:val="single"/>
        </w:rPr>
        <w:t>（生产厂址）</w:t>
      </w:r>
      <w:r>
        <w:rPr>
          <w:rFonts w:hint="eastAsia" w:cs="仿宋"/>
          <w:color w:val="auto"/>
          <w:sz w:val="24"/>
          <w:szCs w:val="24"/>
          <w:highlight w:val="none"/>
        </w:rPr>
        <w:t>。</w:t>
      </w:r>
      <w:r>
        <w:rPr>
          <w:rFonts w:hint="eastAsia" w:cs="仿宋"/>
          <w:color w:val="auto"/>
          <w:sz w:val="24"/>
          <w:szCs w:val="24"/>
          <w:highlight w:val="none"/>
          <w:u w:val="single"/>
        </w:rPr>
        <w:t>（产品名称1）</w:t>
      </w:r>
      <w:r>
        <w:rPr>
          <w:rFonts w:hint="eastAsia" w:cs="仿宋"/>
          <w:color w:val="auto"/>
          <w:sz w:val="24"/>
          <w:szCs w:val="24"/>
          <w:highlight w:val="none"/>
        </w:rPr>
        <w:t>的中国境内生产的组件成本占比≥</w:t>
      </w:r>
      <w:r>
        <w:rPr>
          <w:rFonts w:hint="eastAsia" w:cs="仿宋"/>
          <w:color w:val="auto"/>
          <w:sz w:val="24"/>
          <w:szCs w:val="24"/>
          <w:highlight w:val="none"/>
          <w:u w:val="single"/>
        </w:rPr>
        <w:t>（规定比例）</w:t>
      </w:r>
      <w:r>
        <w:rPr>
          <w:rFonts w:hint="eastAsia" w:cs="仿宋"/>
          <w:color w:val="auto"/>
          <w:sz w:val="24"/>
          <w:szCs w:val="24"/>
          <w:highlight w:val="none"/>
        </w:rPr>
        <w:t>3。</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（关键组件）</w:t>
      </w:r>
      <w:r>
        <w:rPr>
          <w:rFonts w:hint="eastAsia" w:cs="仿宋"/>
          <w:color w:val="auto"/>
          <w:sz w:val="24"/>
          <w:szCs w:val="24"/>
          <w:highlight w:val="none"/>
        </w:rPr>
        <w:t>4在中国境内生产。</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（关键工序）</w:t>
      </w:r>
      <w:r>
        <w:rPr>
          <w:rFonts w:hint="eastAsia" w:cs="仿宋"/>
          <w:color w:val="auto"/>
          <w:sz w:val="24"/>
          <w:szCs w:val="24"/>
          <w:highlight w:val="none"/>
        </w:rPr>
        <w:t>5在中国境内完成。</w:t>
      </w:r>
    </w:p>
    <w:p w14:paraId="0F27F136">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2.（产品名称2），生产厂为（厂名），厂址为（生产厂址）。（产品名称2）的中国境内生产的组件成本占比≥（规定比例）。（产品名称2）的（关键组件）在中国境内生产。（产品名称2）的（关键工序）在中国境内完成。</w:t>
      </w:r>
    </w:p>
    <w:p w14:paraId="0A5D4E81">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w:t>
      </w:r>
    </w:p>
    <w:p w14:paraId="389972F2">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本公司（单位）对上述声明内容的真实性负责。如有虚假，愿承担相应法律责任。。</w:t>
      </w:r>
    </w:p>
    <w:p w14:paraId="71DB7DB6">
      <w:pPr>
        <w:pStyle w:val="36"/>
        <w:adjustRightInd w:val="0"/>
        <w:snapToGrid w:val="0"/>
        <w:spacing w:line="360" w:lineRule="auto"/>
        <w:ind w:firstLine="480" w:firstLineChars="200"/>
        <w:rPr>
          <w:rFonts w:hint="eastAsia" w:cs="仿宋"/>
          <w:color w:val="auto"/>
          <w:sz w:val="24"/>
          <w:szCs w:val="24"/>
          <w:highlight w:val="none"/>
        </w:rPr>
      </w:pPr>
    </w:p>
    <w:p w14:paraId="0C729A1E">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 xml:space="preserve"> </w:t>
      </w:r>
    </w:p>
    <w:p w14:paraId="238F3310">
      <w:pPr>
        <w:pStyle w:val="36"/>
        <w:adjustRightInd w:val="0"/>
        <w:snapToGrid w:val="0"/>
        <w:spacing w:line="360" w:lineRule="auto"/>
        <w:ind w:firstLine="480" w:firstLineChars="200"/>
        <w:jc w:val="right"/>
        <w:rPr>
          <w:rFonts w:hint="eastAsia" w:cs="仿宋"/>
          <w:color w:val="auto"/>
          <w:sz w:val="24"/>
          <w:szCs w:val="24"/>
          <w:highlight w:val="none"/>
        </w:rPr>
      </w:pPr>
      <w:r>
        <w:rPr>
          <w:rFonts w:hint="eastAsia" w:cs="仿宋"/>
          <w:color w:val="auto"/>
          <w:sz w:val="24"/>
          <w:szCs w:val="24"/>
          <w:highlight w:val="none"/>
        </w:rPr>
        <w:t>公司（单位）名称（盖章）：　        </w:t>
      </w:r>
    </w:p>
    <w:p w14:paraId="47A6AF33">
      <w:pPr>
        <w:adjustRightInd w:val="0"/>
        <w:snapToGrid w:val="0"/>
        <w:spacing w:line="360" w:lineRule="auto"/>
        <w:ind w:firstLine="480" w:firstLineChars="200"/>
        <w:jc w:val="right"/>
        <w:rPr>
          <w:rFonts w:hint="eastAsia"/>
          <w:b/>
          <w:bCs/>
          <w:color w:val="auto"/>
          <w:sz w:val="30"/>
          <w:szCs w:val="30"/>
          <w:highlight w:val="none"/>
        </w:rPr>
      </w:pPr>
      <w:r>
        <w:rPr>
          <w:rFonts w:hint="eastAsia" w:cs="仿宋"/>
          <w:color w:val="auto"/>
          <w:highlight w:val="none"/>
        </w:rPr>
        <w:t>日期：　     年　  月　  日 </w:t>
      </w:r>
    </w:p>
    <w:p w14:paraId="609C0ED1">
      <w:pPr>
        <w:adjustRightInd w:val="0"/>
        <w:snapToGrid w:val="0"/>
        <w:spacing w:line="360" w:lineRule="auto"/>
        <w:ind w:firstLine="422" w:firstLineChars="200"/>
        <w:rPr>
          <w:rFonts w:hint="eastAsia" w:cs="仿宋"/>
          <w:b/>
          <w:bCs/>
          <w:color w:val="auto"/>
          <w:sz w:val="21"/>
          <w:szCs w:val="21"/>
          <w:highlight w:val="none"/>
        </w:rPr>
      </w:pPr>
    </w:p>
    <w:p w14:paraId="5DF15937">
      <w:pPr>
        <w:adjustRightInd w:val="0"/>
        <w:snapToGrid w:val="0"/>
        <w:spacing w:line="360" w:lineRule="auto"/>
        <w:ind w:firstLine="422" w:firstLineChars="200"/>
        <w:rPr>
          <w:rFonts w:hint="eastAsia" w:cs="仿宋"/>
          <w:b/>
          <w:bCs/>
          <w:color w:val="auto"/>
          <w:sz w:val="21"/>
          <w:szCs w:val="21"/>
          <w:highlight w:val="none"/>
        </w:rPr>
      </w:pPr>
      <w:r>
        <w:rPr>
          <w:rFonts w:hint="eastAsia" w:cs="仿宋"/>
          <w:b/>
          <w:bCs/>
          <w:color w:val="auto"/>
          <w:sz w:val="21"/>
          <w:szCs w:val="21"/>
          <w:highlight w:val="none"/>
        </w:rPr>
        <w:t>注：</w:t>
      </w:r>
    </w:p>
    <w:p w14:paraId="0EF8856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 xml:space="preserve">1.产品如有型号，请在“产品名称”栏一并填写。 </w:t>
      </w:r>
    </w:p>
    <w:p w14:paraId="6F225B8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2.生产厂名与厂址应与生产厂营业执照载明的相关信息保持一致。</w:t>
      </w:r>
    </w:p>
    <w:p w14:paraId="141EB3E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3.该产品的中国境内生产的组件成本占比相关要求实施前，“规定比例”栏可不填，下同。</w:t>
      </w:r>
    </w:p>
    <w:p w14:paraId="78E82E48">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4.该产品的关键组件要求实施前，“关键组件”栏可不填，下同。</w:t>
      </w:r>
    </w:p>
    <w:p w14:paraId="7E44750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5.该产品的关键工序要求实施前，“关键工序”栏可不填，下同。</w:t>
      </w:r>
    </w:p>
    <w:p w14:paraId="234B0EA0">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6.当采购项目或者采购包中含有多种产品，应当逐项填写。</w:t>
      </w:r>
    </w:p>
    <w:p w14:paraId="117CCBB2">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7.服务采购项目中涉及的货物，也应按本函格式，逐项填写。</w:t>
      </w:r>
    </w:p>
    <w:p w14:paraId="7B9F2EA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8.招标代理机构将随中标、成交结果同时公告中标、成交供应商提供的《声明函》或有关证明文件，请各投标人如实进行声明。</w:t>
      </w:r>
    </w:p>
    <w:p w14:paraId="24CD7EFB">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9.供应商提供虚假《声明函》、虚假证明文件谋取中标、成交的，依照《中华人民共和国政府采购法》等法律法规规定追究相应责任。</w:t>
      </w:r>
    </w:p>
    <w:p w14:paraId="7A8D3394">
      <w:pPr>
        <w:rPr>
          <w:rFonts w:hint="eastAsia"/>
          <w:b/>
          <w:bCs/>
          <w:color w:val="auto"/>
          <w:sz w:val="30"/>
          <w:szCs w:val="30"/>
          <w:highlight w:val="none"/>
        </w:rPr>
      </w:pPr>
      <w:r>
        <w:rPr>
          <w:rFonts w:hint="eastAsia"/>
          <w:color w:val="auto"/>
          <w:sz w:val="21"/>
          <w:szCs w:val="21"/>
          <w:highlight w:val="none"/>
        </w:rPr>
        <w:t>10.若供应商认为提供的货物不符合本国产品标准，可以不填写声明函，不享受价格折扣政策。</w:t>
      </w:r>
      <w:r>
        <w:rPr>
          <w:rFonts w:hint="eastAsia"/>
          <w:b/>
          <w:bCs/>
          <w:color w:val="auto"/>
          <w:sz w:val="30"/>
          <w:szCs w:val="30"/>
          <w:highlight w:val="none"/>
        </w:rPr>
        <w:br w:type="page"/>
      </w:r>
    </w:p>
    <w:p w14:paraId="1600B126">
      <w:pPr>
        <w:spacing w:line="480" w:lineRule="auto"/>
        <w:jc w:val="center"/>
        <w:rPr>
          <w:rFonts w:hint="eastAsia"/>
          <w:b/>
          <w:bCs/>
          <w:color w:val="auto"/>
          <w:sz w:val="28"/>
          <w:szCs w:val="28"/>
          <w:highlight w:val="none"/>
          <w:shd w:val="clear" w:color="auto" w:fill="FFFFFF"/>
        </w:rPr>
      </w:pPr>
      <w:r>
        <w:rPr>
          <w:rFonts w:hint="eastAsia"/>
          <w:b/>
          <w:bCs/>
          <w:color w:val="auto"/>
          <w:sz w:val="28"/>
          <w:szCs w:val="28"/>
          <w:highlight w:val="none"/>
          <w:shd w:val="clear" w:color="auto" w:fill="FFFFFF"/>
        </w:rPr>
        <w:t>（四）本国产品支持政策价格评审优惠声明函（如有，按需提供）</w:t>
      </w:r>
    </w:p>
    <w:p w14:paraId="3398C65D">
      <w:pPr>
        <w:spacing w:line="480" w:lineRule="auto"/>
        <w:jc w:val="center"/>
        <w:rPr>
          <w:rFonts w:hint="eastAsia"/>
          <w:b/>
          <w:bCs/>
          <w:color w:val="auto"/>
          <w:sz w:val="28"/>
          <w:szCs w:val="28"/>
          <w:highlight w:val="none"/>
          <w:shd w:val="clear" w:color="auto" w:fill="FFFFFF"/>
        </w:rPr>
      </w:pPr>
    </w:p>
    <w:p w14:paraId="06FEA32C">
      <w:pPr>
        <w:pStyle w:val="36"/>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71C68A1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 xml:space="preserve"> </w:t>
      </w:r>
    </w:p>
    <w:p w14:paraId="68ACED58">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本公司（单位）郑重声明：符合本国产品标准的产品成本之和占我公司提供的全部产品成本之和的比例达到80%，具体内容如下：</w:t>
      </w:r>
    </w:p>
    <w:p w14:paraId="4D1A4A5F">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6090"/>
      </w:tblGrid>
      <w:tr w14:paraId="74E4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04A3EC97">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项目名称</w:t>
            </w:r>
          </w:p>
        </w:tc>
        <w:tc>
          <w:tcPr>
            <w:tcW w:w="6090" w:type="dxa"/>
            <w:tcBorders>
              <w:top w:val="single" w:color="auto" w:sz="4" w:space="0"/>
              <w:left w:val="single" w:color="auto" w:sz="4" w:space="0"/>
              <w:bottom w:val="single" w:color="auto" w:sz="4" w:space="0"/>
              <w:right w:val="single" w:color="auto" w:sz="4" w:space="0"/>
            </w:tcBorders>
            <w:vAlign w:val="center"/>
          </w:tcPr>
          <w:p w14:paraId="1FB81AAC">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符合本国产品标准的产品成本之和占全部产品成本之和的比例（%）</w:t>
            </w:r>
          </w:p>
        </w:tc>
      </w:tr>
      <w:tr w14:paraId="540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6BC83585">
            <w:pPr>
              <w:spacing w:before="20" w:after="20" w:line="360" w:lineRule="auto"/>
              <w:jc w:val="center"/>
              <w:textAlignment w:val="baseline"/>
              <w:rPr>
                <w:rFonts w:hint="eastAsia"/>
                <w:color w:val="auto"/>
                <w:sz w:val="18"/>
                <w:szCs w:val="18"/>
                <w:highlight w:val="none"/>
                <w:shd w:val="clear" w:color="auto" w:fill="FFFFFF"/>
              </w:rPr>
            </w:pPr>
          </w:p>
        </w:tc>
        <w:tc>
          <w:tcPr>
            <w:tcW w:w="6090" w:type="dxa"/>
            <w:tcBorders>
              <w:top w:val="single" w:color="auto" w:sz="4" w:space="0"/>
              <w:left w:val="single" w:color="auto" w:sz="4" w:space="0"/>
              <w:bottom w:val="single" w:color="auto" w:sz="4" w:space="0"/>
              <w:right w:val="single" w:color="auto" w:sz="4" w:space="0"/>
            </w:tcBorders>
            <w:vAlign w:val="center"/>
          </w:tcPr>
          <w:p w14:paraId="7ABA3150">
            <w:pPr>
              <w:spacing w:before="20" w:after="20" w:line="360" w:lineRule="auto"/>
              <w:jc w:val="center"/>
              <w:textAlignment w:val="baseline"/>
              <w:rPr>
                <w:rFonts w:hint="eastAsia"/>
                <w:color w:val="auto"/>
                <w:sz w:val="18"/>
                <w:szCs w:val="18"/>
                <w:highlight w:val="none"/>
                <w:shd w:val="clear" w:color="auto" w:fill="FFFFFF"/>
              </w:rPr>
            </w:pPr>
          </w:p>
        </w:tc>
      </w:tr>
    </w:tbl>
    <w:p w14:paraId="0AF0DAA0">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本公司（单位）对上述声明内容的真实性负责。如有虚假，愿承担相应法律责任。</w:t>
      </w:r>
    </w:p>
    <w:p w14:paraId="54FFDFD3">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p w14:paraId="773A883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投标人：    （电子签章）</w:t>
      </w:r>
    </w:p>
    <w:p w14:paraId="1B890C76">
      <w:pPr>
        <w:shd w:val="clear" w:color="auto" w:fill="FFFFFF"/>
        <w:spacing w:before="20" w:after="20" w:line="360" w:lineRule="auto"/>
        <w:ind w:firstLine="420"/>
        <w:textAlignment w:val="baseline"/>
        <w:rPr>
          <w:rFonts w:hint="eastAsia"/>
          <w:color w:val="auto"/>
          <w:highlight w:val="none"/>
          <w:shd w:val="clear" w:color="auto" w:fill="FFFFFF"/>
        </w:rPr>
      </w:pPr>
    </w:p>
    <w:p w14:paraId="73AFDA37">
      <w:pPr>
        <w:shd w:val="clear" w:color="auto" w:fill="FFFFFF"/>
        <w:spacing w:before="20" w:after="20" w:line="360" w:lineRule="auto"/>
        <w:ind w:firstLine="420"/>
        <w:textAlignment w:val="baseline"/>
        <w:rPr>
          <w:rFonts w:hint="eastAsia"/>
          <w:color w:val="auto"/>
          <w:highlight w:val="none"/>
        </w:rPr>
      </w:pPr>
      <w:r>
        <w:rPr>
          <w:rFonts w:hint="eastAsia"/>
          <w:color w:val="auto"/>
          <w:highlight w:val="none"/>
          <w:shd w:val="clear" w:color="auto" w:fill="FFFFFF"/>
        </w:rPr>
        <w:t>日期：            年       月       日</w:t>
      </w:r>
      <w:r>
        <w:rPr>
          <w:color w:val="auto"/>
          <w:highlight w:val="none"/>
        </w:rPr>
        <w:br w:type="page"/>
      </w:r>
    </w:p>
    <w:p w14:paraId="3C535788">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（五）残疾人福利性单位声明函</w:t>
      </w:r>
    </w:p>
    <w:p w14:paraId="6451D771">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32C2FE7E">
      <w:pPr>
        <w:spacing w:line="588" w:lineRule="exact"/>
        <w:rPr>
          <w:rFonts w:hint="eastAsia" w:ascii="仿宋_GB2312" w:eastAsia="仿宋_GB2312"/>
          <w:b/>
          <w:color w:val="auto"/>
          <w:spacing w:val="6"/>
          <w:sz w:val="30"/>
          <w:szCs w:val="30"/>
          <w:highlight w:val="none"/>
        </w:rPr>
      </w:pPr>
    </w:p>
    <w:p w14:paraId="7DA9E596">
      <w:pPr>
        <w:spacing w:line="360" w:lineRule="auto"/>
        <w:ind w:firstLine="504" w:firstLineChars="200"/>
        <w:rPr>
          <w:rFonts w:hint="eastAsia"/>
          <w:color w:val="auto"/>
          <w:spacing w:val="6"/>
          <w:highlight w:val="none"/>
        </w:rPr>
      </w:pPr>
      <w:r>
        <w:rPr>
          <w:rFonts w:hint="eastAsia"/>
          <w:color w:val="auto"/>
          <w:spacing w:val="6"/>
          <w:highlight w:val="none"/>
        </w:rPr>
        <w:t>本单位郑重声明，根据《财政部 民政部 中国残疾人联合会关于促进残疾人就业政府采购政策的通知》（财库</w:t>
      </w:r>
      <w:r>
        <w:rPr>
          <w:rFonts w:hint="eastAsia"/>
          <w:color w:val="auto"/>
          <w:highlight w:val="none"/>
        </w:rPr>
        <w:t>〔2017〕 141</w:t>
      </w:r>
      <w:r>
        <w:rPr>
          <w:rFonts w:hint="eastAsia"/>
          <w:color w:val="auto"/>
          <w:spacing w:val="6"/>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9D9A612">
      <w:pPr>
        <w:spacing w:line="360" w:lineRule="auto"/>
        <w:ind w:firstLine="504" w:firstLineChars="200"/>
        <w:rPr>
          <w:rFonts w:hint="eastAsia"/>
          <w:color w:val="auto"/>
          <w:spacing w:val="6"/>
          <w:highlight w:val="none"/>
        </w:rPr>
      </w:pPr>
      <w:r>
        <w:rPr>
          <w:rFonts w:hint="eastAsia"/>
          <w:color w:val="auto"/>
          <w:spacing w:val="6"/>
          <w:highlight w:val="none"/>
        </w:rPr>
        <w:t>本单位对上述声明的真实性负责。如有虚假，将依法承担相应责任。</w:t>
      </w:r>
    </w:p>
    <w:p w14:paraId="2DC50709">
      <w:pPr>
        <w:spacing w:line="360" w:lineRule="auto"/>
        <w:ind w:firstLine="504"/>
        <w:rPr>
          <w:rFonts w:hint="eastAsia"/>
          <w:color w:val="auto"/>
          <w:spacing w:val="6"/>
          <w:highlight w:val="none"/>
        </w:rPr>
      </w:pPr>
      <w:r>
        <w:rPr>
          <w:rFonts w:hint="eastAsia"/>
          <w:color w:val="auto"/>
          <w:spacing w:val="6"/>
          <w:highlight w:val="none"/>
        </w:rPr>
        <w:t xml:space="preserve"> </w:t>
      </w:r>
    </w:p>
    <w:p w14:paraId="7AABBFE7">
      <w:pPr>
        <w:spacing w:line="360" w:lineRule="auto"/>
        <w:ind w:firstLine="2400" w:firstLineChars="1000"/>
        <w:rPr>
          <w:rFonts w:hint="eastAsia"/>
          <w:color w:val="auto"/>
          <w:highlight w:val="none"/>
        </w:rPr>
      </w:pPr>
      <w:r>
        <w:rPr>
          <w:rFonts w:hint="eastAsia" w:ascii="Helvetica" w:hAnsi="Helvetica" w:cs="Helvetica"/>
          <w:color w:val="auto"/>
          <w:highlight w:val="none"/>
          <w:shd w:val="clear" w:color="auto" w:fill="FFFFFF"/>
        </w:rPr>
        <w:t xml:space="preserve"> </w:t>
      </w:r>
      <w:r>
        <w:rPr>
          <w:rFonts w:hint="eastAsia" w:cs="Helvetica"/>
          <w:color w:val="auto"/>
          <w:highlight w:val="none"/>
          <w:shd w:val="clear" w:color="auto" w:fill="FFFFFF"/>
        </w:rPr>
        <w:t>投标人</w:t>
      </w:r>
      <w:r>
        <w:rPr>
          <w:rFonts w:hint="eastAsia"/>
          <w:color w:val="auto"/>
          <w:highlight w:val="none"/>
        </w:rPr>
        <w:t>：</w:t>
      </w:r>
      <w:r>
        <w:rPr>
          <w:rFonts w:hint="eastAsia"/>
          <w:color w:val="auto"/>
          <w:highlight w:val="none"/>
          <w:u w:val="single"/>
        </w:rPr>
        <w:t xml:space="preserve">              </w:t>
      </w:r>
      <w:r>
        <w:rPr>
          <w:rFonts w:hint="eastAsia"/>
          <w:color w:val="auto"/>
          <w:highlight w:val="none"/>
        </w:rPr>
        <w:t>（盖单位章）</w:t>
      </w:r>
    </w:p>
    <w:p w14:paraId="29EE06BE">
      <w:pPr>
        <w:spacing w:line="360" w:lineRule="auto"/>
        <w:ind w:firstLine="2400" w:firstLineChars="1000"/>
        <w:rPr>
          <w:rFonts w:hint="eastAsia"/>
          <w:color w:val="auto"/>
          <w:highlight w:val="none"/>
        </w:rPr>
      </w:pPr>
      <w:r>
        <w:rPr>
          <w:rFonts w:hint="eastAsia"/>
          <w:color w:val="auto"/>
          <w:highlight w:val="none"/>
        </w:rPr>
        <w:t>法定代表人（单位负责人）：</w:t>
      </w:r>
      <w:r>
        <w:rPr>
          <w:rFonts w:hint="eastAsia"/>
          <w:color w:val="auto"/>
          <w:highlight w:val="none"/>
          <w:u w:val="single"/>
        </w:rPr>
        <w:t xml:space="preserve">                   </w:t>
      </w:r>
      <w:r>
        <w:rPr>
          <w:rFonts w:hint="eastAsia"/>
          <w:color w:val="auto"/>
          <w:highlight w:val="none"/>
        </w:rPr>
        <w:t>（签名或盖章）</w:t>
      </w:r>
    </w:p>
    <w:p w14:paraId="2B856A63">
      <w:pPr>
        <w:spacing w:line="360" w:lineRule="auto"/>
        <w:ind w:right="484" w:firstLine="3120" w:firstLineChars="1300"/>
        <w:rPr>
          <w:rFonts w:hAnsi="Times New Roman"/>
          <w:b/>
          <w:color w:val="auto"/>
          <w:kern w:val="2"/>
          <w:sz w:val="28"/>
          <w:szCs w:val="28"/>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384F16C1">
      <w:pPr>
        <w:spacing w:line="360" w:lineRule="auto"/>
        <w:ind w:firstLine="482"/>
        <w:jc w:val="center"/>
        <w:rPr>
          <w:rFonts w:hint="eastAsia"/>
          <w:b/>
          <w:bCs/>
          <w:color w:val="auto"/>
          <w:highlight w:val="none"/>
        </w:rPr>
      </w:pPr>
    </w:p>
    <w:p w14:paraId="4D28CC32">
      <w:pPr>
        <w:pStyle w:val="17"/>
        <w:ind w:firstLine="851"/>
        <w:rPr>
          <w:rFonts w:hint="eastAsia"/>
          <w:color w:val="auto"/>
          <w:highlight w:val="none"/>
        </w:rPr>
      </w:pPr>
      <w:r>
        <w:rPr>
          <w:color w:val="auto"/>
          <w:highlight w:val="none"/>
        </w:rPr>
        <w:br w:type="page"/>
      </w:r>
    </w:p>
    <w:p w14:paraId="312E6B16">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（六）监狱企业证明文件</w:t>
      </w:r>
    </w:p>
    <w:p w14:paraId="5CCF0B6C">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0DF625AC">
      <w:pPr>
        <w:rPr>
          <w:rFonts w:hint="eastAsia"/>
          <w:color w:val="auto"/>
          <w:spacing w:val="6"/>
          <w:highlight w:val="none"/>
        </w:rPr>
      </w:pPr>
    </w:p>
    <w:p w14:paraId="370FFF7E">
      <w:pPr>
        <w:spacing w:line="360" w:lineRule="auto"/>
        <w:ind w:firstLine="480" w:firstLineChars="200"/>
        <w:rPr>
          <w:rFonts w:hint="eastAsia"/>
          <w:color w:val="auto"/>
          <w:highlight w:val="none"/>
        </w:rPr>
      </w:pPr>
      <w:r>
        <w:rPr>
          <w:rFonts w:hint="eastAsia"/>
          <w:color w:val="auto"/>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BC94D9A">
      <w:pPr>
        <w:spacing w:line="360" w:lineRule="auto"/>
        <w:ind w:firstLine="360" w:firstLineChars="150"/>
        <w:rPr>
          <w:rFonts w:hint="eastAsia"/>
          <w:color w:val="auto"/>
          <w:highlight w:val="none"/>
        </w:rPr>
      </w:pPr>
      <w:r>
        <w:rPr>
          <w:rFonts w:hint="eastAsia"/>
          <w:color w:val="auto"/>
          <w:highlight w:val="none"/>
        </w:rPr>
        <w:t>监狱企业参加政府采购活动时，应当提供由省级以上监狱管理局、戒毒管理局（含新疆生产建设兵团）出具的属于监狱企业的证明文件。</w:t>
      </w:r>
    </w:p>
    <w:p w14:paraId="74B2FC10">
      <w:pPr>
        <w:pStyle w:val="17"/>
        <w:ind w:firstLine="851"/>
        <w:rPr>
          <w:rFonts w:hint="eastAsia"/>
          <w:color w:val="auto"/>
          <w:highlight w:val="none"/>
        </w:rPr>
      </w:pPr>
    </w:p>
    <w:p w14:paraId="117CDA0A">
      <w:pPr>
        <w:pStyle w:val="36"/>
        <w:ind w:firstLine="260"/>
        <w:rPr>
          <w:rFonts w:hint="eastAsia"/>
          <w:color w:val="auto"/>
          <w:highlight w:val="none"/>
        </w:rPr>
        <w:sectPr>
          <w:pgSz w:w="11906" w:h="16838"/>
          <w:pgMar w:top="1134" w:right="1134" w:bottom="1134" w:left="1134" w:header="850" w:footer="850" w:gutter="0"/>
          <w:cols w:space="720" w:num="1"/>
          <w:docGrid w:type="lines" w:linePitch="331" w:charSpace="0"/>
        </w:sectPr>
      </w:pPr>
    </w:p>
    <w:p w14:paraId="7DC57E95">
      <w:pPr>
        <w:shd w:val="solid" w:color="FFFFFF" w:fill="auto"/>
        <w:autoSpaceDN w:val="0"/>
        <w:spacing w:line="360" w:lineRule="auto"/>
        <w:outlineLvl w:val="1"/>
        <w:rPr>
          <w:rFonts w:hint="eastAsia" w:ascii="仿宋_BG2312"/>
          <w:b/>
          <w:color w:val="auto"/>
          <w:sz w:val="36"/>
          <w:highlight w:val="none"/>
          <w:shd w:val="clear" w:color="auto" w:fill="FFFFFF"/>
        </w:rPr>
      </w:pPr>
      <w:bookmarkStart w:id="120" w:name="_Toc8434"/>
      <w:bookmarkStart w:id="121" w:name="_Toc124784418"/>
      <w:r>
        <w:rPr>
          <w:rFonts w:hint="eastAsia" w:ascii="仿宋_BG2312"/>
          <w:b/>
          <w:color w:val="auto"/>
          <w:sz w:val="36"/>
          <w:highlight w:val="none"/>
          <w:shd w:val="clear" w:color="auto" w:fill="FFFFFF"/>
        </w:rPr>
        <w:t>四、投标文件技术部分</w:t>
      </w:r>
      <w:bookmarkEnd w:id="120"/>
    </w:p>
    <w:bookmarkEnd w:id="117"/>
    <w:bookmarkEnd w:id="118"/>
    <w:bookmarkEnd w:id="119"/>
    <w:bookmarkEnd w:id="121"/>
    <w:p w14:paraId="1C9608E0">
      <w:pPr>
        <w:spacing w:line="360" w:lineRule="auto"/>
        <w:ind w:firstLine="480" w:firstLineChars="200"/>
        <w:rPr>
          <w:rFonts w:hint="eastAsia"/>
          <w:color w:val="auto"/>
          <w:highlight w:val="none"/>
        </w:rPr>
      </w:pPr>
      <w:r>
        <w:rPr>
          <w:rFonts w:hint="eastAsia"/>
          <w:color w:val="auto"/>
          <w:highlight w:val="none"/>
        </w:rPr>
        <w:t>投标文件技术部分格式（技术部分应包括但不限于以下内容）</w:t>
      </w:r>
      <w:r>
        <w:rPr>
          <w:color w:val="auto"/>
          <w:highlight w:val="none"/>
        </w:rPr>
        <w:t xml:space="preserve"> </w:t>
      </w:r>
    </w:p>
    <w:p w14:paraId="42DF3ED5">
      <w:pPr>
        <w:spacing w:line="360" w:lineRule="auto"/>
        <w:ind w:firstLine="562"/>
        <w:jc w:val="center"/>
        <w:rPr>
          <w:rFonts w:hint="eastAsia"/>
          <w:b/>
          <w:bCs/>
          <w:color w:val="auto"/>
          <w:sz w:val="28"/>
          <w:szCs w:val="28"/>
          <w:highlight w:val="none"/>
        </w:rPr>
      </w:pPr>
      <w:r>
        <w:rPr>
          <w:rFonts w:hint="eastAsia"/>
          <w:b/>
          <w:bCs/>
          <w:color w:val="auto"/>
          <w:sz w:val="28"/>
          <w:szCs w:val="28"/>
          <w:highlight w:val="none"/>
        </w:rPr>
        <w:t>（一）技术参数偏离表</w:t>
      </w:r>
    </w:p>
    <w:p w14:paraId="097A59D5">
      <w:pPr>
        <w:spacing w:line="360" w:lineRule="auto"/>
        <w:rPr>
          <w:rFonts w:hint="eastAsia"/>
          <w:b/>
          <w:bCs/>
          <w:color w:val="auto"/>
          <w:highlight w:val="none"/>
          <w:u w:val="single"/>
        </w:rPr>
      </w:pPr>
      <w:r>
        <w:rPr>
          <w:rFonts w:hint="eastAsia"/>
          <w:b/>
          <w:bCs/>
          <w:color w:val="auto"/>
          <w:highlight w:val="none"/>
        </w:rPr>
        <w:t>项目名称及标段号：</w:t>
      </w:r>
      <w:r>
        <w:rPr>
          <w:rFonts w:hint="eastAsia"/>
          <w:b/>
          <w:bCs/>
          <w:color w:val="auto"/>
          <w:highlight w:val="none"/>
          <w:u w:val="single"/>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00"/>
        <w:gridCol w:w="2673"/>
        <w:gridCol w:w="2969"/>
        <w:gridCol w:w="951"/>
        <w:gridCol w:w="1119"/>
      </w:tblGrid>
      <w:tr w14:paraId="5955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35D4FBCC">
            <w:pPr>
              <w:adjustRightInd w:val="0"/>
              <w:snapToGrid w:val="0"/>
              <w:spacing w:line="460" w:lineRule="exact"/>
              <w:jc w:val="center"/>
              <w:rPr>
                <w:rFonts w:hint="eastAsia"/>
                <w:b/>
                <w:color w:val="auto"/>
                <w:highlight w:val="none"/>
              </w:rPr>
            </w:pPr>
            <w:r>
              <w:rPr>
                <w:rFonts w:hint="eastAsia"/>
                <w:b/>
                <w:color w:val="auto"/>
                <w:highlight w:val="none"/>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46CC9C86">
            <w:pPr>
              <w:adjustRightInd w:val="0"/>
              <w:snapToGrid w:val="0"/>
              <w:spacing w:line="460" w:lineRule="exact"/>
              <w:jc w:val="center"/>
              <w:rPr>
                <w:rFonts w:hint="eastAsia"/>
                <w:b/>
                <w:color w:val="auto"/>
                <w:highlight w:val="none"/>
              </w:rPr>
            </w:pPr>
            <w:r>
              <w:rPr>
                <w:rFonts w:hint="eastAsia"/>
                <w:b/>
                <w:color w:val="auto"/>
                <w:highlight w:val="none"/>
              </w:rPr>
              <w:t>名称</w:t>
            </w:r>
          </w:p>
        </w:tc>
        <w:tc>
          <w:tcPr>
            <w:tcW w:w="2673" w:type="dxa"/>
            <w:tcBorders>
              <w:top w:val="single" w:color="auto" w:sz="4" w:space="0"/>
              <w:left w:val="single" w:color="auto" w:sz="4" w:space="0"/>
              <w:bottom w:val="single" w:color="auto" w:sz="4" w:space="0"/>
              <w:right w:val="single" w:color="auto" w:sz="4" w:space="0"/>
            </w:tcBorders>
            <w:vAlign w:val="center"/>
          </w:tcPr>
          <w:p w14:paraId="329D8B3C">
            <w:pPr>
              <w:adjustRightInd w:val="0"/>
              <w:snapToGrid w:val="0"/>
              <w:spacing w:line="460" w:lineRule="exact"/>
              <w:jc w:val="center"/>
              <w:rPr>
                <w:rFonts w:hint="eastAsia"/>
                <w:b/>
                <w:color w:val="auto"/>
                <w:highlight w:val="none"/>
              </w:rPr>
            </w:pPr>
            <w:r>
              <w:rPr>
                <w:rFonts w:hint="eastAsia"/>
                <w:b/>
                <w:color w:val="auto"/>
                <w:highlight w:val="none"/>
              </w:rPr>
              <w:t>招标文件规格、技术参数、性能要求</w:t>
            </w:r>
          </w:p>
        </w:tc>
        <w:tc>
          <w:tcPr>
            <w:tcW w:w="2969" w:type="dxa"/>
            <w:tcBorders>
              <w:top w:val="single" w:color="auto" w:sz="4" w:space="0"/>
              <w:left w:val="single" w:color="auto" w:sz="4" w:space="0"/>
              <w:bottom w:val="single" w:color="auto" w:sz="4" w:space="0"/>
              <w:right w:val="single" w:color="auto" w:sz="4" w:space="0"/>
            </w:tcBorders>
            <w:vAlign w:val="center"/>
          </w:tcPr>
          <w:p w14:paraId="60F34C5E">
            <w:pPr>
              <w:adjustRightInd w:val="0"/>
              <w:snapToGrid w:val="0"/>
              <w:spacing w:line="460" w:lineRule="exact"/>
              <w:jc w:val="center"/>
              <w:rPr>
                <w:rFonts w:hint="eastAsia"/>
                <w:b/>
                <w:color w:val="auto"/>
                <w:highlight w:val="none"/>
              </w:rPr>
            </w:pPr>
            <w:r>
              <w:rPr>
                <w:rFonts w:hint="eastAsia"/>
                <w:b/>
                <w:color w:val="auto"/>
                <w:highlight w:val="none"/>
              </w:rPr>
              <w:t>竞标产品对应规格、技术参数、性能要求</w:t>
            </w:r>
          </w:p>
        </w:tc>
        <w:tc>
          <w:tcPr>
            <w:tcW w:w="951" w:type="dxa"/>
            <w:tcBorders>
              <w:top w:val="single" w:color="auto" w:sz="4" w:space="0"/>
              <w:left w:val="single" w:color="auto" w:sz="4" w:space="0"/>
              <w:bottom w:val="single" w:color="auto" w:sz="4" w:space="0"/>
              <w:right w:val="single" w:color="auto" w:sz="4" w:space="0"/>
            </w:tcBorders>
            <w:vAlign w:val="center"/>
          </w:tcPr>
          <w:p w14:paraId="70C5AE9A">
            <w:pPr>
              <w:adjustRightInd w:val="0"/>
              <w:snapToGrid w:val="0"/>
              <w:spacing w:line="460" w:lineRule="exact"/>
              <w:jc w:val="center"/>
              <w:rPr>
                <w:rFonts w:hint="eastAsia"/>
                <w:b/>
                <w:color w:val="auto"/>
                <w:highlight w:val="none"/>
              </w:rPr>
            </w:pPr>
            <w:r>
              <w:rPr>
                <w:rFonts w:hint="eastAsia"/>
                <w:b/>
                <w:color w:val="auto"/>
                <w:highlight w:val="none"/>
              </w:rPr>
              <w:t>偏离</w:t>
            </w:r>
          </w:p>
          <w:p w14:paraId="6AC83ED5">
            <w:pPr>
              <w:adjustRightInd w:val="0"/>
              <w:snapToGrid w:val="0"/>
              <w:spacing w:line="460" w:lineRule="exact"/>
              <w:jc w:val="center"/>
              <w:rPr>
                <w:rFonts w:hint="eastAsia"/>
                <w:b/>
                <w:color w:val="auto"/>
                <w:highlight w:val="none"/>
              </w:rPr>
            </w:pPr>
            <w:r>
              <w:rPr>
                <w:rFonts w:hint="eastAsia"/>
                <w:b/>
                <w:color w:val="auto"/>
                <w:highlight w:val="none"/>
              </w:rPr>
              <w:t>情况</w:t>
            </w:r>
          </w:p>
        </w:tc>
        <w:tc>
          <w:tcPr>
            <w:tcW w:w="1119" w:type="dxa"/>
            <w:tcBorders>
              <w:top w:val="single" w:color="auto" w:sz="4" w:space="0"/>
              <w:left w:val="single" w:color="auto" w:sz="4" w:space="0"/>
              <w:bottom w:val="single" w:color="auto" w:sz="4" w:space="0"/>
              <w:right w:val="single" w:color="auto" w:sz="4" w:space="0"/>
            </w:tcBorders>
            <w:vAlign w:val="center"/>
          </w:tcPr>
          <w:p w14:paraId="1F1F5902">
            <w:pPr>
              <w:adjustRightInd w:val="0"/>
              <w:snapToGrid w:val="0"/>
              <w:spacing w:line="460" w:lineRule="exact"/>
              <w:jc w:val="center"/>
              <w:rPr>
                <w:rFonts w:hint="eastAsia"/>
                <w:b/>
                <w:color w:val="auto"/>
                <w:highlight w:val="none"/>
              </w:rPr>
            </w:pPr>
            <w:r>
              <w:rPr>
                <w:rFonts w:hint="eastAsia"/>
                <w:b/>
                <w:color w:val="auto"/>
                <w:highlight w:val="none"/>
              </w:rPr>
              <w:t>页码</w:t>
            </w:r>
          </w:p>
          <w:p w14:paraId="10A65D4C">
            <w:pPr>
              <w:adjustRightInd w:val="0"/>
              <w:snapToGrid w:val="0"/>
              <w:spacing w:line="460" w:lineRule="exact"/>
              <w:jc w:val="center"/>
              <w:rPr>
                <w:rFonts w:hint="eastAsia"/>
                <w:b/>
                <w:color w:val="auto"/>
                <w:highlight w:val="none"/>
              </w:rPr>
            </w:pPr>
            <w:r>
              <w:rPr>
                <w:rFonts w:hint="eastAsia"/>
                <w:b/>
                <w:color w:val="auto"/>
                <w:highlight w:val="none"/>
              </w:rPr>
              <w:t>索引</w:t>
            </w:r>
          </w:p>
        </w:tc>
      </w:tr>
      <w:tr w14:paraId="70CF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0D582E5">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A0B5B84">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10C2A601">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1667400B">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210AB0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47D2A5E">
            <w:pPr>
              <w:adjustRightInd w:val="0"/>
              <w:snapToGrid w:val="0"/>
              <w:spacing w:line="460" w:lineRule="exact"/>
              <w:jc w:val="center"/>
              <w:rPr>
                <w:rFonts w:hint="eastAsia"/>
                <w:color w:val="auto"/>
                <w:highlight w:val="none"/>
              </w:rPr>
            </w:pPr>
          </w:p>
        </w:tc>
      </w:tr>
      <w:tr w14:paraId="454A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6E31269">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604625FA">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E2BCDDF">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7185CCFC">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3515CBD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038FCE6">
            <w:pPr>
              <w:adjustRightInd w:val="0"/>
              <w:snapToGrid w:val="0"/>
              <w:spacing w:line="460" w:lineRule="exact"/>
              <w:jc w:val="center"/>
              <w:rPr>
                <w:rFonts w:hint="eastAsia"/>
                <w:color w:val="auto"/>
                <w:highlight w:val="none"/>
              </w:rPr>
            </w:pPr>
          </w:p>
        </w:tc>
      </w:tr>
      <w:tr w14:paraId="19E1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2A3AE4E">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3C62C280">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33CC6C03">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44587BD1">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192DAC5">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49DF62E0">
            <w:pPr>
              <w:adjustRightInd w:val="0"/>
              <w:snapToGrid w:val="0"/>
              <w:spacing w:line="460" w:lineRule="exact"/>
              <w:jc w:val="center"/>
              <w:rPr>
                <w:rFonts w:hint="eastAsia"/>
                <w:color w:val="auto"/>
                <w:highlight w:val="none"/>
              </w:rPr>
            </w:pPr>
          </w:p>
        </w:tc>
      </w:tr>
      <w:tr w14:paraId="0069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880A16D">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9BDC4B7">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0306C75">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0CBDA564">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627E9B8F">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E229990">
            <w:pPr>
              <w:adjustRightInd w:val="0"/>
              <w:snapToGrid w:val="0"/>
              <w:spacing w:line="460" w:lineRule="exact"/>
              <w:jc w:val="center"/>
              <w:rPr>
                <w:rFonts w:hint="eastAsia"/>
                <w:color w:val="auto"/>
                <w:highlight w:val="none"/>
              </w:rPr>
            </w:pPr>
          </w:p>
        </w:tc>
      </w:tr>
    </w:tbl>
    <w:p w14:paraId="7B33616D">
      <w:pPr>
        <w:spacing w:line="360" w:lineRule="auto"/>
        <w:rPr>
          <w:rFonts w:hint="eastAsia"/>
          <w:color w:val="auto"/>
          <w:highlight w:val="none"/>
        </w:rPr>
      </w:pPr>
      <w:r>
        <w:rPr>
          <w:rFonts w:hint="eastAsia"/>
          <w:color w:val="auto"/>
          <w:highlight w:val="none"/>
        </w:rPr>
        <w:t>注：（1）供应商必须按照所投产品技术参数、性能要求，如实填写《技术规格偏离表》；“偏离情况”系指“正偏离”、“负偏离”或“无偏离”；</w:t>
      </w:r>
    </w:p>
    <w:p w14:paraId="7D2D950C">
      <w:pPr>
        <w:spacing w:line="360" w:lineRule="auto"/>
        <w:rPr>
          <w:rFonts w:hint="eastAsia"/>
          <w:color w:val="auto"/>
          <w:highlight w:val="none"/>
        </w:rPr>
      </w:pPr>
      <w:r>
        <w:rPr>
          <w:rFonts w:hint="eastAsia"/>
          <w:color w:val="auto"/>
          <w:highlight w:val="none"/>
        </w:rPr>
        <w:t>（2）后附相关证明资料；证明材料包括：第四章 采购需求中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58BBDEBA">
      <w:pPr>
        <w:spacing w:line="360" w:lineRule="auto"/>
        <w:rPr>
          <w:rFonts w:hint="eastAsia"/>
          <w:b/>
          <w:bCs/>
          <w:color w:val="auto"/>
          <w:highlight w:val="none"/>
        </w:rPr>
      </w:pPr>
      <w:r>
        <w:rPr>
          <w:rFonts w:hint="eastAsia"/>
          <w:b/>
          <w:color w:val="auto"/>
          <w:highlight w:val="none"/>
        </w:rPr>
        <w:t>我公司承诺：我们提供的上述技术参数、性能要求与拟投货物实际技术参数、性能要求一致，不存在复制、拷贝“采购需求”等不实及虚假响应。如有不符，愿意承担相应后果</w:t>
      </w:r>
      <w:r>
        <w:rPr>
          <w:rFonts w:hint="eastAsia"/>
          <w:b/>
          <w:bCs/>
          <w:color w:val="auto"/>
          <w:highlight w:val="none"/>
        </w:rPr>
        <w:t>。</w:t>
      </w:r>
    </w:p>
    <w:p w14:paraId="3A5C58AB">
      <w:pPr>
        <w:spacing w:line="360" w:lineRule="auto"/>
        <w:rPr>
          <w:rFonts w:hint="eastAsia"/>
          <w:color w:val="auto"/>
          <w:highlight w:val="none"/>
        </w:rPr>
      </w:pPr>
      <w:r>
        <w:rPr>
          <w:rFonts w:hint="eastAsia"/>
          <w:color w:val="auto"/>
          <w:highlight w:val="none"/>
        </w:rPr>
        <w:t xml:space="preserve"> </w:t>
      </w:r>
    </w:p>
    <w:p w14:paraId="03C25C76">
      <w:pPr>
        <w:spacing w:line="360" w:lineRule="auto"/>
        <w:rPr>
          <w:rFonts w:hint="eastAsia"/>
          <w:color w:val="auto"/>
          <w:highlight w:val="none"/>
        </w:rPr>
      </w:pPr>
      <w:r>
        <w:rPr>
          <w:rFonts w:hint="eastAsia"/>
          <w:color w:val="auto"/>
          <w:highlight w:val="none"/>
        </w:rPr>
        <w:t xml:space="preserve">供应商（电子签章）： </w:t>
      </w:r>
    </w:p>
    <w:p w14:paraId="5261C128">
      <w:pPr>
        <w:spacing w:line="360" w:lineRule="auto"/>
        <w:rPr>
          <w:rFonts w:hint="eastAsia"/>
          <w:color w:val="auto"/>
          <w:highlight w:val="none"/>
        </w:rPr>
      </w:pPr>
      <w:r>
        <w:rPr>
          <w:rFonts w:hint="eastAsia"/>
          <w:color w:val="auto"/>
          <w:highlight w:val="none"/>
        </w:rPr>
        <w:t>法定代表人或负责人或授权委托人（电子签名或签章）：</w:t>
      </w:r>
    </w:p>
    <w:p w14:paraId="0B3BEE68">
      <w:pPr>
        <w:spacing w:line="360" w:lineRule="auto"/>
        <w:rPr>
          <w:rFonts w:hint="eastAsia"/>
          <w:color w:val="auto"/>
          <w:highlight w:val="none"/>
        </w:rPr>
      </w:pPr>
      <w:r>
        <w:rPr>
          <w:rFonts w:hint="eastAsia"/>
          <w:color w:val="auto"/>
          <w:highlight w:val="none"/>
        </w:rPr>
        <w:t>日期：</w:t>
      </w:r>
    </w:p>
    <w:p w14:paraId="1535BB37">
      <w:pPr>
        <w:pStyle w:val="17"/>
        <w:rPr>
          <w:rFonts w:hint="eastAsia"/>
          <w:color w:val="auto"/>
          <w:highlight w:val="none"/>
        </w:rPr>
      </w:pPr>
      <w:r>
        <w:rPr>
          <w:rFonts w:hint="eastAsia"/>
          <w:color w:val="auto"/>
          <w:highlight w:val="none"/>
        </w:rPr>
        <w:br w:type="page"/>
      </w:r>
    </w:p>
    <w:p w14:paraId="12AB3532">
      <w:pPr>
        <w:spacing w:line="360" w:lineRule="auto"/>
        <w:ind w:firstLine="562"/>
        <w:rPr>
          <w:rFonts w:hint="eastAsia"/>
          <w:b/>
          <w:bCs/>
          <w:color w:val="auto"/>
          <w:sz w:val="28"/>
          <w:szCs w:val="28"/>
          <w:highlight w:val="none"/>
        </w:rPr>
      </w:pPr>
      <w:r>
        <w:rPr>
          <w:rFonts w:hint="eastAsia"/>
          <w:b/>
          <w:bCs/>
          <w:color w:val="auto"/>
          <w:sz w:val="28"/>
          <w:szCs w:val="28"/>
          <w:highlight w:val="none"/>
        </w:rPr>
        <w:t>（二）项目技术分析</w:t>
      </w:r>
    </w:p>
    <w:p w14:paraId="0B10FF86">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三</w:t>
      </w:r>
      <w:r>
        <w:rPr>
          <w:rFonts w:hint="eastAsia"/>
          <w:b/>
          <w:bCs/>
          <w:color w:val="auto"/>
          <w:sz w:val="28"/>
          <w:szCs w:val="28"/>
          <w:highlight w:val="none"/>
          <w:lang w:eastAsia="zh-CN"/>
        </w:rPr>
        <w:t>）</w:t>
      </w:r>
      <w:r>
        <w:rPr>
          <w:rFonts w:hint="eastAsia"/>
          <w:b/>
          <w:bCs/>
          <w:color w:val="auto"/>
          <w:sz w:val="28"/>
          <w:szCs w:val="28"/>
          <w:highlight w:val="none"/>
        </w:rPr>
        <w:t>项目实施方案</w:t>
      </w:r>
    </w:p>
    <w:p w14:paraId="609B9ADB">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四</w:t>
      </w:r>
      <w:r>
        <w:rPr>
          <w:rFonts w:hint="eastAsia"/>
          <w:b/>
          <w:bCs/>
          <w:color w:val="auto"/>
          <w:sz w:val="28"/>
          <w:szCs w:val="28"/>
          <w:highlight w:val="none"/>
          <w:lang w:eastAsia="zh-CN"/>
        </w:rPr>
        <w:t>）</w:t>
      </w:r>
      <w:r>
        <w:rPr>
          <w:rFonts w:hint="eastAsia"/>
          <w:b/>
          <w:bCs/>
          <w:color w:val="auto"/>
          <w:sz w:val="28"/>
          <w:szCs w:val="28"/>
          <w:highlight w:val="none"/>
        </w:rPr>
        <w:t>质量承诺及其保证措施</w:t>
      </w:r>
    </w:p>
    <w:p w14:paraId="5F79A07B">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五</w:t>
      </w:r>
      <w:r>
        <w:rPr>
          <w:rFonts w:hint="eastAsia"/>
          <w:b/>
          <w:bCs/>
          <w:color w:val="auto"/>
          <w:sz w:val="28"/>
          <w:szCs w:val="28"/>
          <w:highlight w:val="none"/>
          <w:lang w:eastAsia="zh-CN"/>
        </w:rPr>
        <w:t>）</w:t>
      </w:r>
      <w:r>
        <w:rPr>
          <w:rFonts w:hint="eastAsia"/>
          <w:b/>
          <w:bCs/>
          <w:color w:val="auto"/>
          <w:sz w:val="28"/>
          <w:szCs w:val="28"/>
          <w:highlight w:val="none"/>
        </w:rPr>
        <w:t>售后服务方案及承诺</w:t>
      </w:r>
    </w:p>
    <w:p w14:paraId="0FB31EDD">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六</w:t>
      </w:r>
      <w:r>
        <w:rPr>
          <w:rFonts w:hint="eastAsia"/>
          <w:b/>
          <w:bCs/>
          <w:color w:val="auto"/>
          <w:sz w:val="28"/>
          <w:szCs w:val="28"/>
          <w:highlight w:val="none"/>
          <w:lang w:eastAsia="zh-CN"/>
        </w:rPr>
        <w:t>）</w:t>
      </w:r>
      <w:r>
        <w:rPr>
          <w:rFonts w:hint="eastAsia"/>
          <w:b/>
          <w:bCs/>
          <w:color w:val="auto"/>
          <w:sz w:val="28"/>
          <w:szCs w:val="28"/>
          <w:highlight w:val="none"/>
        </w:rPr>
        <w:t>培训承诺及方案</w:t>
      </w:r>
    </w:p>
    <w:p w14:paraId="67697AB4">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七</w:t>
      </w:r>
      <w:r>
        <w:rPr>
          <w:rFonts w:hint="eastAsia"/>
          <w:b/>
          <w:bCs/>
          <w:color w:val="auto"/>
          <w:sz w:val="28"/>
          <w:szCs w:val="28"/>
          <w:highlight w:val="none"/>
          <w:lang w:eastAsia="zh-CN"/>
        </w:rPr>
        <w:t>）</w:t>
      </w:r>
      <w:r>
        <w:rPr>
          <w:rFonts w:hint="eastAsia"/>
          <w:b/>
          <w:bCs/>
          <w:color w:val="auto"/>
          <w:sz w:val="28"/>
          <w:szCs w:val="28"/>
          <w:highlight w:val="none"/>
        </w:rPr>
        <w:t>节能产品</w:t>
      </w:r>
    </w:p>
    <w:p w14:paraId="1B62CD6A">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八</w:t>
      </w:r>
      <w:r>
        <w:rPr>
          <w:rFonts w:hint="eastAsia"/>
          <w:b/>
          <w:bCs/>
          <w:color w:val="auto"/>
          <w:sz w:val="28"/>
          <w:szCs w:val="28"/>
          <w:highlight w:val="none"/>
          <w:lang w:eastAsia="zh-CN"/>
        </w:rPr>
        <w:t>）</w:t>
      </w:r>
      <w:r>
        <w:rPr>
          <w:rFonts w:hint="eastAsia"/>
          <w:b/>
          <w:bCs/>
          <w:color w:val="auto"/>
          <w:sz w:val="28"/>
          <w:szCs w:val="28"/>
          <w:highlight w:val="none"/>
        </w:rPr>
        <w:t>环境标志产品</w:t>
      </w:r>
    </w:p>
    <w:p w14:paraId="6861CD59">
      <w:pPr>
        <w:spacing w:line="360" w:lineRule="auto"/>
        <w:ind w:firstLine="562"/>
        <w:rPr>
          <w:rFonts w:hint="eastAsia"/>
          <w:b/>
          <w:bCs/>
          <w:color w:val="auto"/>
          <w:sz w:val="28"/>
          <w:szCs w:val="28"/>
          <w:highlight w:val="none"/>
        </w:rPr>
      </w:pPr>
      <w:r>
        <w:rPr>
          <w:rFonts w:hint="eastAsia"/>
          <w:b/>
          <w:bCs/>
          <w:color w:val="auto"/>
          <w:sz w:val="28"/>
          <w:szCs w:val="28"/>
          <w:highlight w:val="none"/>
        </w:rPr>
        <w:t>（</w:t>
      </w:r>
      <w:r>
        <w:rPr>
          <w:rFonts w:hint="eastAsia"/>
          <w:b/>
          <w:bCs/>
          <w:color w:val="auto"/>
          <w:sz w:val="28"/>
          <w:szCs w:val="28"/>
          <w:highlight w:val="none"/>
          <w:lang w:val="en-US" w:eastAsia="zh-CN"/>
        </w:rPr>
        <w:t>九</w:t>
      </w:r>
      <w:r>
        <w:rPr>
          <w:rFonts w:hint="eastAsia"/>
          <w:b/>
          <w:bCs/>
          <w:color w:val="auto"/>
          <w:sz w:val="28"/>
          <w:szCs w:val="28"/>
          <w:highlight w:val="none"/>
        </w:rPr>
        <w:t>）投标人需要说明的其他文件和说明（格式自拟）。</w:t>
      </w:r>
    </w:p>
    <w:p w14:paraId="0B0FC20D">
      <w:pPr>
        <w:pStyle w:val="17"/>
        <w:rPr>
          <w:rFonts w:hint="eastAsia"/>
          <w:color w:val="auto"/>
          <w:highlight w:val="none"/>
        </w:rPr>
      </w:pPr>
      <w:r>
        <w:rPr>
          <w:rFonts w:hint="eastAsia"/>
          <w:color w:val="auto"/>
          <w:highlight w:val="none"/>
        </w:rPr>
        <w:br w:type="page"/>
      </w:r>
    </w:p>
    <w:p w14:paraId="769423B8">
      <w:pPr>
        <w:spacing w:line="360" w:lineRule="auto"/>
        <w:ind w:firstLine="562"/>
        <w:rPr>
          <w:rFonts w:hint="eastAsia"/>
          <w:b/>
          <w:bCs/>
          <w:color w:val="auto"/>
          <w:sz w:val="28"/>
          <w:szCs w:val="28"/>
          <w:highlight w:val="none"/>
        </w:rPr>
      </w:pPr>
      <w:r>
        <w:rPr>
          <w:rFonts w:hint="eastAsia"/>
          <w:b/>
          <w:bCs/>
          <w:color w:val="auto"/>
          <w:sz w:val="28"/>
          <w:szCs w:val="28"/>
          <w:highlight w:val="none"/>
        </w:rPr>
        <w:t>部分表格后附。</w:t>
      </w:r>
    </w:p>
    <w:p w14:paraId="2C2B301F">
      <w:pPr>
        <w:spacing w:before="496" w:beforeLines="150" w:line="360" w:lineRule="auto"/>
        <w:ind w:firstLine="482"/>
        <w:rPr>
          <w:rFonts w:hint="eastAsia" w:cs="Times New Roman"/>
          <w:b/>
          <w:bCs/>
          <w:color w:val="auto"/>
          <w:highlight w:val="none"/>
        </w:rPr>
      </w:pPr>
      <w:r>
        <w:rPr>
          <w:rFonts w:hint="eastAsia"/>
          <w:b/>
          <w:bCs/>
          <w:color w:val="auto"/>
          <w:highlight w:val="none"/>
        </w:rPr>
        <w:t>附表1：企业证书与业绩</w:t>
      </w:r>
    </w:p>
    <w:p w14:paraId="0FE1ECDB">
      <w:pPr>
        <w:spacing w:line="360" w:lineRule="auto"/>
        <w:ind w:firstLine="560"/>
        <w:rPr>
          <w:rFonts w:hint="eastAsia"/>
          <w:color w:val="auto"/>
          <w:sz w:val="28"/>
          <w:szCs w:val="28"/>
          <w:highlight w:val="none"/>
        </w:rPr>
      </w:pPr>
      <w:r>
        <w:rPr>
          <w:rFonts w:hint="eastAsia"/>
          <w:color w:val="auto"/>
          <w:sz w:val="28"/>
          <w:szCs w:val="28"/>
          <w:highlight w:val="none"/>
        </w:rPr>
        <w:t>（1）投标企业证书</w:t>
      </w:r>
    </w:p>
    <w:tbl>
      <w:tblPr>
        <w:tblStyle w:val="42"/>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673"/>
        <w:gridCol w:w="2468"/>
        <w:gridCol w:w="2286"/>
        <w:gridCol w:w="2156"/>
      </w:tblGrid>
      <w:tr w14:paraId="4F3B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69484DFF">
            <w:pPr>
              <w:spacing w:line="360" w:lineRule="auto"/>
              <w:jc w:val="center"/>
              <w:rPr>
                <w:rFonts w:hint="eastAsia"/>
                <w:bCs/>
                <w:color w:val="auto"/>
                <w:highlight w:val="none"/>
              </w:rPr>
            </w:pPr>
            <w:r>
              <w:rPr>
                <w:rFonts w:hint="eastAsia"/>
                <w:bCs/>
                <w:color w:val="auto"/>
                <w:highlight w:val="none"/>
              </w:rPr>
              <w:t>序号</w:t>
            </w:r>
          </w:p>
        </w:tc>
        <w:tc>
          <w:tcPr>
            <w:tcW w:w="1673" w:type="dxa"/>
            <w:tcBorders>
              <w:top w:val="single" w:color="auto" w:sz="4" w:space="0"/>
              <w:left w:val="single" w:color="auto" w:sz="4" w:space="0"/>
              <w:bottom w:val="single" w:color="auto" w:sz="4" w:space="0"/>
              <w:right w:val="single" w:color="auto" w:sz="4" w:space="0"/>
            </w:tcBorders>
            <w:vAlign w:val="center"/>
          </w:tcPr>
          <w:p w14:paraId="15E51192">
            <w:pPr>
              <w:spacing w:line="360" w:lineRule="auto"/>
              <w:jc w:val="center"/>
              <w:rPr>
                <w:rFonts w:hint="eastAsia"/>
                <w:bCs/>
                <w:color w:val="auto"/>
                <w:highlight w:val="none"/>
              </w:rPr>
            </w:pPr>
            <w:r>
              <w:rPr>
                <w:rFonts w:hint="eastAsia"/>
                <w:bCs/>
                <w:color w:val="auto"/>
                <w:highlight w:val="none"/>
              </w:rPr>
              <w:t>证书名称</w:t>
            </w:r>
          </w:p>
        </w:tc>
        <w:tc>
          <w:tcPr>
            <w:tcW w:w="2468" w:type="dxa"/>
            <w:tcBorders>
              <w:top w:val="single" w:color="auto" w:sz="4" w:space="0"/>
              <w:left w:val="single" w:color="auto" w:sz="4" w:space="0"/>
              <w:bottom w:val="single" w:color="auto" w:sz="4" w:space="0"/>
              <w:right w:val="single" w:color="auto" w:sz="4" w:space="0"/>
            </w:tcBorders>
            <w:vAlign w:val="center"/>
          </w:tcPr>
          <w:p w14:paraId="0FDFD107">
            <w:pPr>
              <w:spacing w:line="360" w:lineRule="auto"/>
              <w:jc w:val="center"/>
              <w:rPr>
                <w:rFonts w:hint="eastAsia"/>
                <w:bCs/>
                <w:color w:val="auto"/>
                <w:highlight w:val="none"/>
              </w:rPr>
            </w:pPr>
            <w:r>
              <w:rPr>
                <w:rFonts w:hint="eastAsia"/>
                <w:bCs/>
                <w:color w:val="auto"/>
                <w:highlight w:val="none"/>
              </w:rPr>
              <w:t>颁发机构</w:t>
            </w:r>
          </w:p>
        </w:tc>
        <w:tc>
          <w:tcPr>
            <w:tcW w:w="2286" w:type="dxa"/>
            <w:tcBorders>
              <w:top w:val="single" w:color="auto" w:sz="4" w:space="0"/>
              <w:left w:val="single" w:color="auto" w:sz="4" w:space="0"/>
              <w:bottom w:val="single" w:color="auto" w:sz="4" w:space="0"/>
              <w:right w:val="single" w:color="auto" w:sz="4" w:space="0"/>
            </w:tcBorders>
            <w:vAlign w:val="center"/>
          </w:tcPr>
          <w:p w14:paraId="1862BBDB">
            <w:pPr>
              <w:spacing w:line="360" w:lineRule="auto"/>
              <w:jc w:val="center"/>
              <w:rPr>
                <w:rFonts w:hint="eastAsia"/>
                <w:bCs/>
                <w:color w:val="auto"/>
                <w:highlight w:val="none"/>
              </w:rPr>
            </w:pPr>
            <w:r>
              <w:rPr>
                <w:rFonts w:hint="eastAsia"/>
                <w:bCs/>
                <w:color w:val="auto"/>
                <w:highlight w:val="none"/>
              </w:rPr>
              <w:t>颁发时间</w:t>
            </w:r>
          </w:p>
        </w:tc>
        <w:tc>
          <w:tcPr>
            <w:tcW w:w="2156" w:type="dxa"/>
            <w:tcBorders>
              <w:top w:val="single" w:color="auto" w:sz="4" w:space="0"/>
              <w:left w:val="single" w:color="auto" w:sz="4" w:space="0"/>
              <w:bottom w:val="single" w:color="auto" w:sz="4" w:space="0"/>
              <w:right w:val="single" w:color="auto" w:sz="4" w:space="0"/>
            </w:tcBorders>
            <w:vAlign w:val="center"/>
          </w:tcPr>
          <w:p w14:paraId="1ECD90E2">
            <w:pPr>
              <w:spacing w:line="360" w:lineRule="auto"/>
              <w:jc w:val="center"/>
              <w:rPr>
                <w:rFonts w:hint="eastAsia"/>
                <w:bCs/>
                <w:color w:val="auto"/>
                <w:highlight w:val="none"/>
              </w:rPr>
            </w:pPr>
            <w:r>
              <w:rPr>
                <w:rFonts w:hint="eastAsia"/>
                <w:bCs/>
                <w:color w:val="auto"/>
                <w:highlight w:val="none"/>
              </w:rPr>
              <w:t>备注</w:t>
            </w:r>
          </w:p>
        </w:tc>
      </w:tr>
      <w:tr w14:paraId="1FAC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4B6B8CD8">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80725D7">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5438E1C">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BAF9C51">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B0CA898">
            <w:pPr>
              <w:spacing w:line="360" w:lineRule="auto"/>
              <w:ind w:firstLine="600" w:firstLineChars="250"/>
              <w:jc w:val="center"/>
              <w:rPr>
                <w:rFonts w:hint="eastAsia"/>
                <w:bCs/>
                <w:color w:val="auto"/>
                <w:highlight w:val="none"/>
              </w:rPr>
            </w:pPr>
          </w:p>
        </w:tc>
      </w:tr>
      <w:tr w14:paraId="2CA8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4" w:type="dxa"/>
            <w:tcBorders>
              <w:top w:val="single" w:color="auto" w:sz="4" w:space="0"/>
              <w:left w:val="single" w:color="auto" w:sz="4" w:space="0"/>
              <w:bottom w:val="single" w:color="auto" w:sz="4" w:space="0"/>
              <w:right w:val="single" w:color="auto" w:sz="4" w:space="0"/>
            </w:tcBorders>
          </w:tcPr>
          <w:p w14:paraId="38FEEE40">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2706D81B">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C9D48E4">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9023ECD">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76300E7E">
            <w:pPr>
              <w:spacing w:line="360" w:lineRule="auto"/>
              <w:ind w:firstLine="600" w:firstLineChars="250"/>
              <w:jc w:val="center"/>
              <w:rPr>
                <w:rFonts w:hint="eastAsia"/>
                <w:bCs/>
                <w:color w:val="auto"/>
                <w:highlight w:val="none"/>
              </w:rPr>
            </w:pPr>
          </w:p>
        </w:tc>
      </w:tr>
      <w:tr w14:paraId="3AC3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69328415">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52020A78">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33588C90">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67154A86">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36D8EB32">
            <w:pPr>
              <w:spacing w:line="360" w:lineRule="auto"/>
              <w:ind w:firstLine="600" w:firstLineChars="250"/>
              <w:jc w:val="center"/>
              <w:rPr>
                <w:rFonts w:hint="eastAsia"/>
                <w:bCs/>
                <w:color w:val="auto"/>
                <w:highlight w:val="none"/>
              </w:rPr>
            </w:pPr>
          </w:p>
        </w:tc>
      </w:tr>
      <w:tr w14:paraId="21A53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7E28B75F">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B0FBE61">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26078DA5">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0AD1B6E8">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A628C18">
            <w:pPr>
              <w:spacing w:line="360" w:lineRule="auto"/>
              <w:ind w:firstLine="600" w:firstLineChars="250"/>
              <w:jc w:val="center"/>
              <w:rPr>
                <w:rFonts w:hint="eastAsia"/>
                <w:bCs/>
                <w:color w:val="auto"/>
                <w:highlight w:val="none"/>
              </w:rPr>
            </w:pPr>
          </w:p>
        </w:tc>
      </w:tr>
    </w:tbl>
    <w:p w14:paraId="5A0F004C">
      <w:pPr>
        <w:spacing w:line="360" w:lineRule="auto"/>
        <w:ind w:firstLine="480" w:firstLineChars="200"/>
        <w:rPr>
          <w:rFonts w:hint="eastAsia" w:cs="Times New Roman"/>
          <w:color w:val="auto"/>
          <w:kern w:val="2"/>
          <w:highlight w:val="none"/>
        </w:rPr>
      </w:pPr>
      <w:r>
        <w:rPr>
          <w:rFonts w:hint="eastAsia"/>
          <w:color w:val="auto"/>
          <w:highlight w:val="none"/>
        </w:rPr>
        <w:t>后附相关材料加盖公章</w:t>
      </w:r>
    </w:p>
    <w:p w14:paraId="0C8B4E3C">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745197B">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10EF5AAE">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9767444">
      <w:pPr>
        <w:spacing w:line="360" w:lineRule="auto"/>
        <w:ind w:firstLine="600" w:firstLineChars="250"/>
        <w:rPr>
          <w:rFonts w:hint="eastAsia"/>
          <w:color w:val="auto"/>
          <w:highlight w:val="none"/>
        </w:rPr>
        <w:sectPr>
          <w:pgSz w:w="11906" w:h="16838"/>
          <w:pgMar w:top="1134" w:right="1134" w:bottom="1134" w:left="1134" w:header="850" w:footer="850" w:gutter="0"/>
          <w:cols w:space="720" w:num="1"/>
          <w:docGrid w:type="lines" w:linePitch="331" w:charSpace="0"/>
        </w:sectPr>
      </w:pPr>
    </w:p>
    <w:p w14:paraId="6057313D">
      <w:pPr>
        <w:spacing w:before="496" w:beforeLines="150" w:line="360" w:lineRule="auto"/>
        <w:jc w:val="center"/>
        <w:rPr>
          <w:rFonts w:hint="eastAsia"/>
          <w:b/>
          <w:color w:val="auto"/>
          <w:sz w:val="28"/>
          <w:szCs w:val="28"/>
          <w:highlight w:val="none"/>
        </w:rPr>
      </w:pPr>
      <w:r>
        <w:rPr>
          <w:rFonts w:hint="eastAsia"/>
          <w:b/>
          <w:bCs/>
          <w:color w:val="auto"/>
          <w:sz w:val="28"/>
          <w:szCs w:val="28"/>
          <w:highlight w:val="none"/>
        </w:rPr>
        <w:t>附表2：</w:t>
      </w:r>
      <w:r>
        <w:rPr>
          <w:rFonts w:hint="eastAsia"/>
          <w:b/>
          <w:color w:val="auto"/>
          <w:sz w:val="28"/>
          <w:szCs w:val="28"/>
          <w:highlight w:val="none"/>
        </w:rPr>
        <w:t>拟投项目人员一览表</w:t>
      </w:r>
    </w:p>
    <w:p w14:paraId="0C08D784">
      <w:pPr>
        <w:ind w:firstLine="480" w:firstLineChars="200"/>
        <w:rPr>
          <w:rFonts w:hint="eastAsia"/>
          <w:color w:val="auto"/>
          <w:highlight w:val="none"/>
          <w:u w:val="single"/>
        </w:rPr>
      </w:pPr>
      <w:r>
        <w:rPr>
          <w:rFonts w:hint="eastAsia"/>
          <w:color w:val="auto"/>
          <w:highlight w:val="none"/>
        </w:rPr>
        <w:t>项目名称</w:t>
      </w:r>
      <w:r>
        <w:rPr>
          <w:rFonts w:hint="eastAsia"/>
          <w:bCs/>
          <w:color w:val="auto"/>
          <w:highlight w:val="none"/>
          <w:u w:val="single"/>
        </w:rPr>
        <w:t>：</w:t>
      </w:r>
      <w:r>
        <w:rPr>
          <w:rFonts w:hint="eastAsia"/>
          <w:color w:val="auto"/>
          <w:highlight w:val="none"/>
          <w:u w:val="single"/>
        </w:rPr>
        <w:t xml:space="preserve">                                          </w:t>
      </w:r>
      <w:r>
        <w:rPr>
          <w:rFonts w:hint="eastAsia"/>
          <w:color w:val="auto"/>
          <w:highlight w:val="none"/>
        </w:rPr>
        <w:t>项目编号：</w:t>
      </w:r>
      <w:r>
        <w:rPr>
          <w:rFonts w:hint="eastAsia"/>
          <w:color w:val="auto"/>
          <w:highlight w:val="none"/>
          <w:u w:val="single"/>
        </w:rPr>
        <w:t xml:space="preserve">           </w:t>
      </w:r>
    </w:p>
    <w:tbl>
      <w:tblPr>
        <w:tblStyle w:val="42"/>
        <w:tblW w:w="92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1458"/>
        <w:gridCol w:w="1836"/>
        <w:gridCol w:w="1943"/>
        <w:gridCol w:w="2239"/>
      </w:tblGrid>
      <w:tr w14:paraId="3F283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4A409B13">
            <w:pPr>
              <w:jc w:val="center"/>
              <w:rPr>
                <w:rFonts w:hint="eastAsia"/>
                <w:color w:val="auto"/>
                <w:highlight w:val="none"/>
              </w:rPr>
            </w:pPr>
            <w:r>
              <w:rPr>
                <w:rFonts w:hint="eastAsia"/>
                <w:color w:val="auto"/>
                <w:highlight w:val="none"/>
              </w:rPr>
              <w:t>姓名</w:t>
            </w:r>
          </w:p>
        </w:tc>
        <w:tc>
          <w:tcPr>
            <w:tcW w:w="1458" w:type="dxa"/>
            <w:tcBorders>
              <w:top w:val="single" w:color="auto" w:sz="4" w:space="0"/>
              <w:left w:val="nil"/>
              <w:bottom w:val="single" w:color="auto" w:sz="4" w:space="0"/>
              <w:right w:val="single" w:color="auto" w:sz="4" w:space="0"/>
            </w:tcBorders>
            <w:vAlign w:val="center"/>
          </w:tcPr>
          <w:p w14:paraId="2B8A039E">
            <w:pPr>
              <w:jc w:val="center"/>
              <w:rPr>
                <w:rFonts w:hint="eastAsia"/>
                <w:color w:val="auto"/>
                <w:highlight w:val="none"/>
              </w:rPr>
            </w:pPr>
            <w:r>
              <w:rPr>
                <w:rFonts w:hint="eastAsia"/>
                <w:color w:val="auto"/>
                <w:highlight w:val="none"/>
              </w:rPr>
              <w:t>拟任职务</w:t>
            </w:r>
          </w:p>
        </w:tc>
        <w:tc>
          <w:tcPr>
            <w:tcW w:w="1836" w:type="dxa"/>
            <w:tcBorders>
              <w:top w:val="single" w:color="auto" w:sz="4" w:space="0"/>
              <w:left w:val="nil"/>
              <w:bottom w:val="single" w:color="auto" w:sz="4" w:space="0"/>
              <w:right w:val="single" w:color="auto" w:sz="4" w:space="0"/>
            </w:tcBorders>
            <w:vAlign w:val="center"/>
          </w:tcPr>
          <w:p w14:paraId="68B98476">
            <w:pPr>
              <w:jc w:val="center"/>
              <w:rPr>
                <w:rFonts w:hint="eastAsia"/>
                <w:color w:val="auto"/>
                <w:highlight w:val="none"/>
              </w:rPr>
            </w:pPr>
            <w:r>
              <w:rPr>
                <w:rFonts w:hint="eastAsia"/>
                <w:color w:val="auto"/>
                <w:highlight w:val="none"/>
              </w:rPr>
              <w:t>专业技术资格</w:t>
            </w:r>
          </w:p>
        </w:tc>
        <w:tc>
          <w:tcPr>
            <w:tcW w:w="1943" w:type="dxa"/>
            <w:tcBorders>
              <w:top w:val="single" w:color="auto" w:sz="4" w:space="0"/>
              <w:left w:val="nil"/>
              <w:bottom w:val="single" w:color="auto" w:sz="4" w:space="0"/>
              <w:right w:val="single" w:color="auto" w:sz="4" w:space="0"/>
            </w:tcBorders>
            <w:vAlign w:val="center"/>
          </w:tcPr>
          <w:p w14:paraId="301B8852">
            <w:pPr>
              <w:jc w:val="center"/>
              <w:rPr>
                <w:rFonts w:hint="eastAsia"/>
                <w:color w:val="auto"/>
                <w:highlight w:val="none"/>
              </w:rPr>
            </w:pPr>
            <w:r>
              <w:rPr>
                <w:rFonts w:hint="eastAsia"/>
                <w:color w:val="auto"/>
                <w:highlight w:val="none"/>
              </w:rPr>
              <w:t>证书编号</w:t>
            </w:r>
          </w:p>
        </w:tc>
        <w:tc>
          <w:tcPr>
            <w:tcW w:w="2239" w:type="dxa"/>
            <w:tcBorders>
              <w:top w:val="single" w:color="auto" w:sz="4" w:space="0"/>
              <w:left w:val="nil"/>
              <w:bottom w:val="single" w:color="auto" w:sz="4" w:space="0"/>
              <w:right w:val="single" w:color="auto" w:sz="4" w:space="0"/>
            </w:tcBorders>
            <w:vAlign w:val="center"/>
          </w:tcPr>
          <w:p w14:paraId="2B498962">
            <w:pPr>
              <w:jc w:val="center"/>
              <w:rPr>
                <w:rFonts w:hint="eastAsia"/>
                <w:bCs/>
                <w:color w:val="auto"/>
                <w:highlight w:val="none"/>
              </w:rPr>
            </w:pPr>
            <w:r>
              <w:rPr>
                <w:rFonts w:hint="eastAsia"/>
                <w:bCs/>
                <w:color w:val="auto"/>
                <w:highlight w:val="none"/>
              </w:rPr>
              <w:t>个人社保编号</w:t>
            </w:r>
          </w:p>
        </w:tc>
      </w:tr>
      <w:tr w14:paraId="66B90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0487A291">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627457A9">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453D712">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F6E9DDD">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11AAF656">
            <w:pPr>
              <w:ind w:firstLine="480" w:firstLineChars="200"/>
              <w:jc w:val="center"/>
              <w:rPr>
                <w:rFonts w:hint="eastAsia"/>
                <w:color w:val="auto"/>
                <w:highlight w:val="none"/>
              </w:rPr>
            </w:pPr>
          </w:p>
        </w:tc>
      </w:tr>
      <w:tr w14:paraId="097EE0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4317EB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9D8240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53EAF4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7B9DD1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0640E21">
            <w:pPr>
              <w:ind w:firstLine="480" w:firstLineChars="200"/>
              <w:jc w:val="center"/>
              <w:rPr>
                <w:rFonts w:hint="eastAsia"/>
                <w:color w:val="auto"/>
                <w:highlight w:val="none"/>
              </w:rPr>
            </w:pPr>
          </w:p>
        </w:tc>
      </w:tr>
      <w:tr w14:paraId="6011B2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36B1688">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E4C46BC">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F426047">
            <w:pPr>
              <w:pStyle w:val="24"/>
              <w:ind w:firstLine="480" w:firstLineChars="200"/>
              <w:jc w:val="center"/>
              <w:rPr>
                <w:rFonts w:hint="eastAsia"/>
                <w:color w:val="auto"/>
                <w:szCs w:val="24"/>
                <w:highlight w:val="none"/>
              </w:rPr>
            </w:pPr>
          </w:p>
        </w:tc>
        <w:tc>
          <w:tcPr>
            <w:tcW w:w="1943" w:type="dxa"/>
            <w:tcBorders>
              <w:top w:val="single" w:color="auto" w:sz="4" w:space="0"/>
              <w:left w:val="nil"/>
              <w:bottom w:val="single" w:color="auto" w:sz="4" w:space="0"/>
              <w:right w:val="single" w:color="auto" w:sz="4" w:space="0"/>
            </w:tcBorders>
            <w:vAlign w:val="center"/>
          </w:tcPr>
          <w:p w14:paraId="607476A8">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6EF8F667">
            <w:pPr>
              <w:ind w:firstLine="480" w:firstLineChars="200"/>
              <w:jc w:val="center"/>
              <w:rPr>
                <w:rFonts w:hint="eastAsia"/>
                <w:color w:val="auto"/>
                <w:highlight w:val="none"/>
              </w:rPr>
            </w:pPr>
          </w:p>
        </w:tc>
      </w:tr>
      <w:tr w14:paraId="05CFD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21F6AD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0F663B68">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001BE1A">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DE6C390">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58E9362A">
            <w:pPr>
              <w:ind w:firstLine="480" w:firstLineChars="200"/>
              <w:jc w:val="center"/>
              <w:rPr>
                <w:rFonts w:hint="eastAsia"/>
                <w:color w:val="auto"/>
                <w:highlight w:val="none"/>
              </w:rPr>
            </w:pPr>
          </w:p>
        </w:tc>
      </w:tr>
      <w:tr w14:paraId="4FAAC9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111FE95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04864D0">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445032BD">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53B758D2">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BD75A2A">
            <w:pPr>
              <w:ind w:firstLine="480" w:firstLineChars="200"/>
              <w:jc w:val="center"/>
              <w:rPr>
                <w:rFonts w:hint="eastAsia"/>
                <w:color w:val="auto"/>
                <w:highlight w:val="none"/>
              </w:rPr>
            </w:pPr>
          </w:p>
        </w:tc>
      </w:tr>
      <w:tr w14:paraId="4B13FE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613A2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A4981A4">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10FF239C">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2705BF8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2291B686">
            <w:pPr>
              <w:ind w:firstLine="480" w:firstLineChars="200"/>
              <w:jc w:val="center"/>
              <w:rPr>
                <w:rFonts w:hint="eastAsia"/>
                <w:color w:val="auto"/>
                <w:highlight w:val="none"/>
              </w:rPr>
            </w:pPr>
          </w:p>
        </w:tc>
      </w:tr>
      <w:tr w14:paraId="560E7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591D53EA">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5290C8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2D26C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DA06703">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0D9CDE72">
            <w:pPr>
              <w:ind w:firstLine="480" w:firstLineChars="200"/>
              <w:jc w:val="center"/>
              <w:rPr>
                <w:rFonts w:hint="eastAsia"/>
                <w:color w:val="auto"/>
                <w:highlight w:val="none"/>
              </w:rPr>
            </w:pPr>
          </w:p>
        </w:tc>
      </w:tr>
    </w:tbl>
    <w:p w14:paraId="03A1286B">
      <w:pPr>
        <w:spacing w:line="360" w:lineRule="auto"/>
        <w:ind w:firstLine="480" w:firstLineChars="200"/>
        <w:rPr>
          <w:rFonts w:hint="eastAsia" w:cs="Times New Roman"/>
          <w:color w:val="auto"/>
          <w:kern w:val="2"/>
          <w:highlight w:val="none"/>
        </w:rPr>
      </w:pPr>
      <w:r>
        <w:rPr>
          <w:rFonts w:hint="eastAsia"/>
          <w:color w:val="auto"/>
          <w:highlight w:val="none"/>
        </w:rPr>
        <w:t>注：在填写时，如本表格不适合投标单位的实际情况，可根据本表格式自行划表填写。</w:t>
      </w:r>
    </w:p>
    <w:p w14:paraId="5898355C">
      <w:pPr>
        <w:spacing w:line="360" w:lineRule="auto"/>
        <w:ind w:firstLine="480" w:firstLineChars="200"/>
        <w:rPr>
          <w:rFonts w:hint="eastAsia"/>
          <w:color w:val="auto"/>
          <w:highlight w:val="none"/>
        </w:rPr>
      </w:pPr>
      <w:r>
        <w:rPr>
          <w:rFonts w:hint="eastAsia"/>
          <w:color w:val="auto"/>
          <w:highlight w:val="none"/>
        </w:rPr>
        <w:t>附：相关证书材料（若有）。</w:t>
      </w:r>
    </w:p>
    <w:p w14:paraId="6243F5DE">
      <w:pPr>
        <w:ind w:firstLine="480" w:firstLineChars="200"/>
        <w:jc w:val="center"/>
        <w:rPr>
          <w:rFonts w:hint="eastAsia"/>
          <w:color w:val="auto"/>
          <w:highlight w:val="none"/>
        </w:rPr>
      </w:pPr>
      <w:r>
        <w:rPr>
          <w:rFonts w:hint="eastAsia"/>
          <w:color w:val="auto"/>
          <w:highlight w:val="none"/>
        </w:rPr>
        <w:t xml:space="preserve"> </w:t>
      </w:r>
    </w:p>
    <w:p w14:paraId="643C319E">
      <w:pPr>
        <w:spacing w:line="360" w:lineRule="auto"/>
        <w:ind w:firstLine="480" w:firstLineChars="200"/>
        <w:rPr>
          <w:rFonts w:hint="eastAsia"/>
          <w:color w:val="auto"/>
          <w:highlight w:val="none"/>
        </w:rPr>
      </w:pPr>
    </w:p>
    <w:p w14:paraId="744870C8">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A1BA890">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321E5230">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043C5EA">
      <w:pPr>
        <w:pStyle w:val="17"/>
        <w:rPr>
          <w:rFonts w:hint="eastAsia"/>
          <w:color w:val="auto"/>
          <w:highlight w:val="none"/>
        </w:rPr>
      </w:pPr>
    </w:p>
    <w:p w14:paraId="530C90FA">
      <w:pPr>
        <w:pStyle w:val="17"/>
        <w:rPr>
          <w:rFonts w:hint="eastAsia"/>
          <w:color w:val="auto"/>
          <w:highlight w:val="none"/>
        </w:rPr>
      </w:pPr>
    </w:p>
    <w:sectPr>
      <w:pgSz w:w="11906" w:h="16838"/>
      <w:pgMar w:top="1134" w:right="1134" w:bottom="1134" w:left="1134" w:header="850" w:footer="850" w:gutter="0"/>
      <w:cols w:space="720" w:num="1"/>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金山简黑体">
    <w:altName w:val="Calibri"/>
    <w:panose1 w:val="00000000000000000000"/>
    <w:charset w:val="00"/>
    <w:family w:val="auto"/>
    <w:pitch w:val="default"/>
    <w:sig w:usb0="00000000" w:usb1="00000000" w:usb2="00000000" w:usb3="00000000" w:csb0="00040001" w:csb1="00000000"/>
  </w:font>
  <w:font w:name="Century">
    <w:panose1 w:val="02040604050505020304"/>
    <w:charset w:val="00"/>
    <w:family w:val="roman"/>
    <w:pitch w:val="default"/>
    <w:sig w:usb0="00000287" w:usb1="00000000" w:usb2="00000000" w:usb3="00000000" w:csb0="2000009F" w:csb1="DFD7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ˎ̥">
    <w:altName w:val="Times New Roman"/>
    <w:panose1 w:val="00000000000000000000"/>
    <w:charset w:val="00"/>
    <w:family w:val="roman"/>
    <w:pitch w:val="default"/>
    <w:sig w:usb0="00000000" w:usb1="00000000" w:usb2="00000000" w:usb3="00000000" w:csb0="00040001" w:csb1="00000000"/>
  </w:font>
  <w:font w:name="..ì.">
    <w:altName w:val="宋体"/>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方正楷体简体">
    <w:altName w:val="宋体"/>
    <w:panose1 w:val="00000000000000000000"/>
    <w:charset w:val="86"/>
    <w:family w:val="auto"/>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rutiger Roman">
    <w:altName w:val="Lucida Sans Unicode"/>
    <w:panose1 w:val="00000000000000000000"/>
    <w:charset w:val="00"/>
    <w:family w:val="swiss"/>
    <w:pitch w:val="default"/>
    <w:sig w:usb0="00000000" w:usb1="00000000" w:usb2="00000000" w:usb3="00000000" w:csb0="00000013" w:csb1="00000000"/>
  </w:font>
  <w:font w:name="Lucida Sans Unicode">
    <w:panose1 w:val="020B0602030504020204"/>
    <w:charset w:val="00"/>
    <w:family w:val="auto"/>
    <w:pitch w:val="default"/>
    <w:sig w:usb0="80001AFF" w:usb1="0000396B" w:usb2="00000000" w:usb3="00000000" w:csb0="200000BF" w:csb1="D7F7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2010600010101010101"/>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BG2312">
    <w:altName w:val="仿宋"/>
    <w:panose1 w:val="00000000000000000000"/>
    <w:charset w:val="01"/>
    <w:family w:val="auto"/>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
    <w:altName w:val="Calibri"/>
    <w:panose1 w:val="00000000000000000000"/>
    <w:charset w:val="00"/>
    <w:family w:val="roman"/>
    <w:pitch w:val="default"/>
    <w:sig w:usb0="00000000"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ACA42">
    <w:pPr>
      <w:pStyle w:val="27"/>
      <w:pBdr>
        <w:top w:val="single" w:color="auto" w:sz="4" w:space="0"/>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711200" cy="203200"/>
              <wp:effectExtent l="0" t="0" r="12700" b="6350"/>
              <wp:wrapNone/>
              <wp:docPr id="1032289693" name="文本框 1032289693"/>
              <wp:cNvGraphicFramePr/>
              <a:graphic xmlns:a="http://schemas.openxmlformats.org/drawingml/2006/main">
                <a:graphicData uri="http://schemas.microsoft.com/office/word/2010/wordprocessingShape">
                  <wps:wsp>
                    <wps:cNvSpPr txBox="1"/>
                    <wps:spPr>
                      <a:xfrm>
                        <a:off x="0" y="0"/>
                        <a:ext cx="711200"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939C0">
                          <w:pPr>
                            <w:pStyle w:val="27"/>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25pt;height:16pt;width:56pt;mso-position-horizontal:center;mso-position-horizontal-relative:margin;z-index:251660288;mso-width-relative:page;mso-height-relative:page;" filled="f" stroked="f" coordsize="21600,21600" o:gfxdata="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dWn89MAAAAFAQAADwAAAAAAAAABACAAAAAiAAAAZHJzL2Rvd25yZXYu&#10;eG1sUEsBAhQAFAAAAAgAh07iQAC/Z945AgAAZwQAAA4AAAAAAAAAAQAgAAAAIgEAAGRycy9lMm9E&#10;b2MueG1sUEsFBgAAAAAGAAYAWQEAAM0FAAAAAA==&#10;">
              <v:fill on="f" focussize="0,0"/>
              <v:stroke on="f" weight="0.5pt"/>
              <v:imagedata o:title=""/>
              <o:lock v:ext="edit" aspectratio="f"/>
              <v:textbox inset="0mm,0mm,0mm,0mm">
                <w:txbxContent>
                  <w:p w14:paraId="744939C0">
                    <w:pPr>
                      <w:pStyle w:val="27"/>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联系电话：13187714881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87C5E">
    <w:pPr>
      <w:pStyle w:val="27"/>
      <w:framePr w:wrap="around" w:vAnchor="text" w:hAnchor="margin" w:xAlign="center" w:y="1"/>
      <w:rPr>
        <w:rStyle w:val="46"/>
      </w:rPr>
    </w:pPr>
    <w:r>
      <w:fldChar w:fldCharType="begin"/>
    </w:r>
    <w:r>
      <w:rPr>
        <w:rStyle w:val="46"/>
      </w:rPr>
      <w:instrText xml:space="preserve">PAGE  </w:instrText>
    </w:r>
    <w:r>
      <w:fldChar w:fldCharType="separate"/>
    </w:r>
    <w:r>
      <w:rPr>
        <w:rStyle w:val="46"/>
      </w:rPr>
      <w:t>38</w:t>
    </w:r>
    <w:r>
      <w:fldChar w:fldCharType="end"/>
    </w:r>
  </w:p>
  <w:p w14:paraId="174803B5">
    <w:pPr>
      <w:pStyle w:val="27"/>
      <w:ind w:right="360"/>
      <w:rPr>
        <w:sz w:val="21"/>
      </w:rPr>
    </w:pPr>
    <w: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66675" cy="17272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675" cy="172720"/>
                      </a:xfrm>
                      <a:prstGeom prst="rect">
                        <a:avLst/>
                      </a:prstGeom>
                      <a:noFill/>
                      <a:ln>
                        <a:noFill/>
                      </a:ln>
                    </wps:spPr>
                    <wps:txbx>
                      <w:txbxContent>
                        <w:p w14:paraId="0E9686C1">
                          <w:pPr>
                            <w:pStyle w:val="27"/>
                            <w:rPr>
                              <w:rStyle w:val="46"/>
                              <w:sz w:val="21"/>
                            </w:rPr>
                          </w:pPr>
                          <w:r>
                            <w:rPr>
                              <w:sz w:val="21"/>
                            </w:rPr>
                            <w:fldChar w:fldCharType="begin"/>
                          </w:r>
                          <w:r>
                            <w:rPr>
                              <w:rStyle w:val="46"/>
                              <w:sz w:val="21"/>
                            </w:rPr>
                            <w:instrText xml:space="preserve">Page</w:instrText>
                          </w:r>
                          <w:r>
                            <w:rPr>
                              <w:sz w:val="21"/>
                            </w:rPr>
                            <w:fldChar w:fldCharType="separate"/>
                          </w:r>
                          <w:r>
                            <w:rPr>
                              <w:rStyle w:val="46"/>
                              <w:sz w:val="21"/>
                            </w:rPr>
                            <w:t>38</w:t>
                          </w:r>
                          <w:r>
                            <w:rPr>
                              <w:sz w:val="21"/>
                            </w:rPr>
                            <w:fldChar w:fldCharType="end"/>
                          </w:r>
                        </w:p>
                      </w:txbxContent>
                    </wps:txbx>
                    <wps:bodyPr lIns="0" tIns="0" rIns="0" bIns="0" upright="1"/>
                  </wps:wsp>
                </a:graphicData>
              </a:graphic>
            </wp:anchor>
          </w:drawing>
        </mc:Choice>
        <mc:Fallback>
          <w:pict>
            <v:shape id="Text Box 1" o:spid="_x0000_s1026" o:spt="202" type="#_x0000_t202" style="position:absolute;left:0pt;margin-top:0pt;height:13.6pt;width:5.25pt;mso-position-horizontal:right;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SfsK9MAAAADAQAADwAA&#10;AAAAAAABACAAAAAiAAAAZHJzL2Rvd25yZXYueG1sUEsBAhQAFAAAAAgAh07iQMHpUk6pAQAAbwMA&#10;AA4AAAAAAAAAAQAgAAAAIgEAAGRycy9lMm9Eb2MueG1sUEsFBgAAAAAGAAYAWQEAAD0FAAAAAA==&#10;">
              <v:fill on="f" focussize="0,0"/>
              <v:stroke on="f"/>
              <v:imagedata o:title=""/>
              <o:lock v:ext="edit" aspectratio="f"/>
              <v:textbox inset="0mm,0mm,0mm,0mm">
                <w:txbxContent>
                  <w:p w14:paraId="0E9686C1">
                    <w:pPr>
                      <w:pStyle w:val="27"/>
                      <w:rPr>
                        <w:rStyle w:val="46"/>
                        <w:sz w:val="21"/>
                      </w:rPr>
                    </w:pPr>
                    <w:r>
                      <w:rPr>
                        <w:sz w:val="21"/>
                      </w:rPr>
                      <w:fldChar w:fldCharType="begin"/>
                    </w:r>
                    <w:r>
                      <w:rPr>
                        <w:rStyle w:val="46"/>
                        <w:sz w:val="21"/>
                      </w:rPr>
                      <w:instrText xml:space="preserve">Page</w:instrText>
                    </w:r>
                    <w:r>
                      <w:rPr>
                        <w:sz w:val="21"/>
                      </w:rPr>
                      <w:fldChar w:fldCharType="separate"/>
                    </w:r>
                    <w:r>
                      <w:rPr>
                        <w:rStyle w:val="46"/>
                        <w:sz w:val="21"/>
                      </w:rPr>
                      <w:t>38</w:t>
                    </w:r>
                    <w:r>
                      <w:rPr>
                        <w:sz w:val="21"/>
                      </w:rP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283EF">
    <w:pPr>
      <w:pStyle w:val="27"/>
      <w:pBdr>
        <w:top w:val="single" w:color="auto" w:sz="4" w:space="0"/>
      </w:pBd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542290" cy="244475"/>
              <wp:effectExtent l="0" t="0" r="10795" b="3175"/>
              <wp:wrapNone/>
              <wp:docPr id="2" name="文本框 2"/>
              <wp:cNvGraphicFramePr/>
              <a:graphic xmlns:a="http://schemas.openxmlformats.org/drawingml/2006/main">
                <a:graphicData uri="http://schemas.microsoft.com/office/word/2010/wordprocessingShape">
                  <wps:wsp>
                    <wps:cNvSpPr txBox="1"/>
                    <wps:spPr>
                      <a:xfrm>
                        <a:off x="0" y="0"/>
                        <a:ext cx="542290" cy="244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92F77">
                          <w:pPr>
                            <w:pStyle w:val="27"/>
                            <w:jc w:val="center"/>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_x0000_s1026" o:spid="_x0000_s1026" o:spt="202" type="#_x0000_t202" style="position:absolute;left:0pt;margin-top:-0.25pt;height:19.25pt;width:42.7pt;mso-position-horizontal:center;mso-position-horizontal-relative:margin;z-index:251660288;mso-width-relative:page;mso-height-relative:page;" filled="f" stroked="f" coordsize="21600,21600" o:gfxdata="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EFyD&#10;1AAAAAQBAAAPAAAAAAAAAAEAIAAAACIAAABkcnMvZG93bnJldi54bWxQSwECFAAUAAAACACHTuJA&#10;W2yISiUCAAA7BAAADgAAAAAAAAABACAAAAAjAQAAZHJzL2Uyb0RvYy54bWxQSwUGAAAAAAYABgBZ&#10;AQAAugUAAAAA&#10;">
              <v:fill on="f" focussize="0,0"/>
              <v:stroke on="f" weight="0.5pt"/>
              <v:imagedata o:title=""/>
              <o:lock v:ext="edit" aspectratio="f"/>
              <v:textbox inset="0mm,0mm,0mm,0mm">
                <w:txbxContent>
                  <w:p w14:paraId="38692F77">
                    <w:pPr>
                      <w:pStyle w:val="27"/>
                      <w:jc w:val="center"/>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联系电话：0877-6168806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4EBB7">
    <w:pPr>
      <w:pStyle w:val="28"/>
      <w:pBdr>
        <w:bottom w:val="single" w:color="auto" w:sz="4" w:space="1"/>
      </w:pBdr>
    </w:pPr>
    <w:r>
      <w:rPr>
        <w:rFonts w:hint="eastAsia"/>
        <w:lang w:eastAsia="zh-CN"/>
      </w:rPr>
      <w:t>玉溪职业技术学院（云南省玉溪工业财贸学校）澄江职中提级管理项目（1包）校园监控系统升级改造项目</w:t>
    </w:r>
    <w:r>
      <w:rPr>
        <w:rFonts w:hint="eastAsia"/>
      </w:rPr>
      <w:t xml:space="preserve">  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2B667">
    <w:pPr>
      <w:pStyle w:val="2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7A41">
    <w:pP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2A469"/>
    <w:multiLevelType w:val="singleLevel"/>
    <w:tmpl w:val="AD12A469"/>
    <w:lvl w:ilvl="0" w:tentative="0">
      <w:start w:val="1"/>
      <w:numFmt w:val="chineseCounting"/>
      <w:suff w:val="nothing"/>
      <w:lvlText w:val="%1、"/>
      <w:lvlJc w:val="left"/>
      <w:rPr>
        <w:rFonts w:hint="eastAsia"/>
      </w:rPr>
    </w:lvl>
  </w:abstractNum>
  <w:abstractNum w:abstractNumId="1">
    <w:nsid w:val="00000016"/>
    <w:multiLevelType w:val="multilevel"/>
    <w:tmpl w:val="0000001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114"/>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9C3393"/>
    <w:multiLevelType w:val="multilevel"/>
    <w:tmpl w:val="599C3393"/>
    <w:lvl w:ilvl="0" w:tentative="0">
      <w:start w:val="1"/>
      <w:numFmt w:val="none"/>
      <w:pStyle w:val="19"/>
      <w:suff w:val="nothing"/>
      <w:lvlText w:val=""/>
      <w:lvlJc w:val="left"/>
      <w:pPr>
        <w:tabs>
          <w:tab w:val="left" w:pos="0"/>
        </w:tabs>
        <w:ind w:left="0" w:firstLine="402"/>
      </w:pPr>
      <w:rPr>
        <w:rFonts w:hint="eastAsia" w:ascii="宋体" w:hAnsi="宋体" w:eastAsia="宋体" w:cs="宋体"/>
      </w:rPr>
    </w:lvl>
    <w:lvl w:ilvl="1" w:tentative="0">
      <w:start w:val="1"/>
      <w:numFmt w:val="chineseCounting"/>
      <w:suff w:val="nothing"/>
      <w:lvlText w:val="第%2章  "/>
      <w:lvlJc w:val="left"/>
      <w:pPr>
        <w:ind w:left="0" w:firstLine="402"/>
      </w:pPr>
      <w:rPr>
        <w:rFonts w:hint="eastAsia" w:ascii="宋体" w:hAnsi="宋体" w:eastAsia="宋体" w:cs="宋体"/>
      </w:rPr>
    </w:lvl>
    <w:lvl w:ilvl="2" w:tentative="0">
      <w:start w:val="1"/>
      <w:numFmt w:val="chineseCounting"/>
      <w:suff w:val="nothing"/>
      <w:lvlText w:val="第%3节、"/>
      <w:lvlJc w:val="left"/>
      <w:pPr>
        <w:ind w:left="0" w:firstLine="402"/>
      </w:pPr>
      <w:rPr>
        <w:rFonts w:hint="eastAsia" w:ascii="宋体" w:hAnsi="宋体" w:eastAsia="宋体" w:cs="宋体"/>
      </w:rPr>
    </w:lvl>
    <w:lvl w:ilvl="3" w:tentative="0">
      <w:start w:val="1"/>
      <w:numFmt w:val="chineseCounting"/>
      <w:suff w:val="nothing"/>
      <w:lvlText w:val="（%4）"/>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decimalEnclosedCircleChinese"/>
      <w:suff w:val="nothing"/>
      <w:lvlText w:val="%7"/>
      <w:lvlJc w:val="left"/>
      <w:pPr>
        <w:ind w:left="0" w:firstLine="402"/>
      </w:pPr>
      <w:rPr>
        <w:rFonts w:hint="eastAsia" w:ascii="宋体" w:hAnsi="宋体" w:eastAsia="宋体" w:cs="宋体"/>
      </w:rPr>
    </w:lvl>
    <w:lvl w:ilvl="7" w:tentative="0">
      <w:start w:val="1"/>
      <w:numFmt w:val="upperLetter"/>
      <w:suff w:val="nothing"/>
      <w:lvlText w:val="%8"/>
      <w:lvlJc w:val="left"/>
      <w:pPr>
        <w:ind w:left="0" w:firstLine="402"/>
      </w:pPr>
      <w:rPr>
        <w:rFonts w:hint="eastAsia" w:ascii="宋体" w:hAnsi="宋体" w:eastAsia="宋体" w:cs="宋体"/>
      </w:rPr>
    </w:lvl>
    <w:lvl w:ilvl="8" w:tentative="0">
      <w:start w:val="1"/>
      <w:numFmt w:val="lowerLetter"/>
      <w:suff w:val="nothing"/>
      <w:lvlText w:val="%9. "/>
      <w:lvlJc w:val="left"/>
      <w:pPr>
        <w:ind w:left="0" w:firstLine="402"/>
      </w:pPr>
      <w:rPr>
        <w:rFonts w:hint="eastAsia" w:ascii="宋体" w:hAnsi="宋体" w:eastAsia="宋体" w:cs="宋体"/>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bordersDoNotSurroundHeader w:val="0"/>
  <w:bordersDoNotSurroundFooter w:val="0"/>
  <w:doNotTrackMoves/>
  <w:documentProtection w:edit="readOnly" w:formatting="1" w:enforcement="0"/>
  <w:defaultTabStop w:val="0"/>
  <w:doNotHyphenateCaps/>
  <w:drawingGridHorizontalSpacing w:val="120"/>
  <w:drawingGridVerticalSpacing w:val="331"/>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0YjRiMjliYzgyOTFkMWEyY2JjZmRmODhkYzljMjgifQ=="/>
    <w:docVar w:name="KSO_WPS_MARK_KEY" w:val="b0b95529-da31-40f1-80eb-8e2bcaa7316e"/>
  </w:docVars>
  <w:rsids>
    <w:rsidRoot w:val="00172A27"/>
    <w:rsid w:val="000012DA"/>
    <w:rsid w:val="000013EE"/>
    <w:rsid w:val="0000242D"/>
    <w:rsid w:val="00005CD7"/>
    <w:rsid w:val="0000600D"/>
    <w:rsid w:val="00007DBA"/>
    <w:rsid w:val="0001041E"/>
    <w:rsid w:val="0001073D"/>
    <w:rsid w:val="00010865"/>
    <w:rsid w:val="00010AAB"/>
    <w:rsid w:val="00011BF7"/>
    <w:rsid w:val="00012246"/>
    <w:rsid w:val="00013C78"/>
    <w:rsid w:val="00014F71"/>
    <w:rsid w:val="00015D44"/>
    <w:rsid w:val="00016C12"/>
    <w:rsid w:val="000204E6"/>
    <w:rsid w:val="000221E8"/>
    <w:rsid w:val="00023725"/>
    <w:rsid w:val="00023925"/>
    <w:rsid w:val="00023EF4"/>
    <w:rsid w:val="000243A5"/>
    <w:rsid w:val="000243CD"/>
    <w:rsid w:val="000245AE"/>
    <w:rsid w:val="00024F91"/>
    <w:rsid w:val="00025DDF"/>
    <w:rsid w:val="00025FFD"/>
    <w:rsid w:val="0002690E"/>
    <w:rsid w:val="00026A47"/>
    <w:rsid w:val="00030830"/>
    <w:rsid w:val="00030A4D"/>
    <w:rsid w:val="000318B9"/>
    <w:rsid w:val="00031945"/>
    <w:rsid w:val="00031BF1"/>
    <w:rsid w:val="0003287E"/>
    <w:rsid w:val="00032D83"/>
    <w:rsid w:val="000330AF"/>
    <w:rsid w:val="000332DA"/>
    <w:rsid w:val="00033740"/>
    <w:rsid w:val="0003395C"/>
    <w:rsid w:val="00034954"/>
    <w:rsid w:val="00035859"/>
    <w:rsid w:val="00036F66"/>
    <w:rsid w:val="0003756C"/>
    <w:rsid w:val="000379DC"/>
    <w:rsid w:val="00040826"/>
    <w:rsid w:val="00041336"/>
    <w:rsid w:val="00042BF7"/>
    <w:rsid w:val="00042CD4"/>
    <w:rsid w:val="00042CEE"/>
    <w:rsid w:val="000431C3"/>
    <w:rsid w:val="000433A1"/>
    <w:rsid w:val="0004349B"/>
    <w:rsid w:val="00043C83"/>
    <w:rsid w:val="00044587"/>
    <w:rsid w:val="00044D2D"/>
    <w:rsid w:val="00046053"/>
    <w:rsid w:val="00046490"/>
    <w:rsid w:val="000466C2"/>
    <w:rsid w:val="000473FF"/>
    <w:rsid w:val="000477CD"/>
    <w:rsid w:val="00047B7B"/>
    <w:rsid w:val="00047EF9"/>
    <w:rsid w:val="00050153"/>
    <w:rsid w:val="000505BF"/>
    <w:rsid w:val="00050AB3"/>
    <w:rsid w:val="00051A37"/>
    <w:rsid w:val="00051A7C"/>
    <w:rsid w:val="00052C97"/>
    <w:rsid w:val="00052E54"/>
    <w:rsid w:val="00052EF6"/>
    <w:rsid w:val="000533CD"/>
    <w:rsid w:val="000537A0"/>
    <w:rsid w:val="00054225"/>
    <w:rsid w:val="0005466D"/>
    <w:rsid w:val="00054898"/>
    <w:rsid w:val="00055CE9"/>
    <w:rsid w:val="0005666D"/>
    <w:rsid w:val="000573A1"/>
    <w:rsid w:val="000576D6"/>
    <w:rsid w:val="0005787B"/>
    <w:rsid w:val="00057F09"/>
    <w:rsid w:val="00060184"/>
    <w:rsid w:val="00061FA3"/>
    <w:rsid w:val="000627D7"/>
    <w:rsid w:val="00062D92"/>
    <w:rsid w:val="00065A17"/>
    <w:rsid w:val="00065B2D"/>
    <w:rsid w:val="00065B90"/>
    <w:rsid w:val="00065DFA"/>
    <w:rsid w:val="0006769B"/>
    <w:rsid w:val="00070051"/>
    <w:rsid w:val="00070E44"/>
    <w:rsid w:val="00070F01"/>
    <w:rsid w:val="00071908"/>
    <w:rsid w:val="00071CEF"/>
    <w:rsid w:val="00073112"/>
    <w:rsid w:val="00076E2E"/>
    <w:rsid w:val="000771E0"/>
    <w:rsid w:val="00077206"/>
    <w:rsid w:val="00077256"/>
    <w:rsid w:val="0007792E"/>
    <w:rsid w:val="00077C43"/>
    <w:rsid w:val="00080656"/>
    <w:rsid w:val="00080C71"/>
    <w:rsid w:val="00081A09"/>
    <w:rsid w:val="000821B3"/>
    <w:rsid w:val="00082245"/>
    <w:rsid w:val="0008246A"/>
    <w:rsid w:val="000834C2"/>
    <w:rsid w:val="0008373F"/>
    <w:rsid w:val="0008404A"/>
    <w:rsid w:val="0008417D"/>
    <w:rsid w:val="00084579"/>
    <w:rsid w:val="00084987"/>
    <w:rsid w:val="00084CED"/>
    <w:rsid w:val="00086149"/>
    <w:rsid w:val="00086C3F"/>
    <w:rsid w:val="000875C5"/>
    <w:rsid w:val="0009017C"/>
    <w:rsid w:val="000909C5"/>
    <w:rsid w:val="000916B0"/>
    <w:rsid w:val="00091BB9"/>
    <w:rsid w:val="00092ABD"/>
    <w:rsid w:val="00092F18"/>
    <w:rsid w:val="0009312D"/>
    <w:rsid w:val="000934FC"/>
    <w:rsid w:val="0009689B"/>
    <w:rsid w:val="000A0703"/>
    <w:rsid w:val="000A29C9"/>
    <w:rsid w:val="000A2A32"/>
    <w:rsid w:val="000A2A84"/>
    <w:rsid w:val="000A47D5"/>
    <w:rsid w:val="000A4A07"/>
    <w:rsid w:val="000A585A"/>
    <w:rsid w:val="000A725D"/>
    <w:rsid w:val="000A76F7"/>
    <w:rsid w:val="000A7BDF"/>
    <w:rsid w:val="000B064D"/>
    <w:rsid w:val="000B15C4"/>
    <w:rsid w:val="000B39B8"/>
    <w:rsid w:val="000B42B9"/>
    <w:rsid w:val="000B4DA9"/>
    <w:rsid w:val="000B504E"/>
    <w:rsid w:val="000B5B8D"/>
    <w:rsid w:val="000C072E"/>
    <w:rsid w:val="000C0D6B"/>
    <w:rsid w:val="000C1843"/>
    <w:rsid w:val="000C2CD5"/>
    <w:rsid w:val="000C2E71"/>
    <w:rsid w:val="000C2F04"/>
    <w:rsid w:val="000C36FE"/>
    <w:rsid w:val="000C379C"/>
    <w:rsid w:val="000C458E"/>
    <w:rsid w:val="000C55EA"/>
    <w:rsid w:val="000D144A"/>
    <w:rsid w:val="000D23B8"/>
    <w:rsid w:val="000D2A11"/>
    <w:rsid w:val="000D2F36"/>
    <w:rsid w:val="000D3693"/>
    <w:rsid w:val="000D38A9"/>
    <w:rsid w:val="000D3A58"/>
    <w:rsid w:val="000D4909"/>
    <w:rsid w:val="000D4BC8"/>
    <w:rsid w:val="000D7557"/>
    <w:rsid w:val="000D77F4"/>
    <w:rsid w:val="000E0D6E"/>
    <w:rsid w:val="000E28F5"/>
    <w:rsid w:val="000E363B"/>
    <w:rsid w:val="000E3705"/>
    <w:rsid w:val="000E3924"/>
    <w:rsid w:val="000E4236"/>
    <w:rsid w:val="000E493B"/>
    <w:rsid w:val="000E53D5"/>
    <w:rsid w:val="000E5679"/>
    <w:rsid w:val="000E6009"/>
    <w:rsid w:val="000E6E96"/>
    <w:rsid w:val="000E6F88"/>
    <w:rsid w:val="000F0311"/>
    <w:rsid w:val="000F0382"/>
    <w:rsid w:val="000F19BF"/>
    <w:rsid w:val="000F1F99"/>
    <w:rsid w:val="000F2981"/>
    <w:rsid w:val="000F4002"/>
    <w:rsid w:val="000F495E"/>
    <w:rsid w:val="000F53C0"/>
    <w:rsid w:val="000F61A4"/>
    <w:rsid w:val="000F640B"/>
    <w:rsid w:val="000F663A"/>
    <w:rsid w:val="000F67E8"/>
    <w:rsid w:val="000F6A76"/>
    <w:rsid w:val="000F6E0A"/>
    <w:rsid w:val="000F6FD4"/>
    <w:rsid w:val="0010148C"/>
    <w:rsid w:val="00103121"/>
    <w:rsid w:val="00103E4B"/>
    <w:rsid w:val="00106FF1"/>
    <w:rsid w:val="001071DB"/>
    <w:rsid w:val="00107C07"/>
    <w:rsid w:val="00110741"/>
    <w:rsid w:val="00110BAA"/>
    <w:rsid w:val="001118E3"/>
    <w:rsid w:val="00111CD3"/>
    <w:rsid w:val="001128BB"/>
    <w:rsid w:val="0011292F"/>
    <w:rsid w:val="00114444"/>
    <w:rsid w:val="00115171"/>
    <w:rsid w:val="001153DF"/>
    <w:rsid w:val="00115F8B"/>
    <w:rsid w:val="00117321"/>
    <w:rsid w:val="00121362"/>
    <w:rsid w:val="00121905"/>
    <w:rsid w:val="001231BD"/>
    <w:rsid w:val="001233BD"/>
    <w:rsid w:val="00123DFF"/>
    <w:rsid w:val="00124458"/>
    <w:rsid w:val="00124533"/>
    <w:rsid w:val="0012580C"/>
    <w:rsid w:val="00125AB9"/>
    <w:rsid w:val="0012606C"/>
    <w:rsid w:val="00126866"/>
    <w:rsid w:val="001272A0"/>
    <w:rsid w:val="00127655"/>
    <w:rsid w:val="001277F2"/>
    <w:rsid w:val="00130120"/>
    <w:rsid w:val="00131708"/>
    <w:rsid w:val="00131782"/>
    <w:rsid w:val="001329DF"/>
    <w:rsid w:val="00132A99"/>
    <w:rsid w:val="00132FF6"/>
    <w:rsid w:val="0013343E"/>
    <w:rsid w:val="001339ED"/>
    <w:rsid w:val="00133CF3"/>
    <w:rsid w:val="00136B00"/>
    <w:rsid w:val="00137ACF"/>
    <w:rsid w:val="00141105"/>
    <w:rsid w:val="00142633"/>
    <w:rsid w:val="00142BC6"/>
    <w:rsid w:val="0014384D"/>
    <w:rsid w:val="00144372"/>
    <w:rsid w:val="00144752"/>
    <w:rsid w:val="00145018"/>
    <w:rsid w:val="00145557"/>
    <w:rsid w:val="00145DD9"/>
    <w:rsid w:val="0014686B"/>
    <w:rsid w:val="001470FE"/>
    <w:rsid w:val="00150804"/>
    <w:rsid w:val="001516A1"/>
    <w:rsid w:val="00151E4C"/>
    <w:rsid w:val="00152192"/>
    <w:rsid w:val="00152787"/>
    <w:rsid w:val="00152D64"/>
    <w:rsid w:val="00153088"/>
    <w:rsid w:val="00153F8D"/>
    <w:rsid w:val="00155278"/>
    <w:rsid w:val="00155374"/>
    <w:rsid w:val="00155A5D"/>
    <w:rsid w:val="0015622D"/>
    <w:rsid w:val="0015649A"/>
    <w:rsid w:val="00156505"/>
    <w:rsid w:val="001565BF"/>
    <w:rsid w:val="00157169"/>
    <w:rsid w:val="001602E5"/>
    <w:rsid w:val="00160596"/>
    <w:rsid w:val="001608F5"/>
    <w:rsid w:val="00160FC6"/>
    <w:rsid w:val="00161FA3"/>
    <w:rsid w:val="00163C1A"/>
    <w:rsid w:val="001643BB"/>
    <w:rsid w:val="001661C5"/>
    <w:rsid w:val="001662F1"/>
    <w:rsid w:val="00166B74"/>
    <w:rsid w:val="001676D3"/>
    <w:rsid w:val="0016777E"/>
    <w:rsid w:val="00170677"/>
    <w:rsid w:val="0017104C"/>
    <w:rsid w:val="001710EC"/>
    <w:rsid w:val="001713E8"/>
    <w:rsid w:val="00171B88"/>
    <w:rsid w:val="00172126"/>
    <w:rsid w:val="00172A27"/>
    <w:rsid w:val="00174046"/>
    <w:rsid w:val="0017473A"/>
    <w:rsid w:val="00174A68"/>
    <w:rsid w:val="00174CF6"/>
    <w:rsid w:val="001756D5"/>
    <w:rsid w:val="00175E5A"/>
    <w:rsid w:val="0017626B"/>
    <w:rsid w:val="00180482"/>
    <w:rsid w:val="001806DA"/>
    <w:rsid w:val="001828BB"/>
    <w:rsid w:val="00182EC9"/>
    <w:rsid w:val="0018490F"/>
    <w:rsid w:val="00190031"/>
    <w:rsid w:val="0019122E"/>
    <w:rsid w:val="0019144C"/>
    <w:rsid w:val="0019342D"/>
    <w:rsid w:val="0019455F"/>
    <w:rsid w:val="00195354"/>
    <w:rsid w:val="001957F3"/>
    <w:rsid w:val="00195EB5"/>
    <w:rsid w:val="001966AA"/>
    <w:rsid w:val="00196BFA"/>
    <w:rsid w:val="001A2005"/>
    <w:rsid w:val="001A24FF"/>
    <w:rsid w:val="001A312A"/>
    <w:rsid w:val="001A4D2D"/>
    <w:rsid w:val="001A60CF"/>
    <w:rsid w:val="001A6188"/>
    <w:rsid w:val="001A6340"/>
    <w:rsid w:val="001A6935"/>
    <w:rsid w:val="001B12A3"/>
    <w:rsid w:val="001B16FA"/>
    <w:rsid w:val="001B1785"/>
    <w:rsid w:val="001B17EC"/>
    <w:rsid w:val="001B22EB"/>
    <w:rsid w:val="001B47A6"/>
    <w:rsid w:val="001B4FBE"/>
    <w:rsid w:val="001B658C"/>
    <w:rsid w:val="001B679C"/>
    <w:rsid w:val="001B6860"/>
    <w:rsid w:val="001B6D8A"/>
    <w:rsid w:val="001B6DE5"/>
    <w:rsid w:val="001B7472"/>
    <w:rsid w:val="001C01CC"/>
    <w:rsid w:val="001C0451"/>
    <w:rsid w:val="001C15E5"/>
    <w:rsid w:val="001C2821"/>
    <w:rsid w:val="001C3994"/>
    <w:rsid w:val="001C4F30"/>
    <w:rsid w:val="001C6E56"/>
    <w:rsid w:val="001C7901"/>
    <w:rsid w:val="001C7A92"/>
    <w:rsid w:val="001D05FD"/>
    <w:rsid w:val="001D2850"/>
    <w:rsid w:val="001D40D9"/>
    <w:rsid w:val="001D41B3"/>
    <w:rsid w:val="001D41FC"/>
    <w:rsid w:val="001D5EE4"/>
    <w:rsid w:val="001D6CD2"/>
    <w:rsid w:val="001D7F4A"/>
    <w:rsid w:val="001E1215"/>
    <w:rsid w:val="001E15A3"/>
    <w:rsid w:val="001E2097"/>
    <w:rsid w:val="001E2F25"/>
    <w:rsid w:val="001E3730"/>
    <w:rsid w:val="001E3971"/>
    <w:rsid w:val="001E400C"/>
    <w:rsid w:val="001E42A3"/>
    <w:rsid w:val="001E4CB7"/>
    <w:rsid w:val="001E5CB6"/>
    <w:rsid w:val="001E6152"/>
    <w:rsid w:val="001E6B49"/>
    <w:rsid w:val="001E72D7"/>
    <w:rsid w:val="001E73E5"/>
    <w:rsid w:val="001F0496"/>
    <w:rsid w:val="001F25F8"/>
    <w:rsid w:val="001F5E91"/>
    <w:rsid w:val="001F7036"/>
    <w:rsid w:val="001F704B"/>
    <w:rsid w:val="001F7441"/>
    <w:rsid w:val="001F7F5C"/>
    <w:rsid w:val="001F7FF6"/>
    <w:rsid w:val="002001DF"/>
    <w:rsid w:val="00200D28"/>
    <w:rsid w:val="002013E4"/>
    <w:rsid w:val="00201A10"/>
    <w:rsid w:val="00201AF2"/>
    <w:rsid w:val="00202236"/>
    <w:rsid w:val="00202AC4"/>
    <w:rsid w:val="00202CE5"/>
    <w:rsid w:val="00204462"/>
    <w:rsid w:val="00205499"/>
    <w:rsid w:val="00205858"/>
    <w:rsid w:val="002063F6"/>
    <w:rsid w:val="002064DE"/>
    <w:rsid w:val="00206A4D"/>
    <w:rsid w:val="00207B78"/>
    <w:rsid w:val="00207C22"/>
    <w:rsid w:val="002105B8"/>
    <w:rsid w:val="0021067A"/>
    <w:rsid w:val="00210BB2"/>
    <w:rsid w:val="00210BF3"/>
    <w:rsid w:val="00211AD8"/>
    <w:rsid w:val="00211D56"/>
    <w:rsid w:val="0021205D"/>
    <w:rsid w:val="0021319B"/>
    <w:rsid w:val="00213637"/>
    <w:rsid w:val="00213C9D"/>
    <w:rsid w:val="002149A6"/>
    <w:rsid w:val="00214A53"/>
    <w:rsid w:val="002150EE"/>
    <w:rsid w:val="002155DD"/>
    <w:rsid w:val="002156CB"/>
    <w:rsid w:val="00215FBF"/>
    <w:rsid w:val="00217216"/>
    <w:rsid w:val="002207AB"/>
    <w:rsid w:val="00221B81"/>
    <w:rsid w:val="00222EAA"/>
    <w:rsid w:val="00223BFB"/>
    <w:rsid w:val="002249B7"/>
    <w:rsid w:val="00224CA8"/>
    <w:rsid w:val="002252C6"/>
    <w:rsid w:val="0022589D"/>
    <w:rsid w:val="002260BC"/>
    <w:rsid w:val="002265EF"/>
    <w:rsid w:val="0022749F"/>
    <w:rsid w:val="002315AA"/>
    <w:rsid w:val="0023210B"/>
    <w:rsid w:val="002336BF"/>
    <w:rsid w:val="002343E2"/>
    <w:rsid w:val="00234B26"/>
    <w:rsid w:val="00236B26"/>
    <w:rsid w:val="00236E67"/>
    <w:rsid w:val="00237999"/>
    <w:rsid w:val="00237E14"/>
    <w:rsid w:val="00240815"/>
    <w:rsid w:val="0024147F"/>
    <w:rsid w:val="00241526"/>
    <w:rsid w:val="00241A74"/>
    <w:rsid w:val="00242556"/>
    <w:rsid w:val="00242B3F"/>
    <w:rsid w:val="00244D22"/>
    <w:rsid w:val="00245A03"/>
    <w:rsid w:val="002465AA"/>
    <w:rsid w:val="002479A2"/>
    <w:rsid w:val="002512C9"/>
    <w:rsid w:val="00252340"/>
    <w:rsid w:val="00252667"/>
    <w:rsid w:val="002534BA"/>
    <w:rsid w:val="00254106"/>
    <w:rsid w:val="00255C92"/>
    <w:rsid w:val="00256D51"/>
    <w:rsid w:val="002578F0"/>
    <w:rsid w:val="0025790F"/>
    <w:rsid w:val="00257CCC"/>
    <w:rsid w:val="00257E84"/>
    <w:rsid w:val="00260727"/>
    <w:rsid w:val="0026172D"/>
    <w:rsid w:val="00261973"/>
    <w:rsid w:val="00261F3E"/>
    <w:rsid w:val="002624F7"/>
    <w:rsid w:val="00263885"/>
    <w:rsid w:val="00264105"/>
    <w:rsid w:val="00264C23"/>
    <w:rsid w:val="00264F13"/>
    <w:rsid w:val="00266341"/>
    <w:rsid w:val="002666F4"/>
    <w:rsid w:val="00266DE7"/>
    <w:rsid w:val="00266E73"/>
    <w:rsid w:val="00270B7D"/>
    <w:rsid w:val="00270CEE"/>
    <w:rsid w:val="00273505"/>
    <w:rsid w:val="00273900"/>
    <w:rsid w:val="00273C20"/>
    <w:rsid w:val="00273EBE"/>
    <w:rsid w:val="0027469B"/>
    <w:rsid w:val="00274CFA"/>
    <w:rsid w:val="00275764"/>
    <w:rsid w:val="0027749D"/>
    <w:rsid w:val="002778FF"/>
    <w:rsid w:val="00280035"/>
    <w:rsid w:val="002803E0"/>
    <w:rsid w:val="00280CFA"/>
    <w:rsid w:val="002820DB"/>
    <w:rsid w:val="00282E41"/>
    <w:rsid w:val="002834BC"/>
    <w:rsid w:val="00286923"/>
    <w:rsid w:val="00290076"/>
    <w:rsid w:val="002904D2"/>
    <w:rsid w:val="002910F1"/>
    <w:rsid w:val="00291C1F"/>
    <w:rsid w:val="00291F59"/>
    <w:rsid w:val="00295C9B"/>
    <w:rsid w:val="00296F27"/>
    <w:rsid w:val="0029715E"/>
    <w:rsid w:val="002A0555"/>
    <w:rsid w:val="002A093A"/>
    <w:rsid w:val="002A15C7"/>
    <w:rsid w:val="002A323F"/>
    <w:rsid w:val="002A34B1"/>
    <w:rsid w:val="002A383D"/>
    <w:rsid w:val="002A3BD4"/>
    <w:rsid w:val="002A4F63"/>
    <w:rsid w:val="002A5436"/>
    <w:rsid w:val="002A5BA8"/>
    <w:rsid w:val="002A5DF1"/>
    <w:rsid w:val="002A6555"/>
    <w:rsid w:val="002A6751"/>
    <w:rsid w:val="002A7449"/>
    <w:rsid w:val="002A7B94"/>
    <w:rsid w:val="002A7D3D"/>
    <w:rsid w:val="002B0779"/>
    <w:rsid w:val="002B0F91"/>
    <w:rsid w:val="002B186A"/>
    <w:rsid w:val="002B4474"/>
    <w:rsid w:val="002B4A7E"/>
    <w:rsid w:val="002B5C26"/>
    <w:rsid w:val="002B5C42"/>
    <w:rsid w:val="002B6315"/>
    <w:rsid w:val="002B695E"/>
    <w:rsid w:val="002B6EAE"/>
    <w:rsid w:val="002B7DA7"/>
    <w:rsid w:val="002C04A3"/>
    <w:rsid w:val="002C1791"/>
    <w:rsid w:val="002C2840"/>
    <w:rsid w:val="002C2EF0"/>
    <w:rsid w:val="002C3092"/>
    <w:rsid w:val="002C35E4"/>
    <w:rsid w:val="002C61ED"/>
    <w:rsid w:val="002C788B"/>
    <w:rsid w:val="002D0A33"/>
    <w:rsid w:val="002D2803"/>
    <w:rsid w:val="002D313B"/>
    <w:rsid w:val="002D31BF"/>
    <w:rsid w:val="002D34DF"/>
    <w:rsid w:val="002D394D"/>
    <w:rsid w:val="002D4212"/>
    <w:rsid w:val="002D4621"/>
    <w:rsid w:val="002D4788"/>
    <w:rsid w:val="002D5F28"/>
    <w:rsid w:val="002D6238"/>
    <w:rsid w:val="002D6D82"/>
    <w:rsid w:val="002D6E6C"/>
    <w:rsid w:val="002D718E"/>
    <w:rsid w:val="002E00FC"/>
    <w:rsid w:val="002E0220"/>
    <w:rsid w:val="002E0689"/>
    <w:rsid w:val="002E0EB5"/>
    <w:rsid w:val="002E0FF9"/>
    <w:rsid w:val="002E1A55"/>
    <w:rsid w:val="002E219B"/>
    <w:rsid w:val="002E2F27"/>
    <w:rsid w:val="002E3D4B"/>
    <w:rsid w:val="002E3F10"/>
    <w:rsid w:val="002E4248"/>
    <w:rsid w:val="002E475E"/>
    <w:rsid w:val="002E539F"/>
    <w:rsid w:val="002E57D3"/>
    <w:rsid w:val="002E5E74"/>
    <w:rsid w:val="002E6405"/>
    <w:rsid w:val="002E776F"/>
    <w:rsid w:val="002F0E1E"/>
    <w:rsid w:val="002F2695"/>
    <w:rsid w:val="002F3018"/>
    <w:rsid w:val="002F332D"/>
    <w:rsid w:val="002F5443"/>
    <w:rsid w:val="002F674A"/>
    <w:rsid w:val="002F73C1"/>
    <w:rsid w:val="00301CB1"/>
    <w:rsid w:val="00301D57"/>
    <w:rsid w:val="003035FA"/>
    <w:rsid w:val="00304070"/>
    <w:rsid w:val="00304937"/>
    <w:rsid w:val="00304FC8"/>
    <w:rsid w:val="003055FD"/>
    <w:rsid w:val="00305A69"/>
    <w:rsid w:val="0030648E"/>
    <w:rsid w:val="00306C0C"/>
    <w:rsid w:val="0030769D"/>
    <w:rsid w:val="00310103"/>
    <w:rsid w:val="00310886"/>
    <w:rsid w:val="0031155B"/>
    <w:rsid w:val="003128CB"/>
    <w:rsid w:val="00314556"/>
    <w:rsid w:val="0031645C"/>
    <w:rsid w:val="003165FE"/>
    <w:rsid w:val="00316CB5"/>
    <w:rsid w:val="00316D58"/>
    <w:rsid w:val="00320E0D"/>
    <w:rsid w:val="003211BE"/>
    <w:rsid w:val="00321C69"/>
    <w:rsid w:val="00321F8B"/>
    <w:rsid w:val="00322948"/>
    <w:rsid w:val="0032363A"/>
    <w:rsid w:val="0032402B"/>
    <w:rsid w:val="003260B9"/>
    <w:rsid w:val="00326457"/>
    <w:rsid w:val="00327EFE"/>
    <w:rsid w:val="00333278"/>
    <w:rsid w:val="00334273"/>
    <w:rsid w:val="003346B3"/>
    <w:rsid w:val="00335ECE"/>
    <w:rsid w:val="003374B7"/>
    <w:rsid w:val="003405C8"/>
    <w:rsid w:val="00340BC4"/>
    <w:rsid w:val="00340FC7"/>
    <w:rsid w:val="003411CB"/>
    <w:rsid w:val="0034158C"/>
    <w:rsid w:val="00341C48"/>
    <w:rsid w:val="00342162"/>
    <w:rsid w:val="00342E7F"/>
    <w:rsid w:val="0034344A"/>
    <w:rsid w:val="00343C36"/>
    <w:rsid w:val="003456A9"/>
    <w:rsid w:val="00345B80"/>
    <w:rsid w:val="00346DFE"/>
    <w:rsid w:val="00350B14"/>
    <w:rsid w:val="003515E1"/>
    <w:rsid w:val="003534AE"/>
    <w:rsid w:val="00354011"/>
    <w:rsid w:val="00355125"/>
    <w:rsid w:val="003564DC"/>
    <w:rsid w:val="0035703C"/>
    <w:rsid w:val="00357452"/>
    <w:rsid w:val="00360174"/>
    <w:rsid w:val="00361441"/>
    <w:rsid w:val="00361AAE"/>
    <w:rsid w:val="00361C81"/>
    <w:rsid w:val="00361FE9"/>
    <w:rsid w:val="0036264A"/>
    <w:rsid w:val="00363917"/>
    <w:rsid w:val="0036543E"/>
    <w:rsid w:val="00365DA9"/>
    <w:rsid w:val="003665AC"/>
    <w:rsid w:val="0036686B"/>
    <w:rsid w:val="00371482"/>
    <w:rsid w:val="00371FD7"/>
    <w:rsid w:val="00372082"/>
    <w:rsid w:val="003726EA"/>
    <w:rsid w:val="00372D6F"/>
    <w:rsid w:val="003730B6"/>
    <w:rsid w:val="00373FD4"/>
    <w:rsid w:val="003749D7"/>
    <w:rsid w:val="0037506D"/>
    <w:rsid w:val="0037520A"/>
    <w:rsid w:val="003753CF"/>
    <w:rsid w:val="0037747B"/>
    <w:rsid w:val="00380017"/>
    <w:rsid w:val="0038019E"/>
    <w:rsid w:val="00382469"/>
    <w:rsid w:val="00382D9E"/>
    <w:rsid w:val="0038307F"/>
    <w:rsid w:val="003832AA"/>
    <w:rsid w:val="00383671"/>
    <w:rsid w:val="003837BA"/>
    <w:rsid w:val="003837D6"/>
    <w:rsid w:val="00384AEC"/>
    <w:rsid w:val="00385ADD"/>
    <w:rsid w:val="00385E4D"/>
    <w:rsid w:val="00386906"/>
    <w:rsid w:val="0039145A"/>
    <w:rsid w:val="00391778"/>
    <w:rsid w:val="00392EC6"/>
    <w:rsid w:val="00393AA7"/>
    <w:rsid w:val="00393ACD"/>
    <w:rsid w:val="00393D8C"/>
    <w:rsid w:val="003942BE"/>
    <w:rsid w:val="00396533"/>
    <w:rsid w:val="00397367"/>
    <w:rsid w:val="003979E1"/>
    <w:rsid w:val="003A033B"/>
    <w:rsid w:val="003A0591"/>
    <w:rsid w:val="003A143B"/>
    <w:rsid w:val="003A1F67"/>
    <w:rsid w:val="003A255E"/>
    <w:rsid w:val="003A30E3"/>
    <w:rsid w:val="003A3548"/>
    <w:rsid w:val="003A4271"/>
    <w:rsid w:val="003A4AA2"/>
    <w:rsid w:val="003A5500"/>
    <w:rsid w:val="003A5515"/>
    <w:rsid w:val="003A5521"/>
    <w:rsid w:val="003A5AFA"/>
    <w:rsid w:val="003A632E"/>
    <w:rsid w:val="003A6A87"/>
    <w:rsid w:val="003A7633"/>
    <w:rsid w:val="003B06DD"/>
    <w:rsid w:val="003B0A26"/>
    <w:rsid w:val="003B0ED9"/>
    <w:rsid w:val="003B1248"/>
    <w:rsid w:val="003B31CA"/>
    <w:rsid w:val="003B34BE"/>
    <w:rsid w:val="003B370E"/>
    <w:rsid w:val="003B38E7"/>
    <w:rsid w:val="003B3A69"/>
    <w:rsid w:val="003B3D8E"/>
    <w:rsid w:val="003B48E1"/>
    <w:rsid w:val="003B48F3"/>
    <w:rsid w:val="003B52D2"/>
    <w:rsid w:val="003B5EDA"/>
    <w:rsid w:val="003B60AD"/>
    <w:rsid w:val="003B60FE"/>
    <w:rsid w:val="003B6BCF"/>
    <w:rsid w:val="003B79A8"/>
    <w:rsid w:val="003C0132"/>
    <w:rsid w:val="003C089C"/>
    <w:rsid w:val="003C0D00"/>
    <w:rsid w:val="003C2041"/>
    <w:rsid w:val="003C25ED"/>
    <w:rsid w:val="003C2669"/>
    <w:rsid w:val="003C346E"/>
    <w:rsid w:val="003C3E91"/>
    <w:rsid w:val="003C460F"/>
    <w:rsid w:val="003C71B6"/>
    <w:rsid w:val="003C7BB4"/>
    <w:rsid w:val="003D087F"/>
    <w:rsid w:val="003D089E"/>
    <w:rsid w:val="003D1C4C"/>
    <w:rsid w:val="003D2287"/>
    <w:rsid w:val="003D2989"/>
    <w:rsid w:val="003D2C3F"/>
    <w:rsid w:val="003D2E5A"/>
    <w:rsid w:val="003D3192"/>
    <w:rsid w:val="003D39BC"/>
    <w:rsid w:val="003D41DD"/>
    <w:rsid w:val="003D5B61"/>
    <w:rsid w:val="003D5C32"/>
    <w:rsid w:val="003D6069"/>
    <w:rsid w:val="003D7244"/>
    <w:rsid w:val="003D759A"/>
    <w:rsid w:val="003E0883"/>
    <w:rsid w:val="003E252E"/>
    <w:rsid w:val="003E2A4B"/>
    <w:rsid w:val="003E314E"/>
    <w:rsid w:val="003E34B2"/>
    <w:rsid w:val="003E3B3C"/>
    <w:rsid w:val="003E43CF"/>
    <w:rsid w:val="003E4776"/>
    <w:rsid w:val="003E4F37"/>
    <w:rsid w:val="003E5EE6"/>
    <w:rsid w:val="003E601B"/>
    <w:rsid w:val="003F0AB4"/>
    <w:rsid w:val="003F0D47"/>
    <w:rsid w:val="003F1ED3"/>
    <w:rsid w:val="003F2E04"/>
    <w:rsid w:val="003F377A"/>
    <w:rsid w:val="003F37B7"/>
    <w:rsid w:val="003F4768"/>
    <w:rsid w:val="003F4968"/>
    <w:rsid w:val="003F4AFA"/>
    <w:rsid w:val="003F4B85"/>
    <w:rsid w:val="003F5368"/>
    <w:rsid w:val="003F536C"/>
    <w:rsid w:val="003F59AD"/>
    <w:rsid w:val="003F5BF1"/>
    <w:rsid w:val="003F7650"/>
    <w:rsid w:val="00400BEF"/>
    <w:rsid w:val="0040167C"/>
    <w:rsid w:val="00403182"/>
    <w:rsid w:val="00403571"/>
    <w:rsid w:val="0040358D"/>
    <w:rsid w:val="00405550"/>
    <w:rsid w:val="0040712F"/>
    <w:rsid w:val="00407222"/>
    <w:rsid w:val="004072BC"/>
    <w:rsid w:val="0040752A"/>
    <w:rsid w:val="00407946"/>
    <w:rsid w:val="00407C46"/>
    <w:rsid w:val="004108E8"/>
    <w:rsid w:val="00410E88"/>
    <w:rsid w:val="00410F46"/>
    <w:rsid w:val="00411C40"/>
    <w:rsid w:val="00411CA3"/>
    <w:rsid w:val="004120D2"/>
    <w:rsid w:val="00413317"/>
    <w:rsid w:val="00413632"/>
    <w:rsid w:val="00413EB8"/>
    <w:rsid w:val="00413FC9"/>
    <w:rsid w:val="004147B5"/>
    <w:rsid w:val="00415E39"/>
    <w:rsid w:val="00416DF9"/>
    <w:rsid w:val="0041730D"/>
    <w:rsid w:val="004179E0"/>
    <w:rsid w:val="00417CB5"/>
    <w:rsid w:val="00421643"/>
    <w:rsid w:val="0042188A"/>
    <w:rsid w:val="00422D67"/>
    <w:rsid w:val="004238AA"/>
    <w:rsid w:val="00425487"/>
    <w:rsid w:val="00426725"/>
    <w:rsid w:val="00426F7E"/>
    <w:rsid w:val="00427415"/>
    <w:rsid w:val="00427DE6"/>
    <w:rsid w:val="0043033C"/>
    <w:rsid w:val="00430D50"/>
    <w:rsid w:val="004314A0"/>
    <w:rsid w:val="0043154A"/>
    <w:rsid w:val="00431B78"/>
    <w:rsid w:val="00431F2A"/>
    <w:rsid w:val="004327C5"/>
    <w:rsid w:val="00434D0D"/>
    <w:rsid w:val="004353F8"/>
    <w:rsid w:val="00435611"/>
    <w:rsid w:val="00435730"/>
    <w:rsid w:val="00435A34"/>
    <w:rsid w:val="004362D3"/>
    <w:rsid w:val="00437AF5"/>
    <w:rsid w:val="00437D66"/>
    <w:rsid w:val="00440BF0"/>
    <w:rsid w:val="004417C5"/>
    <w:rsid w:val="00442332"/>
    <w:rsid w:val="0044242B"/>
    <w:rsid w:val="00442F4A"/>
    <w:rsid w:val="00444D28"/>
    <w:rsid w:val="0044508D"/>
    <w:rsid w:val="00445358"/>
    <w:rsid w:val="0044647A"/>
    <w:rsid w:val="004469BD"/>
    <w:rsid w:val="00447EB6"/>
    <w:rsid w:val="004517EB"/>
    <w:rsid w:val="00451873"/>
    <w:rsid w:val="00451C6E"/>
    <w:rsid w:val="00451D70"/>
    <w:rsid w:val="00451DD1"/>
    <w:rsid w:val="00452240"/>
    <w:rsid w:val="00452DE8"/>
    <w:rsid w:val="00453009"/>
    <w:rsid w:val="00453948"/>
    <w:rsid w:val="0045651B"/>
    <w:rsid w:val="004566B6"/>
    <w:rsid w:val="00456C51"/>
    <w:rsid w:val="004573B7"/>
    <w:rsid w:val="00457448"/>
    <w:rsid w:val="004577EC"/>
    <w:rsid w:val="00460E27"/>
    <w:rsid w:val="004614CC"/>
    <w:rsid w:val="00461632"/>
    <w:rsid w:val="004628B9"/>
    <w:rsid w:val="004643DA"/>
    <w:rsid w:val="0046468F"/>
    <w:rsid w:val="00464C4B"/>
    <w:rsid w:val="00464FD2"/>
    <w:rsid w:val="0046532C"/>
    <w:rsid w:val="0046754B"/>
    <w:rsid w:val="00470DF1"/>
    <w:rsid w:val="004714B0"/>
    <w:rsid w:val="004727E6"/>
    <w:rsid w:val="00473291"/>
    <w:rsid w:val="00473473"/>
    <w:rsid w:val="004734DE"/>
    <w:rsid w:val="00473B02"/>
    <w:rsid w:val="00474071"/>
    <w:rsid w:val="00474A91"/>
    <w:rsid w:val="00474EA4"/>
    <w:rsid w:val="0047511E"/>
    <w:rsid w:val="004751A0"/>
    <w:rsid w:val="00476334"/>
    <w:rsid w:val="00476D6E"/>
    <w:rsid w:val="00477252"/>
    <w:rsid w:val="004804FC"/>
    <w:rsid w:val="00480882"/>
    <w:rsid w:val="004815CF"/>
    <w:rsid w:val="00481635"/>
    <w:rsid w:val="00481A51"/>
    <w:rsid w:val="00481C3A"/>
    <w:rsid w:val="004831D2"/>
    <w:rsid w:val="00484086"/>
    <w:rsid w:val="00485C1D"/>
    <w:rsid w:val="0048691B"/>
    <w:rsid w:val="004878FE"/>
    <w:rsid w:val="00490092"/>
    <w:rsid w:val="00490640"/>
    <w:rsid w:val="00492CEB"/>
    <w:rsid w:val="004933BB"/>
    <w:rsid w:val="00493B43"/>
    <w:rsid w:val="00493F42"/>
    <w:rsid w:val="00494610"/>
    <w:rsid w:val="00495BA2"/>
    <w:rsid w:val="00495C03"/>
    <w:rsid w:val="00496414"/>
    <w:rsid w:val="00497C55"/>
    <w:rsid w:val="00497EAF"/>
    <w:rsid w:val="004A1AB3"/>
    <w:rsid w:val="004A2EA5"/>
    <w:rsid w:val="004A3B94"/>
    <w:rsid w:val="004A4ADE"/>
    <w:rsid w:val="004A57A9"/>
    <w:rsid w:val="004A76FC"/>
    <w:rsid w:val="004A7E6E"/>
    <w:rsid w:val="004B0C71"/>
    <w:rsid w:val="004B14FD"/>
    <w:rsid w:val="004B1FE7"/>
    <w:rsid w:val="004B2FB9"/>
    <w:rsid w:val="004B376E"/>
    <w:rsid w:val="004B3946"/>
    <w:rsid w:val="004B43D1"/>
    <w:rsid w:val="004B4C7E"/>
    <w:rsid w:val="004B4D52"/>
    <w:rsid w:val="004B550B"/>
    <w:rsid w:val="004B7695"/>
    <w:rsid w:val="004C1631"/>
    <w:rsid w:val="004C1B73"/>
    <w:rsid w:val="004C21F9"/>
    <w:rsid w:val="004C2F96"/>
    <w:rsid w:val="004C38C2"/>
    <w:rsid w:val="004C44A4"/>
    <w:rsid w:val="004C6245"/>
    <w:rsid w:val="004C62CC"/>
    <w:rsid w:val="004C644B"/>
    <w:rsid w:val="004C6DBE"/>
    <w:rsid w:val="004C6E0E"/>
    <w:rsid w:val="004C717B"/>
    <w:rsid w:val="004D231C"/>
    <w:rsid w:val="004D2BB0"/>
    <w:rsid w:val="004D3F1B"/>
    <w:rsid w:val="004D494B"/>
    <w:rsid w:val="004D4BF8"/>
    <w:rsid w:val="004D5EB0"/>
    <w:rsid w:val="004D643F"/>
    <w:rsid w:val="004D6CDD"/>
    <w:rsid w:val="004D71CE"/>
    <w:rsid w:val="004D7295"/>
    <w:rsid w:val="004D7B1E"/>
    <w:rsid w:val="004E0FBF"/>
    <w:rsid w:val="004E194D"/>
    <w:rsid w:val="004E1FB3"/>
    <w:rsid w:val="004E295A"/>
    <w:rsid w:val="004E2962"/>
    <w:rsid w:val="004E30CF"/>
    <w:rsid w:val="004E4451"/>
    <w:rsid w:val="004E4EBE"/>
    <w:rsid w:val="004E5C02"/>
    <w:rsid w:val="004E6B59"/>
    <w:rsid w:val="004E75EB"/>
    <w:rsid w:val="004E7CE6"/>
    <w:rsid w:val="004F101C"/>
    <w:rsid w:val="004F146E"/>
    <w:rsid w:val="004F1DC0"/>
    <w:rsid w:val="004F2090"/>
    <w:rsid w:val="004F36B6"/>
    <w:rsid w:val="004F37CA"/>
    <w:rsid w:val="004F3942"/>
    <w:rsid w:val="004F3C12"/>
    <w:rsid w:val="004F4D52"/>
    <w:rsid w:val="004F5302"/>
    <w:rsid w:val="004F6AC0"/>
    <w:rsid w:val="004F6B99"/>
    <w:rsid w:val="00500162"/>
    <w:rsid w:val="00500A35"/>
    <w:rsid w:val="00500D68"/>
    <w:rsid w:val="005011CA"/>
    <w:rsid w:val="005011D1"/>
    <w:rsid w:val="00501324"/>
    <w:rsid w:val="005014CC"/>
    <w:rsid w:val="00501E3E"/>
    <w:rsid w:val="00502646"/>
    <w:rsid w:val="00502B87"/>
    <w:rsid w:val="0050390A"/>
    <w:rsid w:val="00504296"/>
    <w:rsid w:val="0050473C"/>
    <w:rsid w:val="00505795"/>
    <w:rsid w:val="005078A8"/>
    <w:rsid w:val="00507C7A"/>
    <w:rsid w:val="00512A74"/>
    <w:rsid w:val="00513FB3"/>
    <w:rsid w:val="0051414E"/>
    <w:rsid w:val="00514A77"/>
    <w:rsid w:val="00515BAF"/>
    <w:rsid w:val="00515DB8"/>
    <w:rsid w:val="00517E81"/>
    <w:rsid w:val="005218EA"/>
    <w:rsid w:val="005220B4"/>
    <w:rsid w:val="00522723"/>
    <w:rsid w:val="00523484"/>
    <w:rsid w:val="0052374C"/>
    <w:rsid w:val="0052385F"/>
    <w:rsid w:val="00524116"/>
    <w:rsid w:val="00524CBB"/>
    <w:rsid w:val="00525804"/>
    <w:rsid w:val="00525A30"/>
    <w:rsid w:val="005262E3"/>
    <w:rsid w:val="00526A61"/>
    <w:rsid w:val="0052715F"/>
    <w:rsid w:val="00527328"/>
    <w:rsid w:val="00527A56"/>
    <w:rsid w:val="00527A78"/>
    <w:rsid w:val="00530376"/>
    <w:rsid w:val="00531197"/>
    <w:rsid w:val="005339C6"/>
    <w:rsid w:val="00534440"/>
    <w:rsid w:val="005356AB"/>
    <w:rsid w:val="00535940"/>
    <w:rsid w:val="00536BE5"/>
    <w:rsid w:val="00537592"/>
    <w:rsid w:val="00537AC8"/>
    <w:rsid w:val="005403CA"/>
    <w:rsid w:val="00540A3F"/>
    <w:rsid w:val="00540B46"/>
    <w:rsid w:val="00541955"/>
    <w:rsid w:val="00541E75"/>
    <w:rsid w:val="00544450"/>
    <w:rsid w:val="005444CA"/>
    <w:rsid w:val="00544680"/>
    <w:rsid w:val="00544D39"/>
    <w:rsid w:val="00544D7E"/>
    <w:rsid w:val="00545F4A"/>
    <w:rsid w:val="00546C50"/>
    <w:rsid w:val="005472EE"/>
    <w:rsid w:val="005502C1"/>
    <w:rsid w:val="0055256A"/>
    <w:rsid w:val="00552B1A"/>
    <w:rsid w:val="00553262"/>
    <w:rsid w:val="00553D3F"/>
    <w:rsid w:val="0055416B"/>
    <w:rsid w:val="005551AE"/>
    <w:rsid w:val="00555214"/>
    <w:rsid w:val="00556AE1"/>
    <w:rsid w:val="005577F1"/>
    <w:rsid w:val="005605C8"/>
    <w:rsid w:val="00562FD3"/>
    <w:rsid w:val="005630FE"/>
    <w:rsid w:val="00563A15"/>
    <w:rsid w:val="00563D2F"/>
    <w:rsid w:val="00564931"/>
    <w:rsid w:val="00564B1D"/>
    <w:rsid w:val="00564BA0"/>
    <w:rsid w:val="00565B5F"/>
    <w:rsid w:val="00565DFF"/>
    <w:rsid w:val="00566A61"/>
    <w:rsid w:val="00566E3C"/>
    <w:rsid w:val="005700D8"/>
    <w:rsid w:val="0057075A"/>
    <w:rsid w:val="00570EF2"/>
    <w:rsid w:val="005736E3"/>
    <w:rsid w:val="00573D13"/>
    <w:rsid w:val="00574755"/>
    <w:rsid w:val="00575906"/>
    <w:rsid w:val="0058145B"/>
    <w:rsid w:val="00582B18"/>
    <w:rsid w:val="00585DCE"/>
    <w:rsid w:val="00585F59"/>
    <w:rsid w:val="005867CF"/>
    <w:rsid w:val="00586830"/>
    <w:rsid w:val="005875B6"/>
    <w:rsid w:val="00587B74"/>
    <w:rsid w:val="00587D8F"/>
    <w:rsid w:val="005903F4"/>
    <w:rsid w:val="00590502"/>
    <w:rsid w:val="00591E80"/>
    <w:rsid w:val="005937EA"/>
    <w:rsid w:val="00594623"/>
    <w:rsid w:val="00594D57"/>
    <w:rsid w:val="00594FBC"/>
    <w:rsid w:val="005964A0"/>
    <w:rsid w:val="005969FC"/>
    <w:rsid w:val="005973B9"/>
    <w:rsid w:val="00597642"/>
    <w:rsid w:val="005A3FFF"/>
    <w:rsid w:val="005A41EB"/>
    <w:rsid w:val="005A4ABE"/>
    <w:rsid w:val="005A7ADC"/>
    <w:rsid w:val="005B1D8A"/>
    <w:rsid w:val="005B2760"/>
    <w:rsid w:val="005B2A55"/>
    <w:rsid w:val="005B3779"/>
    <w:rsid w:val="005B389F"/>
    <w:rsid w:val="005B3EC4"/>
    <w:rsid w:val="005B44C1"/>
    <w:rsid w:val="005B4784"/>
    <w:rsid w:val="005C06E7"/>
    <w:rsid w:val="005C07DE"/>
    <w:rsid w:val="005C1710"/>
    <w:rsid w:val="005C1744"/>
    <w:rsid w:val="005C2BD8"/>
    <w:rsid w:val="005C2EAF"/>
    <w:rsid w:val="005C3750"/>
    <w:rsid w:val="005C4208"/>
    <w:rsid w:val="005C4464"/>
    <w:rsid w:val="005C44AE"/>
    <w:rsid w:val="005C73A4"/>
    <w:rsid w:val="005C79AC"/>
    <w:rsid w:val="005D01F8"/>
    <w:rsid w:val="005D0F5F"/>
    <w:rsid w:val="005D1A57"/>
    <w:rsid w:val="005D25DA"/>
    <w:rsid w:val="005D2A5D"/>
    <w:rsid w:val="005D2A74"/>
    <w:rsid w:val="005D2B08"/>
    <w:rsid w:val="005D4012"/>
    <w:rsid w:val="005D4F0C"/>
    <w:rsid w:val="005D5744"/>
    <w:rsid w:val="005D5A25"/>
    <w:rsid w:val="005D5CAA"/>
    <w:rsid w:val="005D5FDF"/>
    <w:rsid w:val="005D629F"/>
    <w:rsid w:val="005D632B"/>
    <w:rsid w:val="005D6965"/>
    <w:rsid w:val="005D6C46"/>
    <w:rsid w:val="005E0748"/>
    <w:rsid w:val="005E0E6E"/>
    <w:rsid w:val="005E1C0E"/>
    <w:rsid w:val="005E2A23"/>
    <w:rsid w:val="005E4113"/>
    <w:rsid w:val="005E4A0D"/>
    <w:rsid w:val="005E4CB2"/>
    <w:rsid w:val="005E4CB9"/>
    <w:rsid w:val="005E4DCF"/>
    <w:rsid w:val="005E50B7"/>
    <w:rsid w:val="005E5BA5"/>
    <w:rsid w:val="005E6B9E"/>
    <w:rsid w:val="005E76C4"/>
    <w:rsid w:val="005E770D"/>
    <w:rsid w:val="005E78C3"/>
    <w:rsid w:val="005E7A24"/>
    <w:rsid w:val="005F0B41"/>
    <w:rsid w:val="005F0EFF"/>
    <w:rsid w:val="005F0F28"/>
    <w:rsid w:val="005F174C"/>
    <w:rsid w:val="005F39BC"/>
    <w:rsid w:val="005F3B04"/>
    <w:rsid w:val="005F4925"/>
    <w:rsid w:val="005F546D"/>
    <w:rsid w:val="005F5620"/>
    <w:rsid w:val="005F57CF"/>
    <w:rsid w:val="005F66A7"/>
    <w:rsid w:val="005F6B73"/>
    <w:rsid w:val="005F791C"/>
    <w:rsid w:val="00600217"/>
    <w:rsid w:val="00600759"/>
    <w:rsid w:val="00601028"/>
    <w:rsid w:val="0060104B"/>
    <w:rsid w:val="00602122"/>
    <w:rsid w:val="0060335D"/>
    <w:rsid w:val="00603675"/>
    <w:rsid w:val="00604FD4"/>
    <w:rsid w:val="00605042"/>
    <w:rsid w:val="00606682"/>
    <w:rsid w:val="006101B5"/>
    <w:rsid w:val="0061025F"/>
    <w:rsid w:val="00610D18"/>
    <w:rsid w:val="00610F6B"/>
    <w:rsid w:val="00610FE8"/>
    <w:rsid w:val="00611C09"/>
    <w:rsid w:val="00611D22"/>
    <w:rsid w:val="0061249C"/>
    <w:rsid w:val="0061297E"/>
    <w:rsid w:val="00612B29"/>
    <w:rsid w:val="00613CEF"/>
    <w:rsid w:val="00613DCA"/>
    <w:rsid w:val="006158B9"/>
    <w:rsid w:val="00616E01"/>
    <w:rsid w:val="00620FA5"/>
    <w:rsid w:val="00622F30"/>
    <w:rsid w:val="00623646"/>
    <w:rsid w:val="00624033"/>
    <w:rsid w:val="0062739F"/>
    <w:rsid w:val="006279DA"/>
    <w:rsid w:val="00630ECF"/>
    <w:rsid w:val="00630FF4"/>
    <w:rsid w:val="00632A43"/>
    <w:rsid w:val="00633196"/>
    <w:rsid w:val="0063479B"/>
    <w:rsid w:val="00634A08"/>
    <w:rsid w:val="00636C64"/>
    <w:rsid w:val="006377BC"/>
    <w:rsid w:val="00637969"/>
    <w:rsid w:val="00637E10"/>
    <w:rsid w:val="00640B65"/>
    <w:rsid w:val="00640D32"/>
    <w:rsid w:val="0064121F"/>
    <w:rsid w:val="00641372"/>
    <w:rsid w:val="006414DC"/>
    <w:rsid w:val="0064239C"/>
    <w:rsid w:val="00642D21"/>
    <w:rsid w:val="00642FFE"/>
    <w:rsid w:val="00644270"/>
    <w:rsid w:val="0064449C"/>
    <w:rsid w:val="00644B3D"/>
    <w:rsid w:val="00644D77"/>
    <w:rsid w:val="00644E0D"/>
    <w:rsid w:val="00644FC2"/>
    <w:rsid w:val="006452C8"/>
    <w:rsid w:val="0064578F"/>
    <w:rsid w:val="00645C10"/>
    <w:rsid w:val="00646E8F"/>
    <w:rsid w:val="006502CC"/>
    <w:rsid w:val="006517C5"/>
    <w:rsid w:val="0065406F"/>
    <w:rsid w:val="00654C0A"/>
    <w:rsid w:val="00655166"/>
    <w:rsid w:val="006553E9"/>
    <w:rsid w:val="0065668C"/>
    <w:rsid w:val="006566D4"/>
    <w:rsid w:val="0065706A"/>
    <w:rsid w:val="0065734C"/>
    <w:rsid w:val="006575F0"/>
    <w:rsid w:val="006610FA"/>
    <w:rsid w:val="0066124D"/>
    <w:rsid w:val="0066264E"/>
    <w:rsid w:val="00662C79"/>
    <w:rsid w:val="006630EF"/>
    <w:rsid w:val="00663B50"/>
    <w:rsid w:val="00663C6A"/>
    <w:rsid w:val="00664DDF"/>
    <w:rsid w:val="00665CD7"/>
    <w:rsid w:val="00666648"/>
    <w:rsid w:val="00666C63"/>
    <w:rsid w:val="00667ED4"/>
    <w:rsid w:val="00670263"/>
    <w:rsid w:val="00670312"/>
    <w:rsid w:val="006703B1"/>
    <w:rsid w:val="0067123C"/>
    <w:rsid w:val="006713E0"/>
    <w:rsid w:val="00672301"/>
    <w:rsid w:val="0067242B"/>
    <w:rsid w:val="006751DE"/>
    <w:rsid w:val="00675506"/>
    <w:rsid w:val="00675D69"/>
    <w:rsid w:val="00676DB2"/>
    <w:rsid w:val="00677605"/>
    <w:rsid w:val="00680539"/>
    <w:rsid w:val="00680CFA"/>
    <w:rsid w:val="00682E1A"/>
    <w:rsid w:val="00682F7F"/>
    <w:rsid w:val="006839F6"/>
    <w:rsid w:val="00684EA2"/>
    <w:rsid w:val="00684F82"/>
    <w:rsid w:val="00685245"/>
    <w:rsid w:val="006870C9"/>
    <w:rsid w:val="0068775C"/>
    <w:rsid w:val="00690907"/>
    <w:rsid w:val="00690F52"/>
    <w:rsid w:val="00691D1B"/>
    <w:rsid w:val="00692CA0"/>
    <w:rsid w:val="00695652"/>
    <w:rsid w:val="0069618C"/>
    <w:rsid w:val="00696B2A"/>
    <w:rsid w:val="006977D0"/>
    <w:rsid w:val="00697E0D"/>
    <w:rsid w:val="006A224B"/>
    <w:rsid w:val="006A273D"/>
    <w:rsid w:val="006A3025"/>
    <w:rsid w:val="006A30DB"/>
    <w:rsid w:val="006A391F"/>
    <w:rsid w:val="006A432F"/>
    <w:rsid w:val="006A491A"/>
    <w:rsid w:val="006A5302"/>
    <w:rsid w:val="006A56DF"/>
    <w:rsid w:val="006A6CE4"/>
    <w:rsid w:val="006B069C"/>
    <w:rsid w:val="006B0E5F"/>
    <w:rsid w:val="006B15A4"/>
    <w:rsid w:val="006B286C"/>
    <w:rsid w:val="006B28AE"/>
    <w:rsid w:val="006B2D1A"/>
    <w:rsid w:val="006B3B98"/>
    <w:rsid w:val="006B4E21"/>
    <w:rsid w:val="006B61E1"/>
    <w:rsid w:val="006B68DB"/>
    <w:rsid w:val="006C06B5"/>
    <w:rsid w:val="006C0A58"/>
    <w:rsid w:val="006C0BC2"/>
    <w:rsid w:val="006C51CF"/>
    <w:rsid w:val="006C5356"/>
    <w:rsid w:val="006C545E"/>
    <w:rsid w:val="006C59C5"/>
    <w:rsid w:val="006C5ED4"/>
    <w:rsid w:val="006C6B53"/>
    <w:rsid w:val="006C6F14"/>
    <w:rsid w:val="006C702B"/>
    <w:rsid w:val="006C7561"/>
    <w:rsid w:val="006D007D"/>
    <w:rsid w:val="006D0CBD"/>
    <w:rsid w:val="006D1703"/>
    <w:rsid w:val="006D4811"/>
    <w:rsid w:val="006D5CBB"/>
    <w:rsid w:val="006D6D0A"/>
    <w:rsid w:val="006D730F"/>
    <w:rsid w:val="006D7404"/>
    <w:rsid w:val="006D7BF5"/>
    <w:rsid w:val="006E0C75"/>
    <w:rsid w:val="006E27E9"/>
    <w:rsid w:val="006E31EC"/>
    <w:rsid w:val="006E35D3"/>
    <w:rsid w:val="006E578F"/>
    <w:rsid w:val="006E5BEE"/>
    <w:rsid w:val="006E679C"/>
    <w:rsid w:val="006E6D91"/>
    <w:rsid w:val="006E720C"/>
    <w:rsid w:val="006E761D"/>
    <w:rsid w:val="006E7852"/>
    <w:rsid w:val="006E78C2"/>
    <w:rsid w:val="006F0728"/>
    <w:rsid w:val="006F0F14"/>
    <w:rsid w:val="006F22ED"/>
    <w:rsid w:val="006F29C6"/>
    <w:rsid w:val="006F3675"/>
    <w:rsid w:val="006F422B"/>
    <w:rsid w:val="006F4AAB"/>
    <w:rsid w:val="006F4BD1"/>
    <w:rsid w:val="006F4C94"/>
    <w:rsid w:val="006F4ED1"/>
    <w:rsid w:val="006F5B7F"/>
    <w:rsid w:val="006F5E79"/>
    <w:rsid w:val="006F662A"/>
    <w:rsid w:val="00700E9E"/>
    <w:rsid w:val="00701543"/>
    <w:rsid w:val="00701C7C"/>
    <w:rsid w:val="00701F32"/>
    <w:rsid w:val="00702312"/>
    <w:rsid w:val="00704022"/>
    <w:rsid w:val="007057AA"/>
    <w:rsid w:val="00705C98"/>
    <w:rsid w:val="00705E2C"/>
    <w:rsid w:val="00706C86"/>
    <w:rsid w:val="00707522"/>
    <w:rsid w:val="007105E0"/>
    <w:rsid w:val="00710C66"/>
    <w:rsid w:val="00710E77"/>
    <w:rsid w:val="00711B1D"/>
    <w:rsid w:val="0071236C"/>
    <w:rsid w:val="00712CE7"/>
    <w:rsid w:val="007131F5"/>
    <w:rsid w:val="00713C3B"/>
    <w:rsid w:val="0071632D"/>
    <w:rsid w:val="00716556"/>
    <w:rsid w:val="00720279"/>
    <w:rsid w:val="00722F2A"/>
    <w:rsid w:val="00723EBF"/>
    <w:rsid w:val="007243F6"/>
    <w:rsid w:val="00724763"/>
    <w:rsid w:val="00725304"/>
    <w:rsid w:val="00725B95"/>
    <w:rsid w:val="007261D6"/>
    <w:rsid w:val="007267DA"/>
    <w:rsid w:val="00727343"/>
    <w:rsid w:val="00727F36"/>
    <w:rsid w:val="00730C83"/>
    <w:rsid w:val="00730D05"/>
    <w:rsid w:val="007320D9"/>
    <w:rsid w:val="0073299A"/>
    <w:rsid w:val="007335F6"/>
    <w:rsid w:val="007339A5"/>
    <w:rsid w:val="007344AE"/>
    <w:rsid w:val="007344FA"/>
    <w:rsid w:val="0073466A"/>
    <w:rsid w:val="007348A2"/>
    <w:rsid w:val="00734DF8"/>
    <w:rsid w:val="00736123"/>
    <w:rsid w:val="007364A8"/>
    <w:rsid w:val="00741526"/>
    <w:rsid w:val="00741D84"/>
    <w:rsid w:val="00741FBC"/>
    <w:rsid w:val="007420C9"/>
    <w:rsid w:val="0074329D"/>
    <w:rsid w:val="007444E7"/>
    <w:rsid w:val="0074468F"/>
    <w:rsid w:val="00745505"/>
    <w:rsid w:val="00746010"/>
    <w:rsid w:val="007461C2"/>
    <w:rsid w:val="007464B9"/>
    <w:rsid w:val="0075017E"/>
    <w:rsid w:val="00750631"/>
    <w:rsid w:val="0075087E"/>
    <w:rsid w:val="007514DB"/>
    <w:rsid w:val="00752094"/>
    <w:rsid w:val="00752722"/>
    <w:rsid w:val="00752B72"/>
    <w:rsid w:val="00754BD2"/>
    <w:rsid w:val="00754BE3"/>
    <w:rsid w:val="00755459"/>
    <w:rsid w:val="007556A8"/>
    <w:rsid w:val="00755F66"/>
    <w:rsid w:val="007566FE"/>
    <w:rsid w:val="00756CC1"/>
    <w:rsid w:val="00757BF4"/>
    <w:rsid w:val="007602A1"/>
    <w:rsid w:val="007607D6"/>
    <w:rsid w:val="00760C52"/>
    <w:rsid w:val="00760F5D"/>
    <w:rsid w:val="00761610"/>
    <w:rsid w:val="007628E9"/>
    <w:rsid w:val="00762AE5"/>
    <w:rsid w:val="00763C1F"/>
    <w:rsid w:val="00764B39"/>
    <w:rsid w:val="00764C45"/>
    <w:rsid w:val="00766D29"/>
    <w:rsid w:val="007674C6"/>
    <w:rsid w:val="00767FA7"/>
    <w:rsid w:val="00770AE3"/>
    <w:rsid w:val="0077106C"/>
    <w:rsid w:val="007711C4"/>
    <w:rsid w:val="00771582"/>
    <w:rsid w:val="00771AED"/>
    <w:rsid w:val="00771C0E"/>
    <w:rsid w:val="00771F47"/>
    <w:rsid w:val="00772627"/>
    <w:rsid w:val="00772679"/>
    <w:rsid w:val="00772CC1"/>
    <w:rsid w:val="00773771"/>
    <w:rsid w:val="00774083"/>
    <w:rsid w:val="007749F9"/>
    <w:rsid w:val="00775917"/>
    <w:rsid w:val="00775FE3"/>
    <w:rsid w:val="0077684D"/>
    <w:rsid w:val="00777913"/>
    <w:rsid w:val="0078033E"/>
    <w:rsid w:val="007809E0"/>
    <w:rsid w:val="00780A4D"/>
    <w:rsid w:val="00780D2C"/>
    <w:rsid w:val="00781775"/>
    <w:rsid w:val="00783197"/>
    <w:rsid w:val="00783E4A"/>
    <w:rsid w:val="007849C0"/>
    <w:rsid w:val="00784A10"/>
    <w:rsid w:val="00784D92"/>
    <w:rsid w:val="00784DCE"/>
    <w:rsid w:val="00785027"/>
    <w:rsid w:val="007852E2"/>
    <w:rsid w:val="00785CBF"/>
    <w:rsid w:val="00787690"/>
    <w:rsid w:val="0079066A"/>
    <w:rsid w:val="007906A6"/>
    <w:rsid w:val="0079120D"/>
    <w:rsid w:val="007912F9"/>
    <w:rsid w:val="00791598"/>
    <w:rsid w:val="007923FF"/>
    <w:rsid w:val="007926F5"/>
    <w:rsid w:val="007931D5"/>
    <w:rsid w:val="0079337E"/>
    <w:rsid w:val="00793465"/>
    <w:rsid w:val="0079367E"/>
    <w:rsid w:val="0079436F"/>
    <w:rsid w:val="00794E10"/>
    <w:rsid w:val="00795074"/>
    <w:rsid w:val="00795CF2"/>
    <w:rsid w:val="00796A3A"/>
    <w:rsid w:val="007970CC"/>
    <w:rsid w:val="0079775B"/>
    <w:rsid w:val="00797B89"/>
    <w:rsid w:val="007A014C"/>
    <w:rsid w:val="007A057B"/>
    <w:rsid w:val="007A08C9"/>
    <w:rsid w:val="007A1B11"/>
    <w:rsid w:val="007A2CFA"/>
    <w:rsid w:val="007A401F"/>
    <w:rsid w:val="007A4119"/>
    <w:rsid w:val="007A55C1"/>
    <w:rsid w:val="007A56DB"/>
    <w:rsid w:val="007A5F9D"/>
    <w:rsid w:val="007A7389"/>
    <w:rsid w:val="007A74B5"/>
    <w:rsid w:val="007A7F03"/>
    <w:rsid w:val="007B0078"/>
    <w:rsid w:val="007B1A55"/>
    <w:rsid w:val="007B276E"/>
    <w:rsid w:val="007B30CC"/>
    <w:rsid w:val="007B5E84"/>
    <w:rsid w:val="007B7284"/>
    <w:rsid w:val="007C01F4"/>
    <w:rsid w:val="007C0421"/>
    <w:rsid w:val="007C043C"/>
    <w:rsid w:val="007C1922"/>
    <w:rsid w:val="007C25C9"/>
    <w:rsid w:val="007C568E"/>
    <w:rsid w:val="007C57C4"/>
    <w:rsid w:val="007C5CC0"/>
    <w:rsid w:val="007D0756"/>
    <w:rsid w:val="007D0BC9"/>
    <w:rsid w:val="007D0C68"/>
    <w:rsid w:val="007D1042"/>
    <w:rsid w:val="007D109D"/>
    <w:rsid w:val="007D19D5"/>
    <w:rsid w:val="007D2249"/>
    <w:rsid w:val="007D34B6"/>
    <w:rsid w:val="007D38AA"/>
    <w:rsid w:val="007D3E8D"/>
    <w:rsid w:val="007D55FE"/>
    <w:rsid w:val="007D68A5"/>
    <w:rsid w:val="007D7C37"/>
    <w:rsid w:val="007E0A23"/>
    <w:rsid w:val="007E1A62"/>
    <w:rsid w:val="007E330C"/>
    <w:rsid w:val="007E4599"/>
    <w:rsid w:val="007E4C19"/>
    <w:rsid w:val="007E4CCF"/>
    <w:rsid w:val="007E7757"/>
    <w:rsid w:val="007E7875"/>
    <w:rsid w:val="007F0057"/>
    <w:rsid w:val="007F0447"/>
    <w:rsid w:val="007F078F"/>
    <w:rsid w:val="007F0AF1"/>
    <w:rsid w:val="007F2AE1"/>
    <w:rsid w:val="007F2BEF"/>
    <w:rsid w:val="007F4BDC"/>
    <w:rsid w:val="007F4CCF"/>
    <w:rsid w:val="007F4E07"/>
    <w:rsid w:val="007F79B0"/>
    <w:rsid w:val="00800A02"/>
    <w:rsid w:val="00800D45"/>
    <w:rsid w:val="00802271"/>
    <w:rsid w:val="00802904"/>
    <w:rsid w:val="00802D4A"/>
    <w:rsid w:val="00802D7E"/>
    <w:rsid w:val="00802FB6"/>
    <w:rsid w:val="00806DF6"/>
    <w:rsid w:val="008073BF"/>
    <w:rsid w:val="00807707"/>
    <w:rsid w:val="00810C99"/>
    <w:rsid w:val="00812D1B"/>
    <w:rsid w:val="008131BB"/>
    <w:rsid w:val="00816158"/>
    <w:rsid w:val="008163D4"/>
    <w:rsid w:val="00816E16"/>
    <w:rsid w:val="00816F04"/>
    <w:rsid w:val="00816F08"/>
    <w:rsid w:val="0081783B"/>
    <w:rsid w:val="00820501"/>
    <w:rsid w:val="008205F1"/>
    <w:rsid w:val="008215EF"/>
    <w:rsid w:val="008225F0"/>
    <w:rsid w:val="00822D1D"/>
    <w:rsid w:val="008230AC"/>
    <w:rsid w:val="008230AD"/>
    <w:rsid w:val="0082350F"/>
    <w:rsid w:val="00823CF9"/>
    <w:rsid w:val="00824E9C"/>
    <w:rsid w:val="00827A17"/>
    <w:rsid w:val="00827B50"/>
    <w:rsid w:val="00833B5A"/>
    <w:rsid w:val="008340C5"/>
    <w:rsid w:val="0083661B"/>
    <w:rsid w:val="00836727"/>
    <w:rsid w:val="008367CC"/>
    <w:rsid w:val="0083681A"/>
    <w:rsid w:val="008368CE"/>
    <w:rsid w:val="0083744F"/>
    <w:rsid w:val="00837541"/>
    <w:rsid w:val="008375C3"/>
    <w:rsid w:val="00840EEC"/>
    <w:rsid w:val="00841715"/>
    <w:rsid w:val="008418C5"/>
    <w:rsid w:val="008422A9"/>
    <w:rsid w:val="00842868"/>
    <w:rsid w:val="00842B5D"/>
    <w:rsid w:val="00845174"/>
    <w:rsid w:val="0084549A"/>
    <w:rsid w:val="00845562"/>
    <w:rsid w:val="00845CA5"/>
    <w:rsid w:val="0084614D"/>
    <w:rsid w:val="00846318"/>
    <w:rsid w:val="00847B33"/>
    <w:rsid w:val="00850444"/>
    <w:rsid w:val="00850E84"/>
    <w:rsid w:val="0085106D"/>
    <w:rsid w:val="00851B1E"/>
    <w:rsid w:val="008525B9"/>
    <w:rsid w:val="00854867"/>
    <w:rsid w:val="00854BB5"/>
    <w:rsid w:val="00854C1E"/>
    <w:rsid w:val="00855048"/>
    <w:rsid w:val="00856454"/>
    <w:rsid w:val="00856722"/>
    <w:rsid w:val="00856C9E"/>
    <w:rsid w:val="00857306"/>
    <w:rsid w:val="00857BE3"/>
    <w:rsid w:val="00857C81"/>
    <w:rsid w:val="00860174"/>
    <w:rsid w:val="00860A56"/>
    <w:rsid w:val="00860FA5"/>
    <w:rsid w:val="0086160F"/>
    <w:rsid w:val="0086242B"/>
    <w:rsid w:val="00864292"/>
    <w:rsid w:val="00870918"/>
    <w:rsid w:val="00870931"/>
    <w:rsid w:val="00870C01"/>
    <w:rsid w:val="008720CC"/>
    <w:rsid w:val="00872413"/>
    <w:rsid w:val="00872919"/>
    <w:rsid w:val="00873444"/>
    <w:rsid w:val="008741DE"/>
    <w:rsid w:val="00875978"/>
    <w:rsid w:val="00875AB8"/>
    <w:rsid w:val="008775D4"/>
    <w:rsid w:val="008776B5"/>
    <w:rsid w:val="00877AF9"/>
    <w:rsid w:val="00880CA1"/>
    <w:rsid w:val="008811D4"/>
    <w:rsid w:val="0088227D"/>
    <w:rsid w:val="00883389"/>
    <w:rsid w:val="00883FE9"/>
    <w:rsid w:val="008858AA"/>
    <w:rsid w:val="00885F6C"/>
    <w:rsid w:val="00886D85"/>
    <w:rsid w:val="00887511"/>
    <w:rsid w:val="00887B74"/>
    <w:rsid w:val="00890510"/>
    <w:rsid w:val="00891390"/>
    <w:rsid w:val="008922BD"/>
    <w:rsid w:val="00893373"/>
    <w:rsid w:val="00894277"/>
    <w:rsid w:val="00895881"/>
    <w:rsid w:val="00896642"/>
    <w:rsid w:val="00896B60"/>
    <w:rsid w:val="00896C6F"/>
    <w:rsid w:val="00896F2F"/>
    <w:rsid w:val="008971C4"/>
    <w:rsid w:val="00897E31"/>
    <w:rsid w:val="008A06B9"/>
    <w:rsid w:val="008A1DAB"/>
    <w:rsid w:val="008A20D7"/>
    <w:rsid w:val="008A2EA3"/>
    <w:rsid w:val="008A30CE"/>
    <w:rsid w:val="008A4514"/>
    <w:rsid w:val="008A4767"/>
    <w:rsid w:val="008A4F47"/>
    <w:rsid w:val="008A5383"/>
    <w:rsid w:val="008A5A6A"/>
    <w:rsid w:val="008A6442"/>
    <w:rsid w:val="008A6839"/>
    <w:rsid w:val="008A743D"/>
    <w:rsid w:val="008B0CAE"/>
    <w:rsid w:val="008B0EEE"/>
    <w:rsid w:val="008B1DAB"/>
    <w:rsid w:val="008B27A6"/>
    <w:rsid w:val="008B29A6"/>
    <w:rsid w:val="008B3F91"/>
    <w:rsid w:val="008B4895"/>
    <w:rsid w:val="008B5079"/>
    <w:rsid w:val="008B60AE"/>
    <w:rsid w:val="008B66DC"/>
    <w:rsid w:val="008B7248"/>
    <w:rsid w:val="008B798B"/>
    <w:rsid w:val="008B7EE8"/>
    <w:rsid w:val="008C0F3A"/>
    <w:rsid w:val="008C1564"/>
    <w:rsid w:val="008C3A91"/>
    <w:rsid w:val="008C4B71"/>
    <w:rsid w:val="008C58BE"/>
    <w:rsid w:val="008C6295"/>
    <w:rsid w:val="008C6A22"/>
    <w:rsid w:val="008C7133"/>
    <w:rsid w:val="008D1657"/>
    <w:rsid w:val="008D1FC0"/>
    <w:rsid w:val="008D200E"/>
    <w:rsid w:val="008D2564"/>
    <w:rsid w:val="008D26B6"/>
    <w:rsid w:val="008D2B31"/>
    <w:rsid w:val="008D2C5E"/>
    <w:rsid w:val="008D3879"/>
    <w:rsid w:val="008D3C3F"/>
    <w:rsid w:val="008D49FA"/>
    <w:rsid w:val="008D68AF"/>
    <w:rsid w:val="008D6BC0"/>
    <w:rsid w:val="008D6D08"/>
    <w:rsid w:val="008D7632"/>
    <w:rsid w:val="008D76F3"/>
    <w:rsid w:val="008E0033"/>
    <w:rsid w:val="008E0360"/>
    <w:rsid w:val="008E0B0F"/>
    <w:rsid w:val="008E0C31"/>
    <w:rsid w:val="008E122A"/>
    <w:rsid w:val="008E1236"/>
    <w:rsid w:val="008E1FB7"/>
    <w:rsid w:val="008E39E1"/>
    <w:rsid w:val="008E3BE2"/>
    <w:rsid w:val="008E4403"/>
    <w:rsid w:val="008E4990"/>
    <w:rsid w:val="008E49FB"/>
    <w:rsid w:val="008F0073"/>
    <w:rsid w:val="008F0F2E"/>
    <w:rsid w:val="008F17D6"/>
    <w:rsid w:val="008F20EB"/>
    <w:rsid w:val="008F2DFA"/>
    <w:rsid w:val="008F3DA8"/>
    <w:rsid w:val="008F4399"/>
    <w:rsid w:val="008F43B9"/>
    <w:rsid w:val="008F4597"/>
    <w:rsid w:val="008F6952"/>
    <w:rsid w:val="008F69D9"/>
    <w:rsid w:val="008F76EE"/>
    <w:rsid w:val="008F7738"/>
    <w:rsid w:val="008F7D3D"/>
    <w:rsid w:val="00900484"/>
    <w:rsid w:val="009005B2"/>
    <w:rsid w:val="009006AA"/>
    <w:rsid w:val="00900CA9"/>
    <w:rsid w:val="00902101"/>
    <w:rsid w:val="00902939"/>
    <w:rsid w:val="00903B49"/>
    <w:rsid w:val="00904553"/>
    <w:rsid w:val="0090533A"/>
    <w:rsid w:val="00905ACF"/>
    <w:rsid w:val="00906C23"/>
    <w:rsid w:val="00907075"/>
    <w:rsid w:val="00907866"/>
    <w:rsid w:val="0090793E"/>
    <w:rsid w:val="00907C28"/>
    <w:rsid w:val="0091002E"/>
    <w:rsid w:val="0091258A"/>
    <w:rsid w:val="00912FF4"/>
    <w:rsid w:val="00913B5B"/>
    <w:rsid w:val="00914498"/>
    <w:rsid w:val="00915436"/>
    <w:rsid w:val="0091570B"/>
    <w:rsid w:val="00915C64"/>
    <w:rsid w:val="0091669B"/>
    <w:rsid w:val="00916E51"/>
    <w:rsid w:val="00916F24"/>
    <w:rsid w:val="0091752C"/>
    <w:rsid w:val="0091769C"/>
    <w:rsid w:val="009219CB"/>
    <w:rsid w:val="00921D37"/>
    <w:rsid w:val="00922EE0"/>
    <w:rsid w:val="009233E0"/>
    <w:rsid w:val="00924B7C"/>
    <w:rsid w:val="00925943"/>
    <w:rsid w:val="00926032"/>
    <w:rsid w:val="00926091"/>
    <w:rsid w:val="00926EE2"/>
    <w:rsid w:val="00927549"/>
    <w:rsid w:val="0093027B"/>
    <w:rsid w:val="00932937"/>
    <w:rsid w:val="00933B25"/>
    <w:rsid w:val="00934447"/>
    <w:rsid w:val="00935449"/>
    <w:rsid w:val="00937599"/>
    <w:rsid w:val="00937FFB"/>
    <w:rsid w:val="00940575"/>
    <w:rsid w:val="00941668"/>
    <w:rsid w:val="00941ADE"/>
    <w:rsid w:val="0094238E"/>
    <w:rsid w:val="009426C9"/>
    <w:rsid w:val="00943228"/>
    <w:rsid w:val="009433AE"/>
    <w:rsid w:val="0094340A"/>
    <w:rsid w:val="00943AA8"/>
    <w:rsid w:val="009450D4"/>
    <w:rsid w:val="0094578E"/>
    <w:rsid w:val="00945C65"/>
    <w:rsid w:val="00945E03"/>
    <w:rsid w:val="00946991"/>
    <w:rsid w:val="009475A3"/>
    <w:rsid w:val="00947D17"/>
    <w:rsid w:val="00950D0E"/>
    <w:rsid w:val="00950E75"/>
    <w:rsid w:val="00951E9B"/>
    <w:rsid w:val="0095262C"/>
    <w:rsid w:val="009527F5"/>
    <w:rsid w:val="00953916"/>
    <w:rsid w:val="009548A0"/>
    <w:rsid w:val="00955B17"/>
    <w:rsid w:val="009568E1"/>
    <w:rsid w:val="0096006A"/>
    <w:rsid w:val="00960180"/>
    <w:rsid w:val="00961031"/>
    <w:rsid w:val="009613B4"/>
    <w:rsid w:val="00961E45"/>
    <w:rsid w:val="0096280B"/>
    <w:rsid w:val="00962CE8"/>
    <w:rsid w:val="00962FF0"/>
    <w:rsid w:val="00963ADE"/>
    <w:rsid w:val="00964213"/>
    <w:rsid w:val="00965F49"/>
    <w:rsid w:val="00967151"/>
    <w:rsid w:val="00967254"/>
    <w:rsid w:val="00970D22"/>
    <w:rsid w:val="00970E7B"/>
    <w:rsid w:val="0097229D"/>
    <w:rsid w:val="00973D6F"/>
    <w:rsid w:val="0097440F"/>
    <w:rsid w:val="009752F2"/>
    <w:rsid w:val="00975596"/>
    <w:rsid w:val="00975713"/>
    <w:rsid w:val="00975869"/>
    <w:rsid w:val="0097601A"/>
    <w:rsid w:val="0097654B"/>
    <w:rsid w:val="009771FE"/>
    <w:rsid w:val="00977235"/>
    <w:rsid w:val="00980AB1"/>
    <w:rsid w:val="00981084"/>
    <w:rsid w:val="00982F7A"/>
    <w:rsid w:val="009830F9"/>
    <w:rsid w:val="00983332"/>
    <w:rsid w:val="00985E9E"/>
    <w:rsid w:val="009861E4"/>
    <w:rsid w:val="009862FF"/>
    <w:rsid w:val="009863FC"/>
    <w:rsid w:val="00986746"/>
    <w:rsid w:val="00987DF9"/>
    <w:rsid w:val="009900EC"/>
    <w:rsid w:val="00990217"/>
    <w:rsid w:val="00990766"/>
    <w:rsid w:val="00991FBE"/>
    <w:rsid w:val="00993077"/>
    <w:rsid w:val="009934E4"/>
    <w:rsid w:val="00993BCD"/>
    <w:rsid w:val="00993D45"/>
    <w:rsid w:val="00993EEE"/>
    <w:rsid w:val="009943C3"/>
    <w:rsid w:val="009944CD"/>
    <w:rsid w:val="00995764"/>
    <w:rsid w:val="00995C4C"/>
    <w:rsid w:val="00996556"/>
    <w:rsid w:val="009967F8"/>
    <w:rsid w:val="009969FF"/>
    <w:rsid w:val="00996A34"/>
    <w:rsid w:val="009A016D"/>
    <w:rsid w:val="009A0545"/>
    <w:rsid w:val="009A0A7D"/>
    <w:rsid w:val="009A11C5"/>
    <w:rsid w:val="009A279D"/>
    <w:rsid w:val="009A3CAA"/>
    <w:rsid w:val="009A43FA"/>
    <w:rsid w:val="009A5D72"/>
    <w:rsid w:val="009A5EC9"/>
    <w:rsid w:val="009A6011"/>
    <w:rsid w:val="009A6619"/>
    <w:rsid w:val="009B0ED8"/>
    <w:rsid w:val="009B16FC"/>
    <w:rsid w:val="009B1B37"/>
    <w:rsid w:val="009B27A9"/>
    <w:rsid w:val="009B281D"/>
    <w:rsid w:val="009B3021"/>
    <w:rsid w:val="009B36E6"/>
    <w:rsid w:val="009B419F"/>
    <w:rsid w:val="009B475D"/>
    <w:rsid w:val="009B4A49"/>
    <w:rsid w:val="009B4C08"/>
    <w:rsid w:val="009B5C66"/>
    <w:rsid w:val="009B5FD7"/>
    <w:rsid w:val="009B68E6"/>
    <w:rsid w:val="009B7615"/>
    <w:rsid w:val="009B7FB7"/>
    <w:rsid w:val="009C170F"/>
    <w:rsid w:val="009C2316"/>
    <w:rsid w:val="009C47D7"/>
    <w:rsid w:val="009C4FEC"/>
    <w:rsid w:val="009C5149"/>
    <w:rsid w:val="009C53C4"/>
    <w:rsid w:val="009C648F"/>
    <w:rsid w:val="009C7F02"/>
    <w:rsid w:val="009D0200"/>
    <w:rsid w:val="009D21D7"/>
    <w:rsid w:val="009D22A2"/>
    <w:rsid w:val="009D302A"/>
    <w:rsid w:val="009D306B"/>
    <w:rsid w:val="009D476E"/>
    <w:rsid w:val="009D4921"/>
    <w:rsid w:val="009D4BAD"/>
    <w:rsid w:val="009D60DF"/>
    <w:rsid w:val="009D629C"/>
    <w:rsid w:val="009D63F2"/>
    <w:rsid w:val="009D7D6D"/>
    <w:rsid w:val="009E03E3"/>
    <w:rsid w:val="009E14CA"/>
    <w:rsid w:val="009E173B"/>
    <w:rsid w:val="009E1755"/>
    <w:rsid w:val="009E1A84"/>
    <w:rsid w:val="009E2213"/>
    <w:rsid w:val="009E284B"/>
    <w:rsid w:val="009E33A5"/>
    <w:rsid w:val="009E3B73"/>
    <w:rsid w:val="009E43D6"/>
    <w:rsid w:val="009E6AE6"/>
    <w:rsid w:val="009E78B4"/>
    <w:rsid w:val="009E7B90"/>
    <w:rsid w:val="009E7B9E"/>
    <w:rsid w:val="009F0D82"/>
    <w:rsid w:val="009F1D4C"/>
    <w:rsid w:val="009F271A"/>
    <w:rsid w:val="009F2ABD"/>
    <w:rsid w:val="009F365E"/>
    <w:rsid w:val="009F4401"/>
    <w:rsid w:val="009F4609"/>
    <w:rsid w:val="009F4BF2"/>
    <w:rsid w:val="009F51AC"/>
    <w:rsid w:val="009F5239"/>
    <w:rsid w:val="009F5CDC"/>
    <w:rsid w:val="009F6689"/>
    <w:rsid w:val="009F6C49"/>
    <w:rsid w:val="009F737A"/>
    <w:rsid w:val="00A002A4"/>
    <w:rsid w:val="00A007E4"/>
    <w:rsid w:val="00A008D3"/>
    <w:rsid w:val="00A01EF0"/>
    <w:rsid w:val="00A02148"/>
    <w:rsid w:val="00A02AB0"/>
    <w:rsid w:val="00A02D3D"/>
    <w:rsid w:val="00A0463F"/>
    <w:rsid w:val="00A0480E"/>
    <w:rsid w:val="00A058D7"/>
    <w:rsid w:val="00A05EEA"/>
    <w:rsid w:val="00A0659E"/>
    <w:rsid w:val="00A0672F"/>
    <w:rsid w:val="00A1001D"/>
    <w:rsid w:val="00A108B2"/>
    <w:rsid w:val="00A1102F"/>
    <w:rsid w:val="00A11367"/>
    <w:rsid w:val="00A11A50"/>
    <w:rsid w:val="00A12350"/>
    <w:rsid w:val="00A13D7B"/>
    <w:rsid w:val="00A1437C"/>
    <w:rsid w:val="00A145E6"/>
    <w:rsid w:val="00A147C4"/>
    <w:rsid w:val="00A14B66"/>
    <w:rsid w:val="00A15889"/>
    <w:rsid w:val="00A15B4C"/>
    <w:rsid w:val="00A15FA8"/>
    <w:rsid w:val="00A160EC"/>
    <w:rsid w:val="00A174D1"/>
    <w:rsid w:val="00A200DD"/>
    <w:rsid w:val="00A212C8"/>
    <w:rsid w:val="00A2163A"/>
    <w:rsid w:val="00A21A84"/>
    <w:rsid w:val="00A21D05"/>
    <w:rsid w:val="00A21F90"/>
    <w:rsid w:val="00A24485"/>
    <w:rsid w:val="00A25746"/>
    <w:rsid w:val="00A26334"/>
    <w:rsid w:val="00A267F7"/>
    <w:rsid w:val="00A30AFD"/>
    <w:rsid w:val="00A3100E"/>
    <w:rsid w:val="00A314C5"/>
    <w:rsid w:val="00A34226"/>
    <w:rsid w:val="00A353F6"/>
    <w:rsid w:val="00A360A3"/>
    <w:rsid w:val="00A36290"/>
    <w:rsid w:val="00A362E0"/>
    <w:rsid w:val="00A365C3"/>
    <w:rsid w:val="00A37F00"/>
    <w:rsid w:val="00A404B1"/>
    <w:rsid w:val="00A4069C"/>
    <w:rsid w:val="00A40A50"/>
    <w:rsid w:val="00A40F2A"/>
    <w:rsid w:val="00A4113B"/>
    <w:rsid w:val="00A419E4"/>
    <w:rsid w:val="00A4264F"/>
    <w:rsid w:val="00A44206"/>
    <w:rsid w:val="00A44D7A"/>
    <w:rsid w:val="00A45D74"/>
    <w:rsid w:val="00A45DC8"/>
    <w:rsid w:val="00A460C8"/>
    <w:rsid w:val="00A465DF"/>
    <w:rsid w:val="00A4665E"/>
    <w:rsid w:val="00A46EAF"/>
    <w:rsid w:val="00A47A15"/>
    <w:rsid w:val="00A50381"/>
    <w:rsid w:val="00A508B8"/>
    <w:rsid w:val="00A50E9F"/>
    <w:rsid w:val="00A52EEB"/>
    <w:rsid w:val="00A54635"/>
    <w:rsid w:val="00A54EBA"/>
    <w:rsid w:val="00A55065"/>
    <w:rsid w:val="00A553E0"/>
    <w:rsid w:val="00A557F4"/>
    <w:rsid w:val="00A55909"/>
    <w:rsid w:val="00A55A93"/>
    <w:rsid w:val="00A55B2F"/>
    <w:rsid w:val="00A56253"/>
    <w:rsid w:val="00A5626C"/>
    <w:rsid w:val="00A56A78"/>
    <w:rsid w:val="00A5748E"/>
    <w:rsid w:val="00A577E9"/>
    <w:rsid w:val="00A619B9"/>
    <w:rsid w:val="00A619CC"/>
    <w:rsid w:val="00A61F2A"/>
    <w:rsid w:val="00A6200D"/>
    <w:rsid w:val="00A62613"/>
    <w:rsid w:val="00A62B5D"/>
    <w:rsid w:val="00A62B68"/>
    <w:rsid w:val="00A63640"/>
    <w:rsid w:val="00A647A4"/>
    <w:rsid w:val="00A653C0"/>
    <w:rsid w:val="00A65B03"/>
    <w:rsid w:val="00A6691A"/>
    <w:rsid w:val="00A66CEC"/>
    <w:rsid w:val="00A66FE4"/>
    <w:rsid w:val="00A67D65"/>
    <w:rsid w:val="00A7124E"/>
    <w:rsid w:val="00A712DE"/>
    <w:rsid w:val="00A72129"/>
    <w:rsid w:val="00A724FF"/>
    <w:rsid w:val="00A727DD"/>
    <w:rsid w:val="00A7338C"/>
    <w:rsid w:val="00A74E2F"/>
    <w:rsid w:val="00A7543E"/>
    <w:rsid w:val="00A756F8"/>
    <w:rsid w:val="00A75BDF"/>
    <w:rsid w:val="00A75EB8"/>
    <w:rsid w:val="00A76990"/>
    <w:rsid w:val="00A77488"/>
    <w:rsid w:val="00A776CF"/>
    <w:rsid w:val="00A814E1"/>
    <w:rsid w:val="00A81B4F"/>
    <w:rsid w:val="00A81D9F"/>
    <w:rsid w:val="00A81EFA"/>
    <w:rsid w:val="00A82EDB"/>
    <w:rsid w:val="00A839B9"/>
    <w:rsid w:val="00A83A39"/>
    <w:rsid w:val="00A83E4B"/>
    <w:rsid w:val="00A848D6"/>
    <w:rsid w:val="00A848E7"/>
    <w:rsid w:val="00A8635A"/>
    <w:rsid w:val="00A86440"/>
    <w:rsid w:val="00A86A26"/>
    <w:rsid w:val="00A86EB0"/>
    <w:rsid w:val="00A86F72"/>
    <w:rsid w:val="00A87ECD"/>
    <w:rsid w:val="00A90A09"/>
    <w:rsid w:val="00A90FFD"/>
    <w:rsid w:val="00A91FDD"/>
    <w:rsid w:val="00A92DDF"/>
    <w:rsid w:val="00A92ED1"/>
    <w:rsid w:val="00A92F5F"/>
    <w:rsid w:val="00A9472E"/>
    <w:rsid w:val="00A95311"/>
    <w:rsid w:val="00A95FF7"/>
    <w:rsid w:val="00A9695E"/>
    <w:rsid w:val="00A97E47"/>
    <w:rsid w:val="00AA24EC"/>
    <w:rsid w:val="00AA2BEB"/>
    <w:rsid w:val="00AA2C70"/>
    <w:rsid w:val="00AA2CE6"/>
    <w:rsid w:val="00AA3137"/>
    <w:rsid w:val="00AA3EC6"/>
    <w:rsid w:val="00AA3F14"/>
    <w:rsid w:val="00AA4071"/>
    <w:rsid w:val="00AA4539"/>
    <w:rsid w:val="00AA457F"/>
    <w:rsid w:val="00AA46EA"/>
    <w:rsid w:val="00AA54A2"/>
    <w:rsid w:val="00AA6552"/>
    <w:rsid w:val="00AA68F5"/>
    <w:rsid w:val="00AA73DB"/>
    <w:rsid w:val="00AA79A4"/>
    <w:rsid w:val="00AB1872"/>
    <w:rsid w:val="00AB2130"/>
    <w:rsid w:val="00AB319B"/>
    <w:rsid w:val="00AB34E7"/>
    <w:rsid w:val="00AB35C2"/>
    <w:rsid w:val="00AB35CF"/>
    <w:rsid w:val="00AB3EDA"/>
    <w:rsid w:val="00AB492E"/>
    <w:rsid w:val="00AB5220"/>
    <w:rsid w:val="00AB522B"/>
    <w:rsid w:val="00AB586D"/>
    <w:rsid w:val="00AB688F"/>
    <w:rsid w:val="00AB68BD"/>
    <w:rsid w:val="00AB7802"/>
    <w:rsid w:val="00AC0072"/>
    <w:rsid w:val="00AC094F"/>
    <w:rsid w:val="00AC124F"/>
    <w:rsid w:val="00AC2815"/>
    <w:rsid w:val="00AC2B99"/>
    <w:rsid w:val="00AC2C77"/>
    <w:rsid w:val="00AC3977"/>
    <w:rsid w:val="00AC4E4B"/>
    <w:rsid w:val="00AC5235"/>
    <w:rsid w:val="00AC57CB"/>
    <w:rsid w:val="00AC7454"/>
    <w:rsid w:val="00AD1268"/>
    <w:rsid w:val="00AD15F6"/>
    <w:rsid w:val="00AD1814"/>
    <w:rsid w:val="00AD1944"/>
    <w:rsid w:val="00AD1E8C"/>
    <w:rsid w:val="00AD200F"/>
    <w:rsid w:val="00AD2188"/>
    <w:rsid w:val="00AD2D75"/>
    <w:rsid w:val="00AD2DD5"/>
    <w:rsid w:val="00AD3B66"/>
    <w:rsid w:val="00AD4037"/>
    <w:rsid w:val="00AD4A7C"/>
    <w:rsid w:val="00AD5BB4"/>
    <w:rsid w:val="00AD6BCE"/>
    <w:rsid w:val="00AD7028"/>
    <w:rsid w:val="00AD7601"/>
    <w:rsid w:val="00AD7F77"/>
    <w:rsid w:val="00AE037C"/>
    <w:rsid w:val="00AE0A3B"/>
    <w:rsid w:val="00AE1657"/>
    <w:rsid w:val="00AE2845"/>
    <w:rsid w:val="00AE2C2C"/>
    <w:rsid w:val="00AE305E"/>
    <w:rsid w:val="00AE3F22"/>
    <w:rsid w:val="00AE4021"/>
    <w:rsid w:val="00AE44B6"/>
    <w:rsid w:val="00AE64F8"/>
    <w:rsid w:val="00AE6CF3"/>
    <w:rsid w:val="00AE6EF0"/>
    <w:rsid w:val="00AE70F1"/>
    <w:rsid w:val="00AE7112"/>
    <w:rsid w:val="00AE7500"/>
    <w:rsid w:val="00AE7894"/>
    <w:rsid w:val="00AE7FFA"/>
    <w:rsid w:val="00AF0086"/>
    <w:rsid w:val="00AF05F6"/>
    <w:rsid w:val="00AF091D"/>
    <w:rsid w:val="00AF10BF"/>
    <w:rsid w:val="00AF1D5C"/>
    <w:rsid w:val="00AF30CE"/>
    <w:rsid w:val="00AF3122"/>
    <w:rsid w:val="00AF34BF"/>
    <w:rsid w:val="00AF3633"/>
    <w:rsid w:val="00AF4489"/>
    <w:rsid w:val="00AF58E8"/>
    <w:rsid w:val="00AF7477"/>
    <w:rsid w:val="00B001E8"/>
    <w:rsid w:val="00B00D4F"/>
    <w:rsid w:val="00B00DA3"/>
    <w:rsid w:val="00B01CE2"/>
    <w:rsid w:val="00B01F85"/>
    <w:rsid w:val="00B027E9"/>
    <w:rsid w:val="00B0281E"/>
    <w:rsid w:val="00B02904"/>
    <w:rsid w:val="00B02B15"/>
    <w:rsid w:val="00B03247"/>
    <w:rsid w:val="00B03544"/>
    <w:rsid w:val="00B03877"/>
    <w:rsid w:val="00B03944"/>
    <w:rsid w:val="00B039B5"/>
    <w:rsid w:val="00B03D58"/>
    <w:rsid w:val="00B050E1"/>
    <w:rsid w:val="00B051CB"/>
    <w:rsid w:val="00B05EBE"/>
    <w:rsid w:val="00B072CB"/>
    <w:rsid w:val="00B10241"/>
    <w:rsid w:val="00B10B25"/>
    <w:rsid w:val="00B12E19"/>
    <w:rsid w:val="00B14EF7"/>
    <w:rsid w:val="00B16684"/>
    <w:rsid w:val="00B16705"/>
    <w:rsid w:val="00B16F4C"/>
    <w:rsid w:val="00B16F82"/>
    <w:rsid w:val="00B1714E"/>
    <w:rsid w:val="00B208F3"/>
    <w:rsid w:val="00B21551"/>
    <w:rsid w:val="00B2177B"/>
    <w:rsid w:val="00B21A0F"/>
    <w:rsid w:val="00B23EF0"/>
    <w:rsid w:val="00B2537C"/>
    <w:rsid w:val="00B27368"/>
    <w:rsid w:val="00B27691"/>
    <w:rsid w:val="00B305D0"/>
    <w:rsid w:val="00B312B3"/>
    <w:rsid w:val="00B31C6D"/>
    <w:rsid w:val="00B33F15"/>
    <w:rsid w:val="00B3454A"/>
    <w:rsid w:val="00B3591D"/>
    <w:rsid w:val="00B36375"/>
    <w:rsid w:val="00B36EE5"/>
    <w:rsid w:val="00B37200"/>
    <w:rsid w:val="00B40B35"/>
    <w:rsid w:val="00B4112F"/>
    <w:rsid w:val="00B429A3"/>
    <w:rsid w:val="00B438FC"/>
    <w:rsid w:val="00B4428B"/>
    <w:rsid w:val="00B44E56"/>
    <w:rsid w:val="00B4563A"/>
    <w:rsid w:val="00B513E7"/>
    <w:rsid w:val="00B51F17"/>
    <w:rsid w:val="00B52894"/>
    <w:rsid w:val="00B54D88"/>
    <w:rsid w:val="00B55409"/>
    <w:rsid w:val="00B55808"/>
    <w:rsid w:val="00B55834"/>
    <w:rsid w:val="00B5769C"/>
    <w:rsid w:val="00B57988"/>
    <w:rsid w:val="00B602A5"/>
    <w:rsid w:val="00B60DDB"/>
    <w:rsid w:val="00B61B29"/>
    <w:rsid w:val="00B61F18"/>
    <w:rsid w:val="00B62075"/>
    <w:rsid w:val="00B62BE1"/>
    <w:rsid w:val="00B63370"/>
    <w:rsid w:val="00B63CAC"/>
    <w:rsid w:val="00B66282"/>
    <w:rsid w:val="00B666A1"/>
    <w:rsid w:val="00B672AB"/>
    <w:rsid w:val="00B674F0"/>
    <w:rsid w:val="00B67F12"/>
    <w:rsid w:val="00B700E6"/>
    <w:rsid w:val="00B70492"/>
    <w:rsid w:val="00B72429"/>
    <w:rsid w:val="00B7277C"/>
    <w:rsid w:val="00B74ED6"/>
    <w:rsid w:val="00B75320"/>
    <w:rsid w:val="00B75FF3"/>
    <w:rsid w:val="00B77413"/>
    <w:rsid w:val="00B77EC4"/>
    <w:rsid w:val="00B80FA2"/>
    <w:rsid w:val="00B81046"/>
    <w:rsid w:val="00B814D8"/>
    <w:rsid w:val="00B82A34"/>
    <w:rsid w:val="00B84431"/>
    <w:rsid w:val="00B84C15"/>
    <w:rsid w:val="00B84D52"/>
    <w:rsid w:val="00B85248"/>
    <w:rsid w:val="00B85FBE"/>
    <w:rsid w:val="00B90E52"/>
    <w:rsid w:val="00B91F9F"/>
    <w:rsid w:val="00B942DA"/>
    <w:rsid w:val="00B946D4"/>
    <w:rsid w:val="00B94A3A"/>
    <w:rsid w:val="00B94DA6"/>
    <w:rsid w:val="00B97169"/>
    <w:rsid w:val="00B976DF"/>
    <w:rsid w:val="00B978F1"/>
    <w:rsid w:val="00B97DE0"/>
    <w:rsid w:val="00BA01E0"/>
    <w:rsid w:val="00BA09B7"/>
    <w:rsid w:val="00BA0B82"/>
    <w:rsid w:val="00BA25F3"/>
    <w:rsid w:val="00BA2EE1"/>
    <w:rsid w:val="00BA3193"/>
    <w:rsid w:val="00BA3837"/>
    <w:rsid w:val="00BA3DE2"/>
    <w:rsid w:val="00BA464B"/>
    <w:rsid w:val="00BA46DD"/>
    <w:rsid w:val="00BA51C8"/>
    <w:rsid w:val="00BA54BD"/>
    <w:rsid w:val="00BA62CB"/>
    <w:rsid w:val="00BA65A8"/>
    <w:rsid w:val="00BA7D3C"/>
    <w:rsid w:val="00BB064F"/>
    <w:rsid w:val="00BB0653"/>
    <w:rsid w:val="00BB084C"/>
    <w:rsid w:val="00BB1178"/>
    <w:rsid w:val="00BB140E"/>
    <w:rsid w:val="00BB1A94"/>
    <w:rsid w:val="00BB1AE0"/>
    <w:rsid w:val="00BB215A"/>
    <w:rsid w:val="00BB2ACA"/>
    <w:rsid w:val="00BB442A"/>
    <w:rsid w:val="00BB5871"/>
    <w:rsid w:val="00BB5D6E"/>
    <w:rsid w:val="00BB611E"/>
    <w:rsid w:val="00BB649A"/>
    <w:rsid w:val="00BB69D6"/>
    <w:rsid w:val="00BC07B6"/>
    <w:rsid w:val="00BC1A6B"/>
    <w:rsid w:val="00BC20F1"/>
    <w:rsid w:val="00BC2D4B"/>
    <w:rsid w:val="00BC5918"/>
    <w:rsid w:val="00BC61C2"/>
    <w:rsid w:val="00BC69DD"/>
    <w:rsid w:val="00BC6E04"/>
    <w:rsid w:val="00BC6F5F"/>
    <w:rsid w:val="00BC7476"/>
    <w:rsid w:val="00BD3A76"/>
    <w:rsid w:val="00BD6BF8"/>
    <w:rsid w:val="00BD6D4C"/>
    <w:rsid w:val="00BE0773"/>
    <w:rsid w:val="00BE186B"/>
    <w:rsid w:val="00BE1934"/>
    <w:rsid w:val="00BE1E81"/>
    <w:rsid w:val="00BE2637"/>
    <w:rsid w:val="00BE2DBD"/>
    <w:rsid w:val="00BE2EBA"/>
    <w:rsid w:val="00BE3946"/>
    <w:rsid w:val="00BE3DC7"/>
    <w:rsid w:val="00BE3FC1"/>
    <w:rsid w:val="00BE4822"/>
    <w:rsid w:val="00BE5588"/>
    <w:rsid w:val="00BE68B3"/>
    <w:rsid w:val="00BE7E2D"/>
    <w:rsid w:val="00BF005C"/>
    <w:rsid w:val="00BF00B7"/>
    <w:rsid w:val="00BF00CA"/>
    <w:rsid w:val="00BF0B79"/>
    <w:rsid w:val="00BF2263"/>
    <w:rsid w:val="00BF3D49"/>
    <w:rsid w:val="00BF3F7E"/>
    <w:rsid w:val="00BF4120"/>
    <w:rsid w:val="00BF4EC6"/>
    <w:rsid w:val="00BF53A6"/>
    <w:rsid w:val="00BF54EE"/>
    <w:rsid w:val="00BF55CA"/>
    <w:rsid w:val="00BF5ED6"/>
    <w:rsid w:val="00BF6005"/>
    <w:rsid w:val="00BF61A8"/>
    <w:rsid w:val="00BF6442"/>
    <w:rsid w:val="00BF66C1"/>
    <w:rsid w:val="00BF6B7C"/>
    <w:rsid w:val="00BF6C04"/>
    <w:rsid w:val="00BF6F32"/>
    <w:rsid w:val="00C020C6"/>
    <w:rsid w:val="00C0454E"/>
    <w:rsid w:val="00C0497C"/>
    <w:rsid w:val="00C06469"/>
    <w:rsid w:val="00C06510"/>
    <w:rsid w:val="00C06B55"/>
    <w:rsid w:val="00C11CAE"/>
    <w:rsid w:val="00C129CC"/>
    <w:rsid w:val="00C13053"/>
    <w:rsid w:val="00C1412B"/>
    <w:rsid w:val="00C144E0"/>
    <w:rsid w:val="00C14AF2"/>
    <w:rsid w:val="00C1547B"/>
    <w:rsid w:val="00C1634E"/>
    <w:rsid w:val="00C17B85"/>
    <w:rsid w:val="00C201FD"/>
    <w:rsid w:val="00C20481"/>
    <w:rsid w:val="00C20872"/>
    <w:rsid w:val="00C22A38"/>
    <w:rsid w:val="00C23A11"/>
    <w:rsid w:val="00C23FFB"/>
    <w:rsid w:val="00C242EF"/>
    <w:rsid w:val="00C245A0"/>
    <w:rsid w:val="00C251A1"/>
    <w:rsid w:val="00C252B5"/>
    <w:rsid w:val="00C25D93"/>
    <w:rsid w:val="00C25E28"/>
    <w:rsid w:val="00C25F47"/>
    <w:rsid w:val="00C266F2"/>
    <w:rsid w:val="00C26986"/>
    <w:rsid w:val="00C2725C"/>
    <w:rsid w:val="00C273C4"/>
    <w:rsid w:val="00C27D66"/>
    <w:rsid w:val="00C30E15"/>
    <w:rsid w:val="00C3118B"/>
    <w:rsid w:val="00C31C41"/>
    <w:rsid w:val="00C31CA1"/>
    <w:rsid w:val="00C33089"/>
    <w:rsid w:val="00C33718"/>
    <w:rsid w:val="00C33809"/>
    <w:rsid w:val="00C34585"/>
    <w:rsid w:val="00C345A6"/>
    <w:rsid w:val="00C356D4"/>
    <w:rsid w:val="00C35B9E"/>
    <w:rsid w:val="00C35EEE"/>
    <w:rsid w:val="00C3628D"/>
    <w:rsid w:val="00C3679C"/>
    <w:rsid w:val="00C3729B"/>
    <w:rsid w:val="00C375E8"/>
    <w:rsid w:val="00C379BD"/>
    <w:rsid w:val="00C37EC0"/>
    <w:rsid w:val="00C4073A"/>
    <w:rsid w:val="00C40758"/>
    <w:rsid w:val="00C40BE3"/>
    <w:rsid w:val="00C41A2E"/>
    <w:rsid w:val="00C4244B"/>
    <w:rsid w:val="00C430FD"/>
    <w:rsid w:val="00C43125"/>
    <w:rsid w:val="00C4320F"/>
    <w:rsid w:val="00C458B0"/>
    <w:rsid w:val="00C47423"/>
    <w:rsid w:val="00C475CD"/>
    <w:rsid w:val="00C50B7E"/>
    <w:rsid w:val="00C50DFE"/>
    <w:rsid w:val="00C51755"/>
    <w:rsid w:val="00C528EE"/>
    <w:rsid w:val="00C530B3"/>
    <w:rsid w:val="00C54F0C"/>
    <w:rsid w:val="00C56683"/>
    <w:rsid w:val="00C57644"/>
    <w:rsid w:val="00C57D94"/>
    <w:rsid w:val="00C57FB0"/>
    <w:rsid w:val="00C60060"/>
    <w:rsid w:val="00C61135"/>
    <w:rsid w:val="00C62C1E"/>
    <w:rsid w:val="00C63F11"/>
    <w:rsid w:val="00C6475F"/>
    <w:rsid w:val="00C649AC"/>
    <w:rsid w:val="00C64B73"/>
    <w:rsid w:val="00C6522A"/>
    <w:rsid w:val="00C65A48"/>
    <w:rsid w:val="00C67188"/>
    <w:rsid w:val="00C70187"/>
    <w:rsid w:val="00C704F9"/>
    <w:rsid w:val="00C70AF0"/>
    <w:rsid w:val="00C70CF6"/>
    <w:rsid w:val="00C715CB"/>
    <w:rsid w:val="00C71A83"/>
    <w:rsid w:val="00C71CC8"/>
    <w:rsid w:val="00C7271D"/>
    <w:rsid w:val="00C732B0"/>
    <w:rsid w:val="00C73F04"/>
    <w:rsid w:val="00C74FEB"/>
    <w:rsid w:val="00C75868"/>
    <w:rsid w:val="00C7738C"/>
    <w:rsid w:val="00C77877"/>
    <w:rsid w:val="00C77CEE"/>
    <w:rsid w:val="00C8081F"/>
    <w:rsid w:val="00C80A50"/>
    <w:rsid w:val="00C80F43"/>
    <w:rsid w:val="00C82383"/>
    <w:rsid w:val="00C829E7"/>
    <w:rsid w:val="00C842B9"/>
    <w:rsid w:val="00C84335"/>
    <w:rsid w:val="00C84553"/>
    <w:rsid w:val="00C85000"/>
    <w:rsid w:val="00C86507"/>
    <w:rsid w:val="00C86CFB"/>
    <w:rsid w:val="00C872B3"/>
    <w:rsid w:val="00C87DD8"/>
    <w:rsid w:val="00C902A4"/>
    <w:rsid w:val="00C9066E"/>
    <w:rsid w:val="00C918B5"/>
    <w:rsid w:val="00C91B73"/>
    <w:rsid w:val="00C933D6"/>
    <w:rsid w:val="00C93A22"/>
    <w:rsid w:val="00C94087"/>
    <w:rsid w:val="00C9408F"/>
    <w:rsid w:val="00C944F3"/>
    <w:rsid w:val="00C945C8"/>
    <w:rsid w:val="00C9643C"/>
    <w:rsid w:val="00C971A1"/>
    <w:rsid w:val="00C975A3"/>
    <w:rsid w:val="00C97636"/>
    <w:rsid w:val="00C97E1F"/>
    <w:rsid w:val="00CA066D"/>
    <w:rsid w:val="00CA22DE"/>
    <w:rsid w:val="00CA2587"/>
    <w:rsid w:val="00CA2BCB"/>
    <w:rsid w:val="00CA2EA2"/>
    <w:rsid w:val="00CA45AE"/>
    <w:rsid w:val="00CA4C29"/>
    <w:rsid w:val="00CA6D91"/>
    <w:rsid w:val="00CA741B"/>
    <w:rsid w:val="00CB00C9"/>
    <w:rsid w:val="00CB0B78"/>
    <w:rsid w:val="00CB196E"/>
    <w:rsid w:val="00CB1B07"/>
    <w:rsid w:val="00CB3EC3"/>
    <w:rsid w:val="00CB493F"/>
    <w:rsid w:val="00CB57A2"/>
    <w:rsid w:val="00CB598B"/>
    <w:rsid w:val="00CB6445"/>
    <w:rsid w:val="00CB6B2D"/>
    <w:rsid w:val="00CC005C"/>
    <w:rsid w:val="00CC00FE"/>
    <w:rsid w:val="00CC01BC"/>
    <w:rsid w:val="00CC0490"/>
    <w:rsid w:val="00CC09B9"/>
    <w:rsid w:val="00CC0CAA"/>
    <w:rsid w:val="00CC10D8"/>
    <w:rsid w:val="00CC21AF"/>
    <w:rsid w:val="00CC2597"/>
    <w:rsid w:val="00CC2861"/>
    <w:rsid w:val="00CC377C"/>
    <w:rsid w:val="00CC59A8"/>
    <w:rsid w:val="00CC6E28"/>
    <w:rsid w:val="00CC7D09"/>
    <w:rsid w:val="00CD0CD0"/>
    <w:rsid w:val="00CD11EA"/>
    <w:rsid w:val="00CD17BB"/>
    <w:rsid w:val="00CD1EBA"/>
    <w:rsid w:val="00CD3A90"/>
    <w:rsid w:val="00CD3A91"/>
    <w:rsid w:val="00CD3CBA"/>
    <w:rsid w:val="00CD58AA"/>
    <w:rsid w:val="00CD735F"/>
    <w:rsid w:val="00CE044D"/>
    <w:rsid w:val="00CE071B"/>
    <w:rsid w:val="00CE093E"/>
    <w:rsid w:val="00CE2872"/>
    <w:rsid w:val="00CE2F3A"/>
    <w:rsid w:val="00CE2F91"/>
    <w:rsid w:val="00CE3CEF"/>
    <w:rsid w:val="00CE471C"/>
    <w:rsid w:val="00CE4F03"/>
    <w:rsid w:val="00CE6743"/>
    <w:rsid w:val="00CE7F1B"/>
    <w:rsid w:val="00CF1CF0"/>
    <w:rsid w:val="00CF2076"/>
    <w:rsid w:val="00CF38FC"/>
    <w:rsid w:val="00CF48DF"/>
    <w:rsid w:val="00CF4FC3"/>
    <w:rsid w:val="00CF61A5"/>
    <w:rsid w:val="00CF719D"/>
    <w:rsid w:val="00D017FE"/>
    <w:rsid w:val="00D01813"/>
    <w:rsid w:val="00D01B19"/>
    <w:rsid w:val="00D01D5A"/>
    <w:rsid w:val="00D0205A"/>
    <w:rsid w:val="00D027F2"/>
    <w:rsid w:val="00D035C4"/>
    <w:rsid w:val="00D0392F"/>
    <w:rsid w:val="00D04AF8"/>
    <w:rsid w:val="00D05272"/>
    <w:rsid w:val="00D05DE5"/>
    <w:rsid w:val="00D05FFA"/>
    <w:rsid w:val="00D06A18"/>
    <w:rsid w:val="00D073E8"/>
    <w:rsid w:val="00D07B83"/>
    <w:rsid w:val="00D10792"/>
    <w:rsid w:val="00D10899"/>
    <w:rsid w:val="00D10AD7"/>
    <w:rsid w:val="00D10CE6"/>
    <w:rsid w:val="00D113E6"/>
    <w:rsid w:val="00D1364B"/>
    <w:rsid w:val="00D136E9"/>
    <w:rsid w:val="00D13F61"/>
    <w:rsid w:val="00D1504F"/>
    <w:rsid w:val="00D15078"/>
    <w:rsid w:val="00D15082"/>
    <w:rsid w:val="00D154BA"/>
    <w:rsid w:val="00D158FF"/>
    <w:rsid w:val="00D15FC6"/>
    <w:rsid w:val="00D168FA"/>
    <w:rsid w:val="00D16E46"/>
    <w:rsid w:val="00D20968"/>
    <w:rsid w:val="00D21CCF"/>
    <w:rsid w:val="00D223C3"/>
    <w:rsid w:val="00D2342E"/>
    <w:rsid w:val="00D2420C"/>
    <w:rsid w:val="00D259C1"/>
    <w:rsid w:val="00D272AC"/>
    <w:rsid w:val="00D2734B"/>
    <w:rsid w:val="00D30353"/>
    <w:rsid w:val="00D305AB"/>
    <w:rsid w:val="00D32A29"/>
    <w:rsid w:val="00D32A2C"/>
    <w:rsid w:val="00D32B2E"/>
    <w:rsid w:val="00D334FC"/>
    <w:rsid w:val="00D3494C"/>
    <w:rsid w:val="00D3672D"/>
    <w:rsid w:val="00D37073"/>
    <w:rsid w:val="00D37585"/>
    <w:rsid w:val="00D377C3"/>
    <w:rsid w:val="00D40B51"/>
    <w:rsid w:val="00D42463"/>
    <w:rsid w:val="00D42E18"/>
    <w:rsid w:val="00D42E64"/>
    <w:rsid w:val="00D4477D"/>
    <w:rsid w:val="00D45510"/>
    <w:rsid w:val="00D46420"/>
    <w:rsid w:val="00D47CBF"/>
    <w:rsid w:val="00D50B3D"/>
    <w:rsid w:val="00D51412"/>
    <w:rsid w:val="00D520F1"/>
    <w:rsid w:val="00D522B9"/>
    <w:rsid w:val="00D52A28"/>
    <w:rsid w:val="00D52C3B"/>
    <w:rsid w:val="00D5348D"/>
    <w:rsid w:val="00D53A25"/>
    <w:rsid w:val="00D5442A"/>
    <w:rsid w:val="00D554E0"/>
    <w:rsid w:val="00D56D94"/>
    <w:rsid w:val="00D577B5"/>
    <w:rsid w:val="00D61189"/>
    <w:rsid w:val="00D627FE"/>
    <w:rsid w:val="00D62908"/>
    <w:rsid w:val="00D62F5C"/>
    <w:rsid w:val="00D63725"/>
    <w:rsid w:val="00D63C83"/>
    <w:rsid w:val="00D6426D"/>
    <w:rsid w:val="00D644B7"/>
    <w:rsid w:val="00D65181"/>
    <w:rsid w:val="00D65712"/>
    <w:rsid w:val="00D65E79"/>
    <w:rsid w:val="00D66178"/>
    <w:rsid w:val="00D66FE2"/>
    <w:rsid w:val="00D67D56"/>
    <w:rsid w:val="00D67D6C"/>
    <w:rsid w:val="00D703A8"/>
    <w:rsid w:val="00D70F46"/>
    <w:rsid w:val="00D71B1A"/>
    <w:rsid w:val="00D723D3"/>
    <w:rsid w:val="00D73F72"/>
    <w:rsid w:val="00D7422A"/>
    <w:rsid w:val="00D74F6F"/>
    <w:rsid w:val="00D75C26"/>
    <w:rsid w:val="00D75DBE"/>
    <w:rsid w:val="00D7633A"/>
    <w:rsid w:val="00D76E5A"/>
    <w:rsid w:val="00D77895"/>
    <w:rsid w:val="00D77FB3"/>
    <w:rsid w:val="00D804AC"/>
    <w:rsid w:val="00D80902"/>
    <w:rsid w:val="00D8192B"/>
    <w:rsid w:val="00D84ABF"/>
    <w:rsid w:val="00D8546F"/>
    <w:rsid w:val="00D855B9"/>
    <w:rsid w:val="00D86850"/>
    <w:rsid w:val="00D86978"/>
    <w:rsid w:val="00D86BE6"/>
    <w:rsid w:val="00D90065"/>
    <w:rsid w:val="00D90CCA"/>
    <w:rsid w:val="00D91801"/>
    <w:rsid w:val="00D91D27"/>
    <w:rsid w:val="00D92C74"/>
    <w:rsid w:val="00D93B5C"/>
    <w:rsid w:val="00D941F1"/>
    <w:rsid w:val="00D941F7"/>
    <w:rsid w:val="00D9506A"/>
    <w:rsid w:val="00D95824"/>
    <w:rsid w:val="00D958E8"/>
    <w:rsid w:val="00D95EA6"/>
    <w:rsid w:val="00D977D6"/>
    <w:rsid w:val="00DA0E6B"/>
    <w:rsid w:val="00DA17F1"/>
    <w:rsid w:val="00DA3294"/>
    <w:rsid w:val="00DA3FCA"/>
    <w:rsid w:val="00DA474C"/>
    <w:rsid w:val="00DA4E65"/>
    <w:rsid w:val="00DA5032"/>
    <w:rsid w:val="00DA5EA3"/>
    <w:rsid w:val="00DA640B"/>
    <w:rsid w:val="00DA660E"/>
    <w:rsid w:val="00DA6D9E"/>
    <w:rsid w:val="00DA72BB"/>
    <w:rsid w:val="00DB020C"/>
    <w:rsid w:val="00DB1AED"/>
    <w:rsid w:val="00DB40DB"/>
    <w:rsid w:val="00DB481C"/>
    <w:rsid w:val="00DB50FB"/>
    <w:rsid w:val="00DB78F3"/>
    <w:rsid w:val="00DB7A83"/>
    <w:rsid w:val="00DB7C4B"/>
    <w:rsid w:val="00DB7DAE"/>
    <w:rsid w:val="00DC0DE8"/>
    <w:rsid w:val="00DC2F3B"/>
    <w:rsid w:val="00DC3B50"/>
    <w:rsid w:val="00DC4FAB"/>
    <w:rsid w:val="00DC593E"/>
    <w:rsid w:val="00DC5F25"/>
    <w:rsid w:val="00DC7052"/>
    <w:rsid w:val="00DC70D6"/>
    <w:rsid w:val="00DC75CE"/>
    <w:rsid w:val="00DC7C3A"/>
    <w:rsid w:val="00DD0D0B"/>
    <w:rsid w:val="00DD2274"/>
    <w:rsid w:val="00DD365D"/>
    <w:rsid w:val="00DD3D60"/>
    <w:rsid w:val="00DD501A"/>
    <w:rsid w:val="00DD50D8"/>
    <w:rsid w:val="00DD5A01"/>
    <w:rsid w:val="00DD5A50"/>
    <w:rsid w:val="00DD6AD5"/>
    <w:rsid w:val="00DD7A63"/>
    <w:rsid w:val="00DD7D2E"/>
    <w:rsid w:val="00DE0710"/>
    <w:rsid w:val="00DE175D"/>
    <w:rsid w:val="00DE21E4"/>
    <w:rsid w:val="00DE420C"/>
    <w:rsid w:val="00DE4914"/>
    <w:rsid w:val="00DE6214"/>
    <w:rsid w:val="00DE7135"/>
    <w:rsid w:val="00DE779A"/>
    <w:rsid w:val="00DE7F13"/>
    <w:rsid w:val="00DF058E"/>
    <w:rsid w:val="00DF2301"/>
    <w:rsid w:val="00DF356A"/>
    <w:rsid w:val="00DF390F"/>
    <w:rsid w:val="00DF489C"/>
    <w:rsid w:val="00DF4E06"/>
    <w:rsid w:val="00DF4E10"/>
    <w:rsid w:val="00DF6145"/>
    <w:rsid w:val="00DF728F"/>
    <w:rsid w:val="00DF7B52"/>
    <w:rsid w:val="00E00110"/>
    <w:rsid w:val="00E00179"/>
    <w:rsid w:val="00E00FEE"/>
    <w:rsid w:val="00E01132"/>
    <w:rsid w:val="00E040C2"/>
    <w:rsid w:val="00E04DEF"/>
    <w:rsid w:val="00E055C8"/>
    <w:rsid w:val="00E05C9F"/>
    <w:rsid w:val="00E06961"/>
    <w:rsid w:val="00E11C5E"/>
    <w:rsid w:val="00E12016"/>
    <w:rsid w:val="00E124F2"/>
    <w:rsid w:val="00E14CE6"/>
    <w:rsid w:val="00E15408"/>
    <w:rsid w:val="00E157B3"/>
    <w:rsid w:val="00E15D58"/>
    <w:rsid w:val="00E15DC9"/>
    <w:rsid w:val="00E173AC"/>
    <w:rsid w:val="00E2024B"/>
    <w:rsid w:val="00E20652"/>
    <w:rsid w:val="00E2165B"/>
    <w:rsid w:val="00E23CB7"/>
    <w:rsid w:val="00E23D71"/>
    <w:rsid w:val="00E250D8"/>
    <w:rsid w:val="00E26A5F"/>
    <w:rsid w:val="00E26BDE"/>
    <w:rsid w:val="00E277F8"/>
    <w:rsid w:val="00E30139"/>
    <w:rsid w:val="00E30E99"/>
    <w:rsid w:val="00E328D4"/>
    <w:rsid w:val="00E32CB0"/>
    <w:rsid w:val="00E344E8"/>
    <w:rsid w:val="00E34C75"/>
    <w:rsid w:val="00E3506B"/>
    <w:rsid w:val="00E35B71"/>
    <w:rsid w:val="00E3678F"/>
    <w:rsid w:val="00E36A1D"/>
    <w:rsid w:val="00E36F68"/>
    <w:rsid w:val="00E4284C"/>
    <w:rsid w:val="00E43A64"/>
    <w:rsid w:val="00E44827"/>
    <w:rsid w:val="00E45A09"/>
    <w:rsid w:val="00E46195"/>
    <w:rsid w:val="00E4763F"/>
    <w:rsid w:val="00E478E0"/>
    <w:rsid w:val="00E50247"/>
    <w:rsid w:val="00E52A77"/>
    <w:rsid w:val="00E53E47"/>
    <w:rsid w:val="00E562CA"/>
    <w:rsid w:val="00E565FE"/>
    <w:rsid w:val="00E60596"/>
    <w:rsid w:val="00E606D1"/>
    <w:rsid w:val="00E61484"/>
    <w:rsid w:val="00E614A1"/>
    <w:rsid w:val="00E618D6"/>
    <w:rsid w:val="00E61CB6"/>
    <w:rsid w:val="00E620F7"/>
    <w:rsid w:val="00E635EA"/>
    <w:rsid w:val="00E63ABD"/>
    <w:rsid w:val="00E65740"/>
    <w:rsid w:val="00E658C2"/>
    <w:rsid w:val="00E65D8B"/>
    <w:rsid w:val="00E66523"/>
    <w:rsid w:val="00E668A4"/>
    <w:rsid w:val="00E66C2C"/>
    <w:rsid w:val="00E679CA"/>
    <w:rsid w:val="00E67E7A"/>
    <w:rsid w:val="00E70D87"/>
    <w:rsid w:val="00E72320"/>
    <w:rsid w:val="00E7296E"/>
    <w:rsid w:val="00E7390D"/>
    <w:rsid w:val="00E740C1"/>
    <w:rsid w:val="00E743D5"/>
    <w:rsid w:val="00E74ED8"/>
    <w:rsid w:val="00E74FC9"/>
    <w:rsid w:val="00E76041"/>
    <w:rsid w:val="00E77450"/>
    <w:rsid w:val="00E80C12"/>
    <w:rsid w:val="00E812D1"/>
    <w:rsid w:val="00E813B9"/>
    <w:rsid w:val="00E83869"/>
    <w:rsid w:val="00E846A2"/>
    <w:rsid w:val="00E85009"/>
    <w:rsid w:val="00E865C2"/>
    <w:rsid w:val="00E86EA2"/>
    <w:rsid w:val="00E902BA"/>
    <w:rsid w:val="00E903CE"/>
    <w:rsid w:val="00E907CE"/>
    <w:rsid w:val="00E90907"/>
    <w:rsid w:val="00E911B9"/>
    <w:rsid w:val="00E9121F"/>
    <w:rsid w:val="00E91F2A"/>
    <w:rsid w:val="00E924B2"/>
    <w:rsid w:val="00E929AB"/>
    <w:rsid w:val="00E92D61"/>
    <w:rsid w:val="00E94F4A"/>
    <w:rsid w:val="00E9588C"/>
    <w:rsid w:val="00E95CCE"/>
    <w:rsid w:val="00E95D18"/>
    <w:rsid w:val="00E96686"/>
    <w:rsid w:val="00E967B6"/>
    <w:rsid w:val="00E96C8D"/>
    <w:rsid w:val="00E97ADF"/>
    <w:rsid w:val="00EA0DBB"/>
    <w:rsid w:val="00EA13BF"/>
    <w:rsid w:val="00EA15B2"/>
    <w:rsid w:val="00EA3E66"/>
    <w:rsid w:val="00EA4356"/>
    <w:rsid w:val="00EA4823"/>
    <w:rsid w:val="00EA58E7"/>
    <w:rsid w:val="00EA6C94"/>
    <w:rsid w:val="00EA7431"/>
    <w:rsid w:val="00EA7483"/>
    <w:rsid w:val="00EA7BD8"/>
    <w:rsid w:val="00EB0CDF"/>
    <w:rsid w:val="00EB1557"/>
    <w:rsid w:val="00EB17E8"/>
    <w:rsid w:val="00EB1ED7"/>
    <w:rsid w:val="00EB251C"/>
    <w:rsid w:val="00EB286F"/>
    <w:rsid w:val="00EB37E0"/>
    <w:rsid w:val="00EB39D6"/>
    <w:rsid w:val="00EB4F2F"/>
    <w:rsid w:val="00EB57BB"/>
    <w:rsid w:val="00EB5C70"/>
    <w:rsid w:val="00EC099E"/>
    <w:rsid w:val="00EC09E8"/>
    <w:rsid w:val="00EC20AC"/>
    <w:rsid w:val="00EC35BE"/>
    <w:rsid w:val="00EC36F9"/>
    <w:rsid w:val="00EC4A69"/>
    <w:rsid w:val="00EC5728"/>
    <w:rsid w:val="00EC6670"/>
    <w:rsid w:val="00EC6999"/>
    <w:rsid w:val="00ED0358"/>
    <w:rsid w:val="00ED0E44"/>
    <w:rsid w:val="00ED30A1"/>
    <w:rsid w:val="00ED3D62"/>
    <w:rsid w:val="00ED3D67"/>
    <w:rsid w:val="00ED4210"/>
    <w:rsid w:val="00ED4377"/>
    <w:rsid w:val="00ED4DFD"/>
    <w:rsid w:val="00ED50B6"/>
    <w:rsid w:val="00ED5BC2"/>
    <w:rsid w:val="00ED5F8D"/>
    <w:rsid w:val="00ED61CF"/>
    <w:rsid w:val="00ED7A4C"/>
    <w:rsid w:val="00EE0185"/>
    <w:rsid w:val="00EE06B7"/>
    <w:rsid w:val="00EE0BBA"/>
    <w:rsid w:val="00EE0C33"/>
    <w:rsid w:val="00EE11F1"/>
    <w:rsid w:val="00EE1670"/>
    <w:rsid w:val="00EE2239"/>
    <w:rsid w:val="00EE2C02"/>
    <w:rsid w:val="00EE2E6C"/>
    <w:rsid w:val="00EE54E2"/>
    <w:rsid w:val="00EE55D6"/>
    <w:rsid w:val="00EE6EB1"/>
    <w:rsid w:val="00EE7D77"/>
    <w:rsid w:val="00EF00DD"/>
    <w:rsid w:val="00EF0DF7"/>
    <w:rsid w:val="00EF1494"/>
    <w:rsid w:val="00EF1E81"/>
    <w:rsid w:val="00EF5689"/>
    <w:rsid w:val="00EF5EAD"/>
    <w:rsid w:val="00EF6500"/>
    <w:rsid w:val="00EF6ECB"/>
    <w:rsid w:val="00EF6F1B"/>
    <w:rsid w:val="00F007B8"/>
    <w:rsid w:val="00F00FA9"/>
    <w:rsid w:val="00F01226"/>
    <w:rsid w:val="00F01546"/>
    <w:rsid w:val="00F023E5"/>
    <w:rsid w:val="00F031F2"/>
    <w:rsid w:val="00F0411E"/>
    <w:rsid w:val="00F04442"/>
    <w:rsid w:val="00F07C2E"/>
    <w:rsid w:val="00F07F6F"/>
    <w:rsid w:val="00F10A1F"/>
    <w:rsid w:val="00F1178C"/>
    <w:rsid w:val="00F127BF"/>
    <w:rsid w:val="00F132B7"/>
    <w:rsid w:val="00F13352"/>
    <w:rsid w:val="00F16170"/>
    <w:rsid w:val="00F16343"/>
    <w:rsid w:val="00F1651D"/>
    <w:rsid w:val="00F1688E"/>
    <w:rsid w:val="00F16ADC"/>
    <w:rsid w:val="00F203D5"/>
    <w:rsid w:val="00F2056A"/>
    <w:rsid w:val="00F2146C"/>
    <w:rsid w:val="00F2218B"/>
    <w:rsid w:val="00F225F9"/>
    <w:rsid w:val="00F24465"/>
    <w:rsid w:val="00F2479E"/>
    <w:rsid w:val="00F25067"/>
    <w:rsid w:val="00F25884"/>
    <w:rsid w:val="00F27475"/>
    <w:rsid w:val="00F30021"/>
    <w:rsid w:val="00F320BB"/>
    <w:rsid w:val="00F32188"/>
    <w:rsid w:val="00F324DC"/>
    <w:rsid w:val="00F32A9E"/>
    <w:rsid w:val="00F32E04"/>
    <w:rsid w:val="00F32ED5"/>
    <w:rsid w:val="00F34466"/>
    <w:rsid w:val="00F34469"/>
    <w:rsid w:val="00F37885"/>
    <w:rsid w:val="00F37C40"/>
    <w:rsid w:val="00F37DBB"/>
    <w:rsid w:val="00F40A4B"/>
    <w:rsid w:val="00F44EB9"/>
    <w:rsid w:val="00F4569A"/>
    <w:rsid w:val="00F45A2E"/>
    <w:rsid w:val="00F4682D"/>
    <w:rsid w:val="00F46D33"/>
    <w:rsid w:val="00F46F64"/>
    <w:rsid w:val="00F47D3B"/>
    <w:rsid w:val="00F50080"/>
    <w:rsid w:val="00F50923"/>
    <w:rsid w:val="00F50949"/>
    <w:rsid w:val="00F51BE7"/>
    <w:rsid w:val="00F521E9"/>
    <w:rsid w:val="00F53881"/>
    <w:rsid w:val="00F539E2"/>
    <w:rsid w:val="00F53C72"/>
    <w:rsid w:val="00F54A06"/>
    <w:rsid w:val="00F54BE1"/>
    <w:rsid w:val="00F5534A"/>
    <w:rsid w:val="00F55FC4"/>
    <w:rsid w:val="00F57EEE"/>
    <w:rsid w:val="00F6070B"/>
    <w:rsid w:val="00F609B8"/>
    <w:rsid w:val="00F635C6"/>
    <w:rsid w:val="00F641C4"/>
    <w:rsid w:val="00F647EC"/>
    <w:rsid w:val="00F65499"/>
    <w:rsid w:val="00F654F1"/>
    <w:rsid w:val="00F65930"/>
    <w:rsid w:val="00F65BDC"/>
    <w:rsid w:val="00F669F4"/>
    <w:rsid w:val="00F66C58"/>
    <w:rsid w:val="00F66F31"/>
    <w:rsid w:val="00F66FFA"/>
    <w:rsid w:val="00F67A61"/>
    <w:rsid w:val="00F70016"/>
    <w:rsid w:val="00F70453"/>
    <w:rsid w:val="00F716C2"/>
    <w:rsid w:val="00F726FA"/>
    <w:rsid w:val="00F732A1"/>
    <w:rsid w:val="00F73F5F"/>
    <w:rsid w:val="00F74A27"/>
    <w:rsid w:val="00F75953"/>
    <w:rsid w:val="00F769A7"/>
    <w:rsid w:val="00F76A48"/>
    <w:rsid w:val="00F7765B"/>
    <w:rsid w:val="00F80A53"/>
    <w:rsid w:val="00F827C9"/>
    <w:rsid w:val="00F844B4"/>
    <w:rsid w:val="00F85AD5"/>
    <w:rsid w:val="00F85E36"/>
    <w:rsid w:val="00F85F11"/>
    <w:rsid w:val="00F869A4"/>
    <w:rsid w:val="00F905C3"/>
    <w:rsid w:val="00F939DB"/>
    <w:rsid w:val="00F93B05"/>
    <w:rsid w:val="00F93BE2"/>
    <w:rsid w:val="00F94C0A"/>
    <w:rsid w:val="00F95540"/>
    <w:rsid w:val="00F95D72"/>
    <w:rsid w:val="00F95E4D"/>
    <w:rsid w:val="00FA00ED"/>
    <w:rsid w:val="00FA02E9"/>
    <w:rsid w:val="00FA05F4"/>
    <w:rsid w:val="00FA0888"/>
    <w:rsid w:val="00FA4631"/>
    <w:rsid w:val="00FA4788"/>
    <w:rsid w:val="00FA5259"/>
    <w:rsid w:val="00FA7F51"/>
    <w:rsid w:val="00FB0E6D"/>
    <w:rsid w:val="00FB1482"/>
    <w:rsid w:val="00FB1BC2"/>
    <w:rsid w:val="00FB1C47"/>
    <w:rsid w:val="00FB1E76"/>
    <w:rsid w:val="00FB285B"/>
    <w:rsid w:val="00FB4B25"/>
    <w:rsid w:val="00FB513E"/>
    <w:rsid w:val="00FB7905"/>
    <w:rsid w:val="00FC00DF"/>
    <w:rsid w:val="00FC0876"/>
    <w:rsid w:val="00FC0906"/>
    <w:rsid w:val="00FC2242"/>
    <w:rsid w:val="00FC3108"/>
    <w:rsid w:val="00FC3775"/>
    <w:rsid w:val="00FC4144"/>
    <w:rsid w:val="00FC5F75"/>
    <w:rsid w:val="00FC6A0D"/>
    <w:rsid w:val="00FC6B7B"/>
    <w:rsid w:val="00FC6E3A"/>
    <w:rsid w:val="00FC6F88"/>
    <w:rsid w:val="00FD014B"/>
    <w:rsid w:val="00FD227D"/>
    <w:rsid w:val="00FD3411"/>
    <w:rsid w:val="00FD3721"/>
    <w:rsid w:val="00FD3863"/>
    <w:rsid w:val="00FD5BBE"/>
    <w:rsid w:val="00FD7B23"/>
    <w:rsid w:val="00FE1816"/>
    <w:rsid w:val="00FE32AD"/>
    <w:rsid w:val="00FE3D84"/>
    <w:rsid w:val="00FE680C"/>
    <w:rsid w:val="00FE73E3"/>
    <w:rsid w:val="00FE795E"/>
    <w:rsid w:val="00FF08FC"/>
    <w:rsid w:val="00FF0EA0"/>
    <w:rsid w:val="00FF16C4"/>
    <w:rsid w:val="00FF29E8"/>
    <w:rsid w:val="00FF3608"/>
    <w:rsid w:val="00FF478C"/>
    <w:rsid w:val="00FF4A32"/>
    <w:rsid w:val="00FF4ECE"/>
    <w:rsid w:val="00FF4F72"/>
    <w:rsid w:val="00FF537D"/>
    <w:rsid w:val="00FF5A0D"/>
    <w:rsid w:val="00FF6618"/>
    <w:rsid w:val="00FF6D80"/>
    <w:rsid w:val="00FF6EBF"/>
    <w:rsid w:val="00FF7A19"/>
    <w:rsid w:val="013A0AE5"/>
    <w:rsid w:val="014E1CCF"/>
    <w:rsid w:val="01526ABB"/>
    <w:rsid w:val="015C2BD0"/>
    <w:rsid w:val="016E5688"/>
    <w:rsid w:val="017E6F26"/>
    <w:rsid w:val="018F0B1E"/>
    <w:rsid w:val="019D0CF9"/>
    <w:rsid w:val="01AA3877"/>
    <w:rsid w:val="01CF6084"/>
    <w:rsid w:val="020D1EFD"/>
    <w:rsid w:val="02187D79"/>
    <w:rsid w:val="02430DFA"/>
    <w:rsid w:val="02AD5A8B"/>
    <w:rsid w:val="02B20C36"/>
    <w:rsid w:val="02F22DC2"/>
    <w:rsid w:val="02F63D76"/>
    <w:rsid w:val="02F7667F"/>
    <w:rsid w:val="031E67E4"/>
    <w:rsid w:val="0348048F"/>
    <w:rsid w:val="035F2681"/>
    <w:rsid w:val="038C03D2"/>
    <w:rsid w:val="039667A9"/>
    <w:rsid w:val="03BC36B1"/>
    <w:rsid w:val="040F755E"/>
    <w:rsid w:val="044F6254"/>
    <w:rsid w:val="04AF6FE5"/>
    <w:rsid w:val="04CB2C07"/>
    <w:rsid w:val="04CD1D5F"/>
    <w:rsid w:val="04D154B3"/>
    <w:rsid w:val="04F05255"/>
    <w:rsid w:val="04F06B50"/>
    <w:rsid w:val="04F668B1"/>
    <w:rsid w:val="0518538A"/>
    <w:rsid w:val="05387427"/>
    <w:rsid w:val="05442A03"/>
    <w:rsid w:val="054F03C5"/>
    <w:rsid w:val="05880995"/>
    <w:rsid w:val="05917228"/>
    <w:rsid w:val="05A4100F"/>
    <w:rsid w:val="05B227CB"/>
    <w:rsid w:val="05BC2DF7"/>
    <w:rsid w:val="05BE041F"/>
    <w:rsid w:val="06074411"/>
    <w:rsid w:val="060F79FE"/>
    <w:rsid w:val="0621639E"/>
    <w:rsid w:val="06327CFF"/>
    <w:rsid w:val="063475BD"/>
    <w:rsid w:val="06755150"/>
    <w:rsid w:val="06BB17CD"/>
    <w:rsid w:val="06E17526"/>
    <w:rsid w:val="06F050B0"/>
    <w:rsid w:val="070A04C4"/>
    <w:rsid w:val="071A6E87"/>
    <w:rsid w:val="073F2B88"/>
    <w:rsid w:val="0753678F"/>
    <w:rsid w:val="07612C77"/>
    <w:rsid w:val="079A6CAE"/>
    <w:rsid w:val="07B049C8"/>
    <w:rsid w:val="07BC377A"/>
    <w:rsid w:val="0825634E"/>
    <w:rsid w:val="08385AA5"/>
    <w:rsid w:val="085E67C4"/>
    <w:rsid w:val="087025D5"/>
    <w:rsid w:val="08F308CA"/>
    <w:rsid w:val="09201E98"/>
    <w:rsid w:val="09365D3D"/>
    <w:rsid w:val="095C2ADC"/>
    <w:rsid w:val="09926ADE"/>
    <w:rsid w:val="09A339CE"/>
    <w:rsid w:val="09C32C91"/>
    <w:rsid w:val="09CA314C"/>
    <w:rsid w:val="09D122E9"/>
    <w:rsid w:val="09FC6C3A"/>
    <w:rsid w:val="0A270A49"/>
    <w:rsid w:val="0A35554F"/>
    <w:rsid w:val="0A634F0B"/>
    <w:rsid w:val="0A775417"/>
    <w:rsid w:val="0A79028B"/>
    <w:rsid w:val="0AAB0C0F"/>
    <w:rsid w:val="0AC1787C"/>
    <w:rsid w:val="0B4A07B8"/>
    <w:rsid w:val="0B4B2120"/>
    <w:rsid w:val="0B515772"/>
    <w:rsid w:val="0B7E50C4"/>
    <w:rsid w:val="0B9635E6"/>
    <w:rsid w:val="0B9A670B"/>
    <w:rsid w:val="0BAB4DBC"/>
    <w:rsid w:val="0BB95C4D"/>
    <w:rsid w:val="0BCA33E7"/>
    <w:rsid w:val="0BD90F5B"/>
    <w:rsid w:val="0BDB1717"/>
    <w:rsid w:val="0BE43F91"/>
    <w:rsid w:val="0BEB340A"/>
    <w:rsid w:val="0BF20D28"/>
    <w:rsid w:val="0C2739C5"/>
    <w:rsid w:val="0C790A16"/>
    <w:rsid w:val="0CA77552"/>
    <w:rsid w:val="0CC5578C"/>
    <w:rsid w:val="0D0001F3"/>
    <w:rsid w:val="0D110D36"/>
    <w:rsid w:val="0D1D0A6E"/>
    <w:rsid w:val="0D223284"/>
    <w:rsid w:val="0D511D2E"/>
    <w:rsid w:val="0D6E42F3"/>
    <w:rsid w:val="0D70006B"/>
    <w:rsid w:val="0D793001"/>
    <w:rsid w:val="0D9915B0"/>
    <w:rsid w:val="0D9A0EC5"/>
    <w:rsid w:val="0DC331A1"/>
    <w:rsid w:val="0DC7542B"/>
    <w:rsid w:val="0DD355CB"/>
    <w:rsid w:val="0E27702A"/>
    <w:rsid w:val="0E8060F9"/>
    <w:rsid w:val="0EA20611"/>
    <w:rsid w:val="0EA55AF2"/>
    <w:rsid w:val="0EBA05B4"/>
    <w:rsid w:val="0EC048AA"/>
    <w:rsid w:val="0ED17204"/>
    <w:rsid w:val="0F570DDB"/>
    <w:rsid w:val="0F6861C6"/>
    <w:rsid w:val="0F7D4B39"/>
    <w:rsid w:val="0F810AD7"/>
    <w:rsid w:val="0F9718DF"/>
    <w:rsid w:val="10467EF2"/>
    <w:rsid w:val="104C60DD"/>
    <w:rsid w:val="105E54B6"/>
    <w:rsid w:val="109127D2"/>
    <w:rsid w:val="10945A92"/>
    <w:rsid w:val="10B61C33"/>
    <w:rsid w:val="10BE3E04"/>
    <w:rsid w:val="10DE4055"/>
    <w:rsid w:val="10E24DDC"/>
    <w:rsid w:val="1111070F"/>
    <w:rsid w:val="11212105"/>
    <w:rsid w:val="112B38BA"/>
    <w:rsid w:val="11447845"/>
    <w:rsid w:val="11495E71"/>
    <w:rsid w:val="1154735C"/>
    <w:rsid w:val="116274A3"/>
    <w:rsid w:val="116F23E8"/>
    <w:rsid w:val="1173545B"/>
    <w:rsid w:val="11AB78C4"/>
    <w:rsid w:val="11B5691A"/>
    <w:rsid w:val="11E06E41"/>
    <w:rsid w:val="11FE5C7D"/>
    <w:rsid w:val="12211934"/>
    <w:rsid w:val="122F4883"/>
    <w:rsid w:val="123054EE"/>
    <w:rsid w:val="124E589E"/>
    <w:rsid w:val="125E2AD0"/>
    <w:rsid w:val="12604C3E"/>
    <w:rsid w:val="12742256"/>
    <w:rsid w:val="12787CDD"/>
    <w:rsid w:val="128F1F44"/>
    <w:rsid w:val="12A01831"/>
    <w:rsid w:val="12A72CD1"/>
    <w:rsid w:val="12BB3B36"/>
    <w:rsid w:val="12BB58E4"/>
    <w:rsid w:val="12BC3979"/>
    <w:rsid w:val="12CA11DC"/>
    <w:rsid w:val="12E84200"/>
    <w:rsid w:val="12F20456"/>
    <w:rsid w:val="130D3C66"/>
    <w:rsid w:val="13147343"/>
    <w:rsid w:val="13212776"/>
    <w:rsid w:val="13671B64"/>
    <w:rsid w:val="13915AEE"/>
    <w:rsid w:val="13AB52C6"/>
    <w:rsid w:val="13D72C53"/>
    <w:rsid w:val="13ED1A55"/>
    <w:rsid w:val="13F520E3"/>
    <w:rsid w:val="142A3414"/>
    <w:rsid w:val="145F00B8"/>
    <w:rsid w:val="14636234"/>
    <w:rsid w:val="14883EEC"/>
    <w:rsid w:val="1489755C"/>
    <w:rsid w:val="148E0DD7"/>
    <w:rsid w:val="14A71D72"/>
    <w:rsid w:val="14C91F01"/>
    <w:rsid w:val="14C95EB8"/>
    <w:rsid w:val="14D342B9"/>
    <w:rsid w:val="14DD04E8"/>
    <w:rsid w:val="1505030B"/>
    <w:rsid w:val="15132234"/>
    <w:rsid w:val="15A71130"/>
    <w:rsid w:val="15BB5BFB"/>
    <w:rsid w:val="160C28FB"/>
    <w:rsid w:val="16135A37"/>
    <w:rsid w:val="161916A5"/>
    <w:rsid w:val="16210154"/>
    <w:rsid w:val="164E39A8"/>
    <w:rsid w:val="1666200B"/>
    <w:rsid w:val="16812F1E"/>
    <w:rsid w:val="16933E39"/>
    <w:rsid w:val="16972B79"/>
    <w:rsid w:val="16C66EA7"/>
    <w:rsid w:val="16F50155"/>
    <w:rsid w:val="17063D1F"/>
    <w:rsid w:val="174662BC"/>
    <w:rsid w:val="17930A6E"/>
    <w:rsid w:val="179BF24D"/>
    <w:rsid w:val="17C13E6F"/>
    <w:rsid w:val="17C71CEA"/>
    <w:rsid w:val="17CC10F7"/>
    <w:rsid w:val="17D153FA"/>
    <w:rsid w:val="18187318"/>
    <w:rsid w:val="181941A0"/>
    <w:rsid w:val="18365A0D"/>
    <w:rsid w:val="184E0FA9"/>
    <w:rsid w:val="18685E45"/>
    <w:rsid w:val="186A768B"/>
    <w:rsid w:val="18857597"/>
    <w:rsid w:val="18A04D33"/>
    <w:rsid w:val="18A1557C"/>
    <w:rsid w:val="18B14413"/>
    <w:rsid w:val="18B74E99"/>
    <w:rsid w:val="18C510B9"/>
    <w:rsid w:val="18D23988"/>
    <w:rsid w:val="18EA2D72"/>
    <w:rsid w:val="19100DAA"/>
    <w:rsid w:val="196B16E7"/>
    <w:rsid w:val="19794F57"/>
    <w:rsid w:val="197B1FDE"/>
    <w:rsid w:val="19A410F8"/>
    <w:rsid w:val="19B46FFB"/>
    <w:rsid w:val="19E6315F"/>
    <w:rsid w:val="1A3A0872"/>
    <w:rsid w:val="1A431529"/>
    <w:rsid w:val="1A48355E"/>
    <w:rsid w:val="1A8214B5"/>
    <w:rsid w:val="1A9101D7"/>
    <w:rsid w:val="1AA2647A"/>
    <w:rsid w:val="1ABA328A"/>
    <w:rsid w:val="1ABB3EE2"/>
    <w:rsid w:val="1ABD783F"/>
    <w:rsid w:val="1AD505C6"/>
    <w:rsid w:val="1AD56BD1"/>
    <w:rsid w:val="1ADC0AEE"/>
    <w:rsid w:val="1ADE7EDD"/>
    <w:rsid w:val="1AE43477"/>
    <w:rsid w:val="1AEE25CF"/>
    <w:rsid w:val="1B4953D6"/>
    <w:rsid w:val="1B593A72"/>
    <w:rsid w:val="1B6F7ED2"/>
    <w:rsid w:val="1B874FF6"/>
    <w:rsid w:val="1B8C2514"/>
    <w:rsid w:val="1BE46F95"/>
    <w:rsid w:val="1C077A20"/>
    <w:rsid w:val="1C117706"/>
    <w:rsid w:val="1C260416"/>
    <w:rsid w:val="1C3E30E2"/>
    <w:rsid w:val="1C431F8E"/>
    <w:rsid w:val="1C454170"/>
    <w:rsid w:val="1C6A24BC"/>
    <w:rsid w:val="1C890801"/>
    <w:rsid w:val="1CA73B26"/>
    <w:rsid w:val="1CAC44F0"/>
    <w:rsid w:val="1CCC5ACF"/>
    <w:rsid w:val="1CDD28FB"/>
    <w:rsid w:val="1CE755D2"/>
    <w:rsid w:val="1CFA2365"/>
    <w:rsid w:val="1CFF6E22"/>
    <w:rsid w:val="1D446291"/>
    <w:rsid w:val="1D4E3CCA"/>
    <w:rsid w:val="1D88559D"/>
    <w:rsid w:val="1D927B8A"/>
    <w:rsid w:val="1DAC214C"/>
    <w:rsid w:val="1DCC64A9"/>
    <w:rsid w:val="1DE74171"/>
    <w:rsid w:val="1DE80AB5"/>
    <w:rsid w:val="1DEF31A4"/>
    <w:rsid w:val="1DF8224F"/>
    <w:rsid w:val="1E0908B0"/>
    <w:rsid w:val="1E220F0E"/>
    <w:rsid w:val="1E340C41"/>
    <w:rsid w:val="1E3D0ADD"/>
    <w:rsid w:val="1E644BD2"/>
    <w:rsid w:val="1E786D7F"/>
    <w:rsid w:val="1E894D87"/>
    <w:rsid w:val="1E8B45B7"/>
    <w:rsid w:val="1EC024D4"/>
    <w:rsid w:val="1EC45B21"/>
    <w:rsid w:val="1EFB6637"/>
    <w:rsid w:val="1F063671"/>
    <w:rsid w:val="1F18577C"/>
    <w:rsid w:val="1F1E5756"/>
    <w:rsid w:val="1F221CC8"/>
    <w:rsid w:val="1F3C7DAD"/>
    <w:rsid w:val="1F431202"/>
    <w:rsid w:val="1F655C74"/>
    <w:rsid w:val="1FD00E3E"/>
    <w:rsid w:val="1FD200BA"/>
    <w:rsid w:val="1FD516E8"/>
    <w:rsid w:val="1FF74435"/>
    <w:rsid w:val="204A6160"/>
    <w:rsid w:val="206800B8"/>
    <w:rsid w:val="20735A50"/>
    <w:rsid w:val="207C4233"/>
    <w:rsid w:val="210510A3"/>
    <w:rsid w:val="2119736E"/>
    <w:rsid w:val="21273047"/>
    <w:rsid w:val="2130751C"/>
    <w:rsid w:val="21686192"/>
    <w:rsid w:val="21690F5F"/>
    <w:rsid w:val="21823A71"/>
    <w:rsid w:val="21967F35"/>
    <w:rsid w:val="219F5B8D"/>
    <w:rsid w:val="21AF3BEE"/>
    <w:rsid w:val="21B8233A"/>
    <w:rsid w:val="21BA7BBE"/>
    <w:rsid w:val="21C44F62"/>
    <w:rsid w:val="21C55DF6"/>
    <w:rsid w:val="21C65D83"/>
    <w:rsid w:val="22613CB2"/>
    <w:rsid w:val="228E65E4"/>
    <w:rsid w:val="229879F0"/>
    <w:rsid w:val="22A92FEB"/>
    <w:rsid w:val="22B21781"/>
    <w:rsid w:val="22B87828"/>
    <w:rsid w:val="22D218DF"/>
    <w:rsid w:val="22D77F19"/>
    <w:rsid w:val="23030E94"/>
    <w:rsid w:val="231C38B5"/>
    <w:rsid w:val="23353491"/>
    <w:rsid w:val="233742EF"/>
    <w:rsid w:val="233B28BD"/>
    <w:rsid w:val="23734944"/>
    <w:rsid w:val="237C6F57"/>
    <w:rsid w:val="239B12E1"/>
    <w:rsid w:val="23A15E53"/>
    <w:rsid w:val="23BF2D5B"/>
    <w:rsid w:val="23C93B55"/>
    <w:rsid w:val="23DA1943"/>
    <w:rsid w:val="23F22B88"/>
    <w:rsid w:val="23F724F4"/>
    <w:rsid w:val="23F81101"/>
    <w:rsid w:val="24183C32"/>
    <w:rsid w:val="244D1012"/>
    <w:rsid w:val="246E6CA0"/>
    <w:rsid w:val="24806EFC"/>
    <w:rsid w:val="24AD02DB"/>
    <w:rsid w:val="24B3176D"/>
    <w:rsid w:val="24C3669D"/>
    <w:rsid w:val="24CE7C0E"/>
    <w:rsid w:val="24FA538D"/>
    <w:rsid w:val="254C46D1"/>
    <w:rsid w:val="25787F06"/>
    <w:rsid w:val="259720F2"/>
    <w:rsid w:val="25B4530E"/>
    <w:rsid w:val="25F7610C"/>
    <w:rsid w:val="26054A05"/>
    <w:rsid w:val="26075229"/>
    <w:rsid w:val="260B7CBC"/>
    <w:rsid w:val="260E3DA5"/>
    <w:rsid w:val="26230C7E"/>
    <w:rsid w:val="267811AE"/>
    <w:rsid w:val="267C32C2"/>
    <w:rsid w:val="269136C3"/>
    <w:rsid w:val="26E01966"/>
    <w:rsid w:val="27303997"/>
    <w:rsid w:val="275E1FA3"/>
    <w:rsid w:val="277935CE"/>
    <w:rsid w:val="278D1211"/>
    <w:rsid w:val="27BA0354"/>
    <w:rsid w:val="281371BB"/>
    <w:rsid w:val="281E6005"/>
    <w:rsid w:val="2846729E"/>
    <w:rsid w:val="286909E6"/>
    <w:rsid w:val="287E3E37"/>
    <w:rsid w:val="28A21930"/>
    <w:rsid w:val="28BF64BC"/>
    <w:rsid w:val="28FA6546"/>
    <w:rsid w:val="28FC05AD"/>
    <w:rsid w:val="28FF072E"/>
    <w:rsid w:val="290D6316"/>
    <w:rsid w:val="29193855"/>
    <w:rsid w:val="29275D33"/>
    <w:rsid w:val="29483920"/>
    <w:rsid w:val="29735E95"/>
    <w:rsid w:val="29BB2216"/>
    <w:rsid w:val="29C02312"/>
    <w:rsid w:val="2A0B4CC0"/>
    <w:rsid w:val="2A656698"/>
    <w:rsid w:val="2A761F0E"/>
    <w:rsid w:val="2A8242EA"/>
    <w:rsid w:val="2AA16F1D"/>
    <w:rsid w:val="2AA321E6"/>
    <w:rsid w:val="2AB41AAA"/>
    <w:rsid w:val="2B19222C"/>
    <w:rsid w:val="2B5F0943"/>
    <w:rsid w:val="2B786B39"/>
    <w:rsid w:val="2B880D51"/>
    <w:rsid w:val="2B97636B"/>
    <w:rsid w:val="2B9E76FA"/>
    <w:rsid w:val="2BA2543C"/>
    <w:rsid w:val="2BC82F21"/>
    <w:rsid w:val="2BD25271"/>
    <w:rsid w:val="2BDC19BD"/>
    <w:rsid w:val="2BE02651"/>
    <w:rsid w:val="2BF235A7"/>
    <w:rsid w:val="2BFE571F"/>
    <w:rsid w:val="2C156FDF"/>
    <w:rsid w:val="2C177697"/>
    <w:rsid w:val="2C1F3172"/>
    <w:rsid w:val="2C7F752B"/>
    <w:rsid w:val="2C90143E"/>
    <w:rsid w:val="2CA6704A"/>
    <w:rsid w:val="2CB03B88"/>
    <w:rsid w:val="2CB126E1"/>
    <w:rsid w:val="2CCE7F4F"/>
    <w:rsid w:val="2CD25C16"/>
    <w:rsid w:val="2CD47877"/>
    <w:rsid w:val="2CD74B1F"/>
    <w:rsid w:val="2CE133F4"/>
    <w:rsid w:val="2D2C3311"/>
    <w:rsid w:val="2D303048"/>
    <w:rsid w:val="2D550C81"/>
    <w:rsid w:val="2D5C6DC7"/>
    <w:rsid w:val="2D7828F8"/>
    <w:rsid w:val="2D8D5C78"/>
    <w:rsid w:val="2DA237D1"/>
    <w:rsid w:val="2DB65BAA"/>
    <w:rsid w:val="2DC10D5F"/>
    <w:rsid w:val="2E086516"/>
    <w:rsid w:val="2E0F261D"/>
    <w:rsid w:val="2E1D158A"/>
    <w:rsid w:val="2E250044"/>
    <w:rsid w:val="2E687018"/>
    <w:rsid w:val="2E691FF5"/>
    <w:rsid w:val="2E6F2D65"/>
    <w:rsid w:val="2E791CCC"/>
    <w:rsid w:val="2E8026ED"/>
    <w:rsid w:val="2ED537C1"/>
    <w:rsid w:val="2F196353"/>
    <w:rsid w:val="2F2B102B"/>
    <w:rsid w:val="2F2F1F45"/>
    <w:rsid w:val="2F373126"/>
    <w:rsid w:val="2F38170E"/>
    <w:rsid w:val="2F424EF1"/>
    <w:rsid w:val="2F5025F7"/>
    <w:rsid w:val="2F8603B7"/>
    <w:rsid w:val="2F961D80"/>
    <w:rsid w:val="2FBFED8E"/>
    <w:rsid w:val="2FCD1298"/>
    <w:rsid w:val="2FEF5BD4"/>
    <w:rsid w:val="2FFFCFD8"/>
    <w:rsid w:val="30217C71"/>
    <w:rsid w:val="30317A12"/>
    <w:rsid w:val="3036579A"/>
    <w:rsid w:val="304270F6"/>
    <w:rsid w:val="304D31C6"/>
    <w:rsid w:val="30783526"/>
    <w:rsid w:val="30AC6769"/>
    <w:rsid w:val="30D930C3"/>
    <w:rsid w:val="312149A9"/>
    <w:rsid w:val="317119AA"/>
    <w:rsid w:val="31713D26"/>
    <w:rsid w:val="318254C8"/>
    <w:rsid w:val="3198371E"/>
    <w:rsid w:val="31B5579D"/>
    <w:rsid w:val="31EA5447"/>
    <w:rsid w:val="32186CC0"/>
    <w:rsid w:val="324E3C27"/>
    <w:rsid w:val="325F2B1C"/>
    <w:rsid w:val="326E6EE4"/>
    <w:rsid w:val="3271353A"/>
    <w:rsid w:val="32DB179F"/>
    <w:rsid w:val="32F0569E"/>
    <w:rsid w:val="339629FD"/>
    <w:rsid w:val="339A3939"/>
    <w:rsid w:val="33C2044F"/>
    <w:rsid w:val="340D1254"/>
    <w:rsid w:val="34412275"/>
    <w:rsid w:val="344B7994"/>
    <w:rsid w:val="34847DD4"/>
    <w:rsid w:val="348722BC"/>
    <w:rsid w:val="3488219A"/>
    <w:rsid w:val="34CA2EE2"/>
    <w:rsid w:val="34E1614A"/>
    <w:rsid w:val="35017EB6"/>
    <w:rsid w:val="35060390"/>
    <w:rsid w:val="35610116"/>
    <w:rsid w:val="35985A6C"/>
    <w:rsid w:val="35D02BA5"/>
    <w:rsid w:val="35DB4E2D"/>
    <w:rsid w:val="35FF490B"/>
    <w:rsid w:val="361B2A2D"/>
    <w:rsid w:val="36562F68"/>
    <w:rsid w:val="368340BC"/>
    <w:rsid w:val="36915A38"/>
    <w:rsid w:val="369E36FF"/>
    <w:rsid w:val="36B73A87"/>
    <w:rsid w:val="36BD0622"/>
    <w:rsid w:val="36C3281C"/>
    <w:rsid w:val="36CF4BC9"/>
    <w:rsid w:val="36E27A5D"/>
    <w:rsid w:val="372B7E35"/>
    <w:rsid w:val="372C6501"/>
    <w:rsid w:val="373A6E70"/>
    <w:rsid w:val="37403D5B"/>
    <w:rsid w:val="37662085"/>
    <w:rsid w:val="377C6B83"/>
    <w:rsid w:val="377F1A6E"/>
    <w:rsid w:val="377F80C9"/>
    <w:rsid w:val="378C33A5"/>
    <w:rsid w:val="379B18CA"/>
    <w:rsid w:val="37A874D4"/>
    <w:rsid w:val="37C13D08"/>
    <w:rsid w:val="37DF5369"/>
    <w:rsid w:val="37E4495C"/>
    <w:rsid w:val="37FB6669"/>
    <w:rsid w:val="38392FC7"/>
    <w:rsid w:val="3857047B"/>
    <w:rsid w:val="386A4B2B"/>
    <w:rsid w:val="386D57C3"/>
    <w:rsid w:val="387F572F"/>
    <w:rsid w:val="38864AC9"/>
    <w:rsid w:val="388D1D44"/>
    <w:rsid w:val="38992830"/>
    <w:rsid w:val="389D428C"/>
    <w:rsid w:val="38E23DE0"/>
    <w:rsid w:val="38F31085"/>
    <w:rsid w:val="38F44DFD"/>
    <w:rsid w:val="38FE4B0D"/>
    <w:rsid w:val="390E2362"/>
    <w:rsid w:val="39194863"/>
    <w:rsid w:val="39243934"/>
    <w:rsid w:val="393873DF"/>
    <w:rsid w:val="395A2F8B"/>
    <w:rsid w:val="39C419CC"/>
    <w:rsid w:val="39D72754"/>
    <w:rsid w:val="39E06CFB"/>
    <w:rsid w:val="39F01A68"/>
    <w:rsid w:val="3A192AD7"/>
    <w:rsid w:val="3A1F2164"/>
    <w:rsid w:val="3A2101F6"/>
    <w:rsid w:val="3AA615F1"/>
    <w:rsid w:val="3AAB5F59"/>
    <w:rsid w:val="3ABF58EF"/>
    <w:rsid w:val="3AC61E0A"/>
    <w:rsid w:val="3AE5A172"/>
    <w:rsid w:val="3AF37043"/>
    <w:rsid w:val="3AF4543E"/>
    <w:rsid w:val="3AFF63CC"/>
    <w:rsid w:val="3B020BF2"/>
    <w:rsid w:val="3B065B19"/>
    <w:rsid w:val="3B0D46CC"/>
    <w:rsid w:val="3B0E0EF1"/>
    <w:rsid w:val="3B255741"/>
    <w:rsid w:val="3B7641EF"/>
    <w:rsid w:val="3B837E5B"/>
    <w:rsid w:val="3BAE1BDB"/>
    <w:rsid w:val="3BB55A8E"/>
    <w:rsid w:val="3BB57101"/>
    <w:rsid w:val="3BC5098A"/>
    <w:rsid w:val="3BD54B58"/>
    <w:rsid w:val="3BDA29D0"/>
    <w:rsid w:val="3BF9B42F"/>
    <w:rsid w:val="3C326C3F"/>
    <w:rsid w:val="3C5C084A"/>
    <w:rsid w:val="3C5F2D2F"/>
    <w:rsid w:val="3CB3130E"/>
    <w:rsid w:val="3CBC5735"/>
    <w:rsid w:val="3CD42B75"/>
    <w:rsid w:val="3CE36F49"/>
    <w:rsid w:val="3CFE3C20"/>
    <w:rsid w:val="3D086E36"/>
    <w:rsid w:val="3D433E68"/>
    <w:rsid w:val="3D572203"/>
    <w:rsid w:val="3D5C3C87"/>
    <w:rsid w:val="3D5F222C"/>
    <w:rsid w:val="3D7F55DD"/>
    <w:rsid w:val="3DB46340"/>
    <w:rsid w:val="3E1A6B87"/>
    <w:rsid w:val="3E4D7489"/>
    <w:rsid w:val="3E823776"/>
    <w:rsid w:val="3E9A6446"/>
    <w:rsid w:val="3EAD1CD6"/>
    <w:rsid w:val="3EB44211"/>
    <w:rsid w:val="3F0743D7"/>
    <w:rsid w:val="3F1E7077"/>
    <w:rsid w:val="3F277DAD"/>
    <w:rsid w:val="3F3D5750"/>
    <w:rsid w:val="3F433E5A"/>
    <w:rsid w:val="3F523C6E"/>
    <w:rsid w:val="3F58255D"/>
    <w:rsid w:val="3F7C339C"/>
    <w:rsid w:val="3F7C3BE0"/>
    <w:rsid w:val="3FB7F3B7"/>
    <w:rsid w:val="3FBF0A5C"/>
    <w:rsid w:val="3FE53299"/>
    <w:rsid w:val="3FE9B968"/>
    <w:rsid w:val="3FFDD4E5"/>
    <w:rsid w:val="40190A91"/>
    <w:rsid w:val="404C5344"/>
    <w:rsid w:val="408B7A5F"/>
    <w:rsid w:val="40A31FB7"/>
    <w:rsid w:val="40B27650"/>
    <w:rsid w:val="40B3559D"/>
    <w:rsid w:val="40B732E0"/>
    <w:rsid w:val="40BA45D7"/>
    <w:rsid w:val="40DF0D69"/>
    <w:rsid w:val="41111379"/>
    <w:rsid w:val="41152F4C"/>
    <w:rsid w:val="41271A71"/>
    <w:rsid w:val="41340D87"/>
    <w:rsid w:val="41512F3B"/>
    <w:rsid w:val="415154E2"/>
    <w:rsid w:val="41572E62"/>
    <w:rsid w:val="41736EB6"/>
    <w:rsid w:val="41803404"/>
    <w:rsid w:val="41CA59FD"/>
    <w:rsid w:val="41D34932"/>
    <w:rsid w:val="42030652"/>
    <w:rsid w:val="42072D7C"/>
    <w:rsid w:val="420A48B3"/>
    <w:rsid w:val="4220550C"/>
    <w:rsid w:val="422843F8"/>
    <w:rsid w:val="428A3F13"/>
    <w:rsid w:val="42B162A6"/>
    <w:rsid w:val="42C755CE"/>
    <w:rsid w:val="42D14BEC"/>
    <w:rsid w:val="432664FB"/>
    <w:rsid w:val="432E715D"/>
    <w:rsid w:val="433517D1"/>
    <w:rsid w:val="435979DC"/>
    <w:rsid w:val="437518F0"/>
    <w:rsid w:val="437A51DB"/>
    <w:rsid w:val="43BC6902"/>
    <w:rsid w:val="43C7687A"/>
    <w:rsid w:val="43CC5E1B"/>
    <w:rsid w:val="440A08B0"/>
    <w:rsid w:val="44533E25"/>
    <w:rsid w:val="44647CC4"/>
    <w:rsid w:val="449A0F4E"/>
    <w:rsid w:val="449E56C4"/>
    <w:rsid w:val="44AF173A"/>
    <w:rsid w:val="44BE2808"/>
    <w:rsid w:val="44D12877"/>
    <w:rsid w:val="44D30B3E"/>
    <w:rsid w:val="44F1066F"/>
    <w:rsid w:val="452059D0"/>
    <w:rsid w:val="45270B94"/>
    <w:rsid w:val="452A1C86"/>
    <w:rsid w:val="45463DAF"/>
    <w:rsid w:val="45595C53"/>
    <w:rsid w:val="45610E3B"/>
    <w:rsid w:val="458F2321"/>
    <w:rsid w:val="45CC270F"/>
    <w:rsid w:val="45CD10C5"/>
    <w:rsid w:val="4603089C"/>
    <w:rsid w:val="460654AA"/>
    <w:rsid w:val="460C7B52"/>
    <w:rsid w:val="461F3F9E"/>
    <w:rsid w:val="462E7F4A"/>
    <w:rsid w:val="4635213E"/>
    <w:rsid w:val="46380A1F"/>
    <w:rsid w:val="463D754A"/>
    <w:rsid w:val="464F2440"/>
    <w:rsid w:val="466A1D8A"/>
    <w:rsid w:val="469C1E20"/>
    <w:rsid w:val="46B11A88"/>
    <w:rsid w:val="46E86E7A"/>
    <w:rsid w:val="470C1898"/>
    <w:rsid w:val="47183A76"/>
    <w:rsid w:val="47875F72"/>
    <w:rsid w:val="47906C22"/>
    <w:rsid w:val="479C21A3"/>
    <w:rsid w:val="47EB7ED5"/>
    <w:rsid w:val="480711CD"/>
    <w:rsid w:val="48302C6E"/>
    <w:rsid w:val="486E3A6A"/>
    <w:rsid w:val="48800BA1"/>
    <w:rsid w:val="48A176C4"/>
    <w:rsid w:val="48BB76E5"/>
    <w:rsid w:val="49131272"/>
    <w:rsid w:val="49175104"/>
    <w:rsid w:val="492C0860"/>
    <w:rsid w:val="493D0932"/>
    <w:rsid w:val="496559DC"/>
    <w:rsid w:val="49720597"/>
    <w:rsid w:val="497D0CA1"/>
    <w:rsid w:val="49B760FE"/>
    <w:rsid w:val="49DA7102"/>
    <w:rsid w:val="4A084BAC"/>
    <w:rsid w:val="4A96711A"/>
    <w:rsid w:val="4A987CDE"/>
    <w:rsid w:val="4ABF69DE"/>
    <w:rsid w:val="4AD056CA"/>
    <w:rsid w:val="4ADF17E2"/>
    <w:rsid w:val="4AEC2AA6"/>
    <w:rsid w:val="4B1C7647"/>
    <w:rsid w:val="4B756271"/>
    <w:rsid w:val="4B9D671D"/>
    <w:rsid w:val="4BAF1EBA"/>
    <w:rsid w:val="4BE647E3"/>
    <w:rsid w:val="4BEA27BB"/>
    <w:rsid w:val="4C5329C8"/>
    <w:rsid w:val="4C6B0FD5"/>
    <w:rsid w:val="4C7622A1"/>
    <w:rsid w:val="4C8963BA"/>
    <w:rsid w:val="4CA37546"/>
    <w:rsid w:val="4CDF7E46"/>
    <w:rsid w:val="4D10656E"/>
    <w:rsid w:val="4D2770F7"/>
    <w:rsid w:val="4D291EF1"/>
    <w:rsid w:val="4D4D1469"/>
    <w:rsid w:val="4D9C777F"/>
    <w:rsid w:val="4DCF7EBB"/>
    <w:rsid w:val="4DDC384E"/>
    <w:rsid w:val="4DE15652"/>
    <w:rsid w:val="4DE21962"/>
    <w:rsid w:val="4DE60967"/>
    <w:rsid w:val="4DF7B6B9"/>
    <w:rsid w:val="4DF85277"/>
    <w:rsid w:val="4DFB709F"/>
    <w:rsid w:val="4E08280E"/>
    <w:rsid w:val="4E0D4F45"/>
    <w:rsid w:val="4E1B658C"/>
    <w:rsid w:val="4E2B43F8"/>
    <w:rsid w:val="4E2F5C7B"/>
    <w:rsid w:val="4E4478F5"/>
    <w:rsid w:val="4E4A23B5"/>
    <w:rsid w:val="4E523EF0"/>
    <w:rsid w:val="4E634927"/>
    <w:rsid w:val="4E696003"/>
    <w:rsid w:val="4E6E0739"/>
    <w:rsid w:val="4E6F071F"/>
    <w:rsid w:val="4E736E68"/>
    <w:rsid w:val="4E7A454C"/>
    <w:rsid w:val="4E800AB3"/>
    <w:rsid w:val="4EA12ED9"/>
    <w:rsid w:val="4EB66985"/>
    <w:rsid w:val="4EC35BF5"/>
    <w:rsid w:val="4EF4621E"/>
    <w:rsid w:val="4F7D6B68"/>
    <w:rsid w:val="4FA9271B"/>
    <w:rsid w:val="4FAB0141"/>
    <w:rsid w:val="4FAB4C4B"/>
    <w:rsid w:val="4FAE095D"/>
    <w:rsid w:val="4FB82BD0"/>
    <w:rsid w:val="4FC122E5"/>
    <w:rsid w:val="4FCE7CFE"/>
    <w:rsid w:val="4FD035BF"/>
    <w:rsid w:val="4FFC486B"/>
    <w:rsid w:val="4FFD05E3"/>
    <w:rsid w:val="502B32DA"/>
    <w:rsid w:val="503404A9"/>
    <w:rsid w:val="50370250"/>
    <w:rsid w:val="50397832"/>
    <w:rsid w:val="504428BE"/>
    <w:rsid w:val="507FAE89"/>
    <w:rsid w:val="509129BD"/>
    <w:rsid w:val="509B4EE0"/>
    <w:rsid w:val="50D55F02"/>
    <w:rsid w:val="51144AB2"/>
    <w:rsid w:val="51234423"/>
    <w:rsid w:val="513A1E07"/>
    <w:rsid w:val="516F0EB8"/>
    <w:rsid w:val="51714F59"/>
    <w:rsid w:val="517D5E7F"/>
    <w:rsid w:val="5196726A"/>
    <w:rsid w:val="51CF7816"/>
    <w:rsid w:val="51E26E67"/>
    <w:rsid w:val="51FA302C"/>
    <w:rsid w:val="51FF1164"/>
    <w:rsid w:val="522526EF"/>
    <w:rsid w:val="522F72D9"/>
    <w:rsid w:val="52AC0628"/>
    <w:rsid w:val="52C15F74"/>
    <w:rsid w:val="52D5611E"/>
    <w:rsid w:val="52ED299B"/>
    <w:rsid w:val="531D70B9"/>
    <w:rsid w:val="533069C2"/>
    <w:rsid w:val="5332577E"/>
    <w:rsid w:val="5334431C"/>
    <w:rsid w:val="533D2632"/>
    <w:rsid w:val="53403699"/>
    <w:rsid w:val="5394300C"/>
    <w:rsid w:val="53FA0D9C"/>
    <w:rsid w:val="53FF60E1"/>
    <w:rsid w:val="540944D1"/>
    <w:rsid w:val="54224974"/>
    <w:rsid w:val="54260108"/>
    <w:rsid w:val="54576BED"/>
    <w:rsid w:val="546358C8"/>
    <w:rsid w:val="546926EB"/>
    <w:rsid w:val="54AC459A"/>
    <w:rsid w:val="54C65448"/>
    <w:rsid w:val="54D949F1"/>
    <w:rsid w:val="54E219D3"/>
    <w:rsid w:val="54E876E2"/>
    <w:rsid w:val="54FB77E7"/>
    <w:rsid w:val="553C751B"/>
    <w:rsid w:val="554448A3"/>
    <w:rsid w:val="554D2CF0"/>
    <w:rsid w:val="554E22D3"/>
    <w:rsid w:val="556744AB"/>
    <w:rsid w:val="55703C60"/>
    <w:rsid w:val="55777BA0"/>
    <w:rsid w:val="5590350E"/>
    <w:rsid w:val="55BE0F68"/>
    <w:rsid w:val="55E24442"/>
    <w:rsid w:val="562A4684"/>
    <w:rsid w:val="56301712"/>
    <w:rsid w:val="564A5AA2"/>
    <w:rsid w:val="5696590F"/>
    <w:rsid w:val="56971AA4"/>
    <w:rsid w:val="56CB46AD"/>
    <w:rsid w:val="570C7680"/>
    <w:rsid w:val="57106E4E"/>
    <w:rsid w:val="571D213F"/>
    <w:rsid w:val="573F2900"/>
    <w:rsid w:val="5770733F"/>
    <w:rsid w:val="57877110"/>
    <w:rsid w:val="578C4726"/>
    <w:rsid w:val="57923D07"/>
    <w:rsid w:val="57B97E77"/>
    <w:rsid w:val="57C318E1"/>
    <w:rsid w:val="57C96E2D"/>
    <w:rsid w:val="57DE5EB8"/>
    <w:rsid w:val="57EB6DD2"/>
    <w:rsid w:val="57EF0CA9"/>
    <w:rsid w:val="58240E03"/>
    <w:rsid w:val="58256BC2"/>
    <w:rsid w:val="587D0513"/>
    <w:rsid w:val="589C4E3D"/>
    <w:rsid w:val="58A83263"/>
    <w:rsid w:val="58AB1524"/>
    <w:rsid w:val="58B305D2"/>
    <w:rsid w:val="58B73A25"/>
    <w:rsid w:val="58C21302"/>
    <w:rsid w:val="58E046F8"/>
    <w:rsid w:val="590F3627"/>
    <w:rsid w:val="590F5E54"/>
    <w:rsid w:val="594E7013"/>
    <w:rsid w:val="595474C6"/>
    <w:rsid w:val="595561DD"/>
    <w:rsid w:val="596353B4"/>
    <w:rsid w:val="59741916"/>
    <w:rsid w:val="598422CF"/>
    <w:rsid w:val="59A541C5"/>
    <w:rsid w:val="59FE5684"/>
    <w:rsid w:val="5A047817"/>
    <w:rsid w:val="5A0A5BC4"/>
    <w:rsid w:val="5A137495"/>
    <w:rsid w:val="5A3264C7"/>
    <w:rsid w:val="5A656B87"/>
    <w:rsid w:val="5A7B4F17"/>
    <w:rsid w:val="5A7D6CF6"/>
    <w:rsid w:val="5A826211"/>
    <w:rsid w:val="5A9D30EE"/>
    <w:rsid w:val="5AB02A24"/>
    <w:rsid w:val="5AF20A6F"/>
    <w:rsid w:val="5B0B1E06"/>
    <w:rsid w:val="5B276639"/>
    <w:rsid w:val="5B347150"/>
    <w:rsid w:val="5B4D68C3"/>
    <w:rsid w:val="5B661732"/>
    <w:rsid w:val="5B836255"/>
    <w:rsid w:val="5B88181F"/>
    <w:rsid w:val="5BA14746"/>
    <w:rsid w:val="5BB66640"/>
    <w:rsid w:val="5BC13A6B"/>
    <w:rsid w:val="5BD55A44"/>
    <w:rsid w:val="5BDF3E49"/>
    <w:rsid w:val="5BE54D35"/>
    <w:rsid w:val="5BFE7BBD"/>
    <w:rsid w:val="5C100E90"/>
    <w:rsid w:val="5C106817"/>
    <w:rsid w:val="5C124EDB"/>
    <w:rsid w:val="5C414DE8"/>
    <w:rsid w:val="5C4C5474"/>
    <w:rsid w:val="5C7105C9"/>
    <w:rsid w:val="5C7B7929"/>
    <w:rsid w:val="5C7E5EE5"/>
    <w:rsid w:val="5CCF5426"/>
    <w:rsid w:val="5CCF614A"/>
    <w:rsid w:val="5D235C93"/>
    <w:rsid w:val="5D3FE9EC"/>
    <w:rsid w:val="5D5C4B9B"/>
    <w:rsid w:val="5D6477E6"/>
    <w:rsid w:val="5D6D595D"/>
    <w:rsid w:val="5D9C1DEE"/>
    <w:rsid w:val="5DDD2180"/>
    <w:rsid w:val="5DDF6040"/>
    <w:rsid w:val="5DEB095A"/>
    <w:rsid w:val="5DF50B4C"/>
    <w:rsid w:val="5E0B1B12"/>
    <w:rsid w:val="5E453881"/>
    <w:rsid w:val="5E4D0988"/>
    <w:rsid w:val="5E5B30A5"/>
    <w:rsid w:val="5E6A143F"/>
    <w:rsid w:val="5E735031"/>
    <w:rsid w:val="5E737485"/>
    <w:rsid w:val="5E754D87"/>
    <w:rsid w:val="5E7C649E"/>
    <w:rsid w:val="5E9E6929"/>
    <w:rsid w:val="5EB22B08"/>
    <w:rsid w:val="5ECC5DCE"/>
    <w:rsid w:val="5ED66BCF"/>
    <w:rsid w:val="5F362C51"/>
    <w:rsid w:val="5F4F20AF"/>
    <w:rsid w:val="5F773F05"/>
    <w:rsid w:val="5FBFAF38"/>
    <w:rsid w:val="5FC0D60A"/>
    <w:rsid w:val="5FE87C45"/>
    <w:rsid w:val="5FFE462F"/>
    <w:rsid w:val="60044130"/>
    <w:rsid w:val="60222571"/>
    <w:rsid w:val="60260150"/>
    <w:rsid w:val="60410E37"/>
    <w:rsid w:val="605D54FB"/>
    <w:rsid w:val="60755AF0"/>
    <w:rsid w:val="608508AD"/>
    <w:rsid w:val="608C39E9"/>
    <w:rsid w:val="6098716E"/>
    <w:rsid w:val="60B70743"/>
    <w:rsid w:val="60C56EFB"/>
    <w:rsid w:val="61016185"/>
    <w:rsid w:val="610C7C6C"/>
    <w:rsid w:val="610E7EA6"/>
    <w:rsid w:val="615D0D2F"/>
    <w:rsid w:val="618F15F5"/>
    <w:rsid w:val="619C7D61"/>
    <w:rsid w:val="61C52327"/>
    <w:rsid w:val="61E8733B"/>
    <w:rsid w:val="61FD2BE4"/>
    <w:rsid w:val="62124AE1"/>
    <w:rsid w:val="623B6E88"/>
    <w:rsid w:val="623E6288"/>
    <w:rsid w:val="62471840"/>
    <w:rsid w:val="62580741"/>
    <w:rsid w:val="625E694E"/>
    <w:rsid w:val="627C1498"/>
    <w:rsid w:val="62992710"/>
    <w:rsid w:val="62BD38E1"/>
    <w:rsid w:val="62C17915"/>
    <w:rsid w:val="62ED26F4"/>
    <w:rsid w:val="62F9596F"/>
    <w:rsid w:val="63032F62"/>
    <w:rsid w:val="630755A9"/>
    <w:rsid w:val="63084806"/>
    <w:rsid w:val="635A392B"/>
    <w:rsid w:val="63730681"/>
    <w:rsid w:val="637D4ECB"/>
    <w:rsid w:val="639C1066"/>
    <w:rsid w:val="639C3F43"/>
    <w:rsid w:val="639E6557"/>
    <w:rsid w:val="63AC2B49"/>
    <w:rsid w:val="63BB2B83"/>
    <w:rsid w:val="63E10EDB"/>
    <w:rsid w:val="63F26F27"/>
    <w:rsid w:val="640C617F"/>
    <w:rsid w:val="64480A16"/>
    <w:rsid w:val="644D32A0"/>
    <w:rsid w:val="648B1196"/>
    <w:rsid w:val="64E01E8E"/>
    <w:rsid w:val="651A0D6E"/>
    <w:rsid w:val="65285B05"/>
    <w:rsid w:val="65393821"/>
    <w:rsid w:val="653A739A"/>
    <w:rsid w:val="653D52B2"/>
    <w:rsid w:val="657B5DDA"/>
    <w:rsid w:val="65944C1A"/>
    <w:rsid w:val="659A2704"/>
    <w:rsid w:val="65AE2CD6"/>
    <w:rsid w:val="65CF1FDA"/>
    <w:rsid w:val="65F82F16"/>
    <w:rsid w:val="660202AA"/>
    <w:rsid w:val="661531A6"/>
    <w:rsid w:val="662F3F05"/>
    <w:rsid w:val="665B52AD"/>
    <w:rsid w:val="666E4566"/>
    <w:rsid w:val="666F0AAE"/>
    <w:rsid w:val="667804D9"/>
    <w:rsid w:val="66CD6B09"/>
    <w:rsid w:val="66E64119"/>
    <w:rsid w:val="66F02493"/>
    <w:rsid w:val="673D3C4E"/>
    <w:rsid w:val="675363F3"/>
    <w:rsid w:val="67601C72"/>
    <w:rsid w:val="67790849"/>
    <w:rsid w:val="67827569"/>
    <w:rsid w:val="6787202D"/>
    <w:rsid w:val="67D76336"/>
    <w:rsid w:val="67DC5685"/>
    <w:rsid w:val="68006923"/>
    <w:rsid w:val="68037C35"/>
    <w:rsid w:val="68161E62"/>
    <w:rsid w:val="685272B7"/>
    <w:rsid w:val="68577B6F"/>
    <w:rsid w:val="68816696"/>
    <w:rsid w:val="68A2033A"/>
    <w:rsid w:val="68A80B56"/>
    <w:rsid w:val="68BC67C9"/>
    <w:rsid w:val="68DD74D8"/>
    <w:rsid w:val="68DF11F7"/>
    <w:rsid w:val="68FD6097"/>
    <w:rsid w:val="68FF541F"/>
    <w:rsid w:val="691B6CFF"/>
    <w:rsid w:val="6956014B"/>
    <w:rsid w:val="6957654C"/>
    <w:rsid w:val="6957A84B"/>
    <w:rsid w:val="697531CB"/>
    <w:rsid w:val="69A2653C"/>
    <w:rsid w:val="69E82770"/>
    <w:rsid w:val="69E82BD0"/>
    <w:rsid w:val="69F14757"/>
    <w:rsid w:val="6A171978"/>
    <w:rsid w:val="6A3A44B6"/>
    <w:rsid w:val="6A4D299E"/>
    <w:rsid w:val="6A5D4D8D"/>
    <w:rsid w:val="6A6644D7"/>
    <w:rsid w:val="6A753493"/>
    <w:rsid w:val="6A8B2FC3"/>
    <w:rsid w:val="6A8C64CA"/>
    <w:rsid w:val="6AD2102D"/>
    <w:rsid w:val="6AD87D18"/>
    <w:rsid w:val="6AEA3242"/>
    <w:rsid w:val="6AF219AB"/>
    <w:rsid w:val="6AF777CB"/>
    <w:rsid w:val="6B6E3CD1"/>
    <w:rsid w:val="6B9A2698"/>
    <w:rsid w:val="6B9C4650"/>
    <w:rsid w:val="6BA91153"/>
    <w:rsid w:val="6BC32B29"/>
    <w:rsid w:val="6BD76E68"/>
    <w:rsid w:val="6BDF5315"/>
    <w:rsid w:val="6BEB520D"/>
    <w:rsid w:val="6C0A6FAF"/>
    <w:rsid w:val="6C0F75E3"/>
    <w:rsid w:val="6C397E0F"/>
    <w:rsid w:val="6C494E84"/>
    <w:rsid w:val="6C53185F"/>
    <w:rsid w:val="6C702D76"/>
    <w:rsid w:val="6C7B7E6C"/>
    <w:rsid w:val="6CC462B9"/>
    <w:rsid w:val="6CD22DF4"/>
    <w:rsid w:val="6CF027F1"/>
    <w:rsid w:val="6D2060CC"/>
    <w:rsid w:val="6D4B09C6"/>
    <w:rsid w:val="6D4F7B82"/>
    <w:rsid w:val="6D6AE26E"/>
    <w:rsid w:val="6D6F4477"/>
    <w:rsid w:val="6D760823"/>
    <w:rsid w:val="6D761CA9"/>
    <w:rsid w:val="6D9875BF"/>
    <w:rsid w:val="6DAF6E3B"/>
    <w:rsid w:val="6DBE5338"/>
    <w:rsid w:val="6DBFA2C7"/>
    <w:rsid w:val="6DD10E07"/>
    <w:rsid w:val="6DE54DB4"/>
    <w:rsid w:val="6E135E39"/>
    <w:rsid w:val="6E1621A4"/>
    <w:rsid w:val="6E1D2514"/>
    <w:rsid w:val="6E213427"/>
    <w:rsid w:val="6E2D2550"/>
    <w:rsid w:val="6E7F77A8"/>
    <w:rsid w:val="6ED5494E"/>
    <w:rsid w:val="6EF7323F"/>
    <w:rsid w:val="6EFD0C22"/>
    <w:rsid w:val="6EFE11FB"/>
    <w:rsid w:val="6F0917CE"/>
    <w:rsid w:val="6F3F0129"/>
    <w:rsid w:val="6F3FBFFE"/>
    <w:rsid w:val="6F5F3C10"/>
    <w:rsid w:val="6F7C05B7"/>
    <w:rsid w:val="6F7D61B2"/>
    <w:rsid w:val="6F8974A5"/>
    <w:rsid w:val="6F9B40CD"/>
    <w:rsid w:val="6FADF3CE"/>
    <w:rsid w:val="6FBB13E2"/>
    <w:rsid w:val="6FC53FCD"/>
    <w:rsid w:val="6FD71687"/>
    <w:rsid w:val="6FE564B2"/>
    <w:rsid w:val="6FEF010C"/>
    <w:rsid w:val="6FF773C7"/>
    <w:rsid w:val="6FF7C332"/>
    <w:rsid w:val="6FF944CB"/>
    <w:rsid w:val="6FFF228E"/>
    <w:rsid w:val="7013172A"/>
    <w:rsid w:val="702B7CC3"/>
    <w:rsid w:val="705362D1"/>
    <w:rsid w:val="70605841"/>
    <w:rsid w:val="70873CB7"/>
    <w:rsid w:val="708C78F5"/>
    <w:rsid w:val="70954CED"/>
    <w:rsid w:val="70F755A4"/>
    <w:rsid w:val="71324EF7"/>
    <w:rsid w:val="71737A58"/>
    <w:rsid w:val="718A65D1"/>
    <w:rsid w:val="71922E29"/>
    <w:rsid w:val="71A32AFB"/>
    <w:rsid w:val="71F75E09"/>
    <w:rsid w:val="72455590"/>
    <w:rsid w:val="7251199A"/>
    <w:rsid w:val="729F5AC3"/>
    <w:rsid w:val="72A73D3E"/>
    <w:rsid w:val="72AF8909"/>
    <w:rsid w:val="72D40C50"/>
    <w:rsid w:val="72E15E16"/>
    <w:rsid w:val="72FA2A34"/>
    <w:rsid w:val="72FE7982"/>
    <w:rsid w:val="73096F4B"/>
    <w:rsid w:val="731C0BFD"/>
    <w:rsid w:val="73501501"/>
    <w:rsid w:val="735D0BD3"/>
    <w:rsid w:val="735F2789"/>
    <w:rsid w:val="7362505B"/>
    <w:rsid w:val="737A8AAD"/>
    <w:rsid w:val="73B25C95"/>
    <w:rsid w:val="73B70671"/>
    <w:rsid w:val="73BF97AA"/>
    <w:rsid w:val="73ED09E6"/>
    <w:rsid w:val="73F386A8"/>
    <w:rsid w:val="7416564C"/>
    <w:rsid w:val="74386C04"/>
    <w:rsid w:val="745125E1"/>
    <w:rsid w:val="74A04788"/>
    <w:rsid w:val="74B12C1C"/>
    <w:rsid w:val="74C02297"/>
    <w:rsid w:val="74CA2601"/>
    <w:rsid w:val="74E77385"/>
    <w:rsid w:val="750926E2"/>
    <w:rsid w:val="75211A15"/>
    <w:rsid w:val="75315237"/>
    <w:rsid w:val="75435E61"/>
    <w:rsid w:val="75525022"/>
    <w:rsid w:val="755C0CA5"/>
    <w:rsid w:val="756452D8"/>
    <w:rsid w:val="75CD4AFD"/>
    <w:rsid w:val="75CF09D8"/>
    <w:rsid w:val="75DA3860"/>
    <w:rsid w:val="75F4750C"/>
    <w:rsid w:val="76067821"/>
    <w:rsid w:val="7614285D"/>
    <w:rsid w:val="762F50EB"/>
    <w:rsid w:val="763079CC"/>
    <w:rsid w:val="76392208"/>
    <w:rsid w:val="763A0087"/>
    <w:rsid w:val="763D3394"/>
    <w:rsid w:val="765F215A"/>
    <w:rsid w:val="76695353"/>
    <w:rsid w:val="769D232A"/>
    <w:rsid w:val="769F0CFF"/>
    <w:rsid w:val="76A23EF3"/>
    <w:rsid w:val="76A25294"/>
    <w:rsid w:val="76DB2B7D"/>
    <w:rsid w:val="76E11454"/>
    <w:rsid w:val="76E94B74"/>
    <w:rsid w:val="770E6AAE"/>
    <w:rsid w:val="773B2BD1"/>
    <w:rsid w:val="774C7428"/>
    <w:rsid w:val="776B6C5F"/>
    <w:rsid w:val="77796312"/>
    <w:rsid w:val="777A3CCE"/>
    <w:rsid w:val="777E3EB8"/>
    <w:rsid w:val="777F80B3"/>
    <w:rsid w:val="77815E20"/>
    <w:rsid w:val="77832A4C"/>
    <w:rsid w:val="77843214"/>
    <w:rsid w:val="77943BD8"/>
    <w:rsid w:val="77953A1D"/>
    <w:rsid w:val="779D6099"/>
    <w:rsid w:val="77BC475C"/>
    <w:rsid w:val="77D05B9F"/>
    <w:rsid w:val="77D865E4"/>
    <w:rsid w:val="77F83AFA"/>
    <w:rsid w:val="77F91A0A"/>
    <w:rsid w:val="77FC2DAB"/>
    <w:rsid w:val="78070DD1"/>
    <w:rsid w:val="7819586A"/>
    <w:rsid w:val="78290477"/>
    <w:rsid w:val="782F4A55"/>
    <w:rsid w:val="785E4509"/>
    <w:rsid w:val="788137A7"/>
    <w:rsid w:val="78821BD3"/>
    <w:rsid w:val="788D4E52"/>
    <w:rsid w:val="78D366C6"/>
    <w:rsid w:val="78E21D6D"/>
    <w:rsid w:val="78E57CE3"/>
    <w:rsid w:val="78FA49CF"/>
    <w:rsid w:val="792B7DEB"/>
    <w:rsid w:val="79490272"/>
    <w:rsid w:val="795C0BA9"/>
    <w:rsid w:val="797319EC"/>
    <w:rsid w:val="798557B2"/>
    <w:rsid w:val="7985C1CB"/>
    <w:rsid w:val="798A3C76"/>
    <w:rsid w:val="79A722B9"/>
    <w:rsid w:val="79AC251D"/>
    <w:rsid w:val="79B02CAD"/>
    <w:rsid w:val="79BA0604"/>
    <w:rsid w:val="79C95D4D"/>
    <w:rsid w:val="79F3642F"/>
    <w:rsid w:val="7A2A11B1"/>
    <w:rsid w:val="7A7E24D7"/>
    <w:rsid w:val="7A822729"/>
    <w:rsid w:val="7AFB5F2F"/>
    <w:rsid w:val="7B10790B"/>
    <w:rsid w:val="7B111C85"/>
    <w:rsid w:val="7B2B64DD"/>
    <w:rsid w:val="7B4306BE"/>
    <w:rsid w:val="7B473D7F"/>
    <w:rsid w:val="7B6E5F0B"/>
    <w:rsid w:val="7B716301"/>
    <w:rsid w:val="7B7CE564"/>
    <w:rsid w:val="7B931C78"/>
    <w:rsid w:val="7BA69D91"/>
    <w:rsid w:val="7BB80A08"/>
    <w:rsid w:val="7BC635A1"/>
    <w:rsid w:val="7BC7048E"/>
    <w:rsid w:val="7BC753C9"/>
    <w:rsid w:val="7BE10C35"/>
    <w:rsid w:val="7BF56DD9"/>
    <w:rsid w:val="7BF731C2"/>
    <w:rsid w:val="7BFC855B"/>
    <w:rsid w:val="7C737F4B"/>
    <w:rsid w:val="7C80235D"/>
    <w:rsid w:val="7C866277"/>
    <w:rsid w:val="7CA40FF5"/>
    <w:rsid w:val="7CA73EB6"/>
    <w:rsid w:val="7CAF26FE"/>
    <w:rsid w:val="7CCA6C62"/>
    <w:rsid w:val="7CD05E42"/>
    <w:rsid w:val="7CD23459"/>
    <w:rsid w:val="7CFCADE6"/>
    <w:rsid w:val="7D031EA8"/>
    <w:rsid w:val="7D171A28"/>
    <w:rsid w:val="7D1E37D2"/>
    <w:rsid w:val="7D2D0569"/>
    <w:rsid w:val="7D48349E"/>
    <w:rsid w:val="7D543CAC"/>
    <w:rsid w:val="7D8E0949"/>
    <w:rsid w:val="7D8E6B9B"/>
    <w:rsid w:val="7D970DFD"/>
    <w:rsid w:val="7DBD1E1F"/>
    <w:rsid w:val="7DD6A077"/>
    <w:rsid w:val="7DEFCDC2"/>
    <w:rsid w:val="7DF86EF6"/>
    <w:rsid w:val="7DFC2364"/>
    <w:rsid w:val="7E2F1A24"/>
    <w:rsid w:val="7E775881"/>
    <w:rsid w:val="7E8A6E19"/>
    <w:rsid w:val="7EB20D47"/>
    <w:rsid w:val="7EBD3A35"/>
    <w:rsid w:val="7EDF76DC"/>
    <w:rsid w:val="7EEFED3B"/>
    <w:rsid w:val="7F213B20"/>
    <w:rsid w:val="7F3542EA"/>
    <w:rsid w:val="7F440F59"/>
    <w:rsid w:val="7F5434CC"/>
    <w:rsid w:val="7F56E116"/>
    <w:rsid w:val="7F6017D7"/>
    <w:rsid w:val="7FBBB121"/>
    <w:rsid w:val="7FCB8AE9"/>
    <w:rsid w:val="7FD43972"/>
    <w:rsid w:val="7FDE7192"/>
    <w:rsid w:val="7FDF9031"/>
    <w:rsid w:val="7FDFE79D"/>
    <w:rsid w:val="7FF7BA53"/>
    <w:rsid w:val="7FF7D106"/>
    <w:rsid w:val="7FF93671"/>
    <w:rsid w:val="7FFB1012"/>
    <w:rsid w:val="7FFB672E"/>
    <w:rsid w:val="7FFBCAE7"/>
    <w:rsid w:val="7FFDF18F"/>
    <w:rsid w:val="7FFF33B8"/>
    <w:rsid w:val="7FFF9F34"/>
    <w:rsid w:val="86F9F1A5"/>
    <w:rsid w:val="8FFF31DC"/>
    <w:rsid w:val="977B9521"/>
    <w:rsid w:val="9DF60D89"/>
    <w:rsid w:val="9E7FDDA6"/>
    <w:rsid w:val="A59FCC85"/>
    <w:rsid w:val="A7BEB638"/>
    <w:rsid w:val="A7FEABDE"/>
    <w:rsid w:val="AE6F1633"/>
    <w:rsid w:val="B6F7732E"/>
    <w:rsid w:val="B79EF855"/>
    <w:rsid w:val="B9BF5040"/>
    <w:rsid w:val="B9E806B3"/>
    <w:rsid w:val="B9FE8B8A"/>
    <w:rsid w:val="BADF41B2"/>
    <w:rsid w:val="BBFF52DF"/>
    <w:rsid w:val="BD1F0B27"/>
    <w:rsid w:val="BDABB0BB"/>
    <w:rsid w:val="BE3E1D12"/>
    <w:rsid w:val="BE6B5F54"/>
    <w:rsid w:val="BEDE658C"/>
    <w:rsid w:val="BF161B88"/>
    <w:rsid w:val="BF17D96B"/>
    <w:rsid w:val="BFC92677"/>
    <w:rsid w:val="BFE97B72"/>
    <w:rsid w:val="BFF5D09C"/>
    <w:rsid w:val="CBBFD15B"/>
    <w:rsid w:val="CBEA3BF4"/>
    <w:rsid w:val="CD61169E"/>
    <w:rsid w:val="CEFA3E9A"/>
    <w:rsid w:val="CEFB2A90"/>
    <w:rsid w:val="CF3F4824"/>
    <w:rsid w:val="CF7C92D2"/>
    <w:rsid w:val="CF7F3DA8"/>
    <w:rsid w:val="CFBF0F2A"/>
    <w:rsid w:val="CFC215C2"/>
    <w:rsid w:val="D19BE943"/>
    <w:rsid w:val="D1FF5AFF"/>
    <w:rsid w:val="D5D74504"/>
    <w:rsid w:val="DADD41C1"/>
    <w:rsid w:val="DAF6E23F"/>
    <w:rsid w:val="DBED9E89"/>
    <w:rsid w:val="DDF49AFC"/>
    <w:rsid w:val="DE718DE3"/>
    <w:rsid w:val="DEFEB475"/>
    <w:rsid w:val="DF3B37AC"/>
    <w:rsid w:val="DF3F49F3"/>
    <w:rsid w:val="DF6F60F3"/>
    <w:rsid w:val="DFE83E38"/>
    <w:rsid w:val="DFEF57E4"/>
    <w:rsid w:val="DFFFAF1E"/>
    <w:rsid w:val="E6F2D9AC"/>
    <w:rsid w:val="E99B7083"/>
    <w:rsid w:val="EACB0248"/>
    <w:rsid w:val="EB7C1179"/>
    <w:rsid w:val="EDEF0C6F"/>
    <w:rsid w:val="EDFE1314"/>
    <w:rsid w:val="EFBB48B2"/>
    <w:rsid w:val="F1EF1A3D"/>
    <w:rsid w:val="F378AAD3"/>
    <w:rsid w:val="F3DE7478"/>
    <w:rsid w:val="F57F0B32"/>
    <w:rsid w:val="F59CDE1C"/>
    <w:rsid w:val="F64B8F5C"/>
    <w:rsid w:val="FA9E8D9E"/>
    <w:rsid w:val="FB5342DD"/>
    <w:rsid w:val="FB57A944"/>
    <w:rsid w:val="FCF679AF"/>
    <w:rsid w:val="FD7FD7C3"/>
    <w:rsid w:val="FDE7DC37"/>
    <w:rsid w:val="FDFDC76E"/>
    <w:rsid w:val="FE7C0ADC"/>
    <w:rsid w:val="FECFD258"/>
    <w:rsid w:val="FEE74144"/>
    <w:rsid w:val="FEE7B320"/>
    <w:rsid w:val="FEEB90F6"/>
    <w:rsid w:val="FF3735FA"/>
    <w:rsid w:val="FF571230"/>
    <w:rsid w:val="FF5F4E41"/>
    <w:rsid w:val="FF7DBF9D"/>
    <w:rsid w:val="FF8F79CC"/>
    <w:rsid w:val="FFB36E23"/>
    <w:rsid w:val="FFB6096D"/>
    <w:rsid w:val="FFBB3A6C"/>
    <w:rsid w:val="FFDBC46C"/>
    <w:rsid w:val="FFDFCF23"/>
    <w:rsid w:val="FFE79C8C"/>
    <w:rsid w:val="FFF7DDC1"/>
    <w:rsid w:val="FFFCE13A"/>
    <w:rsid w:val="FFFF47A4"/>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67"/>
    <w:qFormat/>
    <w:uiPriority w:val="0"/>
    <w:pPr>
      <w:keepNext/>
      <w:keepLines/>
      <w:tabs>
        <w:tab w:val="left" w:pos="360"/>
      </w:tabs>
      <w:adjustRightInd w:val="0"/>
      <w:spacing w:before="120" w:line="360" w:lineRule="auto"/>
      <w:ind w:left="284" w:hanging="284"/>
      <w:textAlignment w:val="baseline"/>
      <w:outlineLvl w:val="0"/>
    </w:pPr>
    <w:rPr>
      <w:rFonts w:ascii="Calibri" w:hAnsi="Calibri" w:eastAsia="黑体" w:cs="Times New Roman"/>
      <w:b/>
      <w:kern w:val="44"/>
      <w:sz w:val="28"/>
      <w:szCs w:val="20"/>
    </w:rPr>
  </w:style>
  <w:style w:type="paragraph" w:styleId="3">
    <w:name w:val="heading 2"/>
    <w:basedOn w:val="1"/>
    <w:next w:val="1"/>
    <w:link w:val="72"/>
    <w:qFormat/>
    <w:uiPriority w:val="0"/>
    <w:pPr>
      <w:keepNext/>
      <w:tabs>
        <w:tab w:val="left" w:pos="1021"/>
      </w:tabs>
      <w:adjustRightInd w:val="0"/>
      <w:spacing w:line="360" w:lineRule="auto"/>
      <w:textAlignment w:val="baseline"/>
      <w:outlineLvl w:val="1"/>
    </w:pPr>
    <w:rPr>
      <w:rFonts w:cs="Times New Roman"/>
      <w:b/>
      <w:sz w:val="28"/>
      <w:szCs w:val="28"/>
    </w:rPr>
  </w:style>
  <w:style w:type="paragraph" w:styleId="4">
    <w:name w:val="heading 3"/>
    <w:basedOn w:val="1"/>
    <w:next w:val="1"/>
    <w:qFormat/>
    <w:uiPriority w:val="0"/>
    <w:pPr>
      <w:tabs>
        <w:tab w:val="left" w:pos="900"/>
      </w:tabs>
      <w:adjustRightInd w:val="0"/>
      <w:spacing w:before="120" w:line="360" w:lineRule="auto"/>
      <w:ind w:left="1588" w:hanging="737"/>
      <w:textAlignment w:val="baseline"/>
      <w:outlineLvl w:val="2"/>
    </w:pPr>
    <w:rPr>
      <w:rFonts w:eastAsia="黑体"/>
      <w:b/>
      <w:sz w:val="28"/>
      <w:szCs w:val="20"/>
    </w:rPr>
  </w:style>
  <w:style w:type="paragraph" w:styleId="5">
    <w:name w:val="heading 4"/>
    <w:basedOn w:val="1"/>
    <w:next w:val="1"/>
    <w:link w:val="194"/>
    <w:qFormat/>
    <w:uiPriority w:val="99"/>
    <w:pPr>
      <w:tabs>
        <w:tab w:val="left" w:pos="2155"/>
      </w:tabs>
      <w:adjustRightInd w:val="0"/>
      <w:spacing w:before="120" w:line="360" w:lineRule="auto"/>
      <w:ind w:left="2155" w:hanging="1078"/>
      <w:textAlignment w:val="baseline"/>
      <w:outlineLvl w:val="3"/>
    </w:pPr>
    <w:rPr>
      <w:rFonts w:ascii="Arial" w:hAnsi="Arial" w:eastAsia="黑体"/>
      <w:sz w:val="28"/>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rPr>
  </w:style>
  <w:style w:type="paragraph" w:styleId="8">
    <w:name w:val="heading 7"/>
    <w:basedOn w:val="1"/>
    <w:next w:val="1"/>
    <w:qFormat/>
    <w:uiPriority w:val="0"/>
    <w:pPr>
      <w:keepNext/>
      <w:keepLines/>
      <w:spacing w:before="240" w:after="64" w:line="320" w:lineRule="auto"/>
      <w:outlineLvl w:val="6"/>
    </w:pPr>
    <w:rPr>
      <w:b/>
      <w:bCs/>
    </w:rPr>
  </w:style>
  <w:style w:type="paragraph" w:styleId="9">
    <w:name w:val="heading 8"/>
    <w:basedOn w:val="1"/>
    <w:next w:val="1"/>
    <w:qFormat/>
    <w:uiPriority w:val="0"/>
    <w:pPr>
      <w:keepNext/>
      <w:keepLines/>
      <w:spacing w:before="240" w:after="64" w:line="320" w:lineRule="auto"/>
      <w:outlineLvl w:val="7"/>
    </w:pPr>
    <w:rPr>
      <w:rFonts w:ascii="Arial" w:hAnsi="Arial" w:eastAsia="黑体"/>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pPr>
    <w:rPr>
      <w:sz w:val="18"/>
      <w:szCs w:val="18"/>
    </w:rPr>
  </w:style>
  <w:style w:type="paragraph" w:styleId="12">
    <w:name w:val="index 8"/>
    <w:basedOn w:val="1"/>
    <w:next w:val="1"/>
    <w:semiHidden/>
    <w:qFormat/>
    <w:uiPriority w:val="0"/>
    <w:pPr>
      <w:spacing w:line="480" w:lineRule="exact"/>
      <w:ind w:left="1400" w:leftChars="1400" w:firstLine="200" w:firstLineChars="200"/>
    </w:pPr>
    <w:rPr>
      <w:color w:val="7030A0"/>
    </w:rPr>
  </w:style>
  <w:style w:type="paragraph" w:styleId="13">
    <w:name w:val="Normal Indent"/>
    <w:basedOn w:val="1"/>
    <w:link w:val="79"/>
    <w:qFormat/>
    <w:uiPriority w:val="99"/>
    <w:pPr>
      <w:ind w:firstLine="420"/>
    </w:pPr>
    <w:rPr>
      <w:rFonts w:ascii="Calibri" w:hAnsi="Calibri" w:cs="Times New Roman"/>
      <w:kern w:val="2"/>
      <w:sz w:val="21"/>
      <w:szCs w:val="20"/>
    </w:rPr>
  </w:style>
  <w:style w:type="paragraph" w:styleId="14">
    <w:name w:val="Document Map"/>
    <w:basedOn w:val="1"/>
    <w:semiHidden/>
    <w:qFormat/>
    <w:uiPriority w:val="0"/>
    <w:pPr>
      <w:shd w:val="clear" w:color="auto" w:fill="000080"/>
    </w:pPr>
  </w:style>
  <w:style w:type="paragraph" w:styleId="15">
    <w:name w:val="annotation text"/>
    <w:basedOn w:val="1"/>
    <w:link w:val="93"/>
    <w:qFormat/>
    <w:uiPriority w:val="99"/>
    <w:rPr>
      <w:rFonts w:ascii="Calibri" w:hAnsi="Calibri" w:cs="Times New Roman"/>
      <w:kern w:val="2"/>
      <w:sz w:val="21"/>
    </w:rPr>
  </w:style>
  <w:style w:type="paragraph" w:styleId="16">
    <w:name w:val="Body Text 3"/>
    <w:basedOn w:val="1"/>
    <w:qFormat/>
    <w:uiPriority w:val="0"/>
  </w:style>
  <w:style w:type="paragraph" w:styleId="17">
    <w:name w:val="Body Text"/>
    <w:basedOn w:val="1"/>
    <w:next w:val="1"/>
    <w:link w:val="101"/>
    <w:qFormat/>
    <w:uiPriority w:val="99"/>
    <w:rPr>
      <w:rFonts w:ascii="金山简黑体" w:hAnsi="金山简黑体" w:eastAsia="金山简黑体"/>
      <w:b/>
      <w:spacing w:val="-8"/>
      <w:sz w:val="44"/>
      <w:szCs w:val="20"/>
    </w:rPr>
  </w:style>
  <w:style w:type="paragraph" w:styleId="18">
    <w:name w:val="Body Text Indent"/>
    <w:basedOn w:val="1"/>
    <w:next w:val="19"/>
    <w:qFormat/>
    <w:uiPriority w:val="0"/>
    <w:pPr>
      <w:spacing w:line="200" w:lineRule="exact"/>
      <w:ind w:firstLine="301"/>
    </w:pPr>
    <w:rPr>
      <w:spacing w:val="-4"/>
      <w:sz w:val="18"/>
      <w:szCs w:val="20"/>
    </w:rPr>
  </w:style>
  <w:style w:type="paragraph" w:customStyle="1" w:styleId="19">
    <w:name w:val="样式 正文文字缩进 + 小四 首行缩进:  2 字符"/>
    <w:qFormat/>
    <w:uiPriority w:val="0"/>
    <w:pPr>
      <w:widowControl w:val="0"/>
      <w:numPr>
        <w:ilvl w:val="0"/>
        <w:numId w:val="1"/>
      </w:numPr>
      <w:topLinePunct/>
      <w:adjustRightInd w:val="0"/>
      <w:snapToGrid w:val="0"/>
      <w:spacing w:line="600" w:lineRule="exact"/>
      <w:ind w:firstLine="0"/>
      <w:jc w:val="center"/>
    </w:pPr>
    <w:rPr>
      <w:rFonts w:ascii="宋体" w:hAnsi="Times New Roman" w:eastAsia="宋体" w:cs="Times New Roman"/>
      <w:b/>
      <w:kern w:val="2"/>
      <w:sz w:val="28"/>
      <w:szCs w:val="24"/>
      <w:u w:val="double"/>
      <w:lang w:val="en-US" w:eastAsia="zh-CN" w:bidi="ar-SA"/>
    </w:rPr>
  </w:style>
  <w:style w:type="paragraph" w:styleId="20">
    <w:name w:val="toc 5"/>
    <w:basedOn w:val="1"/>
    <w:next w:val="1"/>
    <w:semiHidden/>
    <w:qFormat/>
    <w:uiPriority w:val="0"/>
    <w:pPr>
      <w:ind w:left="840"/>
    </w:pPr>
    <w:rPr>
      <w:sz w:val="18"/>
      <w:szCs w:val="18"/>
    </w:rPr>
  </w:style>
  <w:style w:type="paragraph" w:styleId="21">
    <w:name w:val="toc 3"/>
    <w:basedOn w:val="1"/>
    <w:next w:val="1"/>
    <w:semiHidden/>
    <w:qFormat/>
    <w:uiPriority w:val="0"/>
    <w:pPr>
      <w:ind w:left="420"/>
    </w:pPr>
    <w:rPr>
      <w:i/>
      <w:iCs/>
      <w:sz w:val="20"/>
      <w:szCs w:val="20"/>
    </w:rPr>
  </w:style>
  <w:style w:type="paragraph" w:styleId="22">
    <w:name w:val="Plain Text"/>
    <w:basedOn w:val="1"/>
    <w:next w:val="12"/>
    <w:link w:val="62"/>
    <w:qFormat/>
    <w:uiPriority w:val="99"/>
    <w:pPr>
      <w:adjustRightInd w:val="0"/>
      <w:snapToGrid w:val="0"/>
      <w:spacing w:line="360" w:lineRule="auto"/>
      <w:jc w:val="center"/>
    </w:pPr>
    <w:rPr>
      <w:sz w:val="21"/>
      <w:szCs w:val="21"/>
    </w:rPr>
  </w:style>
  <w:style w:type="paragraph" w:styleId="23">
    <w:name w:val="toc 8"/>
    <w:basedOn w:val="1"/>
    <w:next w:val="1"/>
    <w:semiHidden/>
    <w:qFormat/>
    <w:uiPriority w:val="0"/>
    <w:pPr>
      <w:ind w:left="1470"/>
    </w:pPr>
    <w:rPr>
      <w:sz w:val="18"/>
      <w:szCs w:val="18"/>
    </w:rPr>
  </w:style>
  <w:style w:type="paragraph" w:styleId="24">
    <w:name w:val="Date"/>
    <w:basedOn w:val="1"/>
    <w:next w:val="1"/>
    <w:link w:val="141"/>
    <w:qFormat/>
    <w:uiPriority w:val="99"/>
    <w:rPr>
      <w:szCs w:val="20"/>
    </w:rPr>
  </w:style>
  <w:style w:type="paragraph" w:styleId="25">
    <w:name w:val="Body Text Indent 2"/>
    <w:basedOn w:val="1"/>
    <w:qFormat/>
    <w:uiPriority w:val="0"/>
    <w:pPr>
      <w:spacing w:after="120" w:line="480" w:lineRule="auto"/>
      <w:ind w:left="200" w:leftChars="200"/>
    </w:pPr>
  </w:style>
  <w:style w:type="paragraph" w:styleId="26">
    <w:name w:val="Balloon Text"/>
    <w:basedOn w:val="1"/>
    <w:qFormat/>
    <w:uiPriority w:val="0"/>
    <w:rPr>
      <w:sz w:val="18"/>
      <w:szCs w:val="18"/>
    </w:rPr>
  </w:style>
  <w:style w:type="paragraph" w:styleId="27">
    <w:name w:val="footer"/>
    <w:basedOn w:val="1"/>
    <w:link w:val="77"/>
    <w:qFormat/>
    <w:uiPriority w:val="99"/>
    <w:pPr>
      <w:tabs>
        <w:tab w:val="center" w:pos="4153"/>
        <w:tab w:val="right" w:pos="8306"/>
      </w:tabs>
      <w:snapToGrid w:val="0"/>
    </w:pPr>
    <w:rPr>
      <w:rFonts w:hAnsi="Calibri" w:cs="Times New Roman"/>
      <w:kern w:val="2"/>
      <w:sz w:val="18"/>
      <w:szCs w:val="20"/>
    </w:rPr>
  </w:style>
  <w:style w:type="paragraph" w:styleId="28">
    <w:name w:val="header"/>
    <w:basedOn w:val="1"/>
    <w:link w:val="80"/>
    <w:qFormat/>
    <w:uiPriority w:val="99"/>
    <w:pPr>
      <w:pBdr>
        <w:bottom w:val="single" w:color="auto" w:sz="6" w:space="1"/>
      </w:pBdr>
      <w:tabs>
        <w:tab w:val="center" w:pos="4153"/>
        <w:tab w:val="right" w:pos="8306"/>
      </w:tabs>
      <w:snapToGrid w:val="0"/>
      <w:jc w:val="center"/>
    </w:pPr>
    <w:rPr>
      <w:rFonts w:ascii="Calibri" w:hAnsi="Calibri" w:cs="Times New Roman"/>
      <w:kern w:val="2"/>
      <w:sz w:val="18"/>
      <w:szCs w:val="18"/>
    </w:rPr>
  </w:style>
  <w:style w:type="paragraph" w:styleId="29">
    <w:name w:val="toc 1"/>
    <w:basedOn w:val="1"/>
    <w:next w:val="1"/>
    <w:qFormat/>
    <w:uiPriority w:val="39"/>
    <w:pPr>
      <w:tabs>
        <w:tab w:val="right" w:leader="dot" w:pos="9900"/>
      </w:tabs>
      <w:spacing w:before="120" w:after="120"/>
      <w:ind w:firstLine="134" w:firstLineChars="74"/>
    </w:pPr>
    <w:rPr>
      <w:b/>
      <w:bCs/>
      <w:caps/>
      <w:sz w:val="20"/>
      <w:szCs w:val="20"/>
    </w:rPr>
  </w:style>
  <w:style w:type="paragraph" w:styleId="30">
    <w:name w:val="toc 4"/>
    <w:basedOn w:val="1"/>
    <w:next w:val="1"/>
    <w:semiHidden/>
    <w:qFormat/>
    <w:uiPriority w:val="0"/>
    <w:pPr>
      <w:ind w:left="630"/>
    </w:pPr>
    <w:rPr>
      <w:sz w:val="18"/>
      <w:szCs w:val="18"/>
    </w:rPr>
  </w:style>
  <w:style w:type="paragraph" w:styleId="31">
    <w:name w:val="Subtitle"/>
    <w:basedOn w:val="1"/>
    <w:qFormat/>
    <w:uiPriority w:val="0"/>
    <w:rPr>
      <w:rFonts w:cs="Century"/>
      <w:lang w:eastAsia="en-US" w:bidi="he-IL"/>
    </w:rPr>
  </w:style>
  <w:style w:type="paragraph" w:styleId="32">
    <w:name w:val="toc 6"/>
    <w:basedOn w:val="1"/>
    <w:next w:val="1"/>
    <w:semiHidden/>
    <w:qFormat/>
    <w:uiPriority w:val="0"/>
    <w:pPr>
      <w:ind w:left="1050"/>
    </w:pPr>
    <w:rPr>
      <w:sz w:val="18"/>
      <w:szCs w:val="18"/>
    </w:rPr>
  </w:style>
  <w:style w:type="paragraph" w:styleId="33">
    <w:name w:val="Body Text Indent 3"/>
    <w:basedOn w:val="1"/>
    <w:qFormat/>
    <w:uiPriority w:val="0"/>
    <w:pPr>
      <w:spacing w:line="400" w:lineRule="exact"/>
      <w:ind w:left="360"/>
    </w:pPr>
  </w:style>
  <w:style w:type="paragraph" w:styleId="34">
    <w:name w:val="toc 2"/>
    <w:basedOn w:val="1"/>
    <w:next w:val="1"/>
    <w:qFormat/>
    <w:uiPriority w:val="39"/>
    <w:pPr>
      <w:ind w:left="210"/>
    </w:pPr>
    <w:rPr>
      <w:smallCaps/>
      <w:sz w:val="20"/>
      <w:szCs w:val="20"/>
    </w:rPr>
  </w:style>
  <w:style w:type="paragraph" w:styleId="35">
    <w:name w:val="toc 9"/>
    <w:basedOn w:val="1"/>
    <w:next w:val="1"/>
    <w:semiHidden/>
    <w:qFormat/>
    <w:uiPriority w:val="0"/>
    <w:pPr>
      <w:ind w:left="1680"/>
    </w:pPr>
    <w:rPr>
      <w:sz w:val="18"/>
      <w:szCs w:val="18"/>
    </w:rPr>
  </w:style>
  <w:style w:type="paragraph" w:styleId="36">
    <w:name w:val="Body Text 2"/>
    <w:basedOn w:val="1"/>
    <w:qFormat/>
    <w:uiPriority w:val="0"/>
    <w:rPr>
      <w:sz w:val="13"/>
      <w:szCs w:val="20"/>
    </w:rPr>
  </w:style>
  <w:style w:type="paragraph" w:styleId="37">
    <w:name w:val="HTML Preformatted"/>
    <w:basedOn w:val="1"/>
    <w:link w:val="202"/>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rPr>
  </w:style>
  <w:style w:type="paragraph" w:styleId="38">
    <w:name w:val="Normal (Web)"/>
    <w:basedOn w:val="1"/>
    <w:qFormat/>
    <w:uiPriority w:val="99"/>
    <w:pPr>
      <w:spacing w:before="100" w:beforeAutospacing="1" w:after="100" w:afterAutospacing="1"/>
    </w:pPr>
  </w:style>
  <w:style w:type="paragraph" w:styleId="39">
    <w:name w:val="Title"/>
    <w:basedOn w:val="1"/>
    <w:qFormat/>
    <w:uiPriority w:val="0"/>
    <w:pPr>
      <w:shd w:val="pct10" w:color="auto" w:fill="auto"/>
      <w:jc w:val="center"/>
    </w:pPr>
    <w:rPr>
      <w:rFonts w:cs="Century"/>
      <w:b/>
      <w:bCs/>
      <w:snapToGrid w:val="0"/>
      <w:sz w:val="32"/>
      <w:szCs w:val="32"/>
      <w:bdr w:val="single" w:color="auto" w:sz="4" w:space="0"/>
      <w:lang w:eastAsia="en-US" w:bidi="he-IL"/>
    </w:rPr>
  </w:style>
  <w:style w:type="paragraph" w:styleId="40">
    <w:name w:val="annotation subject"/>
    <w:basedOn w:val="15"/>
    <w:next w:val="15"/>
    <w:link w:val="64"/>
    <w:qFormat/>
    <w:uiPriority w:val="0"/>
    <w:rPr>
      <w:b/>
      <w:bCs/>
    </w:rPr>
  </w:style>
  <w:style w:type="paragraph" w:styleId="41">
    <w:name w:val="Body Text First Indent 2"/>
    <w:basedOn w:val="18"/>
    <w:next w:val="1"/>
    <w:qFormat/>
    <w:uiPriority w:val="99"/>
    <w:pPr>
      <w:spacing w:after="120" w:line="240" w:lineRule="auto"/>
      <w:ind w:left="420" w:leftChars="200" w:firstLine="420" w:firstLineChars="200"/>
    </w:pPr>
    <w:rPr>
      <w:szCs w:val="24"/>
    </w:rPr>
  </w:style>
  <w:style w:type="table" w:styleId="43">
    <w:name w:val="Table Grid"/>
    <w:basedOn w:val="42"/>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rPr>
  </w:style>
  <w:style w:type="character" w:styleId="46">
    <w:name w:val="page number"/>
    <w:qFormat/>
    <w:uiPriority w:val="0"/>
  </w:style>
  <w:style w:type="character" w:styleId="47">
    <w:name w:val="FollowedHyperlink"/>
    <w:qFormat/>
    <w:uiPriority w:val="99"/>
    <w:rPr>
      <w:color w:val="555555"/>
      <w:u w:val="none"/>
    </w:rPr>
  </w:style>
  <w:style w:type="character" w:styleId="48">
    <w:name w:val="Emphasis"/>
    <w:qFormat/>
    <w:uiPriority w:val="20"/>
    <w:rPr>
      <w:i/>
    </w:rPr>
  </w:style>
  <w:style w:type="character" w:styleId="49">
    <w:name w:val="HTML Definition"/>
    <w:qFormat/>
    <w:uiPriority w:val="0"/>
  </w:style>
  <w:style w:type="character" w:styleId="50">
    <w:name w:val="HTML Acronym"/>
    <w:qFormat/>
    <w:uiPriority w:val="0"/>
  </w:style>
  <w:style w:type="character" w:styleId="51">
    <w:name w:val="HTML Variable"/>
    <w:qFormat/>
    <w:uiPriority w:val="0"/>
  </w:style>
  <w:style w:type="character" w:styleId="52">
    <w:name w:val="Hyperlink"/>
    <w:qFormat/>
    <w:uiPriority w:val="99"/>
    <w:rPr>
      <w:color w:val="000000"/>
      <w:sz w:val="18"/>
      <w:szCs w:val="18"/>
      <w:u w:val="none"/>
    </w:rPr>
  </w:style>
  <w:style w:type="character" w:styleId="53">
    <w:name w:val="HTML Code"/>
    <w:qFormat/>
    <w:uiPriority w:val="0"/>
    <w:rPr>
      <w:rFonts w:ascii="monospace" w:hAnsi="monospace" w:eastAsia="monospace" w:cs="monospace"/>
      <w:sz w:val="24"/>
      <w:szCs w:val="24"/>
    </w:rPr>
  </w:style>
  <w:style w:type="character" w:styleId="54">
    <w:name w:val="annotation reference"/>
    <w:qFormat/>
    <w:uiPriority w:val="0"/>
    <w:rPr>
      <w:sz w:val="21"/>
      <w:szCs w:val="21"/>
    </w:rPr>
  </w:style>
  <w:style w:type="character" w:styleId="55">
    <w:name w:val="HTML Cite"/>
    <w:qFormat/>
    <w:uiPriority w:val="0"/>
  </w:style>
  <w:style w:type="character" w:styleId="56">
    <w:name w:val="HTML Keyboard"/>
    <w:qFormat/>
    <w:uiPriority w:val="0"/>
    <w:rPr>
      <w:rFonts w:hint="default" w:ascii="monospace" w:hAnsi="monospace" w:eastAsia="monospace" w:cs="monospace"/>
      <w:sz w:val="24"/>
      <w:szCs w:val="24"/>
    </w:rPr>
  </w:style>
  <w:style w:type="character" w:styleId="57">
    <w:name w:val="HTML Sample"/>
    <w:qFormat/>
    <w:uiPriority w:val="0"/>
    <w:rPr>
      <w:rFonts w:hint="default" w:ascii="monospace" w:hAnsi="monospace" w:eastAsia="monospace" w:cs="monospace"/>
      <w:sz w:val="24"/>
      <w:szCs w:val="24"/>
    </w:rPr>
  </w:style>
  <w:style w:type="character" w:customStyle="1" w:styleId="58">
    <w:name w:val="orange"/>
    <w:qFormat/>
    <w:uiPriority w:val="0"/>
    <w:rPr>
      <w:color w:val="3FB58F"/>
    </w:rPr>
  </w:style>
  <w:style w:type="character" w:customStyle="1" w:styleId="59">
    <w:name w:val="style41"/>
    <w:qFormat/>
    <w:uiPriority w:val="0"/>
  </w:style>
  <w:style w:type="character" w:customStyle="1" w:styleId="60">
    <w:name w:val="t-tag"/>
    <w:qFormat/>
    <w:uiPriority w:val="0"/>
    <w:rPr>
      <w:color w:val="FFFFFF"/>
      <w:sz w:val="18"/>
      <w:szCs w:val="18"/>
      <w:shd w:val="clear" w:color="auto" w:fill="FE8833"/>
    </w:rPr>
  </w:style>
  <w:style w:type="character" w:customStyle="1" w:styleId="61">
    <w:name w:val="tip"/>
    <w:qFormat/>
    <w:uiPriority w:val="0"/>
    <w:rPr>
      <w:vanish/>
      <w:color w:val="FF0000"/>
      <w:sz w:val="18"/>
      <w:szCs w:val="18"/>
    </w:rPr>
  </w:style>
  <w:style w:type="character" w:customStyle="1" w:styleId="62">
    <w:name w:val="纯文本 字符"/>
    <w:link w:val="22"/>
    <w:qFormat/>
    <w:uiPriority w:val="99"/>
    <w:rPr>
      <w:rFonts w:ascii="宋体" w:hAnsi="宋体" w:cs="宋体"/>
      <w:sz w:val="21"/>
      <w:szCs w:val="21"/>
    </w:rPr>
  </w:style>
  <w:style w:type="character" w:customStyle="1" w:styleId="63">
    <w:name w:val="ui-bz-bg-hover1"/>
    <w:qFormat/>
    <w:uiPriority w:val="0"/>
  </w:style>
  <w:style w:type="character" w:customStyle="1" w:styleId="64">
    <w:name w:val="批注主题 字符"/>
    <w:link w:val="40"/>
    <w:qFormat/>
    <w:uiPriority w:val="0"/>
    <w:rPr>
      <w:b/>
      <w:bCs/>
      <w:kern w:val="2"/>
      <w:sz w:val="21"/>
      <w:szCs w:val="24"/>
    </w:rPr>
  </w:style>
  <w:style w:type="character" w:customStyle="1" w:styleId="65">
    <w:name w:val="no42"/>
    <w:qFormat/>
    <w:uiPriority w:val="0"/>
  </w:style>
  <w:style w:type="character" w:customStyle="1" w:styleId="66">
    <w:name w:val="f-star"/>
    <w:qFormat/>
    <w:uiPriority w:val="0"/>
    <w:rPr>
      <w:color w:val="999999"/>
      <w:sz w:val="21"/>
      <w:szCs w:val="21"/>
    </w:rPr>
  </w:style>
  <w:style w:type="character" w:customStyle="1" w:styleId="67">
    <w:name w:val="标题 1 字符"/>
    <w:link w:val="2"/>
    <w:qFormat/>
    <w:uiPriority w:val="0"/>
    <w:rPr>
      <w:rFonts w:eastAsia="黑体"/>
      <w:b/>
      <w:kern w:val="44"/>
      <w:sz w:val="28"/>
      <w:szCs w:val="20"/>
    </w:rPr>
  </w:style>
  <w:style w:type="character" w:customStyle="1" w:styleId="68">
    <w:name w:val="filelddbnamecss"/>
    <w:qFormat/>
    <w:uiPriority w:val="0"/>
  </w:style>
  <w:style w:type="character" w:customStyle="1" w:styleId="69">
    <w:name w:val="bds_nopic2"/>
    <w:qFormat/>
    <w:uiPriority w:val="0"/>
  </w:style>
  <w:style w:type="character" w:customStyle="1" w:styleId="70">
    <w:name w:val="no4"/>
    <w:qFormat/>
    <w:uiPriority w:val="0"/>
  </w:style>
  <w:style w:type="character" w:customStyle="1" w:styleId="71">
    <w:name w:val="grame"/>
    <w:qFormat/>
    <w:uiPriority w:val="0"/>
  </w:style>
  <w:style w:type="character" w:customStyle="1" w:styleId="72">
    <w:name w:val="标题 2 字符"/>
    <w:link w:val="3"/>
    <w:qFormat/>
    <w:uiPriority w:val="0"/>
    <w:rPr>
      <w:rFonts w:ascii="宋体" w:hAnsi="宋体"/>
      <w:b/>
      <w:sz w:val="28"/>
      <w:szCs w:val="28"/>
    </w:rPr>
  </w:style>
  <w:style w:type="character" w:customStyle="1" w:styleId="73">
    <w:name w:val="bds_nopic"/>
    <w:qFormat/>
    <w:uiPriority w:val="0"/>
  </w:style>
  <w:style w:type="character" w:customStyle="1" w:styleId="74">
    <w:name w:val="black1"/>
    <w:qFormat/>
    <w:uiPriority w:val="0"/>
    <w:rPr>
      <w:rFonts w:hint="default" w:ascii="ˎ̥" w:hAnsi="ˎ̥"/>
      <w:color w:val="333333"/>
      <w:sz w:val="18"/>
      <w:szCs w:val="18"/>
      <w:u w:val="none"/>
    </w:rPr>
  </w:style>
  <w:style w:type="character" w:customStyle="1" w:styleId="75">
    <w:name w:val="org_name2"/>
    <w:qFormat/>
    <w:uiPriority w:val="0"/>
  </w:style>
  <w:style w:type="character" w:customStyle="1" w:styleId="76">
    <w:name w:val="org_name"/>
    <w:qFormat/>
    <w:uiPriority w:val="0"/>
  </w:style>
  <w:style w:type="character" w:customStyle="1" w:styleId="77">
    <w:name w:val="页脚 字符"/>
    <w:link w:val="27"/>
    <w:qFormat/>
    <w:uiPriority w:val="99"/>
    <w:rPr>
      <w:rFonts w:ascii="宋体"/>
      <w:kern w:val="2"/>
      <w:sz w:val="18"/>
    </w:rPr>
  </w:style>
  <w:style w:type="character" w:customStyle="1" w:styleId="78">
    <w:name w:val="top-icon"/>
    <w:qFormat/>
    <w:uiPriority w:val="0"/>
  </w:style>
  <w:style w:type="character" w:customStyle="1" w:styleId="79">
    <w:name w:val="正文缩进 字符"/>
    <w:link w:val="13"/>
    <w:qFormat/>
    <w:uiPriority w:val="0"/>
    <w:rPr>
      <w:kern w:val="2"/>
      <w:sz w:val="21"/>
    </w:rPr>
  </w:style>
  <w:style w:type="character" w:customStyle="1" w:styleId="80">
    <w:name w:val="页眉 字符"/>
    <w:link w:val="28"/>
    <w:qFormat/>
    <w:uiPriority w:val="99"/>
    <w:rPr>
      <w:kern w:val="2"/>
      <w:sz w:val="18"/>
      <w:szCs w:val="18"/>
    </w:rPr>
  </w:style>
  <w:style w:type="character" w:customStyle="1" w:styleId="81">
    <w:name w:val="Char Char"/>
    <w:qFormat/>
    <w:uiPriority w:val="0"/>
    <w:rPr>
      <w:rFonts w:ascii="宋体" w:eastAsia="宋体"/>
      <w:kern w:val="2"/>
      <w:sz w:val="21"/>
      <w:lang w:val="en-US" w:eastAsia="zh-CN" w:bidi="ar-SA"/>
    </w:rPr>
  </w:style>
  <w:style w:type="character" w:customStyle="1" w:styleId="82">
    <w:name w:val="纯文本 Char"/>
    <w:qFormat/>
    <w:uiPriority w:val="0"/>
    <w:rPr>
      <w:rFonts w:ascii="宋体" w:eastAsia="宋体"/>
      <w:kern w:val="2"/>
      <w:sz w:val="21"/>
      <w:lang w:val="en-US" w:eastAsia="zh-CN" w:bidi="ar-SA"/>
    </w:rPr>
  </w:style>
  <w:style w:type="character" w:customStyle="1" w:styleId="83">
    <w:name w:val="正文缩进 Char"/>
    <w:qFormat/>
    <w:uiPriority w:val="0"/>
  </w:style>
  <w:style w:type="character" w:customStyle="1" w:styleId="84">
    <w:name w:val="my-notice1"/>
    <w:qFormat/>
    <w:uiPriority w:val="0"/>
  </w:style>
  <w:style w:type="character" w:customStyle="1" w:styleId="85">
    <w:name w:val="bds_more2"/>
    <w:qFormat/>
    <w:uiPriority w:val="0"/>
  </w:style>
  <w:style w:type="character" w:customStyle="1" w:styleId="86">
    <w:name w:val="ui-bz-bg-hover"/>
    <w:qFormat/>
    <w:uiPriority w:val="0"/>
    <w:rPr>
      <w:shd w:val="clear" w:color="auto" w:fill="000000"/>
    </w:rPr>
  </w:style>
  <w:style w:type="character" w:customStyle="1" w:styleId="87">
    <w:name w:val="bds_more"/>
    <w:qFormat/>
    <w:uiPriority w:val="0"/>
  </w:style>
  <w:style w:type="character" w:customStyle="1" w:styleId="88">
    <w:name w:val="bds_more1"/>
    <w:qFormat/>
    <w:uiPriority w:val="0"/>
    <w:rPr>
      <w:rFonts w:hint="eastAsia" w:ascii="宋体" w:hAnsi="宋体" w:eastAsia="宋体" w:cs="宋体"/>
    </w:rPr>
  </w:style>
  <w:style w:type="character" w:customStyle="1" w:styleId="89">
    <w:name w:val="tip6"/>
    <w:qFormat/>
    <w:uiPriority w:val="0"/>
    <w:rPr>
      <w:vanish/>
      <w:color w:val="FF0000"/>
      <w:sz w:val="18"/>
      <w:szCs w:val="18"/>
    </w:rPr>
  </w:style>
  <w:style w:type="character" w:customStyle="1" w:styleId="90">
    <w:name w:val="apple-converted-space"/>
    <w:qFormat/>
    <w:uiPriority w:val="0"/>
  </w:style>
  <w:style w:type="character" w:customStyle="1" w:styleId="91">
    <w:name w:val="no62"/>
    <w:qFormat/>
    <w:uiPriority w:val="0"/>
  </w:style>
  <w:style w:type="character" w:customStyle="1" w:styleId="92">
    <w:name w:val="orange6"/>
    <w:qFormat/>
    <w:uiPriority w:val="0"/>
    <w:rPr>
      <w:color w:val="3FB58F"/>
    </w:rPr>
  </w:style>
  <w:style w:type="character" w:customStyle="1" w:styleId="93">
    <w:name w:val="批注文字 字符"/>
    <w:link w:val="15"/>
    <w:qFormat/>
    <w:uiPriority w:val="99"/>
    <w:rPr>
      <w:kern w:val="2"/>
      <w:sz w:val="21"/>
      <w:szCs w:val="24"/>
    </w:rPr>
  </w:style>
  <w:style w:type="character" w:customStyle="1" w:styleId="94">
    <w:name w:val="no6"/>
    <w:qFormat/>
    <w:uiPriority w:val="0"/>
  </w:style>
  <w:style w:type="character" w:customStyle="1" w:styleId="95">
    <w:name w:val="no52"/>
    <w:qFormat/>
    <w:uiPriority w:val="0"/>
  </w:style>
  <w:style w:type="character" w:customStyle="1" w:styleId="96">
    <w:name w:val="my-class"/>
    <w:qFormat/>
    <w:uiPriority w:val="0"/>
  </w:style>
  <w:style w:type="character" w:customStyle="1" w:styleId="97">
    <w:name w:val="列出段落 Char"/>
    <w:link w:val="98"/>
    <w:qFormat/>
    <w:locked/>
    <w:uiPriority w:val="0"/>
    <w:rPr>
      <w:rFonts w:ascii="宋体" w:hAnsi="宋体" w:cs="宋体"/>
      <w:sz w:val="24"/>
      <w:szCs w:val="24"/>
    </w:rPr>
  </w:style>
  <w:style w:type="paragraph" w:customStyle="1" w:styleId="98">
    <w:name w:val="列出段落1"/>
    <w:basedOn w:val="1"/>
    <w:link w:val="97"/>
    <w:qFormat/>
    <w:uiPriority w:val="34"/>
    <w:pPr>
      <w:ind w:firstLine="420" w:firstLineChars="200"/>
    </w:pPr>
    <w:rPr>
      <w:rFonts w:cs="Times New Roman"/>
    </w:rPr>
  </w:style>
  <w:style w:type="character" w:customStyle="1" w:styleId="99">
    <w:name w:val="no72"/>
    <w:qFormat/>
    <w:uiPriority w:val="0"/>
  </w:style>
  <w:style w:type="character" w:customStyle="1" w:styleId="100">
    <w:name w:val="bds_nopic1"/>
    <w:qFormat/>
    <w:uiPriority w:val="0"/>
  </w:style>
  <w:style w:type="character" w:customStyle="1" w:styleId="101">
    <w:name w:val="正文文本 字符"/>
    <w:link w:val="17"/>
    <w:qFormat/>
    <w:uiPriority w:val="99"/>
    <w:rPr>
      <w:rFonts w:ascii="金山简黑体" w:hAnsi="金山简黑体" w:eastAsia="金山简黑体" w:cs="宋体"/>
      <w:b/>
      <w:spacing w:val="-8"/>
      <w:sz w:val="44"/>
    </w:rPr>
  </w:style>
  <w:style w:type="paragraph" w:customStyle="1" w:styleId="102">
    <w:name w:val="Default"/>
    <w:qFormat/>
    <w:uiPriority w:val="0"/>
    <w:pPr>
      <w:widowControl w:val="0"/>
      <w:autoSpaceDE w:val="0"/>
      <w:autoSpaceDN w:val="0"/>
      <w:adjustRightInd w:val="0"/>
    </w:pPr>
    <w:rPr>
      <w:rFonts w:ascii="..ì." w:hAnsi="Calibri" w:eastAsia="..ì." w:cs="..ì."/>
      <w:color w:val="000000"/>
      <w:sz w:val="24"/>
      <w:szCs w:val="24"/>
      <w:lang w:val="en-US" w:eastAsia="zh-CN" w:bidi="ar-SA"/>
    </w:rPr>
  </w:style>
  <w:style w:type="paragraph" w:styleId="103">
    <w:name w:val="List Paragraph"/>
    <w:basedOn w:val="1"/>
    <w:qFormat/>
    <w:uiPriority w:val="34"/>
    <w:pPr>
      <w:ind w:firstLine="420" w:firstLineChars="200"/>
    </w:pPr>
    <w:rPr>
      <w:rFonts w:ascii="Calibri" w:hAnsi="Calibri"/>
      <w:szCs w:val="22"/>
    </w:rPr>
  </w:style>
  <w:style w:type="paragraph" w:customStyle="1" w:styleId="104">
    <w:name w:val="xl23"/>
    <w:next w:val="35"/>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5">
    <w:name w:val="1"/>
    <w:basedOn w:val="1"/>
    <w:next w:val="22"/>
    <w:qFormat/>
    <w:uiPriority w:val="0"/>
    <w:rPr>
      <w:rFonts w:hAnsi="Courier New"/>
      <w:szCs w:val="20"/>
    </w:rPr>
  </w:style>
  <w:style w:type="paragraph" w:customStyle="1" w:styleId="106">
    <w:name w:val="_Style 71"/>
    <w:basedOn w:val="1"/>
    <w:next w:val="103"/>
    <w:qFormat/>
    <w:uiPriority w:val="34"/>
    <w:pPr>
      <w:widowControl w:val="0"/>
      <w:ind w:firstLine="420" w:firstLineChars="200"/>
      <w:jc w:val="both"/>
    </w:pPr>
    <w:rPr>
      <w:rFonts w:ascii="Calibri" w:hAnsi="Calibri" w:eastAsia="方正楷体简体" w:cs="Times New Roman"/>
      <w:kern w:val="2"/>
      <w:sz w:val="28"/>
      <w:szCs w:val="22"/>
    </w:rPr>
  </w:style>
  <w:style w:type="paragraph" w:customStyle="1" w:styleId="107">
    <w:name w:val="Body 1"/>
    <w:qFormat/>
    <w:uiPriority w:val="0"/>
    <w:pPr>
      <w:outlineLvl w:val="0"/>
    </w:pPr>
    <w:rPr>
      <w:rFonts w:ascii="Helvetica" w:hAnsi="Helvetica" w:eastAsia="Arial Unicode MS" w:cs="Times New Roman"/>
      <w:b/>
      <w:color w:val="000000"/>
      <w:u w:color="000000"/>
      <w:lang w:val="en-US" w:eastAsia="zh-CN" w:bidi="ar-SA"/>
    </w:rPr>
  </w:style>
  <w:style w:type="paragraph" w:customStyle="1" w:styleId="108">
    <w:name w:val="z-窗体底端1"/>
    <w:basedOn w:val="1"/>
    <w:next w:val="1"/>
    <w:qFormat/>
    <w:uiPriority w:val="0"/>
    <w:pPr>
      <w:pBdr>
        <w:top w:val="single" w:color="auto" w:sz="6" w:space="1"/>
      </w:pBdr>
      <w:jc w:val="center"/>
    </w:pPr>
    <w:rPr>
      <w:rFonts w:ascii="Arial"/>
      <w:vanish/>
      <w:sz w:val="16"/>
    </w:rPr>
  </w:style>
  <w:style w:type="paragraph" w:customStyle="1" w:styleId="109">
    <w:name w:val="样式2"/>
    <w:basedOn w:val="3"/>
    <w:qFormat/>
    <w:uiPriority w:val="0"/>
    <w:pPr>
      <w:spacing w:line="440" w:lineRule="exact"/>
      <w:jc w:val="center"/>
    </w:pPr>
    <w:rPr>
      <w:b w:val="0"/>
      <w:sz w:val="32"/>
    </w:rPr>
  </w:style>
  <w:style w:type="paragraph" w:customStyle="1" w:styleId="110">
    <w:name w:val="p15"/>
    <w:basedOn w:val="1"/>
    <w:qFormat/>
    <w:uiPriority w:val="0"/>
    <w:pPr>
      <w:spacing w:before="100" w:beforeAutospacing="1" w:after="100" w:afterAutospacing="1"/>
    </w:pPr>
  </w:style>
  <w:style w:type="paragraph" w:customStyle="1" w:styleId="111">
    <w:name w:val="默认段落字体 Para Char"/>
    <w:basedOn w:val="1"/>
    <w:qFormat/>
    <w:uiPriority w:val="0"/>
    <w:pPr>
      <w:tabs>
        <w:tab w:val="left" w:pos="360"/>
      </w:tabs>
      <w:ind w:left="420" w:hanging="420"/>
    </w:pPr>
    <w:rPr>
      <w:szCs w:val="20"/>
    </w:rPr>
  </w:style>
  <w:style w:type="paragraph" w:customStyle="1" w:styleId="112">
    <w:name w:val="xl63"/>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b/>
      <w:bCs/>
      <w:color w:val="000000"/>
    </w:rPr>
  </w:style>
  <w:style w:type="paragraph" w:customStyle="1" w:styleId="113">
    <w:name w:val="z-窗体顶端1"/>
    <w:basedOn w:val="1"/>
    <w:next w:val="1"/>
    <w:qFormat/>
    <w:uiPriority w:val="0"/>
    <w:pPr>
      <w:pBdr>
        <w:bottom w:val="single" w:color="auto" w:sz="6" w:space="1"/>
      </w:pBdr>
      <w:jc w:val="center"/>
    </w:pPr>
    <w:rPr>
      <w:rFonts w:ascii="Arial"/>
      <w:vanish/>
      <w:sz w:val="16"/>
    </w:rPr>
  </w:style>
  <w:style w:type="paragraph" w:customStyle="1" w:styleId="114">
    <w:name w:val="元正正文标题2"/>
    <w:basedOn w:val="5"/>
    <w:qFormat/>
    <w:uiPriority w:val="0"/>
    <w:pPr>
      <w:numPr>
        <w:ilvl w:val="3"/>
        <w:numId w:val="2"/>
      </w:numPr>
      <w:snapToGrid w:val="0"/>
      <w:spacing w:before="0" w:line="300" w:lineRule="auto"/>
      <w:jc w:val="center"/>
      <w:outlineLvl w:val="9"/>
    </w:pPr>
    <w:rPr>
      <w:rFonts w:ascii="宋体" w:hAnsi="宋体" w:eastAsia="宋体" w:cs="Times New Roman"/>
      <w:sz w:val="30"/>
      <w:szCs w:val="24"/>
    </w:rPr>
  </w:style>
  <w:style w:type="paragraph" w:customStyle="1" w:styleId="115">
    <w:name w:val="Char Char2"/>
    <w:basedOn w:val="14"/>
    <w:qFormat/>
    <w:uiPriority w:val="0"/>
    <w:pPr>
      <w:adjustRightInd w:val="0"/>
      <w:snapToGrid w:val="0"/>
      <w:spacing w:line="360" w:lineRule="auto"/>
    </w:pPr>
    <w:rPr>
      <w:rFonts w:ascii="Tahoma" w:hAnsi="Tahoma"/>
    </w:rPr>
  </w:style>
  <w:style w:type="paragraph" w:customStyle="1" w:styleId="116">
    <w:name w:val="Char Char1"/>
    <w:basedOn w:val="1"/>
    <w:qFormat/>
    <w:uiPriority w:val="0"/>
    <w:pPr>
      <w:tabs>
        <w:tab w:val="left" w:pos="360"/>
      </w:tabs>
    </w:pPr>
    <w:rPr>
      <w:szCs w:val="20"/>
    </w:rPr>
  </w:style>
  <w:style w:type="paragraph" w:customStyle="1" w:styleId="117">
    <w:name w:val="SP箇条書き"/>
    <w:basedOn w:val="1"/>
    <w:qFormat/>
    <w:uiPriority w:val="0"/>
    <w:pPr>
      <w:tabs>
        <w:tab w:val="left" w:pos="284"/>
        <w:tab w:val="left" w:pos="567"/>
        <w:tab w:val="left" w:pos="851"/>
        <w:tab w:val="left" w:pos="1134"/>
        <w:tab w:val="left" w:pos="1701"/>
        <w:tab w:val="left" w:pos="2835"/>
        <w:tab w:val="left" w:pos="3969"/>
      </w:tabs>
      <w:autoSpaceDE w:val="0"/>
      <w:autoSpaceDN w:val="0"/>
      <w:adjustRightInd w:val="0"/>
      <w:spacing w:line="300" w:lineRule="exact"/>
    </w:pPr>
    <w:rPr>
      <w:rFonts w:ascii="MS PGothic" w:hAnsi="Arial" w:eastAsia="MS PGothic"/>
      <w:color w:val="000000"/>
      <w:szCs w:val="20"/>
      <w:lang w:eastAsia="ja-JP"/>
    </w:rPr>
  </w:style>
  <w:style w:type="paragraph" w:customStyle="1" w:styleId="118">
    <w:name w:val="List Paragraph1"/>
    <w:basedOn w:val="1"/>
    <w:qFormat/>
    <w:uiPriority w:val="34"/>
    <w:pPr>
      <w:widowControl w:val="0"/>
      <w:ind w:firstLine="420" w:firstLineChars="200"/>
      <w:jc w:val="both"/>
    </w:pPr>
    <w:rPr>
      <w:rFonts w:ascii="Calibri" w:hAnsi="Calibri" w:cs="Times New Roman"/>
      <w:kern w:val="2"/>
      <w:sz w:val="21"/>
    </w:rPr>
  </w:style>
  <w:style w:type="paragraph" w:customStyle="1" w:styleId="119">
    <w:name w:val="无间隔1"/>
    <w:qFormat/>
    <w:uiPriority w:val="1"/>
    <w:pPr>
      <w:widowControl w:val="0"/>
      <w:adjustRightInd w:val="0"/>
      <w:jc w:val="both"/>
      <w:textAlignment w:val="baseline"/>
    </w:pPr>
    <w:rPr>
      <w:rFonts w:ascii="Verdana" w:hAnsi="Verdana" w:eastAsia="宋体" w:cs="Times New Roman"/>
      <w:kern w:val="2"/>
      <w:sz w:val="21"/>
      <w:szCs w:val="24"/>
      <w:lang w:val="en-US" w:eastAsia="zh-CN" w:bidi="ar-SA"/>
    </w:rPr>
  </w:style>
  <w:style w:type="paragraph" w:customStyle="1" w:styleId="120">
    <w:name w:val="正文段"/>
    <w:basedOn w:val="1"/>
    <w:qFormat/>
    <w:uiPriority w:val="0"/>
    <w:pPr>
      <w:snapToGrid w:val="0"/>
      <w:spacing w:afterLines="50"/>
      <w:ind w:firstLine="200" w:firstLineChars="200"/>
      <w:jc w:val="both"/>
    </w:pPr>
    <w:rPr>
      <w:rFonts w:ascii="Times New Roman" w:hAnsi="Times New Roman" w:eastAsia="Malgun Gothic"/>
      <w:szCs w:val="20"/>
    </w:rPr>
  </w:style>
  <w:style w:type="paragraph" w:customStyle="1" w:styleId="121">
    <w:name w:val="标题一"/>
    <w:basedOn w:val="1"/>
    <w:qFormat/>
    <w:uiPriority w:val="0"/>
    <w:pPr>
      <w:pageBreakBefore/>
      <w:autoSpaceDE w:val="0"/>
      <w:autoSpaceDN w:val="0"/>
      <w:adjustRightInd w:val="0"/>
      <w:spacing w:beforeLines="100" w:line="360" w:lineRule="auto"/>
      <w:jc w:val="center"/>
    </w:pPr>
    <w:rPr>
      <w:rFonts w:ascii="黑体" w:hAnsi="Arial" w:eastAsia="黑体"/>
      <w:sz w:val="32"/>
      <w:szCs w:val="32"/>
    </w:rPr>
  </w:style>
  <w:style w:type="paragraph" w:customStyle="1" w:styleId="122">
    <w:name w:val="style11"/>
    <w:basedOn w:val="1"/>
    <w:qFormat/>
    <w:uiPriority w:val="0"/>
    <w:pPr>
      <w:spacing w:before="100" w:beforeAutospacing="1" w:after="100" w:afterAutospacing="1"/>
    </w:pPr>
    <w:rPr>
      <w:sz w:val="18"/>
      <w:szCs w:val="18"/>
    </w:rPr>
  </w:style>
  <w:style w:type="paragraph" w:customStyle="1" w:styleId="123">
    <w:name w:val="p0"/>
    <w:basedOn w:val="1"/>
    <w:qFormat/>
    <w:uiPriority w:val="0"/>
    <w:pPr>
      <w:spacing w:before="100" w:beforeAutospacing="1" w:after="100" w:afterAutospacing="1"/>
    </w:pPr>
  </w:style>
  <w:style w:type="paragraph" w:customStyle="1" w:styleId="124">
    <w:name w:val="表格"/>
    <w:basedOn w:val="1"/>
    <w:qFormat/>
    <w:uiPriority w:val="0"/>
    <w:pPr>
      <w:tabs>
        <w:tab w:val="left" w:pos="1200"/>
      </w:tabs>
      <w:spacing w:line="500" w:lineRule="exact"/>
      <w:jc w:val="center"/>
    </w:pPr>
    <w:rPr>
      <w:szCs w:val="18"/>
    </w:rPr>
  </w:style>
  <w:style w:type="paragraph" w:customStyle="1" w:styleId="125">
    <w:name w:val="正文五号"/>
    <w:basedOn w:val="1"/>
    <w:qFormat/>
    <w:uiPriority w:val="0"/>
    <w:rPr>
      <w:rFonts w:hint="eastAsia" w:eastAsia="仿宋_GB2312"/>
      <w:szCs w:val="20"/>
    </w:rPr>
  </w:style>
  <w:style w:type="paragraph" w:customStyle="1" w:styleId="126">
    <w:name w:val="Char Char Char Char Char Char Char Char Char Char Char Char"/>
    <w:basedOn w:val="1"/>
    <w:qFormat/>
    <w:uiPriority w:val="0"/>
    <w:pPr>
      <w:tabs>
        <w:tab w:val="right" w:pos="-2120"/>
      </w:tabs>
      <w:snapToGrid w:val="0"/>
    </w:pPr>
    <w:rPr>
      <w:rFonts w:ascii="Tahoma" w:hAnsi="Tahoma"/>
      <w:spacing w:val="6"/>
      <w:szCs w:val="20"/>
    </w:rPr>
  </w:style>
  <w:style w:type="paragraph" w:customStyle="1" w:styleId="127">
    <w:name w:val="表格文字"/>
    <w:basedOn w:val="1"/>
    <w:qFormat/>
    <w:uiPriority w:val="0"/>
    <w:pPr>
      <w:spacing w:before="25" w:after="25" w:line="300" w:lineRule="auto"/>
    </w:pPr>
    <w:rPr>
      <w:spacing w:val="10"/>
      <w:szCs w:val="20"/>
    </w:rPr>
  </w:style>
  <w:style w:type="paragraph" w:customStyle="1" w:styleId="128">
    <w:name w:val="正文1"/>
    <w:basedOn w:val="1"/>
    <w:next w:val="1"/>
    <w:qFormat/>
    <w:uiPriority w:val="0"/>
    <w:pPr>
      <w:spacing w:line="360" w:lineRule="auto"/>
      <w:ind w:firstLine="200" w:firstLineChars="200"/>
    </w:pPr>
  </w:style>
  <w:style w:type="paragraph" w:customStyle="1" w:styleId="129">
    <w:name w:val="xl64"/>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color w:val="000000"/>
      <w:sz w:val="18"/>
      <w:szCs w:val="18"/>
    </w:rPr>
  </w:style>
  <w:style w:type="paragraph" w:customStyle="1" w:styleId="130">
    <w:name w:val="(符号)标书正文"/>
    <w:basedOn w:val="1"/>
    <w:qFormat/>
    <w:uiPriority w:val="0"/>
    <w:pPr>
      <w:widowControl w:val="0"/>
      <w:spacing w:line="420" w:lineRule="exact"/>
      <w:ind w:firstLine="480" w:firstLineChars="200"/>
    </w:pPr>
    <w:rPr>
      <w:rFonts w:eastAsia="Malgun Gothic"/>
      <w:color w:val="000000"/>
      <w:kern w:val="2"/>
    </w:rPr>
  </w:style>
  <w:style w:type="paragraph" w:customStyle="1" w:styleId="131">
    <w:name w:val="小标题 2"/>
    <w:basedOn w:val="1"/>
    <w:qFormat/>
    <w:uiPriority w:val="0"/>
    <w:pPr>
      <w:autoSpaceDE w:val="0"/>
      <w:autoSpaceDN w:val="0"/>
      <w:adjustRightInd w:val="0"/>
    </w:pPr>
    <w:rPr>
      <w:rFonts w:ascii="黑体" w:eastAsia="黑体" w:cs="黑体"/>
    </w:rPr>
  </w:style>
  <w:style w:type="paragraph" w:customStyle="1" w:styleId="132">
    <w:name w:val="Normal no space after"/>
    <w:basedOn w:val="1"/>
    <w:qFormat/>
    <w:uiPriority w:val="0"/>
    <w:pPr>
      <w:tabs>
        <w:tab w:val="left" w:pos="284"/>
        <w:tab w:val="left" w:pos="567"/>
      </w:tabs>
      <w:spacing w:line="280" w:lineRule="atLeast"/>
    </w:pPr>
    <w:rPr>
      <w:rFonts w:ascii="Frutiger Roman" w:hAnsi="Frutiger Roman"/>
      <w:sz w:val="20"/>
      <w:szCs w:val="20"/>
      <w:lang w:eastAsia="en-US"/>
    </w:rPr>
  </w:style>
  <w:style w:type="paragraph" w:customStyle="1" w:styleId="133">
    <w:name w:val="Char Char Char"/>
    <w:basedOn w:val="1"/>
    <w:qFormat/>
    <w:uiPriority w:val="0"/>
    <w:pPr>
      <w:ind w:firstLine="200" w:firstLineChars="200"/>
    </w:pPr>
  </w:style>
  <w:style w:type="paragraph" w:customStyle="1" w:styleId="134">
    <w:name w:val="样式1"/>
    <w:basedOn w:val="3"/>
    <w:qFormat/>
    <w:uiPriority w:val="0"/>
  </w:style>
  <w:style w:type="paragraph" w:customStyle="1" w:styleId="135">
    <w:name w:val="ps-row-11"/>
    <w:basedOn w:val="1"/>
    <w:qFormat/>
    <w:uiPriority w:val="0"/>
    <w:pPr>
      <w:spacing w:before="100" w:beforeAutospacing="1" w:after="100" w:afterAutospacing="1"/>
    </w:pPr>
  </w:style>
  <w:style w:type="paragraph" w:customStyle="1" w:styleId="136">
    <w:name w:val="g3"/>
    <w:basedOn w:val="1"/>
    <w:qFormat/>
    <w:uiPriority w:val="0"/>
    <w:pPr>
      <w:spacing w:before="100" w:beforeAutospacing="1" w:after="100" w:afterAutospacing="1" w:line="675" w:lineRule="atLeast"/>
    </w:pPr>
    <w:rPr>
      <w:rFonts w:ascii="华文中宋" w:hAnsi="华文中宋" w:eastAsia="华文中宋"/>
      <w:sz w:val="42"/>
      <w:szCs w:val="42"/>
    </w:rPr>
  </w:style>
  <w:style w:type="paragraph" w:customStyle="1" w:styleId="137">
    <w:name w:val="Char Char1 Char Char Char Char Char Char Char Char Char Char Char Char Char Char"/>
    <w:basedOn w:val="1"/>
    <w:qFormat/>
    <w:uiPriority w:val="0"/>
    <w:pPr>
      <w:spacing w:after="160" w:line="240" w:lineRule="exact"/>
    </w:pPr>
    <w:rPr>
      <w:rFonts w:ascii="Verdana" w:hAnsi="Verdana"/>
      <w:sz w:val="20"/>
      <w:szCs w:val="20"/>
      <w:lang w:eastAsia="en-US"/>
    </w:rPr>
  </w:style>
  <w:style w:type="paragraph" w:customStyle="1" w:styleId="138">
    <w:name w:val="para"/>
    <w:basedOn w:val="1"/>
    <w:qFormat/>
    <w:uiPriority w:val="0"/>
    <w:pPr>
      <w:adjustRightInd w:val="0"/>
      <w:spacing w:before="160" w:line="360" w:lineRule="auto"/>
      <w:ind w:firstLine="425"/>
      <w:textAlignment w:val="baseline"/>
    </w:pPr>
    <w:rPr>
      <w:szCs w:val="20"/>
      <w:lang w:eastAsia="en-US"/>
    </w:rPr>
  </w:style>
  <w:style w:type="paragraph" w:customStyle="1" w:styleId="139">
    <w:name w:val="Char Char Char Char"/>
    <w:basedOn w:val="1"/>
    <w:qFormat/>
    <w:uiPriority w:val="0"/>
    <w:pPr>
      <w:spacing w:after="160" w:line="240" w:lineRule="exact"/>
    </w:pPr>
    <w:rPr>
      <w:rFonts w:ascii="Verdana" w:hAnsi="Verdana" w:eastAsia="仿宋_GB2312"/>
      <w:szCs w:val="20"/>
      <w:lang w:eastAsia="en-US"/>
    </w:rPr>
  </w:style>
  <w:style w:type="paragraph" w:customStyle="1" w:styleId="140">
    <w:name w:val="555"/>
    <w:basedOn w:val="1"/>
    <w:qFormat/>
    <w:uiPriority w:val="0"/>
    <w:pPr>
      <w:adjustRightInd w:val="0"/>
      <w:snapToGrid w:val="0"/>
      <w:spacing w:line="360" w:lineRule="auto"/>
      <w:ind w:firstLine="560" w:firstLineChars="200"/>
    </w:pPr>
    <w:rPr>
      <w:rFonts w:ascii="仿宋_GB2312" w:eastAsia="仿宋_GB2312" w:cs="Times New Roman"/>
      <w:color w:val="000000"/>
    </w:rPr>
  </w:style>
  <w:style w:type="character" w:customStyle="1" w:styleId="141">
    <w:name w:val="日期 字符"/>
    <w:basedOn w:val="44"/>
    <w:link w:val="24"/>
    <w:qFormat/>
    <w:uiPriority w:val="99"/>
    <w:rPr>
      <w:rFonts w:ascii="宋体" w:hAnsi="宋体" w:cs="宋体"/>
      <w:sz w:val="24"/>
    </w:rPr>
  </w:style>
  <w:style w:type="paragraph" w:customStyle="1" w:styleId="14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43">
    <w:name w:val="font51"/>
    <w:basedOn w:val="44"/>
    <w:qFormat/>
    <w:uiPriority w:val="0"/>
    <w:rPr>
      <w:rFonts w:hint="eastAsia" w:ascii="方正仿宋_GBK" w:hAnsi="方正仿宋_GBK" w:eastAsia="方正仿宋_GBK" w:cs="方正仿宋_GBK"/>
      <w:color w:val="000000"/>
      <w:sz w:val="24"/>
      <w:szCs w:val="24"/>
      <w:u w:val="none"/>
    </w:rPr>
  </w:style>
  <w:style w:type="character" w:customStyle="1" w:styleId="144">
    <w:name w:val="font71"/>
    <w:basedOn w:val="44"/>
    <w:qFormat/>
    <w:uiPriority w:val="0"/>
    <w:rPr>
      <w:rFonts w:hint="default" w:ascii="Times New Roman" w:hAnsi="Times New Roman" w:cs="Times New Roman"/>
      <w:color w:val="000000"/>
      <w:sz w:val="24"/>
      <w:szCs w:val="24"/>
      <w:u w:val="none"/>
    </w:rPr>
  </w:style>
  <w:style w:type="character" w:customStyle="1" w:styleId="145">
    <w:name w:val="font01"/>
    <w:basedOn w:val="44"/>
    <w:qFormat/>
    <w:uiPriority w:val="0"/>
    <w:rPr>
      <w:rFonts w:hint="eastAsia" w:ascii="方正黑体_GBK" w:hAnsi="方正黑体_GBK" w:eastAsia="方正黑体_GBK" w:cs="方正黑体_GBK"/>
      <w:color w:val="000000"/>
      <w:sz w:val="22"/>
      <w:szCs w:val="22"/>
      <w:u w:val="none"/>
    </w:rPr>
  </w:style>
  <w:style w:type="character" w:customStyle="1" w:styleId="146">
    <w:name w:val="font31"/>
    <w:basedOn w:val="44"/>
    <w:qFormat/>
    <w:uiPriority w:val="0"/>
    <w:rPr>
      <w:rFonts w:hint="default" w:ascii="Times New Roman" w:hAnsi="Times New Roman" w:cs="Times New Roman"/>
      <w:color w:val="000000"/>
      <w:sz w:val="22"/>
      <w:szCs w:val="22"/>
      <w:u w:val="none"/>
    </w:rPr>
  </w:style>
  <w:style w:type="character" w:customStyle="1" w:styleId="147">
    <w:name w:val="font11"/>
    <w:basedOn w:val="44"/>
    <w:qFormat/>
    <w:uiPriority w:val="0"/>
    <w:rPr>
      <w:rFonts w:hint="eastAsia" w:ascii="方正黑体_GBK" w:hAnsi="方正黑体_GBK" w:eastAsia="方正黑体_GBK" w:cs="方正黑体_GBK"/>
      <w:color w:val="000000"/>
      <w:sz w:val="24"/>
      <w:szCs w:val="24"/>
      <w:u w:val="none"/>
    </w:rPr>
  </w:style>
  <w:style w:type="paragraph" w:customStyle="1" w:styleId="148">
    <w:name w:val="Table Paragraph"/>
    <w:basedOn w:val="1"/>
    <w:qFormat/>
    <w:uiPriority w:val="0"/>
    <w:pPr>
      <w:widowControl w:val="0"/>
    </w:pPr>
    <w:rPr>
      <w:rFonts w:ascii="等线" w:hAnsi="等线" w:eastAsia="等线" w:cs="Times New Roman"/>
      <w:sz w:val="22"/>
      <w:szCs w:val="22"/>
    </w:rPr>
  </w:style>
  <w:style w:type="character" w:customStyle="1" w:styleId="149">
    <w:name w:val="font21"/>
    <w:basedOn w:val="44"/>
    <w:qFormat/>
    <w:uiPriority w:val="0"/>
    <w:rPr>
      <w:rFonts w:hint="eastAsia" w:ascii="宋体" w:hAnsi="宋体" w:eastAsia="宋体"/>
      <w:color w:val="000000"/>
      <w:sz w:val="20"/>
      <w:szCs w:val="20"/>
      <w:u w:val="none"/>
    </w:rPr>
  </w:style>
  <w:style w:type="character" w:customStyle="1" w:styleId="150">
    <w:name w:val="font41"/>
    <w:basedOn w:val="44"/>
    <w:qFormat/>
    <w:uiPriority w:val="0"/>
    <w:rPr>
      <w:rFonts w:hint="default" w:ascii="Times New Roman" w:hAnsi="Times New Roman" w:cs="Times New Roman"/>
      <w:color w:val="000000"/>
      <w:sz w:val="20"/>
      <w:szCs w:val="20"/>
      <w:u w:val="none"/>
    </w:rPr>
  </w:style>
  <w:style w:type="paragraph" w:customStyle="1" w:styleId="151">
    <w:name w:val="msonormal"/>
    <w:basedOn w:val="1"/>
    <w:qFormat/>
    <w:uiPriority w:val="0"/>
    <w:pPr>
      <w:spacing w:before="100" w:beforeAutospacing="1" w:after="100" w:afterAutospacing="1"/>
    </w:pPr>
  </w:style>
  <w:style w:type="paragraph" w:customStyle="1" w:styleId="152">
    <w:name w:val="font0"/>
    <w:basedOn w:val="1"/>
    <w:qFormat/>
    <w:uiPriority w:val="0"/>
    <w:pPr>
      <w:spacing w:before="100" w:beforeAutospacing="1" w:after="100" w:afterAutospacing="1"/>
    </w:pPr>
    <w:rPr>
      <w:color w:val="000000"/>
      <w:sz w:val="22"/>
      <w:szCs w:val="22"/>
    </w:rPr>
  </w:style>
  <w:style w:type="paragraph" w:customStyle="1" w:styleId="153">
    <w:name w:val="font1"/>
    <w:basedOn w:val="1"/>
    <w:qFormat/>
    <w:uiPriority w:val="0"/>
    <w:pPr>
      <w:spacing w:before="100" w:beforeAutospacing="1" w:after="100" w:afterAutospacing="1"/>
    </w:pPr>
    <w:rPr>
      <w:rFonts w:ascii="仿宋" w:hAnsi="仿宋" w:eastAsia="仿宋"/>
      <w:color w:val="000000"/>
      <w:vertAlign w:val="superscript"/>
    </w:rPr>
  </w:style>
  <w:style w:type="paragraph" w:customStyle="1" w:styleId="154">
    <w:name w:val="font2"/>
    <w:basedOn w:val="1"/>
    <w:qFormat/>
    <w:uiPriority w:val="0"/>
    <w:pPr>
      <w:spacing w:before="100" w:beforeAutospacing="1" w:after="100" w:afterAutospacing="1"/>
    </w:pPr>
    <w:rPr>
      <w:rFonts w:ascii="Times New Roman" w:hAnsi="Times New Roman" w:cs="Times New Roman"/>
      <w:color w:val="000000"/>
      <w:sz w:val="20"/>
      <w:szCs w:val="20"/>
    </w:rPr>
  </w:style>
  <w:style w:type="paragraph" w:customStyle="1" w:styleId="155">
    <w:name w:val="font3"/>
    <w:basedOn w:val="1"/>
    <w:qFormat/>
    <w:uiPriority w:val="0"/>
    <w:pPr>
      <w:spacing w:before="100" w:beforeAutospacing="1" w:after="100" w:afterAutospacing="1"/>
    </w:pPr>
    <w:rPr>
      <w:color w:val="000000"/>
      <w:sz w:val="20"/>
      <w:szCs w:val="20"/>
    </w:rPr>
  </w:style>
  <w:style w:type="paragraph" w:customStyle="1" w:styleId="156">
    <w:name w:val="font4"/>
    <w:basedOn w:val="1"/>
    <w:qFormat/>
    <w:uiPriority w:val="0"/>
    <w:pPr>
      <w:spacing w:before="100" w:beforeAutospacing="1" w:after="100" w:afterAutospacing="1"/>
    </w:pPr>
    <w:rPr>
      <w:b/>
      <w:bCs/>
      <w:color w:val="000000"/>
      <w:sz w:val="22"/>
      <w:szCs w:val="22"/>
    </w:rPr>
  </w:style>
  <w:style w:type="paragraph" w:customStyle="1" w:styleId="157">
    <w:name w:val="font5"/>
    <w:basedOn w:val="1"/>
    <w:qFormat/>
    <w:uiPriority w:val="0"/>
    <w:pPr>
      <w:spacing w:before="100" w:beforeAutospacing="1" w:after="100" w:afterAutospacing="1"/>
    </w:pPr>
    <w:rPr>
      <w:b/>
      <w:bCs/>
      <w:color w:val="000000"/>
      <w:sz w:val="20"/>
      <w:szCs w:val="20"/>
    </w:rPr>
  </w:style>
  <w:style w:type="paragraph" w:customStyle="1" w:styleId="158">
    <w:name w:val="font6"/>
    <w:basedOn w:val="1"/>
    <w:qFormat/>
    <w:uiPriority w:val="0"/>
    <w:pPr>
      <w:spacing w:before="100" w:beforeAutospacing="1" w:after="100" w:afterAutospacing="1"/>
    </w:pPr>
    <w:rPr>
      <w:color w:val="000000"/>
      <w:sz w:val="20"/>
      <w:szCs w:val="20"/>
    </w:rPr>
  </w:style>
  <w:style w:type="paragraph" w:customStyle="1" w:styleId="159">
    <w:name w:val="et4"/>
    <w:basedOn w:val="1"/>
    <w:qFormat/>
    <w:uiPriority w:val="0"/>
    <w:pPr>
      <w:spacing w:before="100" w:beforeAutospacing="1" w:after="100" w:afterAutospacing="1"/>
      <w:jc w:val="center"/>
    </w:pPr>
  </w:style>
  <w:style w:type="paragraph" w:customStyle="1" w:styleId="160">
    <w:name w:val="et5"/>
    <w:basedOn w:val="1"/>
    <w:qFormat/>
    <w:uiPriority w:val="0"/>
    <w:pPr>
      <w:spacing w:before="100" w:beforeAutospacing="1" w:after="100" w:afterAutospacing="1"/>
      <w:jc w:val="right"/>
    </w:pPr>
  </w:style>
  <w:style w:type="paragraph" w:customStyle="1" w:styleId="161">
    <w:name w:val="et6"/>
    <w:basedOn w:val="1"/>
    <w:qFormat/>
    <w:uiPriority w:val="0"/>
    <w:pPr>
      <w:spacing w:before="100" w:beforeAutospacing="1" w:after="100" w:afterAutospacing="1"/>
    </w:pPr>
    <w:rPr>
      <w:b/>
      <w:bCs/>
    </w:rPr>
  </w:style>
  <w:style w:type="paragraph" w:customStyle="1" w:styleId="162">
    <w:name w:val="et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0"/>
      <w:szCs w:val="20"/>
    </w:rPr>
  </w:style>
  <w:style w:type="paragraph" w:customStyle="1" w:styleId="163">
    <w:name w:val="et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4">
    <w:name w:val="et1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5">
    <w:name w:val="et1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6">
    <w:name w:val="et1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Times New Roman" w:hAnsi="Times New Roman" w:cs="Times New Roman"/>
      <w:color w:val="000000"/>
      <w:sz w:val="20"/>
      <w:szCs w:val="20"/>
    </w:rPr>
  </w:style>
  <w:style w:type="paragraph" w:customStyle="1" w:styleId="167">
    <w:name w:val="et1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8">
    <w:name w:val="et1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sz w:val="20"/>
      <w:szCs w:val="20"/>
    </w:rPr>
  </w:style>
  <w:style w:type="paragraph" w:customStyle="1" w:styleId="169">
    <w:name w:val="et1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0">
    <w:name w:val="et1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1">
    <w:name w:val="et1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2">
    <w:name w:val="et1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3">
    <w:name w:val="et1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74">
    <w:name w:val="et2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5">
    <w:name w:val="et2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6">
    <w:name w:val="et2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7">
    <w:name w:val="et25"/>
    <w:basedOn w:val="1"/>
    <w:qFormat/>
    <w:uiPriority w:val="0"/>
    <w:pPr>
      <w:pBdr>
        <w:top w:val="single" w:color="000000" w:sz="4" w:space="0"/>
        <w:left w:val="single" w:color="000000" w:sz="4" w:space="0"/>
        <w:bottom w:val="single" w:color="000000" w:sz="4" w:space="0"/>
      </w:pBdr>
      <w:spacing w:before="100" w:beforeAutospacing="1" w:after="100" w:afterAutospacing="1"/>
      <w:jc w:val="center"/>
    </w:pPr>
    <w:rPr>
      <w:color w:val="000000"/>
      <w:sz w:val="20"/>
      <w:szCs w:val="20"/>
    </w:rPr>
  </w:style>
  <w:style w:type="paragraph" w:customStyle="1" w:styleId="178">
    <w:name w:val="font7"/>
    <w:basedOn w:val="1"/>
    <w:qFormat/>
    <w:uiPriority w:val="0"/>
    <w:pPr>
      <w:spacing w:before="100" w:beforeAutospacing="1" w:after="100" w:afterAutospacing="1"/>
    </w:pPr>
    <w:rPr>
      <w:b/>
      <w:bCs/>
      <w:color w:val="000000"/>
      <w:sz w:val="20"/>
      <w:szCs w:val="20"/>
    </w:rPr>
  </w:style>
  <w:style w:type="paragraph" w:customStyle="1" w:styleId="179">
    <w:name w:val="font8"/>
    <w:basedOn w:val="1"/>
    <w:qFormat/>
    <w:uiPriority w:val="0"/>
    <w:pPr>
      <w:spacing w:before="100" w:beforeAutospacing="1" w:after="100" w:afterAutospacing="1"/>
    </w:pPr>
    <w:rPr>
      <w:b/>
      <w:bCs/>
      <w:color w:val="000000"/>
      <w:sz w:val="20"/>
      <w:szCs w:val="20"/>
    </w:rPr>
  </w:style>
  <w:style w:type="paragraph" w:customStyle="1" w:styleId="180">
    <w:name w:val="font9"/>
    <w:basedOn w:val="1"/>
    <w:qFormat/>
    <w:uiPriority w:val="0"/>
    <w:pPr>
      <w:spacing w:before="100" w:beforeAutospacing="1" w:after="100" w:afterAutospacing="1"/>
    </w:pPr>
    <w:rPr>
      <w:color w:val="000000"/>
      <w:sz w:val="20"/>
      <w:szCs w:val="20"/>
    </w:rPr>
  </w:style>
  <w:style w:type="paragraph" w:customStyle="1" w:styleId="181">
    <w:name w:val="et7"/>
    <w:basedOn w:val="1"/>
    <w:qFormat/>
    <w:uiPriority w:val="0"/>
    <w:pPr>
      <w:spacing w:before="100" w:beforeAutospacing="1" w:after="100" w:afterAutospacing="1"/>
    </w:pPr>
    <w:rPr>
      <w:b/>
      <w:bCs/>
    </w:rPr>
  </w:style>
  <w:style w:type="paragraph" w:customStyle="1" w:styleId="182">
    <w:name w:val="et2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3">
    <w:name w:val="et2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4">
    <w:name w:val="et2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85">
    <w:name w:val="et2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6">
    <w:name w:val="et2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7">
    <w:name w:val="et3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8">
    <w:name w:val="et31"/>
    <w:basedOn w:val="1"/>
    <w:qFormat/>
    <w:uiPriority w:val="0"/>
    <w:pPr>
      <w:pBdr>
        <w:top w:val="single" w:color="000000" w:sz="4" w:space="0"/>
        <w:left w:val="single" w:color="000000" w:sz="4" w:space="0"/>
        <w:right w:val="single" w:color="000000" w:sz="4" w:space="0"/>
      </w:pBdr>
      <w:spacing w:before="100" w:beforeAutospacing="1" w:after="100" w:afterAutospacing="1"/>
      <w:jc w:val="center"/>
    </w:pPr>
  </w:style>
  <w:style w:type="paragraph" w:customStyle="1" w:styleId="189">
    <w:name w:val="et32"/>
    <w:basedOn w:val="1"/>
    <w:qFormat/>
    <w:uiPriority w:val="0"/>
    <w:pPr>
      <w:pBdr>
        <w:left w:val="single" w:color="000000" w:sz="4" w:space="0"/>
        <w:right w:val="single" w:color="000000" w:sz="4" w:space="0"/>
      </w:pBdr>
      <w:spacing w:before="100" w:beforeAutospacing="1" w:after="100" w:afterAutospacing="1"/>
      <w:jc w:val="center"/>
    </w:pPr>
  </w:style>
  <w:style w:type="paragraph" w:customStyle="1" w:styleId="190">
    <w:name w:val="et33"/>
    <w:basedOn w:val="1"/>
    <w:qFormat/>
    <w:uiPriority w:val="0"/>
    <w:pPr>
      <w:pBdr>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1">
    <w:name w:val="et3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2">
    <w:name w:val="段"/>
    <w:basedOn w:val="1"/>
    <w:qFormat/>
    <w:uiPriority w:val="0"/>
    <w:pPr>
      <w:autoSpaceDE w:val="0"/>
      <w:autoSpaceDN w:val="0"/>
      <w:ind w:firstLine="200" w:firstLineChars="200"/>
      <w:jc w:val="both"/>
    </w:pPr>
    <w:rPr>
      <w:rFonts w:hAnsi="Times New Roman" w:cs="Times New Roman"/>
      <w:sz w:val="21"/>
      <w:szCs w:val="21"/>
    </w:rPr>
  </w:style>
  <w:style w:type="table" w:customStyle="1" w:styleId="193">
    <w:name w:val="Table Normal"/>
    <w:basedOn w:val="42"/>
    <w:qFormat/>
    <w:uiPriority w:val="0"/>
    <w:rPr>
      <w:rFonts w:eastAsia="Times New Roman"/>
    </w:rPr>
    <w:tblPr>
      <w:tblCellMar>
        <w:left w:w="0" w:type="dxa"/>
        <w:right w:w="0" w:type="dxa"/>
      </w:tblCellMar>
    </w:tblPr>
  </w:style>
  <w:style w:type="character" w:customStyle="1" w:styleId="194">
    <w:name w:val="标题 4 字符"/>
    <w:basedOn w:val="44"/>
    <w:link w:val="5"/>
    <w:qFormat/>
    <w:uiPriority w:val="99"/>
    <w:rPr>
      <w:rFonts w:ascii="Arial" w:hAnsi="Arial" w:eastAsia="黑体" w:cs="宋体"/>
      <w:sz w:val="28"/>
    </w:rPr>
  </w:style>
  <w:style w:type="paragraph" w:customStyle="1" w:styleId="195">
    <w:name w:val="章标题"/>
    <w:basedOn w:val="1"/>
    <w:next w:val="192"/>
    <w:qFormat/>
    <w:uiPriority w:val="0"/>
    <w:pPr>
      <w:spacing w:beforeLines="100" w:afterLines="100"/>
      <w:jc w:val="both"/>
      <w:outlineLvl w:val="1"/>
    </w:pPr>
    <w:rPr>
      <w:rFonts w:ascii="黑体" w:hAnsi="Times New Roman" w:eastAsia="黑体" w:cs="Times New Roman"/>
      <w:sz w:val="21"/>
      <w:szCs w:val="21"/>
    </w:rPr>
  </w:style>
  <w:style w:type="paragraph" w:customStyle="1" w:styleId="196">
    <w:name w:val="一级条标题"/>
    <w:basedOn w:val="1"/>
    <w:next w:val="192"/>
    <w:qFormat/>
    <w:uiPriority w:val="0"/>
    <w:pPr>
      <w:outlineLvl w:val="2"/>
    </w:pPr>
    <w:rPr>
      <w:rFonts w:ascii="Times New Roman" w:hAnsi="Times New Roman" w:eastAsia="黑体" w:cs="Times New Roman"/>
      <w:sz w:val="21"/>
      <w:szCs w:val="21"/>
    </w:rPr>
  </w:style>
  <w:style w:type="paragraph" w:customStyle="1" w:styleId="197">
    <w:name w:val="正文图标题"/>
    <w:basedOn w:val="1"/>
    <w:next w:val="192"/>
    <w:qFormat/>
    <w:uiPriority w:val="0"/>
    <w:pPr>
      <w:spacing w:beforeLines="50" w:afterLines="50"/>
      <w:jc w:val="center"/>
    </w:pPr>
    <w:rPr>
      <w:rFonts w:ascii="黑体" w:hAnsi="Times New Roman" w:eastAsia="黑体" w:cs="Times New Roman"/>
      <w:sz w:val="21"/>
      <w:szCs w:val="21"/>
    </w:rPr>
  </w:style>
  <w:style w:type="paragraph" w:customStyle="1" w:styleId="198">
    <w:name w:val="正文表标题"/>
    <w:basedOn w:val="1"/>
    <w:next w:val="192"/>
    <w:qFormat/>
    <w:uiPriority w:val="0"/>
    <w:pPr>
      <w:spacing w:beforeLines="50" w:afterLines="50"/>
      <w:jc w:val="center"/>
    </w:pPr>
    <w:rPr>
      <w:rFonts w:ascii="黑体" w:hAnsi="Times New Roman" w:eastAsia="黑体" w:cs="Times New Roman"/>
      <w:sz w:val="21"/>
      <w:szCs w:val="21"/>
    </w:rPr>
  </w:style>
  <w:style w:type="paragraph" w:customStyle="1" w:styleId="199">
    <w:name w:val="二级条标题"/>
    <w:basedOn w:val="196"/>
    <w:next w:val="192"/>
    <w:qFormat/>
    <w:uiPriority w:val="0"/>
    <w:pPr>
      <w:spacing w:before="50" w:after="50"/>
      <w:outlineLvl w:val="3"/>
    </w:pPr>
  </w:style>
  <w:style w:type="paragraph" w:customStyle="1" w:styleId="200">
    <w:name w:val="三级条标题"/>
    <w:basedOn w:val="199"/>
    <w:next w:val="192"/>
    <w:qFormat/>
    <w:uiPriority w:val="0"/>
    <w:pPr>
      <w:outlineLvl w:val="4"/>
    </w:pPr>
  </w:style>
  <w:style w:type="paragraph" w:customStyle="1" w:styleId="201">
    <w:name w:val="列表段落1"/>
    <w:basedOn w:val="1"/>
    <w:qFormat/>
    <w:uiPriority w:val="0"/>
    <w:pPr>
      <w:widowControl w:val="0"/>
      <w:spacing w:before="43" w:after="100" w:afterAutospacing="1"/>
      <w:ind w:left="904" w:hanging="527"/>
      <w:jc w:val="both"/>
    </w:pPr>
    <w:rPr>
      <w:rFonts w:ascii="Times New Roman" w:hAnsi="Times New Roman" w:cs="Times New Roman"/>
      <w:kern w:val="2"/>
      <w:sz w:val="21"/>
      <w:szCs w:val="21"/>
    </w:rPr>
  </w:style>
  <w:style w:type="character" w:customStyle="1" w:styleId="202">
    <w:name w:val="HTML 预设格式 字符"/>
    <w:basedOn w:val="44"/>
    <w:link w:val="37"/>
    <w:qFormat/>
    <w:uiPriority w:val="99"/>
    <w:rPr>
      <w:rFonts w:ascii="Arial" w:hAnsi="Arial" w:cs="Arial"/>
      <w:sz w:val="24"/>
      <w:szCs w:val="24"/>
    </w:rPr>
  </w:style>
  <w:style w:type="paragraph" w:customStyle="1" w:styleId="203">
    <w:name w:val="修订1"/>
    <w:hidden/>
    <w:unhideWhenUsed/>
    <w:qFormat/>
    <w:uiPriority w:val="99"/>
    <w:rPr>
      <w:rFonts w:ascii="宋体" w:hAnsi="宋体" w:eastAsia="宋体" w:cs="宋体"/>
      <w:sz w:val="24"/>
      <w:szCs w:val="24"/>
      <w:lang w:val="en-US" w:eastAsia="zh-CN" w:bidi="ar-SA"/>
    </w:rPr>
  </w:style>
  <w:style w:type="paragraph" w:customStyle="1" w:styleId="204">
    <w:name w:val="标题3"/>
    <w:basedOn w:val="1"/>
    <w:next w:val="1"/>
    <w:qFormat/>
    <w:uiPriority w:val="0"/>
    <w:pPr>
      <w:widowControl w:val="0"/>
      <w:adjustRightInd w:val="0"/>
      <w:snapToGrid w:val="0"/>
      <w:spacing w:line="321" w:lineRule="auto"/>
      <w:jc w:val="center"/>
    </w:pPr>
    <w:rPr>
      <w:rFonts w:eastAsia="Malgun Gothic"/>
      <w:b/>
      <w:bCs/>
      <w:kern w:val="2"/>
      <w:sz w:val="52"/>
      <w:szCs w:val="52"/>
    </w:rPr>
  </w:style>
  <w:style w:type="paragraph" w:customStyle="1" w:styleId="205">
    <w:name w:val="TOC 标题1"/>
    <w:basedOn w:val="2"/>
    <w:next w:val="1"/>
    <w:unhideWhenUsed/>
    <w:qFormat/>
    <w:uiPriority w:val="39"/>
    <w:pPr>
      <w:tabs>
        <w:tab w:val="clear" w:pos="360"/>
      </w:tabs>
      <w:adjustRightInd/>
      <w:spacing w:before="240" w:line="259" w:lineRule="auto"/>
      <w:ind w:left="0" w:firstLine="0"/>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206">
    <w:name w:val="font61"/>
    <w:basedOn w:val="44"/>
    <w:qFormat/>
    <w:uiPriority w:val="0"/>
    <w:rPr>
      <w:rFonts w:hint="eastAsia" w:ascii="宋体" w:hAnsi="宋体" w:eastAsia="宋体"/>
      <w:b/>
      <w:bCs/>
      <w:color w:val="000000"/>
      <w:sz w:val="20"/>
      <w:szCs w:val="20"/>
      <w:u w:val="none"/>
    </w:rPr>
  </w:style>
  <w:style w:type="character" w:customStyle="1" w:styleId="207">
    <w:name w:val="font81"/>
    <w:basedOn w:val="44"/>
    <w:qFormat/>
    <w:uiPriority w:val="0"/>
    <w:rPr>
      <w:rFonts w:hint="default" w:ascii="Calibri" w:hAnsi="Calibri" w:cs="Calibri"/>
      <w:color w:val="000000"/>
      <w:sz w:val="22"/>
      <w:szCs w:val="22"/>
      <w:u w:val="none"/>
    </w:rPr>
  </w:style>
  <w:style w:type="character" w:customStyle="1" w:styleId="208">
    <w:name w:val="font91"/>
    <w:basedOn w:val="44"/>
    <w:qFormat/>
    <w:uiPriority w:val="0"/>
    <w:rPr>
      <w:rFonts w:ascii="Calibri" w:hAnsi="Calibri" w:cs="Calibri"/>
      <w:color w:val="000000"/>
      <w:sz w:val="20"/>
      <w:szCs w:val="20"/>
      <w:u w:val="none"/>
    </w:rPr>
  </w:style>
  <w:style w:type="character" w:customStyle="1" w:styleId="209">
    <w:name w:val="10"/>
    <w:basedOn w:val="44"/>
    <w:qFormat/>
    <w:uiPriority w:val="0"/>
    <w:rPr>
      <w:rFonts w:hint="default" w:ascii="Times New Roman" w:hAnsi="Times New Roman" w:cs="Times New Roman"/>
    </w:rPr>
  </w:style>
  <w:style w:type="character" w:customStyle="1" w:styleId="210">
    <w:name w:val="15"/>
    <w:basedOn w:val="44"/>
    <w:qFormat/>
    <w:uiPriority w:val="0"/>
    <w:rPr>
      <w:rFonts w:hint="default" w:ascii="Calibri" w:hAnsi="Calibri" w:cs="Calibri"/>
      <w:color w:val="000000"/>
      <w:sz w:val="20"/>
      <w:szCs w:val="20"/>
    </w:rPr>
  </w:style>
  <w:style w:type="character" w:customStyle="1" w:styleId="211">
    <w:name w:val="font161"/>
    <w:basedOn w:val="44"/>
    <w:qFormat/>
    <w:uiPriority w:val="0"/>
    <w:rPr>
      <w:rFonts w:hint="eastAsia" w:ascii="微软雅黑" w:hAnsi="微软雅黑" w:eastAsia="微软雅黑" w:cs="微软雅黑"/>
      <w:color w:val="FF0000"/>
      <w:sz w:val="16"/>
      <w:szCs w:val="16"/>
      <w:u w:val="none"/>
    </w:rPr>
  </w:style>
  <w:style w:type="character" w:customStyle="1" w:styleId="212">
    <w:name w:val="font171"/>
    <w:basedOn w:val="44"/>
    <w:qFormat/>
    <w:uiPriority w:val="0"/>
    <w:rPr>
      <w:rFonts w:hint="eastAsia" w:ascii="微软雅黑" w:hAnsi="微软雅黑" w:eastAsia="微软雅黑" w:cs="微软雅黑"/>
      <w:color w:val="4EA72E"/>
      <w:sz w:val="16"/>
      <w:szCs w:val="16"/>
      <w:u w:val="none"/>
    </w:rPr>
  </w:style>
  <w:style w:type="character" w:customStyle="1" w:styleId="213">
    <w:name w:val="font181"/>
    <w:basedOn w:val="44"/>
    <w:qFormat/>
    <w:uiPriority w:val="0"/>
    <w:rPr>
      <w:rFonts w:hint="eastAsia" w:ascii="微软雅黑" w:hAnsi="微软雅黑" w:eastAsia="微软雅黑" w:cs="微软雅黑"/>
      <w:color w:val="D86DCD"/>
      <w:sz w:val="16"/>
      <w:szCs w:val="16"/>
      <w:u w:val="none"/>
    </w:rPr>
  </w:style>
  <w:style w:type="character" w:customStyle="1" w:styleId="214">
    <w:name w:val="font101"/>
    <w:basedOn w:val="44"/>
    <w:qFormat/>
    <w:uiPriority w:val="0"/>
    <w:rPr>
      <w:rFonts w:hint="default" w:ascii="Times New Roman" w:hAnsi="Times New Roman" w:cs="Times New Roman"/>
      <w:color w:val="000000"/>
      <w:sz w:val="16"/>
      <w:szCs w:val="16"/>
      <w:u w:val="none"/>
    </w:rPr>
  </w:style>
  <w:style w:type="character" w:customStyle="1" w:styleId="215">
    <w:name w:val="font191"/>
    <w:basedOn w:val="44"/>
    <w:qFormat/>
    <w:uiPriority w:val="0"/>
    <w:rPr>
      <w:rFonts w:hint="eastAsia" w:ascii="宋体" w:hAnsi="宋体" w:eastAsia="宋体" w:cs="宋体"/>
      <w:color w:val="D86DCD"/>
      <w:sz w:val="16"/>
      <w:szCs w:val="16"/>
      <w:u w:val="none"/>
    </w:rPr>
  </w:style>
  <w:style w:type="character" w:customStyle="1" w:styleId="216">
    <w:name w:val="font201"/>
    <w:basedOn w:val="44"/>
    <w:qFormat/>
    <w:uiPriority w:val="0"/>
    <w:rPr>
      <w:rFonts w:hint="default" w:ascii="Times New Roman" w:hAnsi="Times New Roman" w:cs="Times New Roman"/>
      <w:color w:val="4EA72E"/>
      <w:sz w:val="16"/>
      <w:szCs w:val="16"/>
      <w:u w:val="none"/>
    </w:rPr>
  </w:style>
  <w:style w:type="character" w:customStyle="1" w:styleId="217">
    <w:name w:val="font212"/>
    <w:basedOn w:val="44"/>
    <w:qFormat/>
    <w:uiPriority w:val="0"/>
    <w:rPr>
      <w:rFonts w:hint="eastAsia" w:ascii="宋体" w:hAnsi="宋体" w:eastAsia="宋体" w:cs="宋体"/>
      <w:color w:val="FF0000"/>
      <w:sz w:val="16"/>
      <w:szCs w:val="16"/>
      <w:u w:val="none"/>
    </w:rPr>
  </w:style>
  <w:style w:type="character" w:customStyle="1" w:styleId="218">
    <w:name w:val="font221"/>
    <w:basedOn w:val="44"/>
    <w:qFormat/>
    <w:uiPriority w:val="0"/>
    <w:rPr>
      <w:rFonts w:hint="eastAsia" w:ascii="宋体" w:hAnsi="宋体" w:eastAsia="宋体" w:cs="宋体"/>
      <w:color w:val="4EA72E"/>
      <w:sz w:val="16"/>
      <w:szCs w:val="16"/>
      <w:u w:val="none"/>
    </w:rPr>
  </w:style>
  <w:style w:type="character" w:customStyle="1" w:styleId="219">
    <w:name w:val="font231"/>
    <w:basedOn w:val="44"/>
    <w:qFormat/>
    <w:uiPriority w:val="0"/>
    <w:rPr>
      <w:rFonts w:ascii="Cambria Math" w:hAnsi="Cambria Math" w:eastAsia="Cambria Math" w:cs="Cambria Math"/>
      <w:color w:val="4EA72E"/>
      <w:sz w:val="16"/>
      <w:szCs w:val="16"/>
      <w:u w:val="none"/>
    </w:rPr>
  </w:style>
  <w:style w:type="character" w:customStyle="1" w:styleId="220">
    <w:name w:val="font241"/>
    <w:basedOn w:val="44"/>
    <w:qFormat/>
    <w:uiPriority w:val="0"/>
    <w:rPr>
      <w:rFonts w:hint="default" w:ascii="Cambria Math" w:hAnsi="Cambria Math" w:eastAsia="Cambria Math" w:cs="Cambria Math"/>
      <w:color w:val="000000"/>
      <w:sz w:val="16"/>
      <w:szCs w:val="16"/>
      <w:u w:val="none"/>
    </w:rPr>
  </w:style>
  <w:style w:type="character" w:customStyle="1" w:styleId="221">
    <w:name w:val="font251"/>
    <w:basedOn w:val="44"/>
    <w:qFormat/>
    <w:uiPriority w:val="0"/>
    <w:rPr>
      <w:rFonts w:ascii="Segoe UI Symbol" w:hAnsi="Segoe UI Symbol" w:eastAsia="Segoe UI Symbol" w:cs="Segoe UI Symbol"/>
      <w:color w:val="000000"/>
      <w:sz w:val="16"/>
      <w:szCs w:val="16"/>
      <w:u w:val="none"/>
    </w:rPr>
  </w:style>
  <w:style w:type="character" w:customStyle="1" w:styleId="222">
    <w:name w:val="font261"/>
    <w:basedOn w:val="44"/>
    <w:qFormat/>
    <w:uiPriority w:val="0"/>
    <w:rPr>
      <w:rFonts w:hint="eastAsia" w:ascii="微软雅黑" w:hAnsi="微软雅黑" w:eastAsia="微软雅黑" w:cs="微软雅黑"/>
      <w:color w:val="00B050"/>
      <w:sz w:val="16"/>
      <w:szCs w:val="16"/>
      <w:u w:val="none"/>
    </w:rPr>
  </w:style>
  <w:style w:type="character" w:customStyle="1" w:styleId="223">
    <w:name w:val="font271"/>
    <w:basedOn w:val="44"/>
    <w:qFormat/>
    <w:uiPriority w:val="0"/>
    <w:rPr>
      <w:rFonts w:hint="eastAsia" w:ascii="微软雅黑" w:hAnsi="微软雅黑" w:eastAsia="微软雅黑" w:cs="微软雅黑"/>
      <w:color w:val="000000"/>
      <w:sz w:val="16"/>
      <w:szCs w:val="16"/>
      <w:u w:val="none"/>
    </w:rPr>
  </w:style>
  <w:style w:type="character" w:customStyle="1" w:styleId="224">
    <w:name w:val="font281"/>
    <w:basedOn w:val="44"/>
    <w:qFormat/>
    <w:uiPriority w:val="0"/>
    <w:rPr>
      <w:rFonts w:hint="eastAsia" w:ascii="微软雅黑" w:hAnsi="微软雅黑" w:eastAsia="微软雅黑" w:cs="微软雅黑"/>
      <w:strike/>
      <w:color w:val="000000"/>
      <w:sz w:val="16"/>
      <w:szCs w:val="16"/>
    </w:rPr>
  </w:style>
  <w:style w:type="paragraph" w:customStyle="1" w:styleId="225">
    <w:name w:val="msoplaintextcxspmiddle"/>
    <w:basedOn w:val="1"/>
    <w:qFormat/>
    <w:uiPriority w:val="0"/>
    <w:pPr>
      <w:spacing w:before="100" w:beforeAutospacing="1" w:after="100" w:afterAutospacing="1"/>
    </w:pPr>
  </w:style>
  <w:style w:type="paragraph" w:customStyle="1" w:styleId="226">
    <w:name w:val="样式 首行缩进:  0 字符"/>
    <w:basedOn w:val="1"/>
    <w:qFormat/>
    <w:uiPriority w:val="0"/>
    <w:pPr>
      <w:spacing w:line="360" w:lineRule="auto"/>
    </w:pPr>
  </w:style>
  <w:style w:type="paragraph" w:customStyle="1" w:styleId="227">
    <w:name w:val="正文文本 (2)1"/>
    <w:basedOn w:val="1"/>
    <w:qFormat/>
    <w:uiPriority w:val="99"/>
    <w:pPr>
      <w:shd w:val="clear" w:color="auto" w:fill="FFFFFF"/>
      <w:spacing w:line="240" w:lineRule="atLeast"/>
      <w:ind w:hanging="140"/>
    </w:pPr>
    <w:rPr>
      <w:sz w:val="22"/>
      <w:szCs w:val="22"/>
    </w:rPr>
  </w:style>
  <w:style w:type="paragraph" w:customStyle="1" w:styleId="228">
    <w:name w:val="Table Text"/>
    <w:basedOn w:val="1"/>
    <w:semiHidden/>
    <w:qFormat/>
    <w:uiPriority w:val="0"/>
    <w:rPr>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84</Pages>
  <Words>6913</Words>
  <Characters>7936</Characters>
  <Lines>1324</Lines>
  <Paragraphs>1188</Paragraphs>
  <TotalTime>3</TotalTime>
  <ScaleCrop>false</ScaleCrop>
  <LinksUpToDate>false</LinksUpToDate>
  <CharactersWithSpaces>8083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2023-03-28T10:19:00Z</dcterms:created>
  <dc:creator>王梅</dc:creator>
  <cp:lastModifiedBy>Xiaaᥫᩣ꧒</cp:lastModifiedBy>
  <cp:lastPrinted>2026-03-30T02:10:00Z</cp:lastPrinted>
  <dcterms:modified xsi:type="dcterms:W3CDTF">2026-05-08T12:37:25Z</dcterms:modified>
  <dc:title>招标文件</dc:title>
  <cp:revision>554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6D8C522C53B5402F9F6A00973A2652CE_13</vt:lpwstr>
  </property>
  <property fmtid="{D5CDD505-2E9C-101B-9397-08002B2CF9AE}" pid="3" name="KSOProductBuildVer">
    <vt:lpwstr>2052-12.1.0.25865</vt:lpwstr>
  </property>
  <property fmtid="{D5CDD505-2E9C-101B-9397-08002B2CF9AE}" pid="4" name="KSOTemplateDocerSaveRecord">
    <vt:lpwstr>eyJoZGlkIjoiYWJmNTAxYTA0NTllZTU0OWY5NWY0MWNlMzBjNGU2OTYiLCJ1c2VySWQiOiI3MDk2NzQ2NDcifQ==</vt:lpwstr>
  </property>
</Properties>
</file>